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758" w:type="dxa"/>
        <w:tblLayout w:type="fixed"/>
        <w:tblCellMar>
          <w:left w:w="0" w:type="dxa"/>
          <w:right w:w="0" w:type="dxa"/>
        </w:tblCellMar>
        <w:tblLook w:val="01E0"/>
      </w:tblPr>
      <w:tblGrid>
        <w:gridCol w:w="8758"/>
      </w:tblGrid>
      <w:tr w:rsidR="000969BF" w:rsidRPr="00D8724D" w:rsidTr="00EA720A">
        <w:tc>
          <w:tcPr>
            <w:tcW w:w="8758" w:type="dxa"/>
            <w:shd w:val="clear" w:color="auto" w:fill="auto"/>
          </w:tcPr>
          <w:p w:rsidR="00393A3D" w:rsidRPr="00D8724D" w:rsidRDefault="00393A3D" w:rsidP="00393A3D">
            <w:pPr>
              <w:pStyle w:val="ReportTitle"/>
              <w:rPr>
                <w:rFonts w:cs="Arial"/>
              </w:rPr>
            </w:pPr>
            <w:r w:rsidRPr="00D8724D">
              <w:rPr>
                <w:rFonts w:cs="Arial"/>
              </w:rPr>
              <w:t xml:space="preserve">Clearing the </w:t>
            </w:r>
            <w:r w:rsidR="00CF5838">
              <w:rPr>
                <w:rFonts w:cs="Arial"/>
              </w:rPr>
              <w:t>d</w:t>
            </w:r>
            <w:r w:rsidRPr="00D8724D">
              <w:rPr>
                <w:rFonts w:cs="Arial"/>
              </w:rPr>
              <w:t xml:space="preserve">igital </w:t>
            </w:r>
            <w:r w:rsidR="00CF5838">
              <w:rPr>
                <w:rFonts w:cs="Arial"/>
              </w:rPr>
              <w:t>d</w:t>
            </w:r>
            <w:r w:rsidRPr="00D8724D">
              <w:rPr>
                <w:rFonts w:cs="Arial"/>
              </w:rPr>
              <w:t>ividend</w:t>
            </w:r>
          </w:p>
        </w:tc>
      </w:tr>
      <w:tr w:rsidR="000969BF" w:rsidRPr="00A7267D" w:rsidTr="00EA720A">
        <w:tc>
          <w:tcPr>
            <w:tcW w:w="8758" w:type="dxa"/>
            <w:shd w:val="clear" w:color="auto" w:fill="auto"/>
            <w:tcMar>
              <w:bottom w:w="232" w:type="dxa"/>
            </w:tcMar>
          </w:tcPr>
          <w:p w:rsidR="00393A3D" w:rsidRPr="00A7267D" w:rsidRDefault="008F00DF" w:rsidP="00E663F4">
            <w:pPr>
              <w:pStyle w:val="ReportSubtitle"/>
            </w:pPr>
            <w:r>
              <w:t>Decisions on p</w:t>
            </w:r>
            <w:r w:rsidR="00393A3D" w:rsidRPr="00A7267D">
              <w:t xml:space="preserve">lanning principles for restacking digital television channels </w:t>
            </w:r>
          </w:p>
          <w:p w:rsidR="00393A3D" w:rsidRPr="00A7267D" w:rsidRDefault="00393A3D" w:rsidP="00E663F4">
            <w:pPr>
              <w:pStyle w:val="ReportSubtitle"/>
            </w:pPr>
          </w:p>
          <w:p w:rsidR="00DE5480" w:rsidRDefault="00DE5480" w:rsidP="00526B49">
            <w:pPr>
              <w:pStyle w:val="ReportSubtitle"/>
            </w:pPr>
          </w:p>
        </w:tc>
      </w:tr>
      <w:tr w:rsidR="000969BF" w:rsidRPr="00A7267D" w:rsidTr="00EA720A">
        <w:tc>
          <w:tcPr>
            <w:tcW w:w="8758" w:type="dxa"/>
            <w:shd w:val="clear" w:color="auto" w:fill="auto"/>
          </w:tcPr>
          <w:p w:rsidR="000969BF" w:rsidRPr="00A7267D" w:rsidRDefault="008F00DF" w:rsidP="00477C6E">
            <w:pPr>
              <w:pStyle w:val="ReportDate"/>
            </w:pPr>
            <w:r>
              <w:t>May</w:t>
            </w:r>
            <w:r w:rsidR="0025077A" w:rsidRPr="00833D1F">
              <w:t xml:space="preserve"> 201</w:t>
            </w:r>
            <w:r w:rsidR="00477C6E" w:rsidRPr="00833D1F">
              <w:t>1</w:t>
            </w:r>
          </w:p>
        </w:tc>
      </w:tr>
    </w:tbl>
    <w:p w:rsidR="0067226A" w:rsidRDefault="0067226A" w:rsidP="0041071D"/>
    <w:p w:rsidR="0067226A" w:rsidRDefault="0067226A" w:rsidP="0041071D"/>
    <w:p w:rsidR="0067226A" w:rsidRPr="00A7267D" w:rsidRDefault="0067226A" w:rsidP="0041071D">
      <w:pPr>
        <w:sectPr w:rsidR="0067226A" w:rsidRPr="00A7267D" w:rsidSect="00A74B5E">
          <w:headerReference w:type="default" r:id="rId11"/>
          <w:footerReference w:type="default" r:id="rId12"/>
          <w:head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tblPr>
      <w:tblGrid>
        <w:gridCol w:w="8987"/>
      </w:tblGrid>
      <w:tr w:rsidR="005A6328" w:rsidRPr="003610E1" w:rsidTr="005A6328">
        <w:trPr>
          <w:trHeight w:val="5897"/>
        </w:trPr>
        <w:tc>
          <w:tcPr>
            <w:tcW w:w="8987" w:type="dxa"/>
            <w:shd w:val="clear" w:color="auto" w:fill="auto"/>
          </w:tcPr>
          <w:tbl>
            <w:tblPr>
              <w:tblW w:w="0" w:type="auto"/>
              <w:tblLayout w:type="fixed"/>
              <w:tblCellMar>
                <w:left w:w="0" w:type="dxa"/>
                <w:right w:w="0" w:type="dxa"/>
              </w:tblCellMar>
              <w:tblLook w:val="01E0"/>
            </w:tblPr>
            <w:tblGrid>
              <w:gridCol w:w="1491"/>
              <w:gridCol w:w="1694"/>
              <w:gridCol w:w="1764"/>
              <w:gridCol w:w="2011"/>
              <w:gridCol w:w="2012"/>
            </w:tblGrid>
            <w:tr w:rsidR="005A6328" w:rsidRPr="003610E1" w:rsidTr="005A6328">
              <w:tc>
                <w:tcPr>
                  <w:tcW w:w="1491" w:type="dxa"/>
                  <w:shd w:val="clear" w:color="auto" w:fill="auto"/>
                  <w:tcMar>
                    <w:top w:w="28" w:type="dxa"/>
                  </w:tcMar>
                </w:tcPr>
                <w:p w:rsidR="005A6328" w:rsidRPr="00915B1C" w:rsidRDefault="005A6328" w:rsidP="005A6328">
                  <w:pPr>
                    <w:pStyle w:val="CorporateAddresses"/>
                    <w:rPr>
                      <w:rFonts w:ascii="HelveticaNeueLT Std Med" w:hAnsi="HelveticaNeueLT Std Med"/>
                      <w:b/>
                    </w:rPr>
                  </w:pPr>
                  <w:r w:rsidRPr="00915B1C">
                    <w:rPr>
                      <w:rFonts w:ascii="HelveticaNeueLT Std Med" w:hAnsi="HelveticaNeueLT Std Med"/>
                      <w:b/>
                    </w:rPr>
                    <w:lastRenderedPageBreak/>
                    <w:t>Canberra</w:t>
                  </w:r>
                </w:p>
                <w:p w:rsidR="005A6328" w:rsidRPr="003610E1" w:rsidRDefault="005A6328" w:rsidP="005A6328">
                  <w:pPr>
                    <w:pStyle w:val="CorporateAddresses"/>
                  </w:pPr>
                  <w:r w:rsidRPr="003610E1">
                    <w:t xml:space="preserve">Purple Building  </w:t>
                  </w:r>
                </w:p>
                <w:p w:rsidR="005A6328" w:rsidRPr="00915B1C" w:rsidRDefault="005A6328" w:rsidP="005A6328">
                  <w:pPr>
                    <w:pStyle w:val="CorporateAddresses"/>
                    <w:rPr>
                      <w:rFonts w:cs="HelveticaNeueLT Std Lt"/>
                    </w:rPr>
                  </w:pPr>
                  <w:r w:rsidRPr="003610E1">
                    <w:t>Benjamin Of</w:t>
                  </w:r>
                  <w:r w:rsidRPr="00915B1C">
                    <w:rPr>
                      <w:rFonts w:cs="Arial"/>
                    </w:rPr>
                    <w:t>fi</w:t>
                  </w:r>
                  <w:r w:rsidRPr="00915B1C">
                    <w:rPr>
                      <w:rFonts w:cs="HelveticaNeueLT Std Lt"/>
                    </w:rPr>
                    <w:t>ces</w:t>
                  </w:r>
                </w:p>
                <w:p w:rsidR="005A6328" w:rsidRPr="00915B1C" w:rsidRDefault="005A6328" w:rsidP="005A6328">
                  <w:pPr>
                    <w:pStyle w:val="CorporateAddresses"/>
                    <w:rPr>
                      <w:rFonts w:cs="HelveticaNeueLT Std Lt"/>
                    </w:rPr>
                  </w:pPr>
                  <w:r w:rsidRPr="00915B1C">
                    <w:rPr>
                      <w:rFonts w:cs="HelveticaNeueLT Std Lt"/>
                    </w:rPr>
                    <w:t xml:space="preserve">Chan Street </w:t>
                  </w:r>
                </w:p>
                <w:p w:rsidR="005A6328" w:rsidRPr="00915B1C" w:rsidRDefault="005A6328" w:rsidP="005A6328">
                  <w:pPr>
                    <w:pStyle w:val="CorporateAddresses"/>
                    <w:rPr>
                      <w:rFonts w:cs="HelveticaNeueLT Std Lt"/>
                    </w:rPr>
                  </w:pPr>
                  <w:r w:rsidRPr="00915B1C">
                    <w:rPr>
                      <w:rFonts w:cs="HelveticaNeueLT Std Lt"/>
                    </w:rPr>
                    <w:t>Belconnen ACT</w:t>
                  </w:r>
                </w:p>
                <w:p w:rsidR="005A6328" w:rsidRPr="00915B1C" w:rsidRDefault="005A6328" w:rsidP="005A6328">
                  <w:pPr>
                    <w:pStyle w:val="CorporateAddresses"/>
                    <w:rPr>
                      <w:rFonts w:cs="HelveticaNeueLT Std Lt"/>
                    </w:rPr>
                  </w:pPr>
                </w:p>
                <w:p w:rsidR="005A6328" w:rsidRPr="00915B1C" w:rsidRDefault="005A6328" w:rsidP="005A6328">
                  <w:pPr>
                    <w:pStyle w:val="CorporateAddresses"/>
                    <w:rPr>
                      <w:rFonts w:cs="HelveticaNeueLT Std Lt"/>
                    </w:rPr>
                  </w:pPr>
                  <w:r w:rsidRPr="00915B1C">
                    <w:rPr>
                      <w:rFonts w:cs="HelveticaNeueLT Std Lt"/>
                    </w:rPr>
                    <w:t>PO Box 78</w:t>
                  </w:r>
                </w:p>
                <w:p w:rsidR="005A6328" w:rsidRPr="00915B1C" w:rsidRDefault="005A6328" w:rsidP="005A6328">
                  <w:pPr>
                    <w:pStyle w:val="CorporateAddresses"/>
                    <w:rPr>
                      <w:rFonts w:cs="HelveticaNeueLT Std Lt"/>
                    </w:rPr>
                  </w:pPr>
                  <w:r w:rsidRPr="00915B1C">
                    <w:rPr>
                      <w:rFonts w:cs="HelveticaNeueLT Std Lt"/>
                    </w:rPr>
                    <w:t>Belconnen ACT 2616</w:t>
                  </w:r>
                </w:p>
                <w:p w:rsidR="005A6328" w:rsidRPr="00915B1C" w:rsidRDefault="005A6328" w:rsidP="005A6328">
                  <w:pPr>
                    <w:pStyle w:val="CorporateAddresses"/>
                    <w:rPr>
                      <w:rFonts w:cs="HelveticaNeueLT Std Lt"/>
                    </w:rPr>
                  </w:pPr>
                </w:p>
                <w:p w:rsidR="005A6328" w:rsidRPr="00915B1C" w:rsidRDefault="005A6328" w:rsidP="005A6328">
                  <w:pPr>
                    <w:pStyle w:val="CorporateAddresses"/>
                    <w:rPr>
                      <w:rFonts w:cs="HelveticaNeueLT Std Lt"/>
                    </w:rPr>
                  </w:pPr>
                </w:p>
                <w:p w:rsidR="005A6328" w:rsidRPr="00915B1C" w:rsidRDefault="005A6328" w:rsidP="005A6328">
                  <w:pPr>
                    <w:pStyle w:val="CorporateAddresses"/>
                    <w:rPr>
                      <w:rFonts w:cs="HelveticaNeueLT Std Lt"/>
                    </w:rPr>
                  </w:pPr>
                  <w:r w:rsidRPr="00915B1C">
                    <w:rPr>
                      <w:rFonts w:cs="HelveticaNeueLT Std Lt"/>
                    </w:rPr>
                    <w:t>T  +61 2 6219 5555</w:t>
                  </w:r>
                </w:p>
                <w:p w:rsidR="005A6328" w:rsidRPr="003610E1" w:rsidRDefault="005A6328" w:rsidP="005A6328">
                  <w:pPr>
                    <w:pStyle w:val="CorporateAddresses"/>
                  </w:pPr>
                  <w:r w:rsidRPr="00915B1C">
                    <w:rPr>
                      <w:rFonts w:cs="HelveticaNeueLT Std Lt"/>
                    </w:rPr>
                    <w:t xml:space="preserve">F  </w:t>
                  </w:r>
                  <w:r w:rsidRPr="003610E1">
                    <w:t>+61 2 6219 5353</w:t>
                  </w:r>
                </w:p>
              </w:tc>
              <w:tc>
                <w:tcPr>
                  <w:tcW w:w="1694" w:type="dxa"/>
                  <w:shd w:val="clear" w:color="auto" w:fill="auto"/>
                </w:tcPr>
                <w:p w:rsidR="005A6328" w:rsidRPr="00915B1C" w:rsidRDefault="005A6328" w:rsidP="005A6328">
                  <w:pPr>
                    <w:pStyle w:val="CorporateAddresses"/>
                    <w:rPr>
                      <w:rFonts w:ascii="HelveticaNeueLT Std Med" w:hAnsi="HelveticaNeueLT Std Med"/>
                      <w:b/>
                    </w:rPr>
                  </w:pPr>
                  <w:r w:rsidRPr="00915B1C">
                    <w:rPr>
                      <w:rFonts w:ascii="HelveticaNeueLT Std Med" w:hAnsi="HelveticaNeueLT Std Med"/>
                      <w:b/>
                    </w:rPr>
                    <w:t>Melbourne</w:t>
                  </w:r>
                </w:p>
                <w:p w:rsidR="005A6328" w:rsidRPr="003610E1" w:rsidRDefault="005A6328" w:rsidP="005A6328">
                  <w:pPr>
                    <w:pStyle w:val="CorporateAddresses"/>
                  </w:pPr>
                  <w:r w:rsidRPr="003610E1">
                    <w:t xml:space="preserve">Level 44  </w:t>
                  </w:r>
                </w:p>
                <w:p w:rsidR="005A6328" w:rsidRPr="003610E1" w:rsidRDefault="005A6328" w:rsidP="005A6328">
                  <w:pPr>
                    <w:pStyle w:val="CorporateAddresses"/>
                  </w:pPr>
                  <w:r w:rsidRPr="003610E1">
                    <w:t>Melbourne Central Tower</w:t>
                  </w:r>
                </w:p>
                <w:p w:rsidR="005A6328" w:rsidRPr="003610E1" w:rsidRDefault="005A6328" w:rsidP="005A6328">
                  <w:pPr>
                    <w:pStyle w:val="CorporateAddresses"/>
                  </w:pPr>
                  <w:r w:rsidRPr="003610E1">
                    <w:t>360 Elizabeth Street  Melbourne VIC</w:t>
                  </w:r>
                </w:p>
                <w:p w:rsidR="005A6328" w:rsidRPr="003610E1" w:rsidRDefault="005A6328" w:rsidP="005A6328">
                  <w:pPr>
                    <w:pStyle w:val="CorporateAddresses"/>
                  </w:pPr>
                </w:p>
                <w:p w:rsidR="005A6328" w:rsidRPr="003610E1" w:rsidRDefault="005A6328" w:rsidP="005A6328">
                  <w:pPr>
                    <w:pStyle w:val="CorporateAddresses"/>
                  </w:pPr>
                  <w:r w:rsidRPr="003610E1">
                    <w:t>PO Box 13112</w:t>
                  </w:r>
                </w:p>
                <w:p w:rsidR="005A6328" w:rsidRPr="003610E1" w:rsidRDefault="005A6328" w:rsidP="005A6328">
                  <w:pPr>
                    <w:pStyle w:val="CorporateAddresses"/>
                  </w:pPr>
                  <w:r w:rsidRPr="003610E1">
                    <w:t xml:space="preserve">Law Courts  </w:t>
                  </w:r>
                </w:p>
                <w:p w:rsidR="005A6328" w:rsidRPr="003610E1" w:rsidRDefault="005A6328" w:rsidP="005A6328">
                  <w:pPr>
                    <w:pStyle w:val="CorporateAddresses"/>
                  </w:pPr>
                  <w:r w:rsidRPr="003610E1">
                    <w:t>Melbourne VIC 8010</w:t>
                  </w:r>
                </w:p>
                <w:p w:rsidR="005A6328" w:rsidRPr="003610E1" w:rsidRDefault="005A6328" w:rsidP="005A6328">
                  <w:pPr>
                    <w:pStyle w:val="CorporateAddresses"/>
                  </w:pPr>
                </w:p>
                <w:p w:rsidR="005A6328" w:rsidRPr="003610E1" w:rsidRDefault="005A6328" w:rsidP="005A6328">
                  <w:pPr>
                    <w:pStyle w:val="CorporateAddresses"/>
                  </w:pPr>
                  <w:r w:rsidRPr="003610E1">
                    <w:t>T  +61 3 9963 6800</w:t>
                  </w:r>
                </w:p>
                <w:p w:rsidR="005A6328" w:rsidRPr="003610E1" w:rsidRDefault="005A6328" w:rsidP="005A6328">
                  <w:pPr>
                    <w:pStyle w:val="CorporateAddresses"/>
                  </w:pPr>
                  <w:r w:rsidRPr="003610E1">
                    <w:t>F  +61 3 9963 6899</w:t>
                  </w:r>
                </w:p>
              </w:tc>
              <w:tc>
                <w:tcPr>
                  <w:tcW w:w="1764" w:type="dxa"/>
                  <w:shd w:val="clear" w:color="auto" w:fill="auto"/>
                </w:tcPr>
                <w:p w:rsidR="005A6328" w:rsidRPr="00915B1C" w:rsidRDefault="005A6328" w:rsidP="005A6328">
                  <w:pPr>
                    <w:pStyle w:val="CorporateAddresses"/>
                    <w:rPr>
                      <w:rFonts w:ascii="HelveticaNeueLT Std Med" w:hAnsi="HelveticaNeueLT Std Med"/>
                      <w:b/>
                    </w:rPr>
                  </w:pPr>
                  <w:r w:rsidRPr="00915B1C">
                    <w:rPr>
                      <w:rFonts w:ascii="HelveticaNeueLT Std Med" w:hAnsi="HelveticaNeueLT Std Med"/>
                      <w:b/>
                    </w:rPr>
                    <w:t>Sydney</w:t>
                  </w:r>
                </w:p>
                <w:p w:rsidR="005A6328" w:rsidRPr="003610E1" w:rsidRDefault="005A6328" w:rsidP="005A6328">
                  <w:pPr>
                    <w:pStyle w:val="CorporateAddresses"/>
                  </w:pPr>
                  <w:r w:rsidRPr="003610E1">
                    <w:t xml:space="preserve">Level 15 Tower 1  </w:t>
                  </w:r>
                </w:p>
                <w:p w:rsidR="005A6328" w:rsidRPr="003610E1" w:rsidRDefault="005A6328" w:rsidP="005A6328">
                  <w:pPr>
                    <w:pStyle w:val="CorporateAddresses"/>
                  </w:pPr>
                  <w:r w:rsidRPr="003610E1">
                    <w:t>Darling Park</w:t>
                  </w:r>
                </w:p>
                <w:p w:rsidR="005A6328" w:rsidRPr="003610E1" w:rsidRDefault="005A6328" w:rsidP="005A6328">
                  <w:pPr>
                    <w:pStyle w:val="CorporateAddresses"/>
                  </w:pPr>
                  <w:r w:rsidRPr="003610E1">
                    <w:t xml:space="preserve">201 Sussex Street  </w:t>
                  </w:r>
                </w:p>
                <w:p w:rsidR="005A6328" w:rsidRPr="003610E1" w:rsidRDefault="005A6328" w:rsidP="005A6328">
                  <w:pPr>
                    <w:pStyle w:val="CorporateAddresses"/>
                  </w:pPr>
                  <w:r w:rsidRPr="003610E1">
                    <w:t>Sydney NSW</w:t>
                  </w:r>
                </w:p>
                <w:p w:rsidR="005A6328" w:rsidRPr="003610E1" w:rsidRDefault="005A6328" w:rsidP="005A6328">
                  <w:pPr>
                    <w:pStyle w:val="CorporateAddresses"/>
                  </w:pPr>
                </w:p>
                <w:p w:rsidR="005A6328" w:rsidRPr="003610E1" w:rsidRDefault="005A6328" w:rsidP="005A6328">
                  <w:pPr>
                    <w:pStyle w:val="CorporateAddresses"/>
                  </w:pPr>
                  <w:r w:rsidRPr="003610E1">
                    <w:t>PO Box Q500</w:t>
                  </w:r>
                </w:p>
                <w:p w:rsidR="005A6328" w:rsidRPr="003610E1" w:rsidRDefault="005A6328" w:rsidP="005A6328">
                  <w:pPr>
                    <w:pStyle w:val="CorporateAddresses"/>
                  </w:pPr>
                  <w:r w:rsidRPr="003610E1">
                    <w:t xml:space="preserve">Queen Victoria Building  </w:t>
                  </w:r>
                </w:p>
                <w:p w:rsidR="005A6328" w:rsidRPr="003610E1" w:rsidRDefault="005A6328" w:rsidP="005A6328">
                  <w:pPr>
                    <w:pStyle w:val="CorporateAddresses"/>
                  </w:pPr>
                  <w:r w:rsidRPr="003610E1">
                    <w:t>NSW 1230</w:t>
                  </w:r>
                </w:p>
                <w:p w:rsidR="005A6328" w:rsidRPr="003610E1" w:rsidRDefault="005A6328" w:rsidP="005A6328">
                  <w:pPr>
                    <w:pStyle w:val="CorporateAddresses"/>
                  </w:pPr>
                </w:p>
                <w:p w:rsidR="005A6328" w:rsidRPr="003610E1" w:rsidRDefault="005A6328" w:rsidP="005A6328">
                  <w:pPr>
                    <w:pStyle w:val="CorporateAddresses"/>
                  </w:pPr>
                  <w:r w:rsidRPr="003610E1">
                    <w:t xml:space="preserve">T  +61 2 9334 7700  </w:t>
                  </w:r>
                </w:p>
                <w:p w:rsidR="005A6328" w:rsidRPr="003610E1" w:rsidRDefault="005A6328" w:rsidP="005A6328">
                  <w:pPr>
                    <w:pStyle w:val="CorporateAddresses"/>
                    <w:spacing w:after="28"/>
                  </w:pPr>
                  <w:r w:rsidRPr="003610E1">
                    <w:t xml:space="preserve">    1800 226 667</w:t>
                  </w:r>
                </w:p>
                <w:p w:rsidR="005A6328" w:rsidRPr="003610E1" w:rsidRDefault="005A6328" w:rsidP="005A6328">
                  <w:pPr>
                    <w:pStyle w:val="CorporateAddresses"/>
                  </w:pPr>
                  <w:r w:rsidRPr="003610E1">
                    <w:t>F  +61 2 9334 7799</w:t>
                  </w:r>
                </w:p>
              </w:tc>
              <w:tc>
                <w:tcPr>
                  <w:tcW w:w="2011" w:type="dxa"/>
                  <w:shd w:val="clear" w:color="auto" w:fill="auto"/>
                </w:tcPr>
                <w:p w:rsidR="005A6328" w:rsidRPr="003610E1" w:rsidRDefault="005A6328" w:rsidP="005A6328">
                  <w:pPr>
                    <w:pStyle w:val="CorporateAddresses"/>
                  </w:pPr>
                </w:p>
              </w:tc>
              <w:tc>
                <w:tcPr>
                  <w:tcW w:w="2012" w:type="dxa"/>
                  <w:shd w:val="clear" w:color="auto" w:fill="auto"/>
                </w:tcPr>
                <w:p w:rsidR="005A6328" w:rsidRPr="003610E1" w:rsidRDefault="005A6328" w:rsidP="005A6328">
                  <w:pPr>
                    <w:pStyle w:val="CorporateAddresses"/>
                  </w:pPr>
                </w:p>
              </w:tc>
            </w:tr>
          </w:tbl>
          <w:p w:rsidR="005A6328" w:rsidRPr="003610E1" w:rsidRDefault="005A6328" w:rsidP="005A6328">
            <w:pPr>
              <w:pStyle w:val="CorporateAddresses"/>
            </w:pPr>
          </w:p>
        </w:tc>
      </w:tr>
      <w:tr w:rsidR="00745A5C" w:rsidRPr="00A7267D" w:rsidTr="006E4B1B">
        <w:trPr>
          <w:trHeight w:hRule="exact" w:val="6080"/>
        </w:trPr>
        <w:tc>
          <w:tcPr>
            <w:tcW w:w="8987" w:type="dxa"/>
            <w:shd w:val="clear" w:color="auto" w:fill="auto"/>
            <w:vAlign w:val="bottom"/>
          </w:tcPr>
          <w:p w:rsidR="00745A5C" w:rsidRPr="00A7267D" w:rsidRDefault="00745A5C" w:rsidP="004151A7">
            <w:pPr>
              <w:pStyle w:val="Copyright"/>
            </w:pPr>
            <w:r w:rsidRPr="00A7267D">
              <w:t>© Commonwealth of Australia</w:t>
            </w:r>
            <w:r w:rsidR="00C160EA" w:rsidRPr="00A7267D">
              <w:t xml:space="preserve"> 2011</w:t>
            </w:r>
          </w:p>
          <w:p w:rsidR="00745A5C" w:rsidRPr="00A7267D" w:rsidRDefault="00745A5C" w:rsidP="004151A7">
            <w:pPr>
              <w:pStyle w:val="Copyright"/>
            </w:pPr>
            <w:r w:rsidRPr="00A7267D">
              <w:t xml:space="preserve">This work is copyright. Apart from any use as permitted under the </w:t>
            </w:r>
            <w:r w:rsidRPr="005A6328">
              <w:rPr>
                <w:i/>
              </w:rPr>
              <w:t>Copyright Act 1968</w:t>
            </w:r>
            <w:r w:rsidRPr="00A7267D">
              <w:t xml:space="preserve">, no part may be reproduced  </w:t>
            </w:r>
          </w:p>
          <w:p w:rsidR="00745A5C" w:rsidRPr="00A7267D" w:rsidRDefault="00745A5C" w:rsidP="004151A7">
            <w:pPr>
              <w:pStyle w:val="Copyright"/>
            </w:pPr>
            <w:proofErr w:type="gramStart"/>
            <w:r w:rsidRPr="00A7267D">
              <w:t>by</w:t>
            </w:r>
            <w:proofErr w:type="gramEnd"/>
            <w:r w:rsidRPr="00A7267D">
              <w:t xml:space="preserve"> any process without prior written permission from the Commonwealth. Requests and inquiries concerning reproduction  </w:t>
            </w:r>
          </w:p>
          <w:p w:rsidR="00745A5C" w:rsidRPr="00A7267D" w:rsidRDefault="00745A5C" w:rsidP="004151A7">
            <w:pPr>
              <w:pStyle w:val="Copyright"/>
            </w:pPr>
            <w:r w:rsidRPr="00A7267D">
              <w:t xml:space="preserve">and rights should be addressed to the Manager, </w:t>
            </w:r>
            <w:r w:rsidR="00CF5838">
              <w:t>Editorial Services</w:t>
            </w:r>
            <w:r w:rsidRPr="00A7267D">
              <w:t xml:space="preserve">, Australian Communications and Media Authority,  </w:t>
            </w:r>
          </w:p>
          <w:p w:rsidR="00745A5C" w:rsidRPr="00A7267D" w:rsidRDefault="00745A5C" w:rsidP="004151A7">
            <w:pPr>
              <w:pStyle w:val="Copyright"/>
            </w:pPr>
            <w:r w:rsidRPr="00A7267D">
              <w:t>PO Box 13112 Law Courts, Melbourne Vic 8010.</w:t>
            </w:r>
          </w:p>
          <w:p w:rsidR="00745A5C" w:rsidRPr="00A7267D" w:rsidRDefault="00745A5C" w:rsidP="004151A7">
            <w:pPr>
              <w:pStyle w:val="Copyright"/>
            </w:pPr>
          </w:p>
          <w:p w:rsidR="00745A5C" w:rsidRPr="00A7267D" w:rsidRDefault="00745A5C" w:rsidP="004151A7">
            <w:pPr>
              <w:pStyle w:val="Copyright"/>
            </w:pPr>
            <w:r w:rsidRPr="00A7267D">
              <w:t>Published by the Australian Communications and Media Authority</w:t>
            </w:r>
          </w:p>
        </w:tc>
      </w:tr>
    </w:tbl>
    <w:p w:rsidR="00745A5C" w:rsidRPr="00A7267D" w:rsidRDefault="00745A5C" w:rsidP="0041071D">
      <w:pPr>
        <w:spacing w:line="240" w:lineRule="auto"/>
        <w:rPr>
          <w:sz w:val="10"/>
          <w:szCs w:val="10"/>
        </w:rPr>
      </w:pPr>
    </w:p>
    <w:p w:rsidR="00FE1823" w:rsidRPr="00A7267D" w:rsidRDefault="00FE1823" w:rsidP="0041071D">
      <w:pPr>
        <w:sectPr w:rsidR="00FE1823" w:rsidRPr="00A7267D" w:rsidSect="00A74B5E">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rsidR="00683BA8" w:rsidRPr="00B75D6C" w:rsidRDefault="005402F7">
      <w:pPr>
        <w:pStyle w:val="TOC1"/>
        <w:rPr>
          <w:rFonts w:ascii="Calibri" w:hAnsi="Calibri"/>
          <w:b w:val="0"/>
          <w:color w:val="auto"/>
          <w:spacing w:val="0"/>
          <w:sz w:val="22"/>
          <w:szCs w:val="22"/>
        </w:rPr>
      </w:pPr>
      <w:r w:rsidRPr="005402F7">
        <w:rPr>
          <w:szCs w:val="28"/>
        </w:rPr>
        <w:lastRenderedPageBreak/>
        <w:fldChar w:fldCharType="begin"/>
      </w:r>
      <w:r w:rsidR="0053442F">
        <w:rPr>
          <w:szCs w:val="28"/>
        </w:rPr>
        <w:instrText xml:space="preserve"> TOC \o "1-1" \t "Heading 2,2,Exec Summary Heading,1" </w:instrText>
      </w:r>
      <w:r w:rsidRPr="005402F7">
        <w:rPr>
          <w:szCs w:val="28"/>
        </w:rPr>
        <w:fldChar w:fldCharType="separate"/>
      </w:r>
      <w:r w:rsidR="00683BA8">
        <w:t>Executive summary</w:t>
      </w:r>
      <w:r w:rsidR="00683BA8">
        <w:tab/>
      </w:r>
      <w:r>
        <w:fldChar w:fldCharType="begin"/>
      </w:r>
      <w:r w:rsidR="00683BA8">
        <w:instrText xml:space="preserve"> PAGEREF _Toc292291975 \h </w:instrText>
      </w:r>
      <w:r>
        <w:fldChar w:fldCharType="separate"/>
      </w:r>
      <w:r w:rsidR="00115204">
        <w:t>ii</w:t>
      </w:r>
      <w:r>
        <w:fldChar w:fldCharType="end"/>
      </w:r>
    </w:p>
    <w:p w:rsidR="00683BA8" w:rsidRPr="00B75D6C" w:rsidRDefault="00683BA8">
      <w:pPr>
        <w:pStyle w:val="TOC1"/>
        <w:tabs>
          <w:tab w:val="left" w:pos="885"/>
        </w:tabs>
        <w:rPr>
          <w:rFonts w:ascii="Calibri" w:hAnsi="Calibri"/>
          <w:b w:val="0"/>
          <w:color w:val="auto"/>
          <w:spacing w:val="0"/>
          <w:sz w:val="22"/>
          <w:szCs w:val="22"/>
        </w:rPr>
      </w:pPr>
      <w:r>
        <w:t>1</w:t>
      </w:r>
      <w:r w:rsidRPr="00B75D6C">
        <w:rPr>
          <w:rFonts w:ascii="Calibri" w:hAnsi="Calibri"/>
          <w:b w:val="0"/>
          <w:color w:val="auto"/>
          <w:spacing w:val="0"/>
          <w:sz w:val="22"/>
          <w:szCs w:val="22"/>
        </w:rPr>
        <w:tab/>
      </w:r>
      <w:r>
        <w:t>Introduction</w:t>
      </w:r>
      <w:r>
        <w:tab/>
      </w:r>
      <w:r w:rsidR="005402F7">
        <w:fldChar w:fldCharType="begin"/>
      </w:r>
      <w:r>
        <w:instrText xml:space="preserve"> PAGEREF _Toc292291976 \h </w:instrText>
      </w:r>
      <w:r w:rsidR="005402F7">
        <w:fldChar w:fldCharType="separate"/>
      </w:r>
      <w:r w:rsidR="00115204">
        <w:t>1</w:t>
      </w:r>
      <w:r w:rsidR="005402F7">
        <w:fldChar w:fldCharType="end"/>
      </w:r>
    </w:p>
    <w:p w:rsidR="00683BA8" w:rsidRPr="00B75D6C" w:rsidRDefault="00683BA8">
      <w:pPr>
        <w:pStyle w:val="TOC1"/>
        <w:tabs>
          <w:tab w:val="left" w:pos="885"/>
        </w:tabs>
        <w:rPr>
          <w:rFonts w:ascii="Calibri" w:hAnsi="Calibri"/>
          <w:b w:val="0"/>
          <w:color w:val="auto"/>
          <w:spacing w:val="0"/>
          <w:sz w:val="22"/>
          <w:szCs w:val="22"/>
        </w:rPr>
      </w:pPr>
      <w:r>
        <w:t>2</w:t>
      </w:r>
      <w:r w:rsidRPr="00B75D6C">
        <w:rPr>
          <w:rFonts w:ascii="Calibri" w:hAnsi="Calibri"/>
          <w:b w:val="0"/>
          <w:color w:val="auto"/>
          <w:spacing w:val="0"/>
          <w:sz w:val="22"/>
          <w:szCs w:val="22"/>
        </w:rPr>
        <w:tab/>
      </w:r>
      <w:r>
        <w:t>Background</w:t>
      </w:r>
      <w:r>
        <w:tab/>
      </w:r>
      <w:r w:rsidR="005402F7">
        <w:fldChar w:fldCharType="begin"/>
      </w:r>
      <w:r>
        <w:instrText xml:space="preserve"> PAGEREF _Toc292291977 \h </w:instrText>
      </w:r>
      <w:r w:rsidR="005402F7">
        <w:fldChar w:fldCharType="separate"/>
      </w:r>
      <w:r w:rsidR="00115204">
        <w:t>3</w:t>
      </w:r>
      <w:r w:rsidR="005402F7">
        <w:fldChar w:fldCharType="end"/>
      </w:r>
    </w:p>
    <w:p w:rsidR="00683BA8" w:rsidRPr="00B75D6C" w:rsidRDefault="00683BA8">
      <w:pPr>
        <w:pStyle w:val="TOC1"/>
        <w:tabs>
          <w:tab w:val="left" w:pos="885"/>
        </w:tabs>
        <w:rPr>
          <w:rFonts w:ascii="Calibri" w:hAnsi="Calibri"/>
          <w:b w:val="0"/>
          <w:color w:val="auto"/>
          <w:spacing w:val="0"/>
          <w:sz w:val="22"/>
          <w:szCs w:val="22"/>
        </w:rPr>
      </w:pPr>
      <w:r>
        <w:t>3</w:t>
      </w:r>
      <w:r w:rsidRPr="00B75D6C">
        <w:rPr>
          <w:rFonts w:ascii="Calibri" w:hAnsi="Calibri"/>
          <w:b w:val="0"/>
          <w:color w:val="auto"/>
          <w:spacing w:val="0"/>
          <w:sz w:val="22"/>
          <w:szCs w:val="22"/>
        </w:rPr>
        <w:tab/>
      </w:r>
      <w:r>
        <w:t>Planning objectives</w:t>
      </w:r>
      <w:r>
        <w:tab/>
      </w:r>
      <w:r w:rsidR="005402F7">
        <w:fldChar w:fldCharType="begin"/>
      </w:r>
      <w:r>
        <w:instrText xml:space="preserve"> PAGEREF _Toc292291978 \h </w:instrText>
      </w:r>
      <w:r w:rsidR="005402F7">
        <w:fldChar w:fldCharType="separate"/>
      </w:r>
      <w:r w:rsidR="00115204">
        <w:t>7</w:t>
      </w:r>
      <w:r w:rsidR="005402F7">
        <w:fldChar w:fldCharType="end"/>
      </w:r>
    </w:p>
    <w:p w:rsidR="00683BA8" w:rsidRPr="00B75D6C" w:rsidRDefault="00683BA8">
      <w:pPr>
        <w:pStyle w:val="TOC2"/>
        <w:rPr>
          <w:rFonts w:ascii="Calibri" w:hAnsi="Calibri"/>
          <w:color w:val="auto"/>
          <w:spacing w:val="0"/>
          <w:sz w:val="22"/>
          <w:szCs w:val="22"/>
        </w:rPr>
      </w:pPr>
      <w:r>
        <w:t>3.1</w:t>
      </w:r>
      <w:r w:rsidRPr="00B75D6C">
        <w:rPr>
          <w:rFonts w:ascii="Calibri" w:hAnsi="Calibri"/>
          <w:color w:val="auto"/>
          <w:spacing w:val="0"/>
          <w:sz w:val="22"/>
          <w:szCs w:val="22"/>
        </w:rPr>
        <w:tab/>
      </w:r>
      <w:r>
        <w:t>Stakeholder feedback and ACMA comments</w:t>
      </w:r>
      <w:r>
        <w:tab/>
      </w:r>
      <w:r w:rsidR="005402F7">
        <w:fldChar w:fldCharType="begin"/>
      </w:r>
      <w:r>
        <w:instrText xml:space="preserve"> PAGEREF _Toc292291979 \h </w:instrText>
      </w:r>
      <w:r w:rsidR="005402F7">
        <w:fldChar w:fldCharType="separate"/>
      </w:r>
      <w:r w:rsidR="00115204">
        <w:t>7</w:t>
      </w:r>
      <w:r w:rsidR="005402F7">
        <w:fldChar w:fldCharType="end"/>
      </w:r>
    </w:p>
    <w:p w:rsidR="00683BA8" w:rsidRPr="00B75D6C" w:rsidRDefault="00683BA8">
      <w:pPr>
        <w:pStyle w:val="TOC2"/>
        <w:rPr>
          <w:rFonts w:ascii="Calibri" w:hAnsi="Calibri"/>
          <w:color w:val="auto"/>
          <w:spacing w:val="0"/>
          <w:sz w:val="22"/>
          <w:szCs w:val="22"/>
        </w:rPr>
      </w:pPr>
      <w:r>
        <w:t>3.2</w:t>
      </w:r>
      <w:r w:rsidRPr="00B75D6C">
        <w:rPr>
          <w:rFonts w:ascii="Calibri" w:hAnsi="Calibri"/>
          <w:color w:val="auto"/>
          <w:spacing w:val="0"/>
          <w:sz w:val="22"/>
          <w:szCs w:val="22"/>
        </w:rPr>
        <w:tab/>
      </w:r>
      <w:r>
        <w:t>ACMA response</w:t>
      </w:r>
      <w:r>
        <w:tab/>
      </w:r>
      <w:r w:rsidR="005402F7">
        <w:fldChar w:fldCharType="begin"/>
      </w:r>
      <w:r>
        <w:instrText xml:space="preserve"> PAGEREF _Toc292291980 \h </w:instrText>
      </w:r>
      <w:r w:rsidR="005402F7">
        <w:fldChar w:fldCharType="separate"/>
      </w:r>
      <w:r w:rsidR="00115204">
        <w:t>8</w:t>
      </w:r>
      <w:r w:rsidR="005402F7">
        <w:fldChar w:fldCharType="end"/>
      </w:r>
    </w:p>
    <w:p w:rsidR="00683BA8" w:rsidRPr="00B75D6C" w:rsidRDefault="00683BA8">
      <w:pPr>
        <w:pStyle w:val="TOC2"/>
        <w:rPr>
          <w:rFonts w:ascii="Calibri" w:hAnsi="Calibri"/>
          <w:color w:val="auto"/>
          <w:spacing w:val="0"/>
          <w:sz w:val="22"/>
          <w:szCs w:val="22"/>
        </w:rPr>
      </w:pPr>
      <w:r>
        <w:t>3.3</w:t>
      </w:r>
      <w:r w:rsidRPr="00B75D6C">
        <w:rPr>
          <w:rFonts w:ascii="Calibri" w:hAnsi="Calibri"/>
          <w:color w:val="auto"/>
          <w:spacing w:val="0"/>
          <w:sz w:val="22"/>
          <w:szCs w:val="22"/>
        </w:rPr>
        <w:tab/>
      </w:r>
      <w:r>
        <w:t>Final restack planning objectives</w:t>
      </w:r>
      <w:r>
        <w:tab/>
      </w:r>
      <w:r w:rsidR="005402F7">
        <w:fldChar w:fldCharType="begin"/>
      </w:r>
      <w:r>
        <w:instrText xml:space="preserve"> PAGEREF _Toc292291981 \h </w:instrText>
      </w:r>
      <w:r w:rsidR="005402F7">
        <w:fldChar w:fldCharType="separate"/>
      </w:r>
      <w:r w:rsidR="00115204">
        <w:t>8</w:t>
      </w:r>
      <w:r w:rsidR="005402F7">
        <w:fldChar w:fldCharType="end"/>
      </w:r>
    </w:p>
    <w:p w:rsidR="00683BA8" w:rsidRPr="00B75D6C" w:rsidRDefault="00683BA8">
      <w:pPr>
        <w:pStyle w:val="TOC1"/>
        <w:tabs>
          <w:tab w:val="left" w:pos="885"/>
        </w:tabs>
        <w:rPr>
          <w:rFonts w:ascii="Calibri" w:hAnsi="Calibri"/>
          <w:b w:val="0"/>
          <w:color w:val="auto"/>
          <w:spacing w:val="0"/>
          <w:sz w:val="22"/>
          <w:szCs w:val="22"/>
        </w:rPr>
      </w:pPr>
      <w:r>
        <w:t>4</w:t>
      </w:r>
      <w:r w:rsidRPr="00B75D6C">
        <w:rPr>
          <w:rFonts w:ascii="Calibri" w:hAnsi="Calibri"/>
          <w:b w:val="0"/>
          <w:color w:val="auto"/>
          <w:spacing w:val="0"/>
          <w:sz w:val="22"/>
          <w:szCs w:val="22"/>
        </w:rPr>
        <w:tab/>
      </w:r>
      <w:r>
        <w:t>Channel planning approach</w:t>
      </w:r>
      <w:r>
        <w:tab/>
      </w:r>
      <w:r w:rsidR="005402F7">
        <w:fldChar w:fldCharType="begin"/>
      </w:r>
      <w:r>
        <w:instrText xml:space="preserve"> PAGEREF _Toc292291982 \h </w:instrText>
      </w:r>
      <w:r w:rsidR="005402F7">
        <w:fldChar w:fldCharType="separate"/>
      </w:r>
      <w:r w:rsidR="00115204">
        <w:t>10</w:t>
      </w:r>
      <w:r w:rsidR="005402F7">
        <w:fldChar w:fldCharType="end"/>
      </w:r>
    </w:p>
    <w:p w:rsidR="00683BA8" w:rsidRPr="00B75D6C" w:rsidRDefault="00683BA8">
      <w:pPr>
        <w:pStyle w:val="TOC2"/>
        <w:rPr>
          <w:rFonts w:ascii="Calibri" w:hAnsi="Calibri"/>
          <w:color w:val="auto"/>
          <w:spacing w:val="0"/>
          <w:sz w:val="22"/>
          <w:szCs w:val="22"/>
        </w:rPr>
      </w:pPr>
      <w:r>
        <w:t>4.1</w:t>
      </w:r>
      <w:r w:rsidRPr="00B75D6C">
        <w:rPr>
          <w:rFonts w:ascii="Calibri" w:hAnsi="Calibri"/>
          <w:color w:val="auto"/>
          <w:spacing w:val="0"/>
          <w:sz w:val="22"/>
          <w:szCs w:val="22"/>
        </w:rPr>
        <w:tab/>
      </w:r>
      <w:r>
        <w:t>Previous comparison of planning approaches</w:t>
      </w:r>
      <w:r>
        <w:tab/>
      </w:r>
      <w:r w:rsidR="005402F7">
        <w:fldChar w:fldCharType="begin"/>
      </w:r>
      <w:r>
        <w:instrText xml:space="preserve"> PAGEREF _Toc292291983 \h </w:instrText>
      </w:r>
      <w:r w:rsidR="005402F7">
        <w:fldChar w:fldCharType="separate"/>
      </w:r>
      <w:r w:rsidR="00115204">
        <w:t>10</w:t>
      </w:r>
      <w:r w:rsidR="005402F7">
        <w:fldChar w:fldCharType="end"/>
      </w:r>
    </w:p>
    <w:p w:rsidR="00683BA8" w:rsidRPr="00B75D6C" w:rsidRDefault="00683BA8">
      <w:pPr>
        <w:pStyle w:val="TOC2"/>
        <w:rPr>
          <w:rFonts w:ascii="Calibri" w:hAnsi="Calibri"/>
          <w:color w:val="auto"/>
          <w:spacing w:val="0"/>
          <w:sz w:val="22"/>
          <w:szCs w:val="22"/>
        </w:rPr>
      </w:pPr>
      <w:r>
        <w:t>4.2</w:t>
      </w:r>
      <w:r w:rsidRPr="00B75D6C">
        <w:rPr>
          <w:rFonts w:ascii="Calibri" w:hAnsi="Calibri"/>
          <w:color w:val="auto"/>
          <w:spacing w:val="0"/>
          <w:sz w:val="22"/>
          <w:szCs w:val="22"/>
        </w:rPr>
        <w:tab/>
      </w:r>
      <w:r>
        <w:t>Stakeholder feedback and ACMA comments</w:t>
      </w:r>
      <w:r>
        <w:tab/>
      </w:r>
      <w:r w:rsidR="005402F7">
        <w:fldChar w:fldCharType="begin"/>
      </w:r>
      <w:r>
        <w:instrText xml:space="preserve"> PAGEREF _Toc292291984 \h </w:instrText>
      </w:r>
      <w:r w:rsidR="005402F7">
        <w:fldChar w:fldCharType="separate"/>
      </w:r>
      <w:r w:rsidR="00115204">
        <w:t>11</w:t>
      </w:r>
      <w:r w:rsidR="005402F7">
        <w:fldChar w:fldCharType="end"/>
      </w:r>
    </w:p>
    <w:p w:rsidR="00683BA8" w:rsidRPr="00B75D6C" w:rsidRDefault="00683BA8">
      <w:pPr>
        <w:pStyle w:val="TOC2"/>
        <w:rPr>
          <w:rFonts w:ascii="Calibri" w:hAnsi="Calibri"/>
          <w:color w:val="auto"/>
          <w:spacing w:val="0"/>
          <w:sz w:val="22"/>
          <w:szCs w:val="22"/>
        </w:rPr>
      </w:pPr>
      <w:r>
        <w:t>4.3</w:t>
      </w:r>
      <w:r w:rsidRPr="00B75D6C">
        <w:rPr>
          <w:rFonts w:ascii="Calibri" w:hAnsi="Calibri"/>
          <w:color w:val="auto"/>
          <w:spacing w:val="0"/>
          <w:sz w:val="22"/>
          <w:szCs w:val="22"/>
        </w:rPr>
        <w:tab/>
      </w:r>
      <w:r>
        <w:t>Further analysis of restack implementation methods</w:t>
      </w:r>
      <w:r>
        <w:tab/>
      </w:r>
      <w:r w:rsidR="005402F7">
        <w:fldChar w:fldCharType="begin"/>
      </w:r>
      <w:r>
        <w:instrText xml:space="preserve"> PAGEREF _Toc292291985 \h </w:instrText>
      </w:r>
      <w:r w:rsidR="005402F7">
        <w:fldChar w:fldCharType="separate"/>
      </w:r>
      <w:r w:rsidR="00115204">
        <w:t>14</w:t>
      </w:r>
      <w:r w:rsidR="005402F7">
        <w:fldChar w:fldCharType="end"/>
      </w:r>
    </w:p>
    <w:p w:rsidR="00683BA8" w:rsidRPr="00B75D6C" w:rsidRDefault="00683BA8">
      <w:pPr>
        <w:pStyle w:val="TOC2"/>
        <w:rPr>
          <w:rFonts w:ascii="Calibri" w:hAnsi="Calibri"/>
          <w:color w:val="auto"/>
          <w:spacing w:val="0"/>
          <w:sz w:val="22"/>
          <w:szCs w:val="22"/>
        </w:rPr>
      </w:pPr>
      <w:r>
        <w:t>4.4</w:t>
      </w:r>
      <w:r w:rsidRPr="00B75D6C">
        <w:rPr>
          <w:rFonts w:ascii="Calibri" w:hAnsi="Calibri"/>
          <w:color w:val="auto"/>
          <w:spacing w:val="0"/>
          <w:sz w:val="22"/>
          <w:szCs w:val="22"/>
        </w:rPr>
        <w:tab/>
      </w:r>
      <w:r>
        <w:t>Decision on planning approach</w:t>
      </w:r>
      <w:r>
        <w:tab/>
      </w:r>
      <w:r w:rsidR="005402F7">
        <w:fldChar w:fldCharType="begin"/>
      </w:r>
      <w:r>
        <w:instrText xml:space="preserve"> PAGEREF _Toc292291986 \h </w:instrText>
      </w:r>
      <w:r w:rsidR="005402F7">
        <w:fldChar w:fldCharType="separate"/>
      </w:r>
      <w:r w:rsidR="00115204">
        <w:t>15</w:t>
      </w:r>
      <w:r w:rsidR="005402F7">
        <w:fldChar w:fldCharType="end"/>
      </w:r>
    </w:p>
    <w:p w:rsidR="00683BA8" w:rsidRPr="00B75D6C" w:rsidRDefault="00683BA8">
      <w:pPr>
        <w:pStyle w:val="TOC1"/>
        <w:tabs>
          <w:tab w:val="left" w:pos="885"/>
        </w:tabs>
        <w:rPr>
          <w:rFonts w:ascii="Calibri" w:hAnsi="Calibri"/>
          <w:b w:val="0"/>
          <w:color w:val="auto"/>
          <w:spacing w:val="0"/>
          <w:sz w:val="22"/>
          <w:szCs w:val="22"/>
        </w:rPr>
      </w:pPr>
      <w:r>
        <w:t>5</w:t>
      </w:r>
      <w:r w:rsidRPr="00B75D6C">
        <w:rPr>
          <w:rFonts w:ascii="Calibri" w:hAnsi="Calibri"/>
          <w:b w:val="0"/>
          <w:color w:val="auto"/>
          <w:spacing w:val="0"/>
          <w:sz w:val="22"/>
          <w:szCs w:val="22"/>
        </w:rPr>
        <w:tab/>
      </w:r>
      <w:r>
        <w:t>Planning principles</w:t>
      </w:r>
      <w:r>
        <w:tab/>
      </w:r>
      <w:r w:rsidR="005402F7">
        <w:fldChar w:fldCharType="begin"/>
      </w:r>
      <w:r>
        <w:instrText xml:space="preserve"> PAGEREF _Toc292291987 \h </w:instrText>
      </w:r>
      <w:r w:rsidR="005402F7">
        <w:fldChar w:fldCharType="separate"/>
      </w:r>
      <w:r w:rsidR="00115204">
        <w:t>17</w:t>
      </w:r>
      <w:r w:rsidR="005402F7">
        <w:fldChar w:fldCharType="end"/>
      </w:r>
    </w:p>
    <w:p w:rsidR="00683BA8" w:rsidRPr="00B75D6C" w:rsidRDefault="00683BA8">
      <w:pPr>
        <w:pStyle w:val="TOC2"/>
        <w:rPr>
          <w:rFonts w:ascii="Calibri" w:hAnsi="Calibri"/>
          <w:color w:val="auto"/>
          <w:spacing w:val="0"/>
          <w:sz w:val="22"/>
          <w:szCs w:val="22"/>
        </w:rPr>
      </w:pPr>
      <w:r>
        <w:t>5.1</w:t>
      </w:r>
      <w:r w:rsidRPr="00B75D6C">
        <w:rPr>
          <w:rFonts w:ascii="Calibri" w:hAnsi="Calibri"/>
          <w:color w:val="auto"/>
          <w:spacing w:val="0"/>
          <w:sz w:val="22"/>
          <w:szCs w:val="22"/>
        </w:rPr>
        <w:tab/>
      </w:r>
      <w:r>
        <w:t>Stakeholder feedback and ACMA comments</w:t>
      </w:r>
      <w:r>
        <w:tab/>
      </w:r>
      <w:r w:rsidR="005402F7">
        <w:fldChar w:fldCharType="begin"/>
      </w:r>
      <w:r>
        <w:instrText xml:space="preserve"> PAGEREF _Toc292291988 \h </w:instrText>
      </w:r>
      <w:r w:rsidR="005402F7">
        <w:fldChar w:fldCharType="separate"/>
      </w:r>
      <w:r w:rsidR="00115204">
        <w:t>17</w:t>
      </w:r>
      <w:r w:rsidR="005402F7">
        <w:fldChar w:fldCharType="end"/>
      </w:r>
    </w:p>
    <w:p w:rsidR="00683BA8" w:rsidRPr="00B75D6C" w:rsidRDefault="00683BA8">
      <w:pPr>
        <w:pStyle w:val="TOC2"/>
        <w:rPr>
          <w:rFonts w:ascii="Calibri" w:hAnsi="Calibri"/>
          <w:color w:val="auto"/>
          <w:spacing w:val="0"/>
          <w:sz w:val="22"/>
          <w:szCs w:val="22"/>
        </w:rPr>
      </w:pPr>
      <w:r>
        <w:t>5.2</w:t>
      </w:r>
      <w:r w:rsidRPr="00B75D6C">
        <w:rPr>
          <w:rFonts w:ascii="Calibri" w:hAnsi="Calibri"/>
          <w:color w:val="auto"/>
          <w:spacing w:val="0"/>
          <w:sz w:val="22"/>
          <w:szCs w:val="22"/>
        </w:rPr>
        <w:tab/>
      </w:r>
      <w:r>
        <w:t>ACMA response</w:t>
      </w:r>
      <w:r>
        <w:tab/>
      </w:r>
      <w:r w:rsidR="005402F7">
        <w:fldChar w:fldCharType="begin"/>
      </w:r>
      <w:r>
        <w:instrText xml:space="preserve"> PAGEREF _Toc292291989 \h </w:instrText>
      </w:r>
      <w:r w:rsidR="005402F7">
        <w:fldChar w:fldCharType="separate"/>
      </w:r>
      <w:r w:rsidR="00115204">
        <w:t>24</w:t>
      </w:r>
      <w:r w:rsidR="005402F7">
        <w:fldChar w:fldCharType="end"/>
      </w:r>
    </w:p>
    <w:p w:rsidR="00683BA8" w:rsidRPr="00B75D6C" w:rsidRDefault="00683BA8">
      <w:pPr>
        <w:pStyle w:val="TOC2"/>
        <w:rPr>
          <w:rFonts w:ascii="Calibri" w:hAnsi="Calibri"/>
          <w:color w:val="auto"/>
          <w:spacing w:val="0"/>
          <w:sz w:val="22"/>
          <w:szCs w:val="22"/>
        </w:rPr>
      </w:pPr>
      <w:r>
        <w:t>5.3</w:t>
      </w:r>
      <w:r w:rsidRPr="00B75D6C">
        <w:rPr>
          <w:rFonts w:ascii="Calibri" w:hAnsi="Calibri"/>
          <w:color w:val="auto"/>
          <w:spacing w:val="0"/>
          <w:sz w:val="22"/>
          <w:szCs w:val="22"/>
        </w:rPr>
        <w:tab/>
      </w:r>
      <w:r>
        <w:t>Decision on planning principles</w:t>
      </w:r>
      <w:r>
        <w:tab/>
      </w:r>
      <w:r w:rsidR="005402F7">
        <w:fldChar w:fldCharType="begin"/>
      </w:r>
      <w:r>
        <w:instrText xml:space="preserve"> PAGEREF _Toc292291990 \h </w:instrText>
      </w:r>
      <w:r w:rsidR="005402F7">
        <w:fldChar w:fldCharType="separate"/>
      </w:r>
      <w:r w:rsidR="00115204">
        <w:t>25</w:t>
      </w:r>
      <w:r w:rsidR="005402F7">
        <w:fldChar w:fldCharType="end"/>
      </w:r>
    </w:p>
    <w:p w:rsidR="00683BA8" w:rsidRPr="00B75D6C" w:rsidRDefault="00683BA8">
      <w:pPr>
        <w:pStyle w:val="TOC1"/>
        <w:tabs>
          <w:tab w:val="left" w:pos="885"/>
        </w:tabs>
        <w:rPr>
          <w:rFonts w:ascii="Calibri" w:hAnsi="Calibri"/>
          <w:b w:val="0"/>
          <w:color w:val="auto"/>
          <w:spacing w:val="0"/>
          <w:sz w:val="22"/>
          <w:szCs w:val="22"/>
        </w:rPr>
      </w:pPr>
      <w:r>
        <w:t>6</w:t>
      </w:r>
      <w:r w:rsidRPr="00B75D6C">
        <w:rPr>
          <w:rFonts w:ascii="Calibri" w:hAnsi="Calibri"/>
          <w:b w:val="0"/>
          <w:color w:val="auto"/>
          <w:spacing w:val="0"/>
          <w:sz w:val="22"/>
          <w:szCs w:val="22"/>
        </w:rPr>
        <w:tab/>
      </w:r>
      <w:r>
        <w:t>Next steps</w:t>
      </w:r>
      <w:r>
        <w:tab/>
      </w:r>
      <w:r w:rsidR="005402F7">
        <w:fldChar w:fldCharType="begin"/>
      </w:r>
      <w:r>
        <w:instrText xml:space="preserve"> PAGEREF _Toc292291991 \h </w:instrText>
      </w:r>
      <w:r w:rsidR="005402F7">
        <w:fldChar w:fldCharType="separate"/>
      </w:r>
      <w:r w:rsidR="00115204">
        <w:t>29</w:t>
      </w:r>
      <w:r w:rsidR="005402F7">
        <w:fldChar w:fldCharType="end"/>
      </w:r>
    </w:p>
    <w:p w:rsidR="00FE3E45" w:rsidRPr="00A7267D" w:rsidRDefault="005402F7" w:rsidP="00332011">
      <w:r>
        <w:rPr>
          <w:noProof/>
          <w:color w:val="808285"/>
          <w:spacing w:val="-14"/>
          <w:sz w:val="28"/>
          <w:szCs w:val="28"/>
        </w:rPr>
        <w:fldChar w:fldCharType="end"/>
      </w:r>
    </w:p>
    <w:p w:rsidR="005F23AB" w:rsidRPr="005F23AB" w:rsidRDefault="005F23AB" w:rsidP="005F23AB"/>
    <w:p w:rsidR="00FE3E45" w:rsidRPr="00A7267D" w:rsidRDefault="00FE3E45"/>
    <w:p w:rsidR="004D56FF" w:rsidRPr="00A7267D" w:rsidRDefault="004D56FF">
      <w:pPr>
        <w:sectPr w:rsidR="004D56FF" w:rsidRPr="00A7267D" w:rsidSect="005A6328">
          <w:headerReference w:type="even" r:id="rId18"/>
          <w:headerReference w:type="default" r:id="rId19"/>
          <w:footerReference w:type="even" r:id="rId20"/>
          <w:footerReference w:type="default" r:id="rId21"/>
          <w:footerReference w:type="first" r:id="rId22"/>
          <w:pgSz w:w="11906" w:h="16838" w:code="9"/>
          <w:pgMar w:top="3646" w:right="3102" w:bottom="868" w:left="1134" w:header="709" w:footer="119" w:gutter="0"/>
          <w:pgNumType w:start="1"/>
          <w:cols w:space="708"/>
          <w:titlePg/>
          <w:docGrid w:linePitch="360"/>
        </w:sectPr>
      </w:pPr>
    </w:p>
    <w:p w:rsidR="00F16314" w:rsidRPr="00A7267D" w:rsidRDefault="00F16314" w:rsidP="0022718F">
      <w:pPr>
        <w:pStyle w:val="ExecSummaryHeading"/>
      </w:pPr>
      <w:bookmarkStart w:id="0" w:name="_Toc285113912"/>
      <w:bookmarkStart w:id="1" w:name="_Toc292291975"/>
      <w:bookmarkStart w:id="2" w:name="_Toc271908146"/>
      <w:bookmarkStart w:id="3" w:name="_Toc274750368"/>
      <w:r w:rsidRPr="00A7267D">
        <w:lastRenderedPageBreak/>
        <w:t>Executive summary</w:t>
      </w:r>
      <w:bookmarkEnd w:id="0"/>
      <w:bookmarkEnd w:id="1"/>
    </w:p>
    <w:p w:rsidR="008B5F3A" w:rsidRDefault="00AA6972" w:rsidP="00AA6972">
      <w:pPr>
        <w:rPr>
          <w:rFonts w:cs="Arial"/>
          <w:szCs w:val="20"/>
        </w:rPr>
      </w:pPr>
      <w:r w:rsidRPr="00F8379D">
        <w:rPr>
          <w:rFonts w:cs="Arial"/>
          <w:szCs w:val="20"/>
        </w:rPr>
        <w:t xml:space="preserve">This paper is a statement of decisions and reasoning on the principles </w:t>
      </w:r>
      <w:r w:rsidR="00E0144F">
        <w:rPr>
          <w:rFonts w:cs="Arial"/>
          <w:szCs w:val="20"/>
        </w:rPr>
        <w:t>that</w:t>
      </w:r>
      <w:r w:rsidRPr="00F8379D">
        <w:rPr>
          <w:rFonts w:cs="Arial"/>
          <w:szCs w:val="20"/>
        </w:rPr>
        <w:t xml:space="preserve"> articulate the ACMA’s policy disposition on channel planning</w:t>
      </w:r>
      <w:r>
        <w:rPr>
          <w:rFonts w:cs="Arial"/>
          <w:szCs w:val="20"/>
        </w:rPr>
        <w:t xml:space="preserve"> for the restack of digital television services</w:t>
      </w:r>
      <w:r w:rsidR="001853A3">
        <w:rPr>
          <w:rFonts w:cs="Arial"/>
          <w:szCs w:val="20"/>
        </w:rPr>
        <w:t>.</w:t>
      </w:r>
      <w:r w:rsidR="00B51FD5">
        <w:rPr>
          <w:rFonts w:cs="Arial"/>
          <w:szCs w:val="20"/>
        </w:rPr>
        <w:t xml:space="preserve"> </w:t>
      </w:r>
      <w:r w:rsidR="001853A3">
        <w:rPr>
          <w:rFonts w:cs="Arial"/>
          <w:szCs w:val="20"/>
        </w:rPr>
        <w:t xml:space="preserve">This paper should be read in conjunction with the </w:t>
      </w:r>
      <w:r w:rsidR="000E6AE1">
        <w:rPr>
          <w:rFonts w:cs="Arial"/>
          <w:szCs w:val="20"/>
        </w:rPr>
        <w:t>ACMA’s previous</w:t>
      </w:r>
      <w:r w:rsidR="001853A3">
        <w:rPr>
          <w:rFonts w:cs="Arial"/>
          <w:szCs w:val="20"/>
        </w:rPr>
        <w:t xml:space="preserve"> discussion paper on the matter </w:t>
      </w:r>
      <w:r w:rsidR="001853A3">
        <w:t>which provides further background and the ACMA’s initial policy development</w:t>
      </w:r>
      <w:r w:rsidR="001853A3">
        <w:rPr>
          <w:rFonts w:cs="Arial"/>
          <w:szCs w:val="20"/>
        </w:rPr>
        <w:t xml:space="preserve">. </w:t>
      </w:r>
    </w:p>
    <w:p w:rsidR="00AA6972" w:rsidRDefault="00AA6972" w:rsidP="00AA6972">
      <w:pPr>
        <w:rPr>
          <w:rFonts w:cs="Arial"/>
          <w:szCs w:val="20"/>
        </w:rPr>
      </w:pPr>
      <w:r w:rsidRPr="00F8379D">
        <w:rPr>
          <w:rFonts w:cs="Arial"/>
          <w:szCs w:val="20"/>
        </w:rPr>
        <w:t>The ACMA has determined that</w:t>
      </w:r>
      <w:r>
        <w:rPr>
          <w:rFonts w:cs="Arial"/>
          <w:szCs w:val="20"/>
        </w:rPr>
        <w:t xml:space="preserve"> on balance a </w:t>
      </w:r>
      <w:r w:rsidRPr="00F8379D">
        <w:rPr>
          <w:rFonts w:cs="Arial"/>
          <w:szCs w:val="20"/>
        </w:rPr>
        <w:t>‘block’ channel planning approach is the most appropriate way forward and ha</w:t>
      </w:r>
      <w:r w:rsidR="00C22A08">
        <w:rPr>
          <w:rFonts w:cs="Arial"/>
          <w:szCs w:val="20"/>
        </w:rPr>
        <w:t>s</w:t>
      </w:r>
      <w:r w:rsidR="00EF3F3F">
        <w:rPr>
          <w:rFonts w:cs="Arial"/>
          <w:szCs w:val="20"/>
        </w:rPr>
        <w:t xml:space="preserve"> </w:t>
      </w:r>
      <w:r w:rsidRPr="00F8379D">
        <w:rPr>
          <w:rFonts w:cs="Arial"/>
          <w:szCs w:val="20"/>
        </w:rPr>
        <w:t>therefore developed planning principles consistent with this decision.</w:t>
      </w:r>
      <w:r w:rsidR="00B51FD5">
        <w:rPr>
          <w:rFonts w:cs="Arial"/>
          <w:szCs w:val="20"/>
        </w:rPr>
        <w:t xml:space="preserve"> </w:t>
      </w:r>
      <w:r w:rsidRPr="00F8379D">
        <w:rPr>
          <w:rFonts w:cs="Arial"/>
          <w:szCs w:val="20"/>
        </w:rPr>
        <w:t xml:space="preserve">This decision </w:t>
      </w:r>
      <w:r>
        <w:rPr>
          <w:rFonts w:cs="Arial"/>
          <w:szCs w:val="20"/>
        </w:rPr>
        <w:t>resolves</w:t>
      </w:r>
      <w:r w:rsidRPr="00F8379D">
        <w:rPr>
          <w:rFonts w:cs="Arial"/>
          <w:szCs w:val="20"/>
        </w:rPr>
        <w:t xml:space="preserve"> </w:t>
      </w:r>
      <w:r>
        <w:rPr>
          <w:rFonts w:cs="Arial"/>
          <w:szCs w:val="20"/>
        </w:rPr>
        <w:t xml:space="preserve">the </w:t>
      </w:r>
      <w:r w:rsidRPr="00F8379D">
        <w:rPr>
          <w:rFonts w:cs="Arial"/>
          <w:szCs w:val="20"/>
        </w:rPr>
        <w:t>initial key steps necessary to commence channel planning for the restack of digital television services.</w:t>
      </w:r>
    </w:p>
    <w:p w:rsidR="0017370A" w:rsidRPr="00F8379D" w:rsidRDefault="001E28C1" w:rsidP="0017370A">
      <w:pPr>
        <w:rPr>
          <w:rFonts w:cs="Arial"/>
          <w:szCs w:val="20"/>
        </w:rPr>
      </w:pPr>
      <w:r>
        <w:rPr>
          <w:rFonts w:cs="Arial"/>
          <w:szCs w:val="20"/>
        </w:rPr>
        <w:t>In making its decision</w:t>
      </w:r>
      <w:r w:rsidR="008B5F3A">
        <w:rPr>
          <w:rFonts w:cs="Arial"/>
          <w:szCs w:val="20"/>
        </w:rPr>
        <w:t>, the ACMA worked c</w:t>
      </w:r>
      <w:r w:rsidR="00FF6596">
        <w:rPr>
          <w:rFonts w:cs="Arial"/>
          <w:szCs w:val="20"/>
        </w:rPr>
        <w:t xml:space="preserve">ollaboratively </w:t>
      </w:r>
      <w:r w:rsidR="008B5F3A">
        <w:rPr>
          <w:rFonts w:cs="Arial"/>
          <w:szCs w:val="20"/>
        </w:rPr>
        <w:t xml:space="preserve">with industry </w:t>
      </w:r>
      <w:r w:rsidR="008D5CE8">
        <w:rPr>
          <w:rFonts w:cs="Arial"/>
          <w:szCs w:val="20"/>
        </w:rPr>
        <w:t xml:space="preserve">to </w:t>
      </w:r>
      <w:r w:rsidR="008B5F3A">
        <w:rPr>
          <w:rFonts w:cs="Arial"/>
          <w:szCs w:val="20"/>
        </w:rPr>
        <w:t>identify and</w:t>
      </w:r>
      <w:r w:rsidR="008D5CE8">
        <w:rPr>
          <w:rFonts w:cs="Arial"/>
          <w:szCs w:val="20"/>
        </w:rPr>
        <w:t xml:space="preserve"> then to</w:t>
      </w:r>
      <w:r w:rsidR="008B5F3A">
        <w:rPr>
          <w:rFonts w:cs="Arial"/>
          <w:szCs w:val="20"/>
        </w:rPr>
        <w:t xml:space="preserve"> extensively analys</w:t>
      </w:r>
      <w:r w:rsidR="008D5CE8">
        <w:rPr>
          <w:rFonts w:cs="Arial"/>
          <w:szCs w:val="20"/>
        </w:rPr>
        <w:t>e</w:t>
      </w:r>
      <w:r w:rsidR="008B5F3A">
        <w:rPr>
          <w:rFonts w:cs="Arial"/>
          <w:szCs w:val="20"/>
        </w:rPr>
        <w:t xml:space="preserve"> a range of candidate </w:t>
      </w:r>
      <w:r w:rsidR="0087405D">
        <w:rPr>
          <w:rFonts w:cs="Arial"/>
          <w:szCs w:val="20"/>
        </w:rPr>
        <w:t xml:space="preserve">restack </w:t>
      </w:r>
      <w:r w:rsidR="008B5F3A">
        <w:rPr>
          <w:rFonts w:cs="Arial"/>
          <w:szCs w:val="20"/>
        </w:rPr>
        <w:t>channel planning approaches and possible implementation methods.</w:t>
      </w:r>
      <w:r w:rsidR="00B51FD5">
        <w:rPr>
          <w:rFonts w:cs="Arial"/>
          <w:szCs w:val="20"/>
        </w:rPr>
        <w:t xml:space="preserve"> </w:t>
      </w:r>
      <w:r w:rsidR="008B5F3A">
        <w:rPr>
          <w:rFonts w:cs="Arial"/>
          <w:szCs w:val="20"/>
        </w:rPr>
        <w:t>The ACMA believes that this work</w:t>
      </w:r>
      <w:r w:rsidR="00FE77D6">
        <w:rPr>
          <w:rFonts w:cs="Arial"/>
          <w:szCs w:val="20"/>
        </w:rPr>
        <w:t>,</w:t>
      </w:r>
      <w:r w:rsidR="008B5F3A">
        <w:rPr>
          <w:rFonts w:cs="Arial"/>
          <w:szCs w:val="20"/>
        </w:rPr>
        <w:t xml:space="preserve"> and particularly </w:t>
      </w:r>
      <w:r w:rsidR="00FE77D6">
        <w:rPr>
          <w:rFonts w:cs="Arial"/>
          <w:szCs w:val="20"/>
        </w:rPr>
        <w:t xml:space="preserve">the innovative decision to adopt a </w:t>
      </w:r>
      <w:r w:rsidR="008B5F3A">
        <w:rPr>
          <w:rFonts w:cs="Arial"/>
          <w:szCs w:val="20"/>
        </w:rPr>
        <w:t>block planning</w:t>
      </w:r>
      <w:r w:rsidR="00FE77D6">
        <w:rPr>
          <w:rFonts w:cs="Arial"/>
          <w:szCs w:val="20"/>
        </w:rPr>
        <w:t xml:space="preserve"> approach</w:t>
      </w:r>
      <w:r w:rsidR="008B5F3A">
        <w:rPr>
          <w:rFonts w:cs="Arial"/>
          <w:szCs w:val="20"/>
        </w:rPr>
        <w:t xml:space="preserve">, will </w:t>
      </w:r>
      <w:r w:rsidR="00CF5F93">
        <w:rPr>
          <w:rFonts w:cs="Arial"/>
          <w:szCs w:val="20"/>
        </w:rPr>
        <w:t>serve Australia well into the future, as digital television services are restacked in the near term</w:t>
      </w:r>
      <w:r w:rsidR="001A2F5D">
        <w:rPr>
          <w:rFonts w:cs="Arial"/>
          <w:szCs w:val="20"/>
        </w:rPr>
        <w:t>,</w:t>
      </w:r>
      <w:r w:rsidR="00CF5F93">
        <w:rPr>
          <w:rFonts w:cs="Arial"/>
          <w:szCs w:val="20"/>
        </w:rPr>
        <w:t xml:space="preserve"> and </w:t>
      </w:r>
      <w:r w:rsidR="00FE77D6">
        <w:rPr>
          <w:rFonts w:cs="Arial"/>
          <w:szCs w:val="20"/>
        </w:rPr>
        <w:t xml:space="preserve">as they </w:t>
      </w:r>
      <w:r w:rsidR="00CF5F93">
        <w:rPr>
          <w:rFonts w:cs="Arial"/>
          <w:szCs w:val="20"/>
        </w:rPr>
        <w:t>continue to evolve in the years ahead.</w:t>
      </w:r>
      <w:r w:rsidR="00B51FD5">
        <w:rPr>
          <w:rFonts w:cs="Arial"/>
          <w:szCs w:val="20"/>
        </w:rPr>
        <w:t xml:space="preserve"> </w:t>
      </w:r>
      <w:r w:rsidR="0017370A">
        <w:rPr>
          <w:rFonts w:cs="Arial"/>
          <w:szCs w:val="20"/>
        </w:rPr>
        <w:t>I</w:t>
      </w:r>
      <w:r w:rsidR="00CF5F93">
        <w:rPr>
          <w:rFonts w:cs="Arial"/>
          <w:szCs w:val="20"/>
        </w:rPr>
        <w:t xml:space="preserve">mportantly, this </w:t>
      </w:r>
      <w:r w:rsidR="00FF6596">
        <w:rPr>
          <w:rFonts w:cs="Arial"/>
          <w:szCs w:val="20"/>
        </w:rPr>
        <w:t xml:space="preserve">collaborative </w:t>
      </w:r>
      <w:r w:rsidR="00CF5F93">
        <w:rPr>
          <w:rFonts w:cs="Arial"/>
          <w:szCs w:val="20"/>
        </w:rPr>
        <w:t>approach between the regulator and industry</w:t>
      </w:r>
      <w:r w:rsidR="00FF6596">
        <w:rPr>
          <w:rFonts w:cs="Arial"/>
          <w:szCs w:val="20"/>
        </w:rPr>
        <w:t>, where i</w:t>
      </w:r>
      <w:r w:rsidR="00CF5F93">
        <w:rPr>
          <w:rFonts w:cs="Arial"/>
          <w:szCs w:val="20"/>
        </w:rPr>
        <w:t xml:space="preserve">deas on block planning </w:t>
      </w:r>
      <w:r w:rsidR="00FF6596">
        <w:rPr>
          <w:rFonts w:cs="Arial"/>
          <w:szCs w:val="20"/>
        </w:rPr>
        <w:t xml:space="preserve">that were </w:t>
      </w:r>
      <w:r w:rsidR="00CF5F93">
        <w:rPr>
          <w:rFonts w:cs="Arial"/>
          <w:szCs w:val="20"/>
        </w:rPr>
        <w:t>initially</w:t>
      </w:r>
      <w:r w:rsidR="00B51FD5">
        <w:rPr>
          <w:rFonts w:cs="Arial"/>
          <w:szCs w:val="20"/>
        </w:rPr>
        <w:t xml:space="preserve"> </w:t>
      </w:r>
      <w:r w:rsidR="0017370A">
        <w:rPr>
          <w:rFonts w:cs="Arial"/>
          <w:szCs w:val="20"/>
        </w:rPr>
        <w:t xml:space="preserve">proposed by industry </w:t>
      </w:r>
      <w:r w:rsidR="00FF6596">
        <w:rPr>
          <w:rFonts w:cs="Arial"/>
          <w:szCs w:val="20"/>
        </w:rPr>
        <w:t xml:space="preserve">and were </w:t>
      </w:r>
      <w:r w:rsidR="0017370A">
        <w:rPr>
          <w:rFonts w:cs="Arial"/>
          <w:szCs w:val="20"/>
        </w:rPr>
        <w:t>rigorously analysed and progressed by the ACMA</w:t>
      </w:r>
      <w:r w:rsidR="00FF6596">
        <w:rPr>
          <w:rFonts w:cs="Arial"/>
          <w:szCs w:val="20"/>
        </w:rPr>
        <w:t xml:space="preserve"> has led to an </w:t>
      </w:r>
      <w:r w:rsidR="0017370A">
        <w:rPr>
          <w:rFonts w:cs="Arial"/>
          <w:szCs w:val="20"/>
        </w:rPr>
        <w:t>outcome that is expected to benefit all Australians – broadcasters and viewers alike.</w:t>
      </w:r>
    </w:p>
    <w:p w:rsidR="00AA6972" w:rsidRPr="00AA2662" w:rsidRDefault="001A2F5D" w:rsidP="00AA6972">
      <w:pPr>
        <w:rPr>
          <w:rFonts w:cs="Arial"/>
          <w:i/>
          <w:szCs w:val="20"/>
        </w:rPr>
      </w:pPr>
      <w:r>
        <w:rPr>
          <w:rFonts w:cs="Arial"/>
          <w:i/>
          <w:szCs w:val="20"/>
        </w:rPr>
        <w:t>Background to r</w:t>
      </w:r>
      <w:r w:rsidR="00AA6972" w:rsidRPr="00AA2662">
        <w:rPr>
          <w:rFonts w:cs="Arial"/>
          <w:i/>
          <w:szCs w:val="20"/>
        </w:rPr>
        <w:t xml:space="preserve">estack and the </w:t>
      </w:r>
      <w:r>
        <w:rPr>
          <w:rFonts w:cs="Arial"/>
          <w:i/>
          <w:szCs w:val="20"/>
        </w:rPr>
        <w:t>d</w:t>
      </w:r>
      <w:r w:rsidR="00AA6972" w:rsidRPr="00AA2662">
        <w:rPr>
          <w:rFonts w:cs="Arial"/>
          <w:i/>
          <w:szCs w:val="20"/>
        </w:rPr>
        <w:t xml:space="preserve">igital </w:t>
      </w:r>
      <w:r>
        <w:rPr>
          <w:rFonts w:cs="Arial"/>
          <w:i/>
          <w:szCs w:val="20"/>
        </w:rPr>
        <w:t>d</w:t>
      </w:r>
      <w:r w:rsidR="00AA6972" w:rsidRPr="00AA2662">
        <w:rPr>
          <w:rFonts w:cs="Arial"/>
          <w:i/>
          <w:szCs w:val="20"/>
        </w:rPr>
        <w:t>ividend</w:t>
      </w:r>
    </w:p>
    <w:p w:rsidR="00AA6972" w:rsidRPr="0021330D" w:rsidRDefault="00AA6972" w:rsidP="00AA6972">
      <w:pPr>
        <w:rPr>
          <w:rFonts w:cs="Arial"/>
          <w:szCs w:val="20"/>
        </w:rPr>
      </w:pPr>
      <w:r w:rsidRPr="0021330D">
        <w:rPr>
          <w:rFonts w:cs="Arial"/>
          <w:szCs w:val="20"/>
        </w:rPr>
        <w:t>Following the switchover from analog to digital television a significant amount of spectrum will be freed up.</w:t>
      </w:r>
      <w:r w:rsidR="00E84DB4">
        <w:rPr>
          <w:rFonts w:cs="Arial"/>
          <w:szCs w:val="20"/>
        </w:rPr>
        <w:t xml:space="preserve"> </w:t>
      </w:r>
      <w:r w:rsidRPr="0021330D">
        <w:rPr>
          <w:rFonts w:cs="Arial"/>
          <w:szCs w:val="20"/>
        </w:rPr>
        <w:t>This freed spectrum is known as the digital dividend.</w:t>
      </w:r>
      <w:r w:rsidR="00E84DB4">
        <w:rPr>
          <w:rFonts w:cs="Arial"/>
          <w:szCs w:val="20"/>
        </w:rPr>
        <w:t xml:space="preserve"> </w:t>
      </w:r>
      <w:r w:rsidR="00766379" w:rsidRPr="009D44DC">
        <w:t>Senator the Hon Stephen Conroy</w:t>
      </w:r>
      <w:r w:rsidR="00766379">
        <w:t xml:space="preserve">, </w:t>
      </w:r>
      <w:r w:rsidR="00766379" w:rsidRPr="009D44DC">
        <w:t>Minister for Broadband, Communications and the Digital Economy</w:t>
      </w:r>
      <w:r w:rsidR="00766379">
        <w:t xml:space="preserve"> (the minister)</w:t>
      </w:r>
      <w:r w:rsidRPr="0021330D">
        <w:rPr>
          <w:rFonts w:cs="Arial"/>
          <w:szCs w:val="20"/>
        </w:rPr>
        <w:t xml:space="preserve"> announce</w:t>
      </w:r>
      <w:r w:rsidR="00766379">
        <w:rPr>
          <w:rFonts w:cs="Arial"/>
          <w:szCs w:val="20"/>
        </w:rPr>
        <w:t>d</w:t>
      </w:r>
      <w:r w:rsidRPr="0021330D">
        <w:rPr>
          <w:rFonts w:cs="Arial"/>
          <w:szCs w:val="20"/>
        </w:rPr>
        <w:t xml:space="preserve"> in June 2010 the size (126 MHz) and frequency band (694–820 MHz) of the UHF digital dividend.</w:t>
      </w:r>
      <w:r w:rsidRPr="00F8379D">
        <w:rPr>
          <w:rFonts w:cs="Arial"/>
          <w:szCs w:val="20"/>
          <w:vertAlign w:val="superscript"/>
        </w:rPr>
        <w:footnoteReference w:id="1"/>
      </w:r>
      <w:r>
        <w:rPr>
          <w:rFonts w:cs="Arial"/>
          <w:szCs w:val="20"/>
        </w:rPr>
        <w:t xml:space="preserve"> I</w:t>
      </w:r>
      <w:r w:rsidRPr="00F8379D">
        <w:rPr>
          <w:rFonts w:cs="Arial"/>
          <w:szCs w:val="20"/>
        </w:rPr>
        <w:t xml:space="preserve">n July 2010 </w:t>
      </w:r>
      <w:r>
        <w:rPr>
          <w:rFonts w:cs="Arial"/>
          <w:szCs w:val="20"/>
        </w:rPr>
        <w:t xml:space="preserve">the minister </w:t>
      </w:r>
      <w:r w:rsidRPr="00F8379D">
        <w:rPr>
          <w:rFonts w:cs="Arial"/>
          <w:szCs w:val="20"/>
        </w:rPr>
        <w:t>directed the ACMA on a range of issues related to the replanning of digital television to yield the 126 MHz of digital dividend.</w:t>
      </w:r>
      <w:r w:rsidR="00E84DB4">
        <w:rPr>
          <w:rFonts w:cs="Arial"/>
          <w:szCs w:val="20"/>
        </w:rPr>
        <w:t xml:space="preserve"> </w:t>
      </w:r>
    </w:p>
    <w:p w:rsidR="00AA6972" w:rsidRDefault="00AA6972" w:rsidP="00AA6972">
      <w:pPr>
        <w:rPr>
          <w:rFonts w:cs="Arial"/>
          <w:szCs w:val="20"/>
        </w:rPr>
      </w:pPr>
      <w:r w:rsidRPr="0021330D">
        <w:rPr>
          <w:rFonts w:cs="Arial"/>
          <w:szCs w:val="20"/>
        </w:rPr>
        <w:t>The minister’s direction settled several of the key high-level restack objectives and some of the detailed planning principles to be applied.</w:t>
      </w:r>
      <w:r w:rsidR="00E84DB4">
        <w:rPr>
          <w:rFonts w:cs="Arial"/>
          <w:szCs w:val="20"/>
        </w:rPr>
        <w:t xml:space="preserve"> </w:t>
      </w:r>
      <w:r w:rsidRPr="0021330D">
        <w:rPr>
          <w:rFonts w:cs="Arial"/>
          <w:szCs w:val="20"/>
        </w:rPr>
        <w:t>However, a number of important restack matters were left to the ACMA to determine.</w:t>
      </w:r>
      <w:r w:rsidR="00E84DB4">
        <w:rPr>
          <w:rFonts w:cs="Arial"/>
          <w:szCs w:val="20"/>
        </w:rPr>
        <w:t xml:space="preserve"> </w:t>
      </w:r>
      <w:r>
        <w:rPr>
          <w:rFonts w:cs="Arial"/>
          <w:szCs w:val="20"/>
        </w:rPr>
        <w:t>It was necessary for t</w:t>
      </w:r>
      <w:r w:rsidRPr="0021330D">
        <w:rPr>
          <w:rFonts w:cs="Arial"/>
          <w:szCs w:val="20"/>
        </w:rPr>
        <w:t>hese issues to be settled, and a clear and unambiguous set of guiding principles developed, before the ACMA’s replanning of digital television channels can commence.</w:t>
      </w:r>
      <w:r w:rsidRPr="00F8379D">
        <w:rPr>
          <w:rFonts w:cs="Arial"/>
          <w:szCs w:val="20"/>
        </w:rPr>
        <w:t xml:space="preserve"> </w:t>
      </w:r>
    </w:p>
    <w:p w:rsidR="00AA6972" w:rsidRDefault="00AA6972" w:rsidP="00AA6972">
      <w:pPr>
        <w:rPr>
          <w:rFonts w:cs="Arial"/>
          <w:szCs w:val="20"/>
        </w:rPr>
      </w:pPr>
      <w:r w:rsidRPr="00F8379D">
        <w:rPr>
          <w:rFonts w:cs="Arial"/>
          <w:szCs w:val="20"/>
        </w:rPr>
        <w:t xml:space="preserve">Of the issues that </w:t>
      </w:r>
      <w:r w:rsidR="00B42F81">
        <w:rPr>
          <w:rFonts w:cs="Arial"/>
          <w:szCs w:val="20"/>
        </w:rPr>
        <w:t>needed to</w:t>
      </w:r>
      <w:r w:rsidR="00B42F81" w:rsidRPr="00F8379D">
        <w:rPr>
          <w:rFonts w:cs="Arial"/>
          <w:szCs w:val="20"/>
        </w:rPr>
        <w:t xml:space="preserve"> </w:t>
      </w:r>
      <w:r w:rsidRPr="00F8379D">
        <w:rPr>
          <w:rFonts w:cs="Arial"/>
          <w:szCs w:val="20"/>
        </w:rPr>
        <w:t>be considered prior to the establishment of re</w:t>
      </w:r>
      <w:r>
        <w:rPr>
          <w:rFonts w:cs="Arial"/>
          <w:szCs w:val="20"/>
        </w:rPr>
        <w:t>s</w:t>
      </w:r>
      <w:r w:rsidRPr="00F8379D">
        <w:rPr>
          <w:rFonts w:cs="Arial"/>
          <w:szCs w:val="20"/>
        </w:rPr>
        <w:t xml:space="preserve">tack planning principles, the overall channel planning approach </w:t>
      </w:r>
      <w:r w:rsidR="00B42F81">
        <w:rPr>
          <w:rFonts w:cs="Arial"/>
          <w:szCs w:val="20"/>
        </w:rPr>
        <w:t>was</w:t>
      </w:r>
      <w:r w:rsidR="00B42F81" w:rsidRPr="00F8379D">
        <w:rPr>
          <w:rFonts w:cs="Arial"/>
          <w:szCs w:val="20"/>
        </w:rPr>
        <w:t xml:space="preserve"> </w:t>
      </w:r>
      <w:r w:rsidRPr="00F8379D">
        <w:rPr>
          <w:rFonts w:cs="Arial"/>
          <w:szCs w:val="20"/>
        </w:rPr>
        <w:t xml:space="preserve">by far the most complex and important issue </w:t>
      </w:r>
      <w:r w:rsidR="00B42F81">
        <w:rPr>
          <w:rFonts w:cs="Arial"/>
          <w:szCs w:val="20"/>
        </w:rPr>
        <w:t>requiring</w:t>
      </w:r>
      <w:r w:rsidRPr="00F8379D">
        <w:rPr>
          <w:rFonts w:cs="Arial"/>
          <w:szCs w:val="20"/>
        </w:rPr>
        <w:t xml:space="preserve"> resol</w:t>
      </w:r>
      <w:r w:rsidR="00B42F81">
        <w:rPr>
          <w:rFonts w:cs="Arial"/>
          <w:szCs w:val="20"/>
        </w:rPr>
        <w:t>ution</w:t>
      </w:r>
      <w:r w:rsidRPr="00F8379D">
        <w:rPr>
          <w:rFonts w:cs="Arial"/>
          <w:szCs w:val="20"/>
        </w:rPr>
        <w:t xml:space="preserve"> prior to the commencement of detailed restack planning.</w:t>
      </w:r>
      <w:r w:rsidR="00E84DB4">
        <w:rPr>
          <w:rFonts w:cs="Arial"/>
          <w:szCs w:val="20"/>
        </w:rPr>
        <w:t xml:space="preserve"> </w:t>
      </w:r>
      <w:r w:rsidRPr="00F8379D">
        <w:rPr>
          <w:rFonts w:cs="Arial"/>
          <w:szCs w:val="20"/>
        </w:rPr>
        <w:t>Two main candidate planning approaches were identified and considered in detail: these were termed the ‘block’ and ‘minimum moves’ planning approaches.</w:t>
      </w:r>
    </w:p>
    <w:p w:rsidR="00AA6972" w:rsidRPr="005A1141" w:rsidRDefault="00AA6972" w:rsidP="00AA6972">
      <w:pPr>
        <w:rPr>
          <w:rFonts w:cs="Arial"/>
          <w:szCs w:val="20"/>
        </w:rPr>
      </w:pPr>
      <w:r w:rsidRPr="005A1141">
        <w:rPr>
          <w:rFonts w:cs="Arial"/>
          <w:szCs w:val="20"/>
        </w:rPr>
        <w:lastRenderedPageBreak/>
        <w:t>The planning principles also need to set the technical basis for planning, including the assumed transmission parameters used by the broadcasters, the minimum signal levels needed to provide adequate coverage and the relevant interference protection ratios that allow the potential for interference between services to be predicted using computer modelling.</w:t>
      </w:r>
    </w:p>
    <w:p w:rsidR="00AA6972" w:rsidRPr="00AA2662" w:rsidRDefault="00AA6972" w:rsidP="00AA6972">
      <w:pPr>
        <w:rPr>
          <w:rFonts w:cs="Arial"/>
          <w:i/>
          <w:szCs w:val="20"/>
        </w:rPr>
      </w:pPr>
      <w:r w:rsidRPr="00AA2662">
        <w:rPr>
          <w:rFonts w:cs="Arial"/>
          <w:i/>
          <w:szCs w:val="20"/>
        </w:rPr>
        <w:t xml:space="preserve">Development of </w:t>
      </w:r>
      <w:r w:rsidR="001A2F5D">
        <w:rPr>
          <w:rFonts w:cs="Arial"/>
          <w:i/>
          <w:szCs w:val="20"/>
        </w:rPr>
        <w:t>r</w:t>
      </w:r>
      <w:r w:rsidRPr="00AA2662">
        <w:rPr>
          <w:rFonts w:cs="Arial"/>
          <w:i/>
          <w:szCs w:val="20"/>
        </w:rPr>
        <w:t>e</w:t>
      </w:r>
      <w:r>
        <w:rPr>
          <w:rFonts w:cs="Arial"/>
          <w:i/>
          <w:szCs w:val="20"/>
        </w:rPr>
        <w:t>s</w:t>
      </w:r>
      <w:r w:rsidR="001A2F5D">
        <w:rPr>
          <w:rFonts w:cs="Arial"/>
          <w:i/>
          <w:szCs w:val="20"/>
        </w:rPr>
        <w:t>tack objectives and planning p</w:t>
      </w:r>
      <w:r w:rsidRPr="00AA2662">
        <w:rPr>
          <w:rFonts w:cs="Arial"/>
          <w:i/>
          <w:szCs w:val="20"/>
        </w:rPr>
        <w:t xml:space="preserve">rinciples </w:t>
      </w:r>
    </w:p>
    <w:p w:rsidR="00AA6972" w:rsidRDefault="00AA6972" w:rsidP="00AA6972">
      <w:pPr>
        <w:rPr>
          <w:rFonts w:cs="Arial"/>
          <w:szCs w:val="20"/>
        </w:rPr>
      </w:pPr>
      <w:r w:rsidRPr="0021330D">
        <w:rPr>
          <w:rFonts w:cs="Arial"/>
          <w:szCs w:val="20"/>
        </w:rPr>
        <w:t xml:space="preserve">On 28 February 2011, the ACMA released the discussion paper </w:t>
      </w:r>
      <w:proofErr w:type="gramStart"/>
      <w:r w:rsidRPr="0021330D">
        <w:rPr>
          <w:rFonts w:cs="Arial"/>
          <w:i/>
          <w:szCs w:val="20"/>
        </w:rPr>
        <w:t>Clearing</w:t>
      </w:r>
      <w:proofErr w:type="gramEnd"/>
      <w:r w:rsidRPr="0021330D">
        <w:rPr>
          <w:rFonts w:cs="Arial"/>
          <w:i/>
          <w:szCs w:val="20"/>
        </w:rPr>
        <w:t xml:space="preserve"> the digital dividend: Planning </w:t>
      </w:r>
      <w:r w:rsidR="00B42F81">
        <w:rPr>
          <w:rFonts w:cs="Arial"/>
          <w:i/>
          <w:szCs w:val="20"/>
        </w:rPr>
        <w:t>o</w:t>
      </w:r>
      <w:r w:rsidRPr="0021330D">
        <w:rPr>
          <w:rFonts w:cs="Arial"/>
          <w:i/>
          <w:szCs w:val="20"/>
        </w:rPr>
        <w:t>bjectives and principles for restacking digital television channels</w:t>
      </w:r>
      <w:r w:rsidRPr="0021330D">
        <w:rPr>
          <w:rFonts w:cs="Arial"/>
          <w:szCs w:val="20"/>
        </w:rPr>
        <w:t xml:space="preserve"> (</w:t>
      </w:r>
      <w:hyperlink r:id="rId23" w:anchor="submissions" w:history="1">
        <w:r w:rsidRPr="00F8379D">
          <w:rPr>
            <w:rFonts w:cs="Arial"/>
            <w:color w:val="0000FF"/>
            <w:szCs w:val="20"/>
            <w:u w:val="single"/>
          </w:rPr>
          <w:t>the discussion paper</w:t>
        </w:r>
      </w:hyperlink>
      <w:r w:rsidRPr="0021330D">
        <w:rPr>
          <w:rFonts w:cs="Arial"/>
          <w:szCs w:val="20"/>
        </w:rPr>
        <w:t>).</w:t>
      </w:r>
      <w:r w:rsidR="00E84DB4">
        <w:rPr>
          <w:rFonts w:cs="Arial"/>
          <w:szCs w:val="20"/>
        </w:rPr>
        <w:t xml:space="preserve"> </w:t>
      </w:r>
      <w:r w:rsidRPr="0021330D">
        <w:rPr>
          <w:rFonts w:cs="Arial"/>
          <w:szCs w:val="20"/>
        </w:rPr>
        <w:t>The primary role of the discussion paper was to consult on a proposed set of planning principles that will pave the way for restack channel plans to be developed in order to clear the digital dividend.</w:t>
      </w:r>
      <w:r w:rsidR="00E84DB4">
        <w:rPr>
          <w:rFonts w:cs="Arial"/>
          <w:szCs w:val="20"/>
        </w:rPr>
        <w:t xml:space="preserve"> </w:t>
      </w:r>
      <w:r w:rsidRPr="00F8379D">
        <w:rPr>
          <w:rFonts w:cs="Arial"/>
          <w:szCs w:val="20"/>
        </w:rPr>
        <w:t xml:space="preserve">In </w:t>
      </w:r>
      <w:r w:rsidR="00B42F81">
        <w:rPr>
          <w:rFonts w:cs="Arial"/>
          <w:szCs w:val="20"/>
        </w:rPr>
        <w:t>the discussion</w:t>
      </w:r>
      <w:r w:rsidR="00B42F81" w:rsidRPr="00F8379D">
        <w:rPr>
          <w:rFonts w:cs="Arial"/>
          <w:szCs w:val="20"/>
        </w:rPr>
        <w:t xml:space="preserve"> </w:t>
      </w:r>
      <w:r w:rsidRPr="00F8379D">
        <w:rPr>
          <w:rFonts w:cs="Arial"/>
          <w:szCs w:val="20"/>
        </w:rPr>
        <w:t>paper</w:t>
      </w:r>
      <w:r w:rsidR="000C4E02">
        <w:rPr>
          <w:rFonts w:cs="Arial"/>
          <w:szCs w:val="20"/>
        </w:rPr>
        <w:t>,</w:t>
      </w:r>
      <w:r w:rsidRPr="00F8379D">
        <w:rPr>
          <w:rFonts w:cs="Arial"/>
          <w:szCs w:val="20"/>
        </w:rPr>
        <w:t xml:space="preserve"> the ACMA proposed a set of </w:t>
      </w:r>
      <w:r>
        <w:rPr>
          <w:rFonts w:cs="Arial"/>
          <w:szCs w:val="20"/>
        </w:rPr>
        <w:t>restack</w:t>
      </w:r>
      <w:r w:rsidRPr="00F8379D">
        <w:rPr>
          <w:rFonts w:cs="Arial"/>
          <w:szCs w:val="20"/>
        </w:rPr>
        <w:t xml:space="preserve"> objectives</w:t>
      </w:r>
      <w:r>
        <w:rPr>
          <w:rFonts w:cs="Arial"/>
          <w:szCs w:val="20"/>
        </w:rPr>
        <w:t>,</w:t>
      </w:r>
      <w:r w:rsidRPr="00F8379D">
        <w:rPr>
          <w:rFonts w:cs="Arial"/>
          <w:szCs w:val="20"/>
        </w:rPr>
        <w:t xml:space="preserve"> stated its preliminary view that a block planning approach should </w:t>
      </w:r>
      <w:r w:rsidR="00C01DC9">
        <w:rPr>
          <w:rFonts w:cs="Arial"/>
          <w:szCs w:val="20"/>
        </w:rPr>
        <w:t xml:space="preserve">be </w:t>
      </w:r>
      <w:r w:rsidRPr="00F8379D">
        <w:rPr>
          <w:rFonts w:cs="Arial"/>
          <w:szCs w:val="20"/>
        </w:rPr>
        <w:t xml:space="preserve">adopted and </w:t>
      </w:r>
      <w:r>
        <w:rPr>
          <w:rFonts w:cs="Arial"/>
          <w:szCs w:val="20"/>
        </w:rPr>
        <w:t xml:space="preserve">proposed a set of detailed restack </w:t>
      </w:r>
      <w:r w:rsidRPr="00F8379D">
        <w:rPr>
          <w:rFonts w:cs="Arial"/>
          <w:szCs w:val="20"/>
        </w:rPr>
        <w:t>planning principles.</w:t>
      </w:r>
      <w:r w:rsidR="00E84DB4">
        <w:rPr>
          <w:rFonts w:cs="Arial"/>
          <w:szCs w:val="20"/>
        </w:rPr>
        <w:t xml:space="preserve"> </w:t>
      </w:r>
    </w:p>
    <w:p w:rsidR="00AA6972" w:rsidRPr="00AA2662" w:rsidRDefault="00AA6972" w:rsidP="00AA6972">
      <w:r>
        <w:rPr>
          <w:rFonts w:cs="Arial"/>
          <w:szCs w:val="20"/>
        </w:rPr>
        <w:t xml:space="preserve">In coming to </w:t>
      </w:r>
      <w:r w:rsidR="00B42F81">
        <w:rPr>
          <w:rFonts w:cs="Arial"/>
          <w:szCs w:val="20"/>
        </w:rPr>
        <w:t>its preliminary view</w:t>
      </w:r>
      <w:r>
        <w:rPr>
          <w:rFonts w:cs="Arial"/>
          <w:szCs w:val="20"/>
        </w:rPr>
        <w:t xml:space="preserve">, the ACMA evaluated </w:t>
      </w:r>
      <w:r w:rsidR="00C22A08">
        <w:rPr>
          <w:rFonts w:cs="Arial"/>
          <w:szCs w:val="20"/>
        </w:rPr>
        <w:t>each</w:t>
      </w:r>
      <w:r w:rsidR="00EF3F3F" w:rsidRPr="00AA2662">
        <w:rPr>
          <w:rFonts w:cs="Arial"/>
          <w:szCs w:val="20"/>
        </w:rPr>
        <w:t xml:space="preserve"> </w:t>
      </w:r>
      <w:r>
        <w:rPr>
          <w:rFonts w:cs="Arial"/>
          <w:szCs w:val="20"/>
        </w:rPr>
        <w:t xml:space="preserve">planning approach </w:t>
      </w:r>
      <w:r w:rsidRPr="00AA2662">
        <w:rPr>
          <w:rFonts w:cs="Arial"/>
          <w:szCs w:val="20"/>
        </w:rPr>
        <w:t>against the proposed restack planning objectives and, in particular, the key issues of cost (including cost to broadcasters and costs to viewers)</w:t>
      </w:r>
      <w:r>
        <w:rPr>
          <w:rFonts w:cs="Arial"/>
          <w:szCs w:val="20"/>
        </w:rPr>
        <w:t>,</w:t>
      </w:r>
      <w:r w:rsidRPr="00AA2662">
        <w:rPr>
          <w:rFonts w:cs="Arial"/>
          <w:szCs w:val="20"/>
        </w:rPr>
        <w:t xml:space="preserve"> viewer disruption, timing implications for completion of the restack and long-term benefits.</w:t>
      </w:r>
      <w:r w:rsidR="00E84DB4">
        <w:rPr>
          <w:rFonts w:cs="Arial"/>
          <w:szCs w:val="20"/>
        </w:rPr>
        <w:t xml:space="preserve"> </w:t>
      </w:r>
      <w:r>
        <w:rPr>
          <w:rFonts w:cs="Arial"/>
          <w:szCs w:val="20"/>
        </w:rPr>
        <w:t xml:space="preserve">The ACMA found that there was little difference </w:t>
      </w:r>
      <w:r w:rsidR="00AC6EC1">
        <w:rPr>
          <w:rFonts w:cs="Arial"/>
          <w:szCs w:val="20"/>
        </w:rPr>
        <w:t xml:space="preserve">between planning approaches </w:t>
      </w:r>
      <w:r>
        <w:rPr>
          <w:rFonts w:cs="Arial"/>
          <w:szCs w:val="20"/>
        </w:rPr>
        <w:t xml:space="preserve">in terms of </w:t>
      </w:r>
      <w:r w:rsidR="00AC6EC1">
        <w:rPr>
          <w:rFonts w:cs="Arial"/>
          <w:szCs w:val="20"/>
        </w:rPr>
        <w:t>viewer and broadcaster costs, the likely time required to implement restack or the resulting disruption to viewers.</w:t>
      </w:r>
      <w:r w:rsidR="00E84DB4">
        <w:rPr>
          <w:rFonts w:cs="Arial"/>
          <w:szCs w:val="20"/>
        </w:rPr>
        <w:t xml:space="preserve"> </w:t>
      </w:r>
      <w:r w:rsidR="00AC6EC1">
        <w:rPr>
          <w:rFonts w:cs="Arial"/>
          <w:szCs w:val="20"/>
        </w:rPr>
        <w:t xml:space="preserve">The ACMA </w:t>
      </w:r>
      <w:r w:rsidR="00B42F81">
        <w:rPr>
          <w:rFonts w:cs="Arial"/>
          <w:szCs w:val="20"/>
        </w:rPr>
        <w:t>also found</w:t>
      </w:r>
      <w:r w:rsidR="00AC6EC1">
        <w:rPr>
          <w:rFonts w:cs="Arial"/>
          <w:szCs w:val="20"/>
        </w:rPr>
        <w:t xml:space="preserve"> that there were modest, but real, </w:t>
      </w:r>
      <w:r w:rsidR="000C4E02">
        <w:rPr>
          <w:rFonts w:cs="Arial"/>
          <w:szCs w:val="20"/>
        </w:rPr>
        <w:t>long-term</w:t>
      </w:r>
      <w:r w:rsidR="00AC6EC1">
        <w:rPr>
          <w:rFonts w:cs="Arial"/>
          <w:szCs w:val="20"/>
        </w:rPr>
        <w:t xml:space="preserve"> benefits to block planning.</w:t>
      </w:r>
    </w:p>
    <w:p w:rsidR="00AA6972" w:rsidRPr="0021330D" w:rsidRDefault="00AA6972" w:rsidP="00AA6972">
      <w:pPr>
        <w:rPr>
          <w:rFonts w:cs="Arial"/>
          <w:szCs w:val="20"/>
        </w:rPr>
      </w:pPr>
      <w:r w:rsidRPr="00F8379D">
        <w:rPr>
          <w:rFonts w:cs="Arial"/>
          <w:szCs w:val="20"/>
        </w:rPr>
        <w:t>The key</w:t>
      </w:r>
      <w:r w:rsidRPr="0021330D">
        <w:rPr>
          <w:rFonts w:cs="Arial"/>
          <w:szCs w:val="20"/>
        </w:rPr>
        <w:t xml:space="preserve"> purpose of the discussion paper was to test some of the ACMA’s assumptions underlying its preliminary view on the choice of the channel planning approach to be used</w:t>
      </w:r>
      <w:r w:rsidRPr="00F8379D">
        <w:rPr>
          <w:rFonts w:cs="Arial"/>
          <w:szCs w:val="20"/>
        </w:rPr>
        <w:t xml:space="preserve"> and consequently the planning principles proposed. </w:t>
      </w:r>
    </w:p>
    <w:p w:rsidR="00AA6972" w:rsidRPr="00F8379D" w:rsidRDefault="00AA6972" w:rsidP="00AA6972">
      <w:pPr>
        <w:rPr>
          <w:rFonts w:cs="Arial"/>
          <w:szCs w:val="20"/>
        </w:rPr>
      </w:pPr>
      <w:r w:rsidRPr="00F8379D">
        <w:rPr>
          <w:rFonts w:cs="Arial"/>
          <w:szCs w:val="20"/>
        </w:rPr>
        <w:t>Submissions to the discussion paper closed on 4 April; however, late submissions (including supplementary material) were accepted until 13 April.</w:t>
      </w:r>
      <w:r w:rsidR="00E84DB4">
        <w:rPr>
          <w:rFonts w:cs="Arial"/>
          <w:szCs w:val="20"/>
        </w:rPr>
        <w:t xml:space="preserve"> </w:t>
      </w:r>
      <w:r w:rsidRPr="00F8379D">
        <w:rPr>
          <w:rFonts w:cs="Arial"/>
          <w:szCs w:val="20"/>
        </w:rPr>
        <w:t>The ACMA received 1</w:t>
      </w:r>
      <w:r>
        <w:rPr>
          <w:rFonts w:cs="Arial"/>
          <w:szCs w:val="20"/>
        </w:rPr>
        <w:t>7</w:t>
      </w:r>
      <w:r w:rsidRPr="00F8379D">
        <w:rPr>
          <w:rFonts w:cs="Arial"/>
          <w:szCs w:val="20"/>
        </w:rPr>
        <w:t xml:space="preserve"> submissions to the discussion paper</w:t>
      </w:r>
      <w:r>
        <w:rPr>
          <w:rFonts w:cs="Arial"/>
          <w:szCs w:val="20"/>
        </w:rPr>
        <w:t xml:space="preserve">, including one </w:t>
      </w:r>
      <w:r w:rsidRPr="00F8379D">
        <w:rPr>
          <w:rFonts w:cs="Arial"/>
          <w:szCs w:val="20"/>
        </w:rPr>
        <w:t>commercial-in-confidence</w:t>
      </w:r>
      <w:r w:rsidR="00DC6641">
        <w:rPr>
          <w:rFonts w:cs="Arial"/>
          <w:szCs w:val="20"/>
        </w:rPr>
        <w:t xml:space="preserve"> submission</w:t>
      </w:r>
      <w:r>
        <w:rPr>
          <w:rFonts w:cs="Arial"/>
          <w:szCs w:val="20"/>
        </w:rPr>
        <w:t xml:space="preserve">. </w:t>
      </w:r>
    </w:p>
    <w:p w:rsidR="00AA6972" w:rsidRPr="00AA2662" w:rsidRDefault="001A2F5D" w:rsidP="00AA6972">
      <w:pPr>
        <w:spacing w:before="240"/>
        <w:rPr>
          <w:rFonts w:cs="Arial"/>
          <w:i/>
          <w:szCs w:val="20"/>
        </w:rPr>
      </w:pPr>
      <w:r>
        <w:rPr>
          <w:rFonts w:cs="Arial"/>
          <w:i/>
          <w:szCs w:val="20"/>
        </w:rPr>
        <w:t>Industry feedback, ACMA analysis and d</w:t>
      </w:r>
      <w:r w:rsidR="00AA6972">
        <w:rPr>
          <w:rFonts w:cs="Arial"/>
          <w:i/>
          <w:szCs w:val="20"/>
        </w:rPr>
        <w:t>ecisions</w:t>
      </w:r>
    </w:p>
    <w:p w:rsidR="00AA6972" w:rsidRPr="0021330D" w:rsidRDefault="00AA6972" w:rsidP="00AA6972">
      <w:pPr>
        <w:spacing w:before="240"/>
        <w:rPr>
          <w:rFonts w:cs="Arial"/>
          <w:szCs w:val="20"/>
        </w:rPr>
      </w:pPr>
      <w:r w:rsidRPr="0021330D">
        <w:rPr>
          <w:rFonts w:cs="Arial"/>
          <w:szCs w:val="20"/>
        </w:rPr>
        <w:t>Feedback on the proposed restack objectives was broadly positive and supportive of the proposed planning objectives.</w:t>
      </w:r>
      <w:r w:rsidR="00E84DB4">
        <w:rPr>
          <w:rFonts w:cs="Arial"/>
          <w:szCs w:val="20"/>
        </w:rPr>
        <w:t xml:space="preserve"> </w:t>
      </w:r>
      <w:r w:rsidRPr="00F8379D">
        <w:rPr>
          <w:rFonts w:cs="Arial"/>
          <w:szCs w:val="20"/>
        </w:rPr>
        <w:t>A number of detailed comments where received which</w:t>
      </w:r>
      <w:r w:rsidR="00F3424D">
        <w:rPr>
          <w:rFonts w:cs="Arial"/>
          <w:szCs w:val="20"/>
        </w:rPr>
        <w:t xml:space="preserve"> were</w:t>
      </w:r>
      <w:r w:rsidRPr="00F8379D">
        <w:rPr>
          <w:rFonts w:cs="Arial"/>
          <w:szCs w:val="20"/>
        </w:rPr>
        <w:t xml:space="preserve"> considered by the ACMA in making a number of fairly minor changes to the restack objectives first proposed in the discussion paper. The restack objectives</w:t>
      </w:r>
      <w:r w:rsidR="00AC4F6B">
        <w:rPr>
          <w:rFonts w:cs="Arial"/>
          <w:szCs w:val="20"/>
        </w:rPr>
        <w:t>,</w:t>
      </w:r>
      <w:r w:rsidRPr="00F8379D">
        <w:rPr>
          <w:rFonts w:cs="Arial"/>
          <w:szCs w:val="20"/>
        </w:rPr>
        <w:t xml:space="preserve"> </w:t>
      </w:r>
      <w:r w:rsidR="00AC4F6B" w:rsidRPr="00F8379D">
        <w:rPr>
          <w:rFonts w:cs="Arial"/>
          <w:szCs w:val="20"/>
        </w:rPr>
        <w:t xml:space="preserve">to </w:t>
      </w:r>
      <w:r w:rsidR="00AC4F6B">
        <w:rPr>
          <w:rFonts w:cs="Arial"/>
          <w:szCs w:val="20"/>
        </w:rPr>
        <w:t xml:space="preserve">which </w:t>
      </w:r>
      <w:r w:rsidRPr="00F8379D">
        <w:rPr>
          <w:rFonts w:cs="Arial"/>
          <w:szCs w:val="20"/>
        </w:rPr>
        <w:t>the ACMA will have regard</w:t>
      </w:r>
      <w:r w:rsidR="00AC4F6B">
        <w:rPr>
          <w:rFonts w:cs="Arial"/>
          <w:szCs w:val="20"/>
        </w:rPr>
        <w:t>,</w:t>
      </w:r>
      <w:r w:rsidRPr="00F8379D">
        <w:rPr>
          <w:rFonts w:cs="Arial"/>
          <w:szCs w:val="20"/>
        </w:rPr>
        <w:t xml:space="preserve"> are included in </w:t>
      </w:r>
      <w:r w:rsidR="00B42F81">
        <w:rPr>
          <w:rFonts w:cs="Arial"/>
          <w:szCs w:val="20"/>
        </w:rPr>
        <w:t>s</w:t>
      </w:r>
      <w:r w:rsidR="00B42F81" w:rsidRPr="00F8379D">
        <w:rPr>
          <w:rFonts w:cs="Arial"/>
          <w:szCs w:val="20"/>
        </w:rPr>
        <w:t xml:space="preserve">ection </w:t>
      </w:r>
      <w:r w:rsidRPr="00F8379D">
        <w:rPr>
          <w:rFonts w:cs="Arial"/>
          <w:szCs w:val="20"/>
        </w:rPr>
        <w:t>3.3 of this paper.</w:t>
      </w:r>
    </w:p>
    <w:p w:rsidR="00AA6972" w:rsidRDefault="00AA6972" w:rsidP="00AA6972">
      <w:pPr>
        <w:rPr>
          <w:rFonts w:cs="Arial"/>
          <w:szCs w:val="20"/>
        </w:rPr>
      </w:pPr>
      <w:r w:rsidRPr="00F8379D">
        <w:rPr>
          <w:rFonts w:cs="Arial"/>
          <w:szCs w:val="20"/>
        </w:rPr>
        <w:t xml:space="preserve">Respondents to the discussion paper were generally either supportive of the block planning approach or neutral as to the approach </w:t>
      </w:r>
      <w:r w:rsidR="00896ED0">
        <w:rPr>
          <w:rFonts w:cs="Arial"/>
          <w:szCs w:val="20"/>
        </w:rPr>
        <w:t xml:space="preserve">that should be </w:t>
      </w:r>
      <w:r w:rsidRPr="00F8379D">
        <w:rPr>
          <w:rFonts w:cs="Arial"/>
          <w:szCs w:val="20"/>
        </w:rPr>
        <w:t xml:space="preserve">adopted. </w:t>
      </w:r>
      <w:r w:rsidR="00541899">
        <w:rPr>
          <w:rFonts w:cs="Arial"/>
          <w:szCs w:val="20"/>
        </w:rPr>
        <w:t>Commercial broadcasters remain very strongly in favour of the block approach, for reasons including the greater equality of coverage it delivers to all broadcasters at each site.</w:t>
      </w:r>
      <w:r w:rsidRPr="00F8379D">
        <w:rPr>
          <w:rFonts w:cs="Arial"/>
          <w:szCs w:val="20"/>
        </w:rPr>
        <w:t xml:space="preserve"> </w:t>
      </w:r>
      <w:r>
        <w:rPr>
          <w:rFonts w:cs="Arial"/>
          <w:szCs w:val="20"/>
        </w:rPr>
        <w:t xml:space="preserve">Substantial feedback was received on a range of issues relevant to the choice of overall restack channel planning approach. </w:t>
      </w:r>
      <w:r w:rsidR="00BF1F94" w:rsidRPr="00B42F81">
        <w:rPr>
          <w:rFonts w:cs="Arial"/>
          <w:szCs w:val="20"/>
        </w:rPr>
        <w:t>Most importantly feedback was received that called into question some assumptions made by the ACMA on likely restack implementation methods.</w:t>
      </w:r>
      <w:r w:rsidR="00F3424D">
        <w:rPr>
          <w:rFonts w:cs="Arial"/>
          <w:szCs w:val="20"/>
        </w:rPr>
        <w:t xml:space="preserve"> These assumptions w</w:t>
      </w:r>
      <w:r>
        <w:rPr>
          <w:rFonts w:cs="Arial"/>
          <w:szCs w:val="20"/>
        </w:rPr>
        <w:t>ere instrumental in cost and timing conclusions that influenced the ACMA</w:t>
      </w:r>
      <w:r w:rsidR="00F3424D">
        <w:rPr>
          <w:rFonts w:cs="Arial"/>
          <w:szCs w:val="20"/>
        </w:rPr>
        <w:t xml:space="preserve">’s </w:t>
      </w:r>
      <w:r>
        <w:rPr>
          <w:rFonts w:cs="Arial"/>
          <w:szCs w:val="20"/>
        </w:rPr>
        <w:t>preliminary view</w:t>
      </w:r>
      <w:r w:rsidR="005E3F5B">
        <w:rPr>
          <w:rFonts w:cs="Arial"/>
          <w:szCs w:val="20"/>
        </w:rPr>
        <w:t xml:space="preserve"> in favour of block planning. </w:t>
      </w:r>
      <w:r>
        <w:rPr>
          <w:rFonts w:cs="Arial"/>
          <w:szCs w:val="20"/>
        </w:rPr>
        <w:t>Specifically, feedback indicated that it was not practical</w:t>
      </w:r>
      <w:r w:rsidR="005E3F5B">
        <w:rPr>
          <w:rFonts w:cs="Arial"/>
          <w:szCs w:val="20"/>
        </w:rPr>
        <w:t>,</w:t>
      </w:r>
      <w:r>
        <w:rPr>
          <w:rFonts w:cs="Arial"/>
          <w:szCs w:val="20"/>
        </w:rPr>
        <w:t xml:space="preserve"> </w:t>
      </w:r>
      <w:r w:rsidR="005E3F5B">
        <w:rPr>
          <w:rFonts w:cs="Arial"/>
          <w:szCs w:val="20"/>
        </w:rPr>
        <w:t>due to the limited availability of skilled resources</w:t>
      </w:r>
      <w:r>
        <w:rPr>
          <w:rFonts w:cs="Arial"/>
          <w:szCs w:val="20"/>
        </w:rPr>
        <w:t xml:space="preserve"> for co</w:t>
      </w:r>
      <w:r w:rsidR="005E3F5B">
        <w:rPr>
          <w:rFonts w:cs="Arial"/>
          <w:szCs w:val="20"/>
        </w:rPr>
        <w:t>mbiners to be retuned in situ</w:t>
      </w:r>
      <w:r w:rsidR="00311A4E">
        <w:rPr>
          <w:rFonts w:cs="Arial"/>
          <w:szCs w:val="20"/>
        </w:rPr>
        <w:t xml:space="preserve"> in the time available for restack</w:t>
      </w:r>
      <w:r w:rsidR="005E3F5B">
        <w:rPr>
          <w:rFonts w:cs="Arial"/>
          <w:szCs w:val="20"/>
        </w:rPr>
        <w:t>.</w:t>
      </w:r>
    </w:p>
    <w:p w:rsidR="00AA6972" w:rsidRDefault="00F3424D" w:rsidP="00AA6972">
      <w:pPr>
        <w:rPr>
          <w:rFonts w:cs="Arial"/>
          <w:szCs w:val="20"/>
        </w:rPr>
      </w:pPr>
      <w:r w:rsidRPr="00944135">
        <w:rPr>
          <w:rFonts w:cs="Arial"/>
          <w:szCs w:val="20"/>
        </w:rPr>
        <w:t>T</w:t>
      </w:r>
      <w:r w:rsidR="00AA6972" w:rsidRPr="00944135">
        <w:rPr>
          <w:rFonts w:cs="Arial"/>
          <w:szCs w:val="20"/>
        </w:rPr>
        <w:t>he implementation method originally modelled</w:t>
      </w:r>
      <w:r w:rsidR="001853A3" w:rsidRPr="00944135">
        <w:rPr>
          <w:rFonts w:cs="Arial"/>
          <w:szCs w:val="20"/>
        </w:rPr>
        <w:t xml:space="preserve"> by the ACMA</w:t>
      </w:r>
      <w:r w:rsidR="00AA6972" w:rsidRPr="00944135">
        <w:rPr>
          <w:rFonts w:cs="Arial"/>
          <w:szCs w:val="20"/>
        </w:rPr>
        <w:t xml:space="preserve"> ha</w:t>
      </w:r>
      <w:r w:rsidRPr="00944135">
        <w:rPr>
          <w:rFonts w:cs="Arial"/>
          <w:szCs w:val="20"/>
        </w:rPr>
        <w:t>d</w:t>
      </w:r>
      <w:r w:rsidR="00AA6972" w:rsidRPr="00944135">
        <w:rPr>
          <w:rFonts w:cs="Arial"/>
          <w:szCs w:val="20"/>
        </w:rPr>
        <w:t xml:space="preserve"> assumed both combiners and transmitters </w:t>
      </w:r>
      <w:r w:rsidR="00FF03CF">
        <w:rPr>
          <w:rFonts w:cs="Arial"/>
          <w:szCs w:val="20"/>
        </w:rPr>
        <w:t xml:space="preserve">would usually be retuned in situ </w:t>
      </w:r>
      <w:r w:rsidR="00944135" w:rsidRPr="00944135">
        <w:rPr>
          <w:rFonts w:cs="Arial"/>
          <w:szCs w:val="20"/>
        </w:rPr>
        <w:t xml:space="preserve">by using </w:t>
      </w:r>
      <w:r w:rsidR="00AA6972" w:rsidRPr="00944135">
        <w:rPr>
          <w:rFonts w:cs="Arial"/>
          <w:szCs w:val="20"/>
        </w:rPr>
        <w:t xml:space="preserve">transportable temporary transmission infrastructure </w:t>
      </w:r>
      <w:r w:rsidR="00944135" w:rsidRPr="00944135">
        <w:rPr>
          <w:rFonts w:cs="Arial"/>
          <w:szCs w:val="20"/>
        </w:rPr>
        <w:t xml:space="preserve">that would allow </w:t>
      </w:r>
      <w:r w:rsidR="00AA6972" w:rsidRPr="00944135">
        <w:rPr>
          <w:rFonts w:cs="Arial"/>
          <w:szCs w:val="20"/>
        </w:rPr>
        <w:t>sites</w:t>
      </w:r>
      <w:r w:rsidR="00944135" w:rsidRPr="00944135">
        <w:rPr>
          <w:rFonts w:cs="Arial"/>
          <w:szCs w:val="20"/>
        </w:rPr>
        <w:t xml:space="preserve"> to be kept</w:t>
      </w:r>
      <w:r w:rsidR="00AA6972" w:rsidRPr="00944135">
        <w:rPr>
          <w:rFonts w:cs="Arial"/>
          <w:szCs w:val="20"/>
        </w:rPr>
        <w:t xml:space="preserve"> on air during </w:t>
      </w:r>
      <w:r w:rsidR="00AA6972" w:rsidRPr="00944135">
        <w:rPr>
          <w:rFonts w:cs="Arial"/>
          <w:szCs w:val="20"/>
        </w:rPr>
        <w:lastRenderedPageBreak/>
        <w:t>the retuning</w:t>
      </w:r>
      <w:r w:rsidR="00AA6972" w:rsidRPr="00944135">
        <w:rPr>
          <w:rStyle w:val="FootnoteReference"/>
          <w:rFonts w:cs="Arial"/>
          <w:szCs w:val="20"/>
        </w:rPr>
        <w:footnoteReference w:id="2"/>
      </w:r>
      <w:r w:rsidRPr="00944135">
        <w:rPr>
          <w:rFonts w:cs="Arial"/>
          <w:szCs w:val="20"/>
        </w:rPr>
        <w:t>.</w:t>
      </w:r>
      <w:r>
        <w:rPr>
          <w:rFonts w:cs="Arial"/>
          <w:szCs w:val="20"/>
        </w:rPr>
        <w:t xml:space="preserve"> Under this implementation method, the ACMA concluded there would be </w:t>
      </w:r>
      <w:r w:rsidR="00AA6972">
        <w:rPr>
          <w:rFonts w:cs="Arial"/>
          <w:szCs w:val="20"/>
        </w:rPr>
        <w:t>little cost or timing differences between candidate planning approaches.</w:t>
      </w:r>
      <w:r w:rsidR="00E84DB4">
        <w:rPr>
          <w:rFonts w:cs="Arial"/>
          <w:szCs w:val="20"/>
        </w:rPr>
        <w:t xml:space="preserve"> </w:t>
      </w:r>
      <w:r>
        <w:rPr>
          <w:rFonts w:cs="Arial"/>
          <w:szCs w:val="20"/>
        </w:rPr>
        <w:t>To take account of the feedback about the impracticality of retuning combiners in situ</w:t>
      </w:r>
      <w:r w:rsidR="0099061F">
        <w:rPr>
          <w:rFonts w:cs="Arial"/>
          <w:szCs w:val="20"/>
        </w:rPr>
        <w:t xml:space="preserve"> in the time available for restack</w:t>
      </w:r>
      <w:r>
        <w:rPr>
          <w:rFonts w:cs="Arial"/>
          <w:szCs w:val="20"/>
        </w:rPr>
        <w:t xml:space="preserve">, </w:t>
      </w:r>
      <w:r w:rsidR="00AA6972">
        <w:rPr>
          <w:rFonts w:cs="Arial"/>
          <w:szCs w:val="20"/>
        </w:rPr>
        <w:t xml:space="preserve">the ACMA undertook further cost and timing modelling to investigate the impact </w:t>
      </w:r>
      <w:r>
        <w:rPr>
          <w:rFonts w:cs="Arial"/>
          <w:szCs w:val="20"/>
        </w:rPr>
        <w:t>i</w:t>
      </w:r>
      <w:r w:rsidR="00AA6972">
        <w:rPr>
          <w:rFonts w:cs="Arial"/>
          <w:szCs w:val="20"/>
        </w:rPr>
        <w:t xml:space="preserve">f a </w:t>
      </w:r>
      <w:r>
        <w:rPr>
          <w:rFonts w:cs="Arial"/>
          <w:szCs w:val="20"/>
        </w:rPr>
        <w:t>‘</w:t>
      </w:r>
      <w:r w:rsidR="00AA6972">
        <w:rPr>
          <w:rFonts w:cs="Arial"/>
          <w:szCs w:val="20"/>
        </w:rPr>
        <w:t>hybrid</w:t>
      </w:r>
      <w:r>
        <w:rPr>
          <w:rFonts w:cs="Arial"/>
          <w:szCs w:val="20"/>
        </w:rPr>
        <w:t>’</w:t>
      </w:r>
      <w:r w:rsidR="00AA6972">
        <w:rPr>
          <w:rFonts w:cs="Arial"/>
          <w:szCs w:val="20"/>
        </w:rPr>
        <w:t xml:space="preserve"> implementation method</w:t>
      </w:r>
      <w:r w:rsidR="00AA6972">
        <w:rPr>
          <w:rStyle w:val="FootnoteReference"/>
          <w:rFonts w:cs="Arial"/>
          <w:szCs w:val="20"/>
        </w:rPr>
        <w:footnoteReference w:id="3"/>
      </w:r>
      <w:r w:rsidR="00AA6972">
        <w:rPr>
          <w:rFonts w:cs="Arial"/>
          <w:szCs w:val="20"/>
        </w:rPr>
        <w:t xml:space="preserve"> that replaced combiners but retuned transmitters</w:t>
      </w:r>
      <w:r w:rsidR="00D00E29">
        <w:rPr>
          <w:rFonts w:cs="Arial"/>
          <w:szCs w:val="20"/>
        </w:rPr>
        <w:t xml:space="preserve"> were used</w:t>
      </w:r>
      <w:r w:rsidR="00AA6972">
        <w:rPr>
          <w:rFonts w:cs="Arial"/>
          <w:szCs w:val="20"/>
        </w:rPr>
        <w:t>.</w:t>
      </w:r>
    </w:p>
    <w:p w:rsidR="00AA6972" w:rsidRDefault="00AA6972" w:rsidP="00AA6972">
      <w:pPr>
        <w:rPr>
          <w:rFonts w:cs="Arial"/>
          <w:szCs w:val="20"/>
        </w:rPr>
      </w:pPr>
      <w:r>
        <w:rPr>
          <w:rFonts w:cs="Arial"/>
          <w:szCs w:val="20"/>
        </w:rPr>
        <w:t xml:space="preserve">The ACMA’s updated </w:t>
      </w:r>
      <w:r w:rsidR="00AC6EC1">
        <w:rPr>
          <w:rFonts w:cs="Arial"/>
          <w:szCs w:val="20"/>
        </w:rPr>
        <w:t xml:space="preserve">comparative </w:t>
      </w:r>
      <w:r>
        <w:rPr>
          <w:rFonts w:cs="Arial"/>
          <w:szCs w:val="20"/>
        </w:rPr>
        <w:t xml:space="preserve">analysis (using Queensland as a case study) of </w:t>
      </w:r>
      <w:r w:rsidR="00F3424D">
        <w:rPr>
          <w:rFonts w:cs="Arial"/>
          <w:szCs w:val="20"/>
        </w:rPr>
        <w:t xml:space="preserve">the </w:t>
      </w:r>
      <w:r w:rsidR="00311A4E">
        <w:rPr>
          <w:rFonts w:cs="Arial"/>
          <w:szCs w:val="20"/>
        </w:rPr>
        <w:t>H</w:t>
      </w:r>
      <w:r>
        <w:rPr>
          <w:rFonts w:cs="Arial"/>
          <w:szCs w:val="20"/>
        </w:rPr>
        <w:t xml:space="preserve">ybrid </w:t>
      </w:r>
      <w:r w:rsidR="00311A4E">
        <w:rPr>
          <w:rFonts w:cs="Arial"/>
          <w:szCs w:val="20"/>
        </w:rPr>
        <w:t xml:space="preserve">TRU </w:t>
      </w:r>
      <w:r>
        <w:rPr>
          <w:rFonts w:cs="Arial"/>
          <w:szCs w:val="20"/>
        </w:rPr>
        <w:t>implementation method indicates that the cost differential between planning approaches remains of the same order originally identified (block costing slightly more (9%) compared to the 8% originally modelled).</w:t>
      </w:r>
      <w:r w:rsidR="00E84DB4">
        <w:rPr>
          <w:rFonts w:cs="Arial"/>
          <w:szCs w:val="20"/>
        </w:rPr>
        <w:t xml:space="preserve"> </w:t>
      </w:r>
      <w:r>
        <w:rPr>
          <w:rFonts w:cs="Arial"/>
          <w:szCs w:val="20"/>
        </w:rPr>
        <w:t>However, where both planning approaches were originally modelled to take roughly the same time to implement, the revised analysis indicates that block planning may take slightly longer (15%) to implement under the hybrid approach.</w:t>
      </w:r>
      <w:r w:rsidR="00E84DB4">
        <w:rPr>
          <w:rFonts w:cs="Arial"/>
          <w:szCs w:val="20"/>
        </w:rPr>
        <w:t xml:space="preserve"> </w:t>
      </w:r>
      <w:r w:rsidR="00796F42">
        <w:rPr>
          <w:rFonts w:cs="Arial"/>
          <w:szCs w:val="20"/>
        </w:rPr>
        <w:t>Offsetting this, t</w:t>
      </w:r>
      <w:r w:rsidR="00AC6EC1">
        <w:rPr>
          <w:rFonts w:cs="Arial"/>
          <w:szCs w:val="20"/>
        </w:rPr>
        <w:t xml:space="preserve">he ACMA </w:t>
      </w:r>
      <w:r w:rsidR="00796F42">
        <w:t>expects</w:t>
      </w:r>
      <w:r w:rsidR="00796F42">
        <w:rPr>
          <w:rFonts w:cs="Arial"/>
          <w:szCs w:val="20"/>
        </w:rPr>
        <w:t xml:space="preserve"> </w:t>
      </w:r>
      <w:r w:rsidR="00AC6EC1">
        <w:rPr>
          <w:rFonts w:cs="Arial"/>
          <w:szCs w:val="20"/>
        </w:rPr>
        <w:t xml:space="preserve">the </w:t>
      </w:r>
      <w:r w:rsidR="00AC6EC1">
        <w:t xml:space="preserve">time required to develop channel plans </w:t>
      </w:r>
      <w:r w:rsidR="00796F42">
        <w:t xml:space="preserve">will </w:t>
      </w:r>
      <w:r w:rsidR="00AC6EC1">
        <w:t>be moderately faster under block planning.</w:t>
      </w:r>
    </w:p>
    <w:p w:rsidR="0009362E" w:rsidRDefault="00CC0283" w:rsidP="00AA6972">
      <w:pPr>
        <w:rPr>
          <w:rFonts w:cs="Arial"/>
        </w:rPr>
      </w:pPr>
      <w:r>
        <w:rPr>
          <w:rFonts w:cs="Arial"/>
        </w:rPr>
        <w:t>T</w:t>
      </w:r>
      <w:r w:rsidR="00AA6972" w:rsidRPr="00E76982">
        <w:rPr>
          <w:rFonts w:cs="Arial"/>
        </w:rPr>
        <w:t xml:space="preserve">he material impact (if any) of this modelled </w:t>
      </w:r>
      <w:r w:rsidR="00A34A18">
        <w:rPr>
          <w:rFonts w:cs="Arial"/>
        </w:rPr>
        <w:t xml:space="preserve">implementation </w:t>
      </w:r>
      <w:r w:rsidR="00AA6972" w:rsidRPr="00E76982">
        <w:rPr>
          <w:rFonts w:cs="Arial"/>
        </w:rPr>
        <w:t xml:space="preserve">timing differential on the nationwide restack program is difficult to assess, particularly given its sensitivity to the resources applied to restack implementation. Restack will be faster </w:t>
      </w:r>
      <w:r w:rsidR="00B42F81" w:rsidRPr="00E76982">
        <w:rPr>
          <w:rFonts w:cs="Arial"/>
        </w:rPr>
        <w:t xml:space="preserve">than modelled </w:t>
      </w:r>
      <w:r w:rsidR="00896ED0">
        <w:rPr>
          <w:rFonts w:cs="Arial"/>
        </w:rPr>
        <w:t xml:space="preserve">(and the differential between planning approaches narrower) </w:t>
      </w:r>
      <w:r w:rsidR="00AA6972" w:rsidRPr="00E76982">
        <w:rPr>
          <w:rFonts w:cs="Arial"/>
        </w:rPr>
        <w:t xml:space="preserve">if </w:t>
      </w:r>
      <w:r w:rsidR="00AA6972">
        <w:rPr>
          <w:rFonts w:cs="Arial"/>
        </w:rPr>
        <w:t xml:space="preserve">claims made by </w:t>
      </w:r>
      <w:r w:rsidR="00AA6972" w:rsidRPr="00E76982">
        <w:rPr>
          <w:rFonts w:cs="Arial"/>
        </w:rPr>
        <w:t>broadcasters</w:t>
      </w:r>
      <w:r w:rsidR="00896ED0" w:rsidRPr="00896ED0">
        <w:rPr>
          <w:rFonts w:cs="Arial"/>
        </w:rPr>
        <w:t xml:space="preserve"> </w:t>
      </w:r>
      <w:r w:rsidR="00896ED0" w:rsidRPr="00E76982">
        <w:rPr>
          <w:rFonts w:cs="Arial"/>
        </w:rPr>
        <w:t xml:space="preserve">are </w:t>
      </w:r>
      <w:r w:rsidR="00796F42">
        <w:rPr>
          <w:rFonts w:cs="Arial"/>
        </w:rPr>
        <w:t>correct</w:t>
      </w:r>
      <w:r w:rsidR="00AA6972" w:rsidRPr="00E76982">
        <w:rPr>
          <w:rFonts w:cs="Arial"/>
        </w:rPr>
        <w:t xml:space="preserve"> that replacement </w:t>
      </w:r>
      <w:r w:rsidR="00AC6EC1">
        <w:rPr>
          <w:rFonts w:cs="Arial"/>
        </w:rPr>
        <w:t xml:space="preserve">of </w:t>
      </w:r>
      <w:r w:rsidR="00796F42">
        <w:rPr>
          <w:rFonts w:cs="Arial"/>
        </w:rPr>
        <w:t>most</w:t>
      </w:r>
      <w:r w:rsidR="00AC6EC1">
        <w:rPr>
          <w:rFonts w:cs="Arial"/>
        </w:rPr>
        <w:t xml:space="preserve"> combiners and the retuning of </w:t>
      </w:r>
      <w:r w:rsidR="00796F42">
        <w:rPr>
          <w:rFonts w:cs="Arial"/>
        </w:rPr>
        <w:t>most</w:t>
      </w:r>
      <w:r w:rsidR="00AC6EC1">
        <w:rPr>
          <w:rFonts w:cs="Arial"/>
        </w:rPr>
        <w:t xml:space="preserve"> transmitters </w:t>
      </w:r>
      <w:r w:rsidR="00AA6972" w:rsidRPr="00E76982">
        <w:rPr>
          <w:rFonts w:cs="Arial"/>
        </w:rPr>
        <w:t xml:space="preserve">can be performed significantly </w:t>
      </w:r>
      <w:r w:rsidR="0009362E">
        <w:rPr>
          <w:rFonts w:cs="Arial"/>
        </w:rPr>
        <w:t>faster</w:t>
      </w:r>
      <w:r w:rsidR="00AA6972" w:rsidRPr="00E76982">
        <w:rPr>
          <w:rFonts w:cs="Arial"/>
        </w:rPr>
        <w:t xml:space="preserve"> than</w:t>
      </w:r>
      <w:r w:rsidR="00A34A18">
        <w:rPr>
          <w:rFonts w:cs="Arial"/>
        </w:rPr>
        <w:t xml:space="preserve"> indicated in</w:t>
      </w:r>
      <w:r w:rsidR="00AA6972" w:rsidRPr="00E76982">
        <w:rPr>
          <w:rFonts w:cs="Arial"/>
        </w:rPr>
        <w:t xml:space="preserve"> </w:t>
      </w:r>
      <w:r w:rsidR="00AA6972">
        <w:rPr>
          <w:rFonts w:cs="Arial"/>
        </w:rPr>
        <w:t xml:space="preserve">formal </w:t>
      </w:r>
      <w:r w:rsidR="00AA6972" w:rsidRPr="00E76982">
        <w:rPr>
          <w:rFonts w:cs="Arial"/>
        </w:rPr>
        <w:t>estimate</w:t>
      </w:r>
      <w:r w:rsidR="00AA6972">
        <w:rPr>
          <w:rFonts w:cs="Arial"/>
        </w:rPr>
        <w:t>s</w:t>
      </w:r>
      <w:r w:rsidR="00AA6972" w:rsidRPr="00E76982">
        <w:rPr>
          <w:rFonts w:cs="Arial"/>
        </w:rPr>
        <w:t xml:space="preserve"> </w:t>
      </w:r>
      <w:r w:rsidR="00796F42">
        <w:rPr>
          <w:rFonts w:cs="Arial"/>
        </w:rPr>
        <w:t>available</w:t>
      </w:r>
      <w:r w:rsidR="00AA6972">
        <w:rPr>
          <w:rFonts w:cs="Arial"/>
        </w:rPr>
        <w:t xml:space="preserve"> to the ACMA</w:t>
      </w:r>
      <w:r w:rsidR="00AA6972" w:rsidRPr="00E76982">
        <w:rPr>
          <w:rFonts w:cs="Arial"/>
        </w:rPr>
        <w:t>.</w:t>
      </w:r>
    </w:p>
    <w:p w:rsidR="00663750" w:rsidRDefault="00141F26" w:rsidP="00AA6972">
      <w:r>
        <w:t>It should be kept in mind that t</w:t>
      </w:r>
      <w:r w:rsidRPr="00537E4F">
        <w:t xml:space="preserve">he ACMA’s modelling of implementation methods has been only undertaken to allow a comparison between the planning approaches. The actual details of the restack implementation will be for </w:t>
      </w:r>
      <w:r w:rsidR="00FE77D6">
        <w:t>those that are implementing the restack</w:t>
      </w:r>
      <w:r w:rsidRPr="00537E4F">
        <w:t xml:space="preserve"> to determine.</w:t>
      </w:r>
      <w:r w:rsidR="00D7121A" w:rsidRPr="00537E4F" w:rsidDel="00D7121A">
        <w:t xml:space="preserve"> </w:t>
      </w:r>
    </w:p>
    <w:p w:rsidR="00AA6972" w:rsidRPr="00E76982" w:rsidRDefault="00AA6972" w:rsidP="00AA6972">
      <w:pPr>
        <w:rPr>
          <w:rFonts w:cs="Arial"/>
        </w:rPr>
      </w:pPr>
      <w:r w:rsidRPr="00E76982">
        <w:rPr>
          <w:rFonts w:cs="Arial"/>
        </w:rPr>
        <w:t xml:space="preserve">Given the marginal nature of the modelled </w:t>
      </w:r>
      <w:r>
        <w:rPr>
          <w:rFonts w:cs="Arial"/>
        </w:rPr>
        <w:t xml:space="preserve">cost and </w:t>
      </w:r>
      <w:r w:rsidRPr="00E76982">
        <w:rPr>
          <w:rFonts w:cs="Arial"/>
        </w:rPr>
        <w:t>time differential</w:t>
      </w:r>
      <w:r>
        <w:rPr>
          <w:rFonts w:cs="Arial"/>
        </w:rPr>
        <w:t>s</w:t>
      </w:r>
      <w:r w:rsidRPr="00E76982">
        <w:rPr>
          <w:rFonts w:cs="Arial"/>
        </w:rPr>
        <w:t>, the ACMA remains of</w:t>
      </w:r>
      <w:r w:rsidR="00663750">
        <w:rPr>
          <w:rFonts w:cs="Arial"/>
        </w:rPr>
        <w:t xml:space="preserve"> the</w:t>
      </w:r>
      <w:r w:rsidRPr="00E76982">
        <w:rPr>
          <w:rFonts w:cs="Arial"/>
        </w:rPr>
        <w:t xml:space="preserve"> opinion that </w:t>
      </w:r>
      <w:r w:rsidR="00663750">
        <w:rPr>
          <w:rFonts w:cs="Arial"/>
        </w:rPr>
        <w:t xml:space="preserve">these </w:t>
      </w:r>
      <w:r w:rsidR="00CC0283">
        <w:rPr>
          <w:rFonts w:cs="Arial"/>
        </w:rPr>
        <w:t xml:space="preserve">differences </w:t>
      </w:r>
      <w:r w:rsidRPr="00E76982">
        <w:t xml:space="preserve">are not </w:t>
      </w:r>
      <w:r w:rsidR="00CC0283">
        <w:t>a decisive</w:t>
      </w:r>
      <w:r w:rsidRPr="00E76982">
        <w:t xml:space="preserve"> factor in determining which planning approach should be adopted.</w:t>
      </w:r>
      <w:r w:rsidR="00E84DB4">
        <w:t xml:space="preserve"> </w:t>
      </w:r>
      <w:r>
        <w:t xml:space="preserve">The ACMA analysis on planning approaches is included in </w:t>
      </w:r>
      <w:r w:rsidR="00B42F81">
        <w:t>section</w:t>
      </w:r>
      <w:r>
        <w:t xml:space="preserve"> 4 of this paper.</w:t>
      </w:r>
    </w:p>
    <w:p w:rsidR="00AA6972" w:rsidRPr="00E76982" w:rsidRDefault="00AA6972" w:rsidP="00AA6972">
      <w:pPr>
        <w:rPr>
          <w:rFonts w:cs="Arial"/>
        </w:rPr>
      </w:pPr>
      <w:r>
        <w:rPr>
          <w:rFonts w:cs="Arial"/>
        </w:rPr>
        <w:t xml:space="preserve">In summary </w:t>
      </w:r>
      <w:r w:rsidRPr="00E76982">
        <w:rPr>
          <w:rFonts w:cs="Arial"/>
        </w:rPr>
        <w:t>the ACMA has:</w:t>
      </w:r>
    </w:p>
    <w:p w:rsidR="00AA6972" w:rsidRPr="00E76982" w:rsidRDefault="00AA6972" w:rsidP="000A7EC3">
      <w:pPr>
        <w:pStyle w:val="ListBullet"/>
      </w:pPr>
      <w:r w:rsidRPr="00E76982">
        <w:t>found little difference between the two planning approaches in terms of broadcaster costs and</w:t>
      </w:r>
      <w:r w:rsidR="000A7EC3">
        <w:t xml:space="preserve"> time to implement implications</w:t>
      </w:r>
    </w:p>
    <w:p w:rsidR="00AA6972" w:rsidRPr="00E76982" w:rsidRDefault="00AA6972" w:rsidP="000A7EC3">
      <w:pPr>
        <w:pStyle w:val="ListBullet"/>
      </w:pPr>
      <w:r w:rsidRPr="00E76982">
        <w:t>found little difference between the two planning approaches in terms</w:t>
      </w:r>
      <w:r w:rsidR="000A7EC3">
        <w:t xml:space="preserve"> of viewer costs and disruption</w:t>
      </w:r>
    </w:p>
    <w:p w:rsidR="00AA6972" w:rsidRPr="00E76982" w:rsidRDefault="00AA6972" w:rsidP="000A7EC3">
      <w:pPr>
        <w:pStyle w:val="ListBullet"/>
      </w:pPr>
      <w:r w:rsidRPr="00E76982">
        <w:t xml:space="preserve">found that </w:t>
      </w:r>
      <w:r w:rsidR="00541899">
        <w:t xml:space="preserve">commercial broadcasters strongly prefer </w:t>
      </w:r>
      <w:r w:rsidR="000A7EC3">
        <w:t>the block planning approach</w:t>
      </w:r>
      <w:r w:rsidRPr="00E76982">
        <w:t xml:space="preserve"> and</w:t>
      </w:r>
    </w:p>
    <w:p w:rsidR="00AA6972" w:rsidRPr="00502971" w:rsidRDefault="00AA6972" w:rsidP="000A7EC3">
      <w:pPr>
        <w:pStyle w:val="ListBullet"/>
      </w:pPr>
      <w:r w:rsidRPr="00E76982">
        <w:t>concluded the block planning approach has modest but real long-term benefits when compared to the minimum moves planning approach.</w:t>
      </w:r>
    </w:p>
    <w:p w:rsidR="00AA6972" w:rsidRPr="00E76982" w:rsidRDefault="00AA6972" w:rsidP="00AA6972">
      <w:pPr>
        <w:spacing w:after="0"/>
        <w:ind w:left="401"/>
      </w:pPr>
    </w:p>
    <w:p w:rsidR="00AA6972" w:rsidRPr="00E76982" w:rsidRDefault="00AA6972" w:rsidP="00AA6972">
      <w:r w:rsidRPr="00E76982">
        <w:rPr>
          <w:rFonts w:cs="Arial"/>
        </w:rPr>
        <w:t xml:space="preserve">After considering these conclusions against the restack planning objectives, the ACMA has </w:t>
      </w:r>
      <w:r w:rsidRPr="00E76982">
        <w:t>decided to adopt the block planning approach for the restack channel planning of digital television services.</w:t>
      </w:r>
    </w:p>
    <w:p w:rsidR="00AA6972" w:rsidRDefault="00AA6972" w:rsidP="00AA6972">
      <w:r>
        <w:rPr>
          <w:rFonts w:cs="Arial"/>
          <w:szCs w:val="20"/>
        </w:rPr>
        <w:t xml:space="preserve">Using this decision to adopt block planning as a key basis and taking into account other feedback received, the ACMA has decided on a set of </w:t>
      </w:r>
      <w:r w:rsidR="00796F42">
        <w:rPr>
          <w:rFonts w:cs="Arial"/>
          <w:szCs w:val="20"/>
        </w:rPr>
        <w:t>eleven</w:t>
      </w:r>
      <w:r>
        <w:rPr>
          <w:rFonts w:cs="Arial"/>
          <w:szCs w:val="20"/>
        </w:rPr>
        <w:t xml:space="preserve"> planning principles which will be used as </w:t>
      </w:r>
      <w:r w:rsidRPr="00502971">
        <w:t xml:space="preserve">guidelines by the ACMA’s planners in preparing </w:t>
      </w:r>
      <w:r>
        <w:t xml:space="preserve">restack </w:t>
      </w:r>
      <w:r w:rsidRPr="00502971">
        <w:t>channel plans.</w:t>
      </w:r>
      <w:r w:rsidR="00E84DB4">
        <w:t xml:space="preserve"> </w:t>
      </w:r>
      <w:r>
        <w:t xml:space="preserve">Other key decisions influencing the planning principles include the identification </w:t>
      </w:r>
      <w:r>
        <w:lastRenderedPageBreak/>
        <w:t>of channels 9 and 9A as a digital radio sub-band (as originally proposed by the ACMA), the retention of existing minimum median field strengths and protection ratios for planning (a change from the original ACMA proposal) and the intention to break up wide area single frequency networks wherever possible (as originally proposed by the ACMA).</w:t>
      </w:r>
    </w:p>
    <w:p w:rsidR="00AA6972" w:rsidRPr="00502971" w:rsidRDefault="00AA6972" w:rsidP="00AA6972">
      <w:r>
        <w:t>A</w:t>
      </w:r>
      <w:r w:rsidRPr="00502971">
        <w:t>CMA planners will follow the</w:t>
      </w:r>
      <w:r>
        <w:t>se</w:t>
      </w:r>
      <w:r w:rsidRPr="00502971">
        <w:t xml:space="preserve"> </w:t>
      </w:r>
      <w:r>
        <w:t xml:space="preserve">planning </w:t>
      </w:r>
      <w:r w:rsidRPr="00502971">
        <w:t>principles as closely as possible</w:t>
      </w:r>
      <w:r w:rsidR="00796F42">
        <w:t>, while also taking into account the specifics of each planning option</w:t>
      </w:r>
      <w:r w:rsidRPr="00502971">
        <w:t>.</w:t>
      </w:r>
      <w:r w:rsidR="00E84DB4">
        <w:t xml:space="preserve"> </w:t>
      </w:r>
      <w:r w:rsidRPr="00502971">
        <w:t xml:space="preserve">If principles conflict, a case-by-case judgement </w:t>
      </w:r>
      <w:r>
        <w:t>will</w:t>
      </w:r>
      <w:r w:rsidRPr="00502971">
        <w:t xml:space="preserve"> be made.</w:t>
      </w:r>
      <w:r w:rsidR="00E84DB4">
        <w:t xml:space="preserve"> </w:t>
      </w:r>
      <w:r w:rsidRPr="00502971">
        <w:t>As policies rather than legislative instruments, the principles are not binding on the ACMA.</w:t>
      </w:r>
      <w:r w:rsidR="00E84DB4">
        <w:t xml:space="preserve"> </w:t>
      </w:r>
      <w:r w:rsidRPr="00502971">
        <w:t>However, where individual channel planning proposals depart from the principles, it is expected that a detailed explanation would be provided in the documentation accompanying the draft channel plan.</w:t>
      </w:r>
    </w:p>
    <w:p w:rsidR="00AA6972" w:rsidRDefault="00AA6972" w:rsidP="00AA6972">
      <w:pPr>
        <w:spacing w:before="240"/>
        <w:rPr>
          <w:rFonts w:cs="Arial"/>
          <w:szCs w:val="20"/>
        </w:rPr>
      </w:pPr>
      <w:r w:rsidRPr="00AA2662">
        <w:rPr>
          <w:rFonts w:cs="Arial"/>
          <w:i/>
          <w:szCs w:val="20"/>
        </w:rPr>
        <w:t>Next steps</w:t>
      </w:r>
    </w:p>
    <w:p w:rsidR="00AA6972" w:rsidRDefault="00AA6972" w:rsidP="00AA6972">
      <w:r w:rsidRPr="00986128">
        <w:t xml:space="preserve">Decisions on restack planning principles </w:t>
      </w:r>
      <w:r>
        <w:t xml:space="preserve">are </w:t>
      </w:r>
      <w:r w:rsidRPr="00986128">
        <w:t>a precondition for the commencement of detailed restack planning activities.</w:t>
      </w:r>
      <w:r w:rsidR="00E84DB4">
        <w:t xml:space="preserve"> </w:t>
      </w:r>
      <w:r w:rsidRPr="00986128">
        <w:t>Now that these decisions have been made, the ACMA will commence development of a range of additional outputs that will further progress the restack.</w:t>
      </w:r>
      <w:r>
        <w:t xml:space="preserve"> </w:t>
      </w:r>
    </w:p>
    <w:p w:rsidR="00AA6972" w:rsidRPr="00986128" w:rsidRDefault="00AA6972" w:rsidP="00AA6972">
      <w:r>
        <w:t xml:space="preserve">Firstly, </w:t>
      </w:r>
      <w:r w:rsidRPr="00986128">
        <w:t>recognis</w:t>
      </w:r>
      <w:r>
        <w:t>ing</w:t>
      </w:r>
      <w:r w:rsidRPr="00986128">
        <w:t xml:space="preserve"> the value of a stand-alone policy document that encapsulates these principles together with any n</w:t>
      </w:r>
      <w:r>
        <w:t>ecessary context and background, t</w:t>
      </w:r>
      <w:r w:rsidRPr="00986128">
        <w:t>he ACMA will develop a restack planning document that brings together the key inputs necessary for restack</w:t>
      </w:r>
      <w:r w:rsidR="00A34A18">
        <w:t xml:space="preserve"> channel </w:t>
      </w:r>
      <w:r w:rsidRPr="00986128">
        <w:t>planning.</w:t>
      </w:r>
      <w:r w:rsidR="00E84DB4">
        <w:t xml:space="preserve"> </w:t>
      </w:r>
      <w:r w:rsidRPr="00986128">
        <w:t>While decisions on planning principles have been made, the ACMA will consult on the specific wording and format of the planning principles document.</w:t>
      </w:r>
      <w:r w:rsidR="00E84DB4">
        <w:t xml:space="preserve"> </w:t>
      </w:r>
      <w:r w:rsidRPr="00986128">
        <w:t xml:space="preserve">In the interim, prior to the development of this restack planning principles document, the ACMA will progress </w:t>
      </w:r>
      <w:r w:rsidR="00944135">
        <w:t xml:space="preserve">its </w:t>
      </w:r>
      <w:r w:rsidRPr="00986128">
        <w:t>restack planning on the basis of the principles outlined in this decision paper.</w:t>
      </w:r>
    </w:p>
    <w:p w:rsidR="00AA6972" w:rsidRPr="00986128" w:rsidRDefault="00AA6972" w:rsidP="00AA6972">
      <w:r>
        <w:t xml:space="preserve">Next, while the ACMA </w:t>
      </w:r>
      <w:r w:rsidRPr="00986128">
        <w:t>does not consider it practical to develop restack channel plans for every site in Australia in a single process</w:t>
      </w:r>
      <w:r w:rsidR="00541899">
        <w:t xml:space="preserve">, </w:t>
      </w:r>
      <w:r>
        <w:t xml:space="preserve">it </w:t>
      </w:r>
      <w:r w:rsidR="00541899">
        <w:t>sees</w:t>
      </w:r>
      <w:r w:rsidRPr="00986128">
        <w:t xml:space="preserve"> considerable merit in the early development</w:t>
      </w:r>
      <w:r w:rsidR="00541899">
        <w:t>, in close consultation with industry,</w:t>
      </w:r>
      <w:r w:rsidRPr="00986128">
        <w:t xml:space="preserve"> of an indicative restack channel plan for the 50 to 60 key high power and selected medium power transmission sites</w:t>
      </w:r>
      <w:r>
        <w:t xml:space="preserve">. </w:t>
      </w:r>
      <w:r w:rsidR="00541899">
        <w:t>As t</w:t>
      </w:r>
      <w:r w:rsidR="00541899" w:rsidRPr="00986128">
        <w:t>he majority of lower powered sites will be planned</w:t>
      </w:r>
      <w:r w:rsidR="00541899">
        <w:t xml:space="preserve"> </w:t>
      </w:r>
      <w:r>
        <w:t>around these key sites</w:t>
      </w:r>
      <w:r w:rsidR="00541899">
        <w:t>, the benefits of having an Australia-wide indicative block plan for high powered sites include maximis</w:t>
      </w:r>
      <w:r w:rsidR="006849FA">
        <w:t>ing the</w:t>
      </w:r>
      <w:r w:rsidR="00541899">
        <w:t xml:space="preserve"> flexibility to prepare detailed channels plans simultaneously in multiple areas around the country, without fear of inadvertent pre-emption of planning outcomes in other areas</w:t>
      </w:r>
      <w:r>
        <w:t>.</w:t>
      </w:r>
    </w:p>
    <w:p w:rsidR="00AA6972" w:rsidRPr="003716BD" w:rsidRDefault="00AA6972" w:rsidP="00AA6972">
      <w:r>
        <w:t>Subsequent to the development of channel plans for these key sites, the ACMA will progress the development of area</w:t>
      </w:r>
      <w:r w:rsidR="00D00E29">
        <w:t>-</w:t>
      </w:r>
      <w:r>
        <w:t>by</w:t>
      </w:r>
      <w:r w:rsidR="00D00E29">
        <w:t>-</w:t>
      </w:r>
      <w:r>
        <w:t>area restack channel plans for the entire country.</w:t>
      </w:r>
      <w:r w:rsidR="00E84DB4">
        <w:t xml:space="preserve"> </w:t>
      </w:r>
      <w:r>
        <w:t>In doing so, the ACMA will develop a restack project schedule</w:t>
      </w:r>
      <w:r w:rsidR="00B42F81" w:rsidRPr="00B42F81">
        <w:t xml:space="preserve"> </w:t>
      </w:r>
      <w:r w:rsidR="00B42F81">
        <w:t>in close coordination with industry</w:t>
      </w:r>
      <w:r>
        <w:t xml:space="preserve">. </w:t>
      </w:r>
      <w:r w:rsidRPr="003716BD">
        <w:t>The intention is that the schedule w</w:t>
      </w:r>
      <w:r w:rsidR="00796F42">
        <w:t xml:space="preserve">ill set out the </w:t>
      </w:r>
      <w:r w:rsidR="001A2F5D">
        <w:t>high-level</w:t>
      </w:r>
      <w:r w:rsidR="00796F42">
        <w:t xml:space="preserve"> time</w:t>
      </w:r>
      <w:r w:rsidRPr="003716BD">
        <w:t xml:space="preserve">frames for developing restack channel plans for each area and the </w:t>
      </w:r>
      <w:r w:rsidR="00A34A18">
        <w:t xml:space="preserve">subsequent </w:t>
      </w:r>
      <w:r w:rsidRPr="003716BD">
        <w:t>implementation of restack in each area.</w:t>
      </w:r>
    </w:p>
    <w:p w:rsidR="00AA6972" w:rsidRPr="00BB2BD9" w:rsidRDefault="00AA6972" w:rsidP="00AA6972">
      <w:r w:rsidRPr="00BB2BD9">
        <w:t xml:space="preserve">Such a schedule will assist broadcasters and their service providers </w:t>
      </w:r>
      <w:r w:rsidR="006849FA">
        <w:t xml:space="preserve">to </w:t>
      </w:r>
      <w:r w:rsidR="0015269F">
        <w:t xml:space="preserve">commence </w:t>
      </w:r>
      <w:r w:rsidRPr="00BB2BD9">
        <w:t>plan</w:t>
      </w:r>
      <w:r w:rsidR="0015269F">
        <w:t>ning</w:t>
      </w:r>
      <w:r w:rsidRPr="00BB2BD9">
        <w:t xml:space="preserve"> for implementation in advance of the channel plans being completed.</w:t>
      </w:r>
      <w:r w:rsidR="00E84DB4">
        <w:t xml:space="preserve"> </w:t>
      </w:r>
      <w:r w:rsidRPr="00BB2BD9">
        <w:t xml:space="preserve">It will also assist in the development of any consumer information campaign and will provide an early indication when the digital dividend spectrum in each area </w:t>
      </w:r>
      <w:r w:rsidR="006849FA">
        <w:t>is expected to</w:t>
      </w:r>
      <w:r w:rsidRPr="00BB2BD9">
        <w:t xml:space="preserve"> be cleared of broadcaster operated digital television services.</w:t>
      </w:r>
    </w:p>
    <w:p w:rsidR="00AA6972" w:rsidRPr="00BB2BD9" w:rsidRDefault="00AA6972" w:rsidP="00AA6972">
      <w:r w:rsidRPr="00BB2BD9">
        <w:t>More detailed implementation project plans will need to be developed by an overall restack project manager</w:t>
      </w:r>
      <w:r w:rsidR="0015269F">
        <w:t>,</w:t>
      </w:r>
      <w:r w:rsidRPr="00BB2BD9">
        <w:t xml:space="preserve"> by each broadcaster and by transmission service providers.</w:t>
      </w:r>
    </w:p>
    <w:bookmarkEnd w:id="2"/>
    <w:bookmarkEnd w:id="3"/>
    <w:p w:rsidR="0099358F" w:rsidRPr="006F741C" w:rsidRDefault="00040CF8" w:rsidP="0053442F">
      <w:pPr>
        <w:pStyle w:val="Bodysubheader"/>
      </w:pPr>
      <w:r>
        <w:lastRenderedPageBreak/>
        <w:t>Media enquiries</w:t>
      </w:r>
    </w:p>
    <w:p w:rsidR="0099358F" w:rsidRPr="006F741C" w:rsidRDefault="0099358F" w:rsidP="0099358F">
      <w:pPr>
        <w:rPr>
          <w:rFonts w:cs="Arial"/>
        </w:rPr>
      </w:pPr>
      <w:r w:rsidRPr="002301F0">
        <w:rPr>
          <w:rFonts w:cs="Arial"/>
        </w:rPr>
        <w:t>Media en</w:t>
      </w:r>
      <w:r w:rsidR="00651541">
        <w:rPr>
          <w:rFonts w:cs="Arial"/>
        </w:rPr>
        <w:t>quiries should be directed to Ms</w:t>
      </w:r>
      <w:r w:rsidRPr="002301F0">
        <w:rPr>
          <w:rFonts w:cs="Arial"/>
        </w:rPr>
        <w:t xml:space="preserve"> </w:t>
      </w:r>
      <w:r w:rsidR="00651541">
        <w:rPr>
          <w:rFonts w:cs="Arial"/>
        </w:rPr>
        <w:t>Emma Rossi</w:t>
      </w:r>
      <w:r w:rsidRPr="002301F0">
        <w:rPr>
          <w:rFonts w:cs="Arial"/>
        </w:rPr>
        <w:t xml:space="preserve"> on </w:t>
      </w:r>
      <w:r w:rsidR="006153EE">
        <w:rPr>
          <w:rFonts w:cs="Arial"/>
        </w:rPr>
        <w:t>(0</w:t>
      </w:r>
      <w:r w:rsidRPr="002301F0">
        <w:rPr>
          <w:rFonts w:cs="Arial"/>
        </w:rPr>
        <w:t>2</w:t>
      </w:r>
      <w:r w:rsidR="006153EE">
        <w:rPr>
          <w:rFonts w:cs="Arial"/>
        </w:rPr>
        <w:t>)</w:t>
      </w:r>
      <w:r w:rsidRPr="002301F0">
        <w:rPr>
          <w:rFonts w:cs="Arial"/>
        </w:rPr>
        <w:t xml:space="preserve"> 9334 7</w:t>
      </w:r>
      <w:r w:rsidR="00651541">
        <w:rPr>
          <w:rFonts w:cs="Arial"/>
        </w:rPr>
        <w:t>719</w:t>
      </w:r>
      <w:r w:rsidRPr="002301F0">
        <w:rPr>
          <w:rFonts w:cs="Arial"/>
        </w:rPr>
        <w:t xml:space="preserve"> or by email to </w:t>
      </w:r>
      <w:hyperlink r:id="rId24" w:history="1">
        <w:r w:rsidRPr="003D45B1">
          <w:rPr>
            <w:rStyle w:val="Hyperlink"/>
            <w:rFonts w:cs="Arial"/>
          </w:rPr>
          <w:t>media@acma.gov.au</w:t>
        </w:r>
      </w:hyperlink>
      <w:r w:rsidR="006156CC">
        <w:rPr>
          <w:rFonts w:cs="Arial"/>
        </w:rPr>
        <w:t>.</w:t>
      </w:r>
      <w:r w:rsidR="00E84DB4">
        <w:rPr>
          <w:rFonts w:cs="Arial"/>
        </w:rPr>
        <w:t xml:space="preserve"> </w:t>
      </w:r>
      <w:r w:rsidRPr="002301F0">
        <w:rPr>
          <w:rFonts w:cs="Arial"/>
        </w:rPr>
        <w:t xml:space="preserve">Any other enquiries may be directed to </w:t>
      </w:r>
      <w:r>
        <w:rPr>
          <w:rFonts w:cs="Arial"/>
        </w:rPr>
        <w:t>Alastair Gellatly</w:t>
      </w:r>
      <w:r w:rsidRPr="002301F0">
        <w:rPr>
          <w:rFonts w:cs="Arial"/>
        </w:rPr>
        <w:t xml:space="preserve">, </w:t>
      </w:r>
      <w:r>
        <w:rPr>
          <w:rFonts w:cs="Arial"/>
        </w:rPr>
        <w:t xml:space="preserve">Chief Engineer and </w:t>
      </w:r>
      <w:r w:rsidRPr="002301F0">
        <w:rPr>
          <w:rFonts w:cs="Arial"/>
        </w:rPr>
        <w:t xml:space="preserve">Manager, </w:t>
      </w:r>
      <w:r>
        <w:rPr>
          <w:rFonts w:cs="Arial"/>
        </w:rPr>
        <w:t>Television Planning Section,</w:t>
      </w:r>
      <w:r w:rsidRPr="002301F0">
        <w:rPr>
          <w:rFonts w:cs="Arial"/>
        </w:rPr>
        <w:t xml:space="preserve"> </w:t>
      </w:r>
      <w:r>
        <w:rPr>
          <w:rFonts w:cs="Arial"/>
        </w:rPr>
        <w:t>(02) 6219 5246</w:t>
      </w:r>
      <w:r w:rsidRPr="002301F0">
        <w:rPr>
          <w:rFonts w:cs="Arial"/>
        </w:rPr>
        <w:t>.</w:t>
      </w:r>
    </w:p>
    <w:p w:rsidR="0099358F" w:rsidRPr="006F741C" w:rsidRDefault="0099358F" w:rsidP="006156CC">
      <w:pPr>
        <w:pStyle w:val="Bodysubheader"/>
      </w:pPr>
      <w:r w:rsidRPr="002301F0">
        <w:t>Status of this paper</w:t>
      </w:r>
    </w:p>
    <w:p w:rsidR="0099358F" w:rsidRDefault="0099358F" w:rsidP="0099358F">
      <w:pPr>
        <w:rPr>
          <w:rFonts w:cs="Arial"/>
        </w:rPr>
      </w:pPr>
      <w:r w:rsidRPr="002301F0">
        <w:rPr>
          <w:rFonts w:cs="Arial"/>
        </w:rPr>
        <w:t xml:space="preserve">This paper </w:t>
      </w:r>
      <w:r w:rsidR="003F13C6">
        <w:rPr>
          <w:rFonts w:cs="Arial"/>
        </w:rPr>
        <w:t xml:space="preserve">contains information about </w:t>
      </w:r>
      <w:r w:rsidR="00747474">
        <w:rPr>
          <w:rFonts w:cs="Arial"/>
        </w:rPr>
        <w:t>the</w:t>
      </w:r>
      <w:r w:rsidR="003F13C6">
        <w:rPr>
          <w:rFonts w:cs="Arial"/>
        </w:rPr>
        <w:t xml:space="preserve"> ACMA</w:t>
      </w:r>
      <w:r w:rsidR="00545E6D">
        <w:rPr>
          <w:rFonts w:cs="Arial"/>
        </w:rPr>
        <w:t>’s</w:t>
      </w:r>
      <w:r w:rsidR="003F13C6">
        <w:rPr>
          <w:rFonts w:cs="Arial"/>
        </w:rPr>
        <w:t xml:space="preserve"> </w:t>
      </w:r>
      <w:r w:rsidR="00545E6D">
        <w:rPr>
          <w:rFonts w:cs="Arial"/>
        </w:rPr>
        <w:t>decision to adopt the planning policies set out in this paper.</w:t>
      </w:r>
      <w:r w:rsidR="00E84DB4">
        <w:rPr>
          <w:rFonts w:cs="Arial"/>
        </w:rPr>
        <w:t xml:space="preserve"> </w:t>
      </w:r>
      <w:r w:rsidR="00545E6D">
        <w:rPr>
          <w:rFonts w:cs="Arial"/>
        </w:rPr>
        <w:t>This decision w</w:t>
      </w:r>
      <w:r w:rsidR="00747474">
        <w:rPr>
          <w:rFonts w:cs="Arial"/>
        </w:rPr>
        <w:t xml:space="preserve">as made after considering responses to the </w:t>
      </w:r>
      <w:r w:rsidR="00747474" w:rsidRPr="008B0992">
        <w:rPr>
          <w:i/>
        </w:rPr>
        <w:t>Clearing</w:t>
      </w:r>
      <w:r w:rsidR="00747474">
        <w:rPr>
          <w:i/>
        </w:rPr>
        <w:t xml:space="preserve"> </w:t>
      </w:r>
      <w:r w:rsidR="00747474" w:rsidRPr="008B0992">
        <w:rPr>
          <w:i/>
        </w:rPr>
        <w:t>the digital dividend</w:t>
      </w:r>
      <w:r w:rsidR="00747474">
        <w:rPr>
          <w:i/>
        </w:rPr>
        <w:t>:</w:t>
      </w:r>
      <w:r w:rsidR="00747474" w:rsidRPr="008B0992">
        <w:rPr>
          <w:i/>
        </w:rPr>
        <w:t xml:space="preserve"> Planning </w:t>
      </w:r>
      <w:r w:rsidR="00333E70">
        <w:rPr>
          <w:i/>
        </w:rPr>
        <w:t>o</w:t>
      </w:r>
      <w:r w:rsidR="00747474" w:rsidRPr="008B0992">
        <w:rPr>
          <w:i/>
        </w:rPr>
        <w:t>bjectives and principles for restacking digital television channels</w:t>
      </w:r>
      <w:r w:rsidR="002736CD">
        <w:t xml:space="preserve"> discussion paper</w:t>
      </w:r>
      <w:r w:rsidR="00747474">
        <w:t>.</w:t>
      </w:r>
      <w:r w:rsidR="00E84DB4">
        <w:t xml:space="preserve"> </w:t>
      </w:r>
      <w:r w:rsidR="00747474">
        <w:t xml:space="preserve">The </w:t>
      </w:r>
      <w:r w:rsidR="00F2219E">
        <w:t xml:space="preserve">restack planning principles </w:t>
      </w:r>
      <w:r w:rsidR="00747474">
        <w:t xml:space="preserve">outlined in this paper </w:t>
      </w:r>
      <w:r w:rsidR="00F2219E">
        <w:t xml:space="preserve">are policies that </w:t>
      </w:r>
      <w:r w:rsidR="00545E6D">
        <w:t>set out the way in which ACMA planners will normally consider matters that arise in the development of restack channel plans.</w:t>
      </w:r>
      <w:r w:rsidR="00E84DB4">
        <w:t xml:space="preserve"> </w:t>
      </w:r>
      <w:r w:rsidR="00545E6D">
        <w:t xml:space="preserve">However, the merits </w:t>
      </w:r>
      <w:r w:rsidR="00255B3F">
        <w:t>of</w:t>
      </w:r>
      <w:r w:rsidR="00545E6D">
        <w:t xml:space="preserve"> each case will be considered and where there are good reasons to do so, the ACMA’s planners may make recommendations to the Authority that depart from the policies set out in this paper.</w:t>
      </w:r>
      <w:r w:rsidR="00E84DB4">
        <w:t xml:space="preserve"> </w:t>
      </w:r>
      <w:r w:rsidR="00545E6D">
        <w:t xml:space="preserve">In such circumstances the ACMA </w:t>
      </w:r>
      <w:r w:rsidR="00255B3F">
        <w:t xml:space="preserve">will </w:t>
      </w:r>
      <w:r w:rsidR="00545E6D">
        <w:t>make</w:t>
      </w:r>
      <w:r w:rsidR="00CE2A4E">
        <w:t xml:space="preserve"> the reasons for the departure from the policy clear and </w:t>
      </w:r>
      <w:r w:rsidR="00255B3F">
        <w:t>will</w:t>
      </w:r>
      <w:r w:rsidR="00CE2A4E">
        <w:t xml:space="preserve"> consult</w:t>
      </w:r>
      <w:r w:rsidR="00545E6D">
        <w:t xml:space="preserve"> </w:t>
      </w:r>
      <w:r w:rsidR="00CE2A4E">
        <w:t>on the matter.</w:t>
      </w:r>
      <w:r w:rsidR="00E84DB4">
        <w:t xml:space="preserve"> </w:t>
      </w:r>
      <w:r w:rsidRPr="002301F0">
        <w:rPr>
          <w:rFonts w:cs="Arial"/>
        </w:rPr>
        <w:t>Nothing in this paper should be taken to bind the ACMA to any particular course of action.</w:t>
      </w:r>
    </w:p>
    <w:p w:rsidR="00236B0A" w:rsidRPr="006F741C" w:rsidRDefault="00236B0A" w:rsidP="0099358F">
      <w:pPr>
        <w:rPr>
          <w:rFonts w:cs="Arial"/>
        </w:rPr>
      </w:pPr>
    </w:p>
    <w:p w:rsidR="0099358F" w:rsidRPr="00A7267D" w:rsidRDefault="0099358F" w:rsidP="00941FB0">
      <w:pPr>
        <w:sectPr w:rsidR="0099358F" w:rsidRPr="00A7267D" w:rsidSect="00FA2A48">
          <w:headerReference w:type="even" r:id="rId25"/>
          <w:headerReference w:type="default" r:id="rId26"/>
          <w:pgSz w:w="11906" w:h="16838" w:code="9"/>
          <w:pgMar w:top="1945" w:right="3101" w:bottom="868" w:left="1134" w:header="709" w:footer="119" w:gutter="0"/>
          <w:pgNumType w:fmt="lowerRoman"/>
          <w:cols w:space="708"/>
          <w:docGrid w:linePitch="360"/>
        </w:sectPr>
      </w:pPr>
    </w:p>
    <w:p w:rsidR="00BE4C11" w:rsidRPr="00A7267D" w:rsidRDefault="00A71B7A" w:rsidP="0025077A">
      <w:pPr>
        <w:pStyle w:val="Heading1"/>
      </w:pPr>
      <w:bookmarkStart w:id="4" w:name="_Ref291241789"/>
      <w:bookmarkStart w:id="5" w:name="_Toc292291976"/>
      <w:r w:rsidRPr="00A7267D">
        <w:lastRenderedPageBreak/>
        <w:t>Introduction</w:t>
      </w:r>
      <w:bookmarkEnd w:id="4"/>
      <w:bookmarkEnd w:id="5"/>
    </w:p>
    <w:p w:rsidR="008D52D1" w:rsidRPr="00A91A50" w:rsidRDefault="008B0992" w:rsidP="008D52D1">
      <w:pPr>
        <w:rPr>
          <w:rFonts w:cs="Arial"/>
        </w:rPr>
      </w:pPr>
      <w:r>
        <w:t xml:space="preserve">On 28 February 2011, the ACMA released the discussion paper </w:t>
      </w:r>
      <w:proofErr w:type="gramStart"/>
      <w:r w:rsidRPr="008B0992">
        <w:rPr>
          <w:i/>
        </w:rPr>
        <w:t>Clearing</w:t>
      </w:r>
      <w:proofErr w:type="gramEnd"/>
      <w:r w:rsidRPr="008B0992">
        <w:rPr>
          <w:i/>
        </w:rPr>
        <w:t xml:space="preserve"> the digital dividend</w:t>
      </w:r>
      <w:r>
        <w:rPr>
          <w:i/>
        </w:rPr>
        <w:t>:</w:t>
      </w:r>
      <w:r w:rsidRPr="008B0992">
        <w:rPr>
          <w:i/>
        </w:rPr>
        <w:t xml:space="preserve"> Planning </w:t>
      </w:r>
      <w:r w:rsidR="00FD63E5">
        <w:rPr>
          <w:i/>
        </w:rPr>
        <w:t>o</w:t>
      </w:r>
      <w:r w:rsidRPr="008B0992">
        <w:rPr>
          <w:i/>
        </w:rPr>
        <w:t>bjectives and principles for restacking digital television channels</w:t>
      </w:r>
      <w:r>
        <w:t xml:space="preserve"> (</w:t>
      </w:r>
      <w:hyperlink r:id="rId27" w:anchor="submissions" w:history="1">
        <w:r w:rsidRPr="00054FDC">
          <w:rPr>
            <w:rStyle w:val="Hyperlink"/>
          </w:rPr>
          <w:t xml:space="preserve">the </w:t>
        </w:r>
        <w:r w:rsidR="008D52D1" w:rsidRPr="00054FDC">
          <w:rPr>
            <w:rStyle w:val="Hyperlink"/>
          </w:rPr>
          <w:t>d</w:t>
        </w:r>
        <w:r w:rsidRPr="00054FDC">
          <w:rPr>
            <w:rStyle w:val="Hyperlink"/>
          </w:rPr>
          <w:t>iscussion paper</w:t>
        </w:r>
      </w:hyperlink>
      <w:r>
        <w:t>).</w:t>
      </w:r>
      <w:r w:rsidR="00E84DB4">
        <w:t xml:space="preserve"> </w:t>
      </w:r>
      <w:r>
        <w:t xml:space="preserve">The primary </w:t>
      </w:r>
      <w:r w:rsidR="008D52D1">
        <w:t>role</w:t>
      </w:r>
      <w:r>
        <w:t xml:space="preserve"> of the </w:t>
      </w:r>
      <w:r w:rsidR="008D52D1">
        <w:t>d</w:t>
      </w:r>
      <w:r>
        <w:t xml:space="preserve">iscussion paper was to consult on </w:t>
      </w:r>
      <w:r w:rsidRPr="003777D0">
        <w:rPr>
          <w:rFonts w:cs="Arial"/>
        </w:rPr>
        <w:t>a proposed set of</w:t>
      </w:r>
      <w:r>
        <w:rPr>
          <w:rFonts w:cs="Arial"/>
        </w:rPr>
        <w:t xml:space="preserve"> </w:t>
      </w:r>
      <w:r w:rsidRPr="003777D0">
        <w:rPr>
          <w:rFonts w:cs="Arial"/>
        </w:rPr>
        <w:t>planning principles that will pave the way for restack channel plans to be developed in order to clear the digital dividend.</w:t>
      </w:r>
      <w:r w:rsidR="00E84DB4">
        <w:rPr>
          <w:rFonts w:cs="Arial"/>
        </w:rPr>
        <w:t xml:space="preserve"> </w:t>
      </w:r>
      <w:r w:rsidR="008D52D1">
        <w:rPr>
          <w:rFonts w:cs="Arial"/>
        </w:rPr>
        <w:t>A critical purpose of the discussion paper was to test some of the ACMA’s key assumptions underlying its preliminary view on the choice of the channel planning approach to be used.</w:t>
      </w:r>
    </w:p>
    <w:p w:rsidR="008B0992" w:rsidRDefault="008B0992" w:rsidP="008B0992">
      <w:pPr>
        <w:rPr>
          <w:rFonts w:cs="Arial"/>
        </w:rPr>
      </w:pPr>
      <w:r>
        <w:rPr>
          <w:rFonts w:cs="Arial"/>
        </w:rPr>
        <w:t xml:space="preserve">Submissions to the </w:t>
      </w:r>
      <w:r w:rsidR="008D52D1">
        <w:rPr>
          <w:rFonts w:cs="Arial"/>
        </w:rPr>
        <w:t>d</w:t>
      </w:r>
      <w:r>
        <w:rPr>
          <w:rFonts w:cs="Arial"/>
        </w:rPr>
        <w:t>iscussion paper closed on 4 April</w:t>
      </w:r>
      <w:r w:rsidR="00255B3F">
        <w:rPr>
          <w:rFonts w:cs="Arial"/>
        </w:rPr>
        <w:t>;</w:t>
      </w:r>
      <w:r w:rsidR="008C01CA">
        <w:rPr>
          <w:rFonts w:cs="Arial"/>
        </w:rPr>
        <w:t xml:space="preserve"> however, late submissions (including supplementary material) were accepted until </w:t>
      </w:r>
      <w:r w:rsidR="009E67EB">
        <w:rPr>
          <w:rFonts w:cs="Arial"/>
        </w:rPr>
        <w:t>13</w:t>
      </w:r>
      <w:r w:rsidR="008C01CA">
        <w:rPr>
          <w:rFonts w:cs="Arial"/>
        </w:rPr>
        <w:t xml:space="preserve"> April</w:t>
      </w:r>
      <w:r w:rsidR="00705B65">
        <w:rPr>
          <w:rFonts w:cs="Arial"/>
        </w:rPr>
        <w:t>.</w:t>
      </w:r>
      <w:r w:rsidR="00E84DB4">
        <w:rPr>
          <w:rFonts w:cs="Arial"/>
        </w:rPr>
        <w:t xml:space="preserve"> </w:t>
      </w:r>
      <w:r w:rsidR="00705B65">
        <w:rPr>
          <w:rFonts w:cs="Arial"/>
        </w:rPr>
        <w:t xml:space="preserve">The ACMA </w:t>
      </w:r>
      <w:r w:rsidR="002736CD">
        <w:rPr>
          <w:rFonts w:cs="Arial"/>
        </w:rPr>
        <w:t xml:space="preserve">received </w:t>
      </w:r>
      <w:r w:rsidR="00E55E0E">
        <w:rPr>
          <w:rFonts w:cs="Arial"/>
        </w:rPr>
        <w:t>1</w:t>
      </w:r>
      <w:r w:rsidR="001130D1">
        <w:rPr>
          <w:rFonts w:cs="Arial"/>
        </w:rPr>
        <w:t>7</w:t>
      </w:r>
      <w:r>
        <w:rPr>
          <w:rFonts w:cs="Arial"/>
        </w:rPr>
        <w:t xml:space="preserve"> </w:t>
      </w:r>
      <w:r w:rsidR="00705B65">
        <w:rPr>
          <w:rFonts w:cs="Arial"/>
        </w:rPr>
        <w:t>submissions to the discussion paper</w:t>
      </w:r>
      <w:r w:rsidR="00E55E0E">
        <w:rPr>
          <w:rFonts w:cs="Arial"/>
        </w:rPr>
        <w:t xml:space="preserve"> including one submission marked commercial-in-confidence from the ‘Australian Terrestrial Television Broadcasting Industry’.</w:t>
      </w:r>
      <w:r w:rsidR="00E84DB4">
        <w:rPr>
          <w:rFonts w:cs="Arial"/>
        </w:rPr>
        <w:t xml:space="preserve"> </w:t>
      </w:r>
      <w:r w:rsidR="00E55E0E">
        <w:rPr>
          <w:rFonts w:cs="Arial"/>
        </w:rPr>
        <w:t xml:space="preserve">The </w:t>
      </w:r>
      <w:r w:rsidR="001130D1">
        <w:rPr>
          <w:rFonts w:cs="Arial"/>
        </w:rPr>
        <w:t xml:space="preserve">16 </w:t>
      </w:r>
      <w:r w:rsidR="00E55E0E">
        <w:rPr>
          <w:rFonts w:cs="Arial"/>
        </w:rPr>
        <w:t>other submissions are available on</w:t>
      </w:r>
      <w:r w:rsidR="00373141">
        <w:rPr>
          <w:rFonts w:cs="Arial"/>
        </w:rPr>
        <w:t xml:space="preserve"> the </w:t>
      </w:r>
      <w:hyperlink r:id="rId28" w:anchor="submissions" w:history="1">
        <w:r w:rsidR="00373141" w:rsidRPr="00054FDC">
          <w:rPr>
            <w:rStyle w:val="Hyperlink"/>
            <w:rFonts w:cs="Arial"/>
          </w:rPr>
          <w:t>ACMA web site</w:t>
        </w:r>
      </w:hyperlink>
      <w:r w:rsidR="00705B65">
        <w:rPr>
          <w:rFonts w:cs="Arial"/>
        </w:rPr>
        <w:t>.</w:t>
      </w:r>
    </w:p>
    <w:p w:rsidR="00367C35" w:rsidRDefault="00367C35" w:rsidP="00367C35">
      <w:pPr>
        <w:spacing w:before="240"/>
      </w:pPr>
      <w:r>
        <w:t xml:space="preserve">Some respondents made comments on matters settled by the </w:t>
      </w:r>
      <w:r w:rsidR="00F8336F" w:rsidRPr="00A7267D">
        <w:rPr>
          <w:bCs/>
          <w:i/>
          <w:iCs/>
        </w:rPr>
        <w:t>Australian Communications and Media Authority (Realising the Digital Dividend) Direction 2010</w:t>
      </w:r>
      <w:r w:rsidR="00F8336F">
        <w:t xml:space="preserve"> </w:t>
      </w:r>
      <w:r w:rsidR="00F8336F" w:rsidRPr="00DA2CC3">
        <w:t>(the minister’s direction)</w:t>
      </w:r>
      <w:r w:rsidR="006E610E">
        <w:t xml:space="preserve"> </w:t>
      </w:r>
      <w:r w:rsidR="00AB0037">
        <w:t>or made comments on other government pol</w:t>
      </w:r>
      <w:r w:rsidR="00842293">
        <w:t>icy issues</w:t>
      </w:r>
      <w:r w:rsidR="006E610E">
        <w:t>,</w:t>
      </w:r>
      <w:r w:rsidR="000227B3">
        <w:t xml:space="preserve"> </w:t>
      </w:r>
      <w:r w:rsidR="006E610E">
        <w:t>i</w:t>
      </w:r>
      <w:r w:rsidR="000227B3">
        <w:t>ncluding: the amount of spectrum for digital radi</w:t>
      </w:r>
      <w:r w:rsidR="00BD6035">
        <w:t>o</w:t>
      </w:r>
      <w:r w:rsidR="000227B3">
        <w:t>; the allocation of the 6</w:t>
      </w:r>
      <w:r w:rsidR="000227B3" w:rsidRPr="000227B3">
        <w:rPr>
          <w:vertAlign w:val="superscript"/>
        </w:rPr>
        <w:t>th</w:t>
      </w:r>
      <w:r w:rsidR="000227B3">
        <w:t xml:space="preserve"> channel;</w:t>
      </w:r>
      <w:r w:rsidR="00397856">
        <w:t xml:space="preserve"> </w:t>
      </w:r>
      <w:r w:rsidR="000227B3">
        <w:t>restack consumer information and assistance;</w:t>
      </w:r>
      <w:r w:rsidR="00BD6035">
        <w:t xml:space="preserve"> </w:t>
      </w:r>
      <w:r w:rsidR="00DF11A0">
        <w:t xml:space="preserve">and </w:t>
      </w:r>
      <w:r w:rsidR="00B765E5">
        <w:t>funding arrangements for restack implementation</w:t>
      </w:r>
      <w:r w:rsidR="00DF11A0">
        <w:t>.</w:t>
      </w:r>
      <w:r>
        <w:t xml:space="preserve"> As these are not matters </w:t>
      </w:r>
      <w:r w:rsidR="00842293">
        <w:t>within the</w:t>
      </w:r>
      <w:r>
        <w:t xml:space="preserve"> ACMA</w:t>
      </w:r>
      <w:r w:rsidR="00842293">
        <w:t>’s remit</w:t>
      </w:r>
      <w:r>
        <w:t>, this paper does not address those comments.</w:t>
      </w:r>
    </w:p>
    <w:p w:rsidR="00705B65" w:rsidRDefault="00705B65" w:rsidP="00705B65">
      <w:pPr>
        <w:pStyle w:val="Bodysubheader"/>
      </w:pPr>
      <w:r>
        <w:t>Purpose</w:t>
      </w:r>
    </w:p>
    <w:p w:rsidR="008B0992" w:rsidRDefault="008B0992" w:rsidP="008B0992">
      <w:r>
        <w:t xml:space="preserve">The purpose of this paper </w:t>
      </w:r>
      <w:r w:rsidR="002736CD">
        <w:t xml:space="preserve">(the decision paper) </w:t>
      </w:r>
      <w:r>
        <w:t xml:space="preserve">is </w:t>
      </w:r>
      <w:r w:rsidR="00103793">
        <w:t xml:space="preserve">to </w:t>
      </w:r>
      <w:r w:rsidR="008C01CA">
        <w:t xml:space="preserve">describe the matters </w:t>
      </w:r>
      <w:r w:rsidR="00AA4FEF">
        <w:t xml:space="preserve">that </w:t>
      </w:r>
      <w:r>
        <w:t xml:space="preserve">the </w:t>
      </w:r>
      <w:r w:rsidR="008C01CA">
        <w:t>ACMA considered in reaching its decision to adopt the restack planning principles set out in this paper.</w:t>
      </w:r>
      <w:r w:rsidR="00103793">
        <w:t xml:space="preserve"> The adoption of these principles will allow ACMA planners to proceed with restack channel planning in close consultation with industry. In reaching its decision the ACMA had regard to the </w:t>
      </w:r>
      <w:r>
        <w:t xml:space="preserve">feedback received in response to the </w:t>
      </w:r>
      <w:r w:rsidR="009E67EB">
        <w:t>discussion paper.</w:t>
      </w:r>
      <w:r w:rsidR="00E84DB4">
        <w:t xml:space="preserve"> </w:t>
      </w:r>
      <w:r w:rsidR="001853A3">
        <w:t xml:space="preserve">This decision paper should be read in conjunction with the discussion paper which provides further background on </w:t>
      </w:r>
      <w:r w:rsidR="006A4F3A">
        <w:t>each</w:t>
      </w:r>
      <w:r w:rsidR="001853A3">
        <w:t xml:space="preserve"> </w:t>
      </w:r>
      <w:r w:rsidR="006A4F3A">
        <w:t>issue</w:t>
      </w:r>
      <w:r w:rsidR="001853A3">
        <w:t xml:space="preserve"> and the ACMA’s initial considerations on the matter.</w:t>
      </w:r>
    </w:p>
    <w:p w:rsidR="00BD78E7" w:rsidRDefault="00FB15CC" w:rsidP="008B0992">
      <w:r>
        <w:t>It is intended that t</w:t>
      </w:r>
      <w:r w:rsidR="00705B65">
        <w:t xml:space="preserve">hese </w:t>
      </w:r>
      <w:r w:rsidR="00103793">
        <w:t xml:space="preserve">planning </w:t>
      </w:r>
      <w:r w:rsidR="00705B65">
        <w:t xml:space="preserve">principles will be </w:t>
      </w:r>
      <w:r w:rsidR="00103793">
        <w:t xml:space="preserve">republished at a later date </w:t>
      </w:r>
      <w:r w:rsidR="00705B65">
        <w:t xml:space="preserve">in a separate document </w:t>
      </w:r>
      <w:r w:rsidR="00103793">
        <w:t>which is expected to provide expanded background and guidance to planners</w:t>
      </w:r>
      <w:r w:rsidR="00747474">
        <w:t>.</w:t>
      </w:r>
      <w:r w:rsidR="00E84DB4">
        <w:t xml:space="preserve"> </w:t>
      </w:r>
      <w:r w:rsidR="00747474">
        <w:t xml:space="preserve">Consequential </w:t>
      </w:r>
      <w:r w:rsidR="00705B65">
        <w:t xml:space="preserve">changes to existing ACMA </w:t>
      </w:r>
      <w:r w:rsidR="00103793">
        <w:t>documents</w:t>
      </w:r>
      <w:r>
        <w:t xml:space="preserve"> (including those published by the Australian Broadcasting Authority</w:t>
      </w:r>
      <w:r w:rsidR="001850C8">
        <w:rPr>
          <w:rStyle w:val="FootnoteReference"/>
        </w:rPr>
        <w:footnoteReference w:id="4"/>
      </w:r>
      <w:r>
        <w:t>)</w:t>
      </w:r>
      <w:r w:rsidR="00103793">
        <w:t xml:space="preserve"> related to digital television </w:t>
      </w:r>
      <w:r w:rsidR="00705B65">
        <w:t xml:space="preserve">planning </w:t>
      </w:r>
      <w:r w:rsidR="00747474">
        <w:t>may also be made</w:t>
      </w:r>
      <w:r w:rsidR="00705B65">
        <w:t xml:space="preserve">. </w:t>
      </w:r>
      <w:r w:rsidR="005A539A">
        <w:t xml:space="preserve">In the interim, the development of restack channel plans will commence using the planning objectives and principles published in section </w:t>
      </w:r>
      <w:r w:rsidR="00DF11A0">
        <w:t>3.3</w:t>
      </w:r>
      <w:r w:rsidR="000D08FE">
        <w:t xml:space="preserve"> and </w:t>
      </w:r>
      <w:r w:rsidR="00DF11A0">
        <w:t>5.3</w:t>
      </w:r>
      <w:r w:rsidR="005A539A">
        <w:t xml:space="preserve"> of this decision paper.</w:t>
      </w:r>
    </w:p>
    <w:p w:rsidR="00F23C39" w:rsidRDefault="00F23C39" w:rsidP="00F23C39">
      <w:pPr>
        <w:pStyle w:val="Bodysubheader"/>
      </w:pPr>
      <w:r>
        <w:t>Planning objectives</w:t>
      </w:r>
    </w:p>
    <w:p w:rsidR="00F23C39" w:rsidRDefault="00F23C39" w:rsidP="00F23C39">
      <w:r>
        <w:t>In the discussion paper the ACMA proposed</w:t>
      </w:r>
      <w:r w:rsidRPr="00A12904">
        <w:t xml:space="preserve"> a set of restack planning objectives</w:t>
      </w:r>
      <w:r>
        <w:t xml:space="preserve"> that identify the high-level outcomes expected from restack.</w:t>
      </w:r>
      <w:r w:rsidR="00E84DB4">
        <w:t xml:space="preserve"> </w:t>
      </w:r>
      <w:r w:rsidRPr="00A12904">
        <w:t xml:space="preserve">In addition to those objectives derived from the </w:t>
      </w:r>
      <w:r w:rsidR="0080448E" w:rsidRPr="0080448E">
        <w:rPr>
          <w:bCs/>
          <w:iCs/>
        </w:rPr>
        <w:t>minister’s direction</w:t>
      </w:r>
      <w:r w:rsidR="009E67EB">
        <w:t>,</w:t>
      </w:r>
      <w:r w:rsidRPr="00A12904">
        <w:t xml:space="preserve"> a </w:t>
      </w:r>
      <w:r>
        <w:t>number of</w:t>
      </w:r>
      <w:r w:rsidRPr="00A12904">
        <w:t xml:space="preserve"> other objectives </w:t>
      </w:r>
      <w:r>
        <w:t>were proposed that were</w:t>
      </w:r>
      <w:r w:rsidRPr="00A12904">
        <w:t xml:space="preserve"> either implicit in the restack task or otherwise desirable.</w:t>
      </w:r>
    </w:p>
    <w:p w:rsidR="00F23C39" w:rsidRDefault="00F23C39" w:rsidP="00F23C39">
      <w:r>
        <w:t>In reaching its decision on the restack planning principles the ACMA had regard to the planning objectives as proposed in the discussion paper together with relevant comments received in submissions on those objectives.</w:t>
      </w:r>
      <w:r w:rsidR="00E84DB4">
        <w:t xml:space="preserve"> </w:t>
      </w:r>
      <w:r>
        <w:t xml:space="preserve">Section </w:t>
      </w:r>
      <w:r w:rsidR="00BD6035">
        <w:t>3</w:t>
      </w:r>
      <w:r>
        <w:t xml:space="preserve"> list</w:t>
      </w:r>
      <w:r w:rsidR="00AA4FEF">
        <w:t>s</w:t>
      </w:r>
      <w:r>
        <w:t xml:space="preserve"> the planning objectives and discusses comment</w:t>
      </w:r>
      <w:r w:rsidR="0009362E">
        <w:t>s received on those objectives.</w:t>
      </w:r>
    </w:p>
    <w:p w:rsidR="00BD78E7" w:rsidRDefault="00BD78E7" w:rsidP="00F23C39">
      <w:pPr>
        <w:pStyle w:val="Bodysubheader"/>
      </w:pPr>
      <w:r>
        <w:lastRenderedPageBreak/>
        <w:t>Planning approach</w:t>
      </w:r>
    </w:p>
    <w:p w:rsidR="00BD78E7" w:rsidRDefault="00BD78E7" w:rsidP="008B0992">
      <w:r>
        <w:t>After considering</w:t>
      </w:r>
      <w:r w:rsidR="009E67EB">
        <w:t xml:space="preserve"> the cost modelling, </w:t>
      </w:r>
      <w:r w:rsidR="00AA4FEF">
        <w:t xml:space="preserve">timing and </w:t>
      </w:r>
      <w:r w:rsidR="009E67EB">
        <w:t xml:space="preserve">sequencing analysis, likely impact on viewers and </w:t>
      </w:r>
      <w:r w:rsidR="000C4E02">
        <w:t>long-term</w:t>
      </w:r>
      <w:r w:rsidR="009E67EB">
        <w:t xml:space="preserve"> benefits</w:t>
      </w:r>
      <w:r w:rsidR="0053442F">
        <w:t xml:space="preserve"> </w:t>
      </w:r>
      <w:r w:rsidR="009E67EB">
        <w:t>analysed</w:t>
      </w:r>
      <w:r>
        <w:t xml:space="preserve"> in the discussion paper</w:t>
      </w:r>
      <w:r w:rsidR="009E67EB">
        <w:t>,</w:t>
      </w:r>
      <w:r>
        <w:t xml:space="preserve"> the ACMA</w:t>
      </w:r>
      <w:r w:rsidDel="00103793">
        <w:t xml:space="preserve"> </w:t>
      </w:r>
      <w:r>
        <w:t>reached the preliminary view that the block planning approach should be adopted</w:t>
      </w:r>
      <w:r w:rsidR="00F8336F">
        <w:t>.</w:t>
      </w:r>
      <w:r w:rsidR="00E84DB4">
        <w:t xml:space="preserve"> </w:t>
      </w:r>
      <w:r w:rsidR="0007527B">
        <w:t>Primarily t</w:t>
      </w:r>
      <w:r w:rsidR="00F8336F">
        <w:t>his was because</w:t>
      </w:r>
      <w:r>
        <w:t xml:space="preserve"> </w:t>
      </w:r>
      <w:r w:rsidR="009E67EB">
        <w:t xml:space="preserve">the </w:t>
      </w:r>
      <w:r>
        <w:t>cost</w:t>
      </w:r>
      <w:r w:rsidR="009E67EB">
        <w:t xml:space="preserve"> and</w:t>
      </w:r>
      <w:r>
        <w:t xml:space="preserve"> time </w:t>
      </w:r>
      <w:r w:rsidR="009E67EB">
        <w:t>to implement the minimum moves and block planning approaches were similar under the ‘TRU</w:t>
      </w:r>
      <w:r w:rsidR="003024AC">
        <w:t>’</w:t>
      </w:r>
      <w:r w:rsidR="009E67EB">
        <w:t xml:space="preserve"> </w:t>
      </w:r>
      <w:r w:rsidR="003024AC">
        <w:t xml:space="preserve">implementation </w:t>
      </w:r>
      <w:r w:rsidR="009E67EB">
        <w:t>method,</w:t>
      </w:r>
      <w:r w:rsidR="003024AC">
        <w:t xml:space="preserve"> </w:t>
      </w:r>
      <w:r w:rsidR="0007527B">
        <w:t xml:space="preserve">adopting the block planning approach would have </w:t>
      </w:r>
      <w:r>
        <w:t xml:space="preserve">modest but real </w:t>
      </w:r>
      <w:r w:rsidR="0007527B">
        <w:t>longer-term benefits to broadcasters and viewers</w:t>
      </w:r>
      <w:r w:rsidR="003024AC">
        <w:t xml:space="preserve"> </w:t>
      </w:r>
      <w:r w:rsidR="009E67EB">
        <w:t xml:space="preserve">and levels of </w:t>
      </w:r>
      <w:r>
        <w:t>viewer disruption</w:t>
      </w:r>
      <w:r w:rsidR="003024AC">
        <w:t xml:space="preserve"> were assessed as being similar</w:t>
      </w:r>
      <w:r>
        <w:t>.</w:t>
      </w:r>
      <w:r w:rsidR="00E84DB4">
        <w:t xml:space="preserve"> </w:t>
      </w:r>
      <w:r w:rsidR="00F23C39">
        <w:t xml:space="preserve">In reaching this preliminary view the ACMA also noted that the method </w:t>
      </w:r>
      <w:r w:rsidR="00AA4FEF">
        <w:t xml:space="preserve">of implementing the restack </w:t>
      </w:r>
      <w:r w:rsidR="00F23C39">
        <w:t>ha</w:t>
      </w:r>
      <w:r w:rsidR="00BD6035">
        <w:t xml:space="preserve">d a far greater impact on cost </w:t>
      </w:r>
      <w:r w:rsidR="00F23C39">
        <w:t>than the planning approach.</w:t>
      </w:r>
    </w:p>
    <w:p w:rsidR="00BD78E7" w:rsidRDefault="00BD78E7" w:rsidP="008B0992">
      <w:r>
        <w:t xml:space="preserve">The </w:t>
      </w:r>
      <w:r w:rsidR="00C544B7">
        <w:t xml:space="preserve">preliminary view </w:t>
      </w:r>
      <w:r>
        <w:t xml:space="preserve">on the planning approach was </w:t>
      </w:r>
      <w:r w:rsidR="009E67EB">
        <w:t>pivotal</w:t>
      </w:r>
      <w:r>
        <w:t xml:space="preserve"> </w:t>
      </w:r>
      <w:r w:rsidR="00AA4FEF">
        <w:t>to</w:t>
      </w:r>
      <w:r>
        <w:t xml:space="preserve"> </w:t>
      </w:r>
      <w:r w:rsidR="00F8336F">
        <w:t xml:space="preserve">several of </w:t>
      </w:r>
      <w:r>
        <w:t>the thirteen draft planning principles</w:t>
      </w:r>
      <w:r w:rsidR="003024AC">
        <w:t xml:space="preserve"> canvassed in the discussion paper</w:t>
      </w:r>
      <w:r>
        <w:t>.</w:t>
      </w:r>
    </w:p>
    <w:p w:rsidR="005C61D5" w:rsidRDefault="00BD78E7" w:rsidP="008B0992">
      <w:r>
        <w:t xml:space="preserve">In considering submissions </w:t>
      </w:r>
      <w:r w:rsidR="00AA4FEF">
        <w:t xml:space="preserve">on its discussion paper </w:t>
      </w:r>
      <w:r>
        <w:t xml:space="preserve">the ACMA had close regard to matters that might tip the balance of the above factors towards the alternative </w:t>
      </w:r>
      <w:r w:rsidR="009E67EB">
        <w:t xml:space="preserve">minimum moves </w:t>
      </w:r>
      <w:r>
        <w:t>planning approach</w:t>
      </w:r>
      <w:r w:rsidR="009E67EB">
        <w:t xml:space="preserve"> and in particular potential changes due to differing views on implementation methodologies</w:t>
      </w:r>
      <w:r>
        <w:t>.</w:t>
      </w:r>
      <w:r w:rsidR="00E84DB4">
        <w:t xml:space="preserve"> </w:t>
      </w:r>
      <w:r>
        <w:t xml:space="preserve">Section </w:t>
      </w:r>
      <w:r w:rsidR="00BD6035">
        <w:t>4</w:t>
      </w:r>
      <w:r>
        <w:t xml:space="preserve"> of this decision paper discusses </w:t>
      </w:r>
      <w:r w:rsidR="00F23C39">
        <w:t>comments received on matters related to implementation methods and the choice of planning approach.</w:t>
      </w:r>
    </w:p>
    <w:p w:rsidR="005C61D5" w:rsidRDefault="005C61D5" w:rsidP="005C61D5">
      <w:pPr>
        <w:pStyle w:val="Bodysubheader"/>
      </w:pPr>
      <w:r>
        <w:t>Planning principles</w:t>
      </w:r>
    </w:p>
    <w:p w:rsidR="00705B65" w:rsidRPr="008B0992" w:rsidRDefault="0007527B" w:rsidP="005C61D5">
      <w:r>
        <w:t>Taking into account</w:t>
      </w:r>
      <w:r w:rsidR="00C80413">
        <w:t xml:space="preserve"> the preliminary view </w:t>
      </w:r>
      <w:r>
        <w:t xml:space="preserve">that the ACMA should </w:t>
      </w:r>
      <w:r w:rsidR="00C80413">
        <w:t>adopt a block planning approach, the</w:t>
      </w:r>
      <w:r w:rsidR="005C61D5">
        <w:t xml:space="preserve"> discussion paper </w:t>
      </w:r>
      <w:r w:rsidR="00C80413">
        <w:t xml:space="preserve">proposed a </w:t>
      </w:r>
      <w:r w:rsidR="00AA4FEF">
        <w:t xml:space="preserve">draft </w:t>
      </w:r>
      <w:r w:rsidR="00C80413">
        <w:t>set of 13 planning principles to be used in restack channel planning.</w:t>
      </w:r>
      <w:r w:rsidR="00E84DB4">
        <w:t xml:space="preserve"> </w:t>
      </w:r>
      <w:r w:rsidR="00C80413">
        <w:t xml:space="preserve">Section </w:t>
      </w:r>
      <w:r w:rsidR="00BD6035">
        <w:t>5</w:t>
      </w:r>
      <w:r w:rsidR="00C80413">
        <w:t xml:space="preserve"> of this decision paper </w:t>
      </w:r>
      <w:r w:rsidR="000C0E8F">
        <w:t xml:space="preserve">discusses comments received on the draft planning principles and </w:t>
      </w:r>
      <w:r w:rsidR="00C80413">
        <w:t xml:space="preserve">sets out the </w:t>
      </w:r>
      <w:r>
        <w:t xml:space="preserve">final </w:t>
      </w:r>
      <w:r w:rsidR="00C80413">
        <w:t>restack planning principles that the ACMA has adopted</w:t>
      </w:r>
      <w:r w:rsidR="00890C34">
        <w:t>.</w:t>
      </w:r>
    </w:p>
    <w:p w:rsidR="00705B65" w:rsidRDefault="00705B65" w:rsidP="000D5AEB">
      <w:pPr>
        <w:pStyle w:val="Heading1"/>
      </w:pPr>
      <w:bookmarkStart w:id="6" w:name="_Toc292291977"/>
      <w:r>
        <w:lastRenderedPageBreak/>
        <w:t>Background</w:t>
      </w:r>
      <w:bookmarkEnd w:id="6"/>
    </w:p>
    <w:p w:rsidR="005D743B" w:rsidRDefault="005D743B" w:rsidP="005D743B">
      <w:pPr>
        <w:pStyle w:val="Bodysubheader"/>
      </w:pPr>
      <w:r>
        <w:t>The digital dividend and restack</w:t>
      </w:r>
    </w:p>
    <w:p w:rsidR="00705B65" w:rsidRPr="00A7267D" w:rsidRDefault="00705B65" w:rsidP="00705B65">
      <w:pPr>
        <w:rPr>
          <w:rFonts w:ascii="Verdana" w:hAnsi="Verdana" w:cs="Arial"/>
          <w:sz w:val="18"/>
          <w:szCs w:val="18"/>
        </w:rPr>
      </w:pPr>
      <w:r w:rsidRPr="00A7267D">
        <w:t>Following the switchover from analog to digital television a significant amount of spectrum will be freed up</w:t>
      </w:r>
      <w:r>
        <w:t>.</w:t>
      </w:r>
      <w:r w:rsidR="00E84DB4">
        <w:t xml:space="preserve"> </w:t>
      </w:r>
      <w:r w:rsidRPr="00A7267D">
        <w:t>This freed spectrum is known as the digital dividend</w:t>
      </w:r>
      <w:r>
        <w:t>.</w:t>
      </w:r>
      <w:r w:rsidR="00E84DB4">
        <w:t xml:space="preserve"> </w:t>
      </w:r>
      <w:r w:rsidRPr="00A7267D">
        <w:t xml:space="preserve">The </w:t>
      </w:r>
      <w:r>
        <w:t>minister’s</w:t>
      </w:r>
      <w:r w:rsidRPr="00A7267D">
        <w:t xml:space="preserve"> announcement in June 2010 identified the size (126 MHz) and frequency band (694</w:t>
      </w:r>
      <w:r>
        <w:rPr>
          <w:rFonts w:cs="Arial"/>
        </w:rPr>
        <w:t>–</w:t>
      </w:r>
      <w:r w:rsidRPr="00A7267D">
        <w:t xml:space="preserve">820 MHz) of the </w:t>
      </w:r>
      <w:r>
        <w:t xml:space="preserve">UHF </w:t>
      </w:r>
      <w:r w:rsidRPr="00A7267D">
        <w:t>digital dividend.</w:t>
      </w:r>
      <w:r w:rsidRPr="00A7267D">
        <w:rPr>
          <w:rStyle w:val="FootnoteReference"/>
        </w:rPr>
        <w:footnoteReference w:id="5"/>
      </w:r>
    </w:p>
    <w:p w:rsidR="00705B65" w:rsidRPr="00A7267D" w:rsidRDefault="00705B65" w:rsidP="00705B65">
      <w:r w:rsidRPr="00A7267D">
        <w:t>There are three key areas of work related to yielding the digital dividend</w:t>
      </w:r>
      <w:r>
        <w:t>.</w:t>
      </w:r>
      <w:r w:rsidR="00E84DB4">
        <w:t xml:space="preserve"> </w:t>
      </w:r>
      <w:r w:rsidRPr="00A7267D">
        <w:t>The first is completion of the switchover to digital television, which results in the cessation of analog television services</w:t>
      </w:r>
      <w:r>
        <w:t>.</w:t>
      </w:r>
      <w:r w:rsidR="00E84DB4">
        <w:t xml:space="preserve"> </w:t>
      </w:r>
      <w:r w:rsidRPr="00A7267D">
        <w:t>The second is the process of clearing digital television services from the identified digital dividend band</w:t>
      </w:r>
      <w:r>
        <w:t>. T</w:t>
      </w:r>
      <w:r w:rsidRPr="00A7267D">
        <w:t>he third is the configuration and allocation of the cleared spectrum to new users.</w:t>
      </w:r>
    </w:p>
    <w:p w:rsidR="00705B65" w:rsidRDefault="00705B65" w:rsidP="00705B65">
      <w:r w:rsidRPr="00A7267D">
        <w:t xml:space="preserve">This </w:t>
      </w:r>
      <w:r w:rsidR="002736CD">
        <w:t xml:space="preserve">decision </w:t>
      </w:r>
      <w:r w:rsidRPr="00A7267D">
        <w:t xml:space="preserve">paper </w:t>
      </w:r>
      <w:r w:rsidR="00190A56">
        <w:t xml:space="preserve">and the previous </w:t>
      </w:r>
      <w:r w:rsidR="00B368C8">
        <w:t xml:space="preserve">ACMA </w:t>
      </w:r>
      <w:r w:rsidR="00190A56">
        <w:t xml:space="preserve">discussion paper </w:t>
      </w:r>
      <w:r w:rsidR="00AA4FEF">
        <w:t>address</w:t>
      </w:r>
      <w:r w:rsidRPr="00A7267D">
        <w:t xml:space="preserve"> the second process, the clearing of digital television services from the identified digital dividend band</w:t>
      </w:r>
      <w:r>
        <w:t xml:space="preserve">. </w:t>
      </w:r>
      <w:r w:rsidRPr="00A7267D">
        <w:t xml:space="preserve">This process is </w:t>
      </w:r>
      <w:r>
        <w:t>commonly</w:t>
      </w:r>
      <w:r w:rsidRPr="00A7267D">
        <w:t xml:space="preserve"> referred to as the ‘restack’.</w:t>
      </w:r>
    </w:p>
    <w:p w:rsidR="00705B65" w:rsidRDefault="00705B65" w:rsidP="00705B65">
      <w:r>
        <w:t>The restack process will have two phases.</w:t>
      </w:r>
      <w:r w:rsidR="00E84DB4">
        <w:t xml:space="preserve"> </w:t>
      </w:r>
      <w:r>
        <w:t>The first phase will involve the revision, in consultation with broadcasters and other affected persons, of the channel plans to determine the channels to which digital television services will move.</w:t>
      </w:r>
      <w:r w:rsidR="00E84DB4">
        <w:t xml:space="preserve"> </w:t>
      </w:r>
      <w:r>
        <w:t>In this phase, the ACMA will also determine the time</w:t>
      </w:r>
      <w:r w:rsidR="007F7F2F">
        <w:t xml:space="preserve"> </w:t>
      </w:r>
      <w:r>
        <w:t xml:space="preserve">frames in which the channel changes need to </w:t>
      </w:r>
      <w:r w:rsidR="00AA4FEF">
        <w:t>occur</w:t>
      </w:r>
      <w:r>
        <w:t>.</w:t>
      </w:r>
    </w:p>
    <w:p w:rsidR="00705B65" w:rsidRDefault="00705B65" w:rsidP="00705B65">
      <w:r>
        <w:t>The second phase of the restack involves broadcasters, transmission service providers and site owners implementing the channel changes.</w:t>
      </w:r>
      <w:r w:rsidR="00E84DB4">
        <w:t xml:space="preserve"> </w:t>
      </w:r>
      <w:r>
        <w:t>This will require changes to transmission infrastructure to retune or replace the transmitters and related equipment such as the combiners used to combine the output of several transmitters in to the antenna feeder cable. In some cases, transmission antennas may also need to be changed, as may program input arrangements.</w:t>
      </w:r>
    </w:p>
    <w:p w:rsidR="00705B65" w:rsidRDefault="00705B65" w:rsidP="00705B65">
      <w:r>
        <w:t>When the restack occurs at a particular transmission site, viewers receiving their television services from that site will need to retune their televisions or set-top-boxes to reacquire the television signals.</w:t>
      </w:r>
      <w:r w:rsidR="00E84DB4">
        <w:t xml:space="preserve"> </w:t>
      </w:r>
      <w:r>
        <w:t xml:space="preserve">As the ACMA develops implementation timetables for the restack, it will work closely with </w:t>
      </w:r>
      <w:r w:rsidR="00766379">
        <w:t>the Department of Broadband, Communications and the Digital Economy (</w:t>
      </w:r>
      <w:r>
        <w:t>DBCDE</w:t>
      </w:r>
      <w:r w:rsidR="00766379">
        <w:t>)</w:t>
      </w:r>
      <w:r>
        <w:t>, the government and industry on measures to assist or inform viewers in relation to retuning television receivers.</w:t>
      </w:r>
    </w:p>
    <w:p w:rsidR="00705B65" w:rsidRPr="00A7267D" w:rsidRDefault="00705B65" w:rsidP="00705B65">
      <w:pPr>
        <w:pStyle w:val="Bodysubheader"/>
      </w:pPr>
      <w:r>
        <w:t>The minister’s</w:t>
      </w:r>
      <w:r w:rsidRPr="00A7267D">
        <w:t xml:space="preserve"> direction</w:t>
      </w:r>
    </w:p>
    <w:p w:rsidR="00705B65" w:rsidRPr="00A7267D" w:rsidRDefault="00705B65" w:rsidP="00705B65">
      <w:pPr>
        <w:spacing w:after="80"/>
      </w:pPr>
      <w:r w:rsidRPr="00A7267D">
        <w:t xml:space="preserve">The </w:t>
      </w:r>
      <w:r>
        <w:t>minister</w:t>
      </w:r>
      <w:r w:rsidRPr="00A7267D">
        <w:t>, in July 2010 directed the ACMA on a range of issues related to the replanning of digital television to yield the 126 MHz of digital dividend</w:t>
      </w:r>
      <w:r>
        <w:t>.</w:t>
      </w:r>
      <w:r w:rsidR="00E84DB4">
        <w:t xml:space="preserve"> </w:t>
      </w:r>
      <w:r w:rsidRPr="00A7267D">
        <w:t xml:space="preserve">The </w:t>
      </w:r>
      <w:r w:rsidRPr="00A7267D">
        <w:rPr>
          <w:bCs/>
          <w:i/>
          <w:iCs/>
        </w:rPr>
        <w:t>Australian Communications and Media Authority (Realising the Digital Dividend) Direction 2010</w:t>
      </w:r>
      <w:r>
        <w:t xml:space="preserve"> </w:t>
      </w:r>
      <w:r w:rsidRPr="00A7267D">
        <w:rPr>
          <w:bCs/>
          <w:i/>
          <w:iCs/>
        </w:rPr>
        <w:t xml:space="preserve">(the </w:t>
      </w:r>
      <w:r>
        <w:rPr>
          <w:bCs/>
          <w:i/>
          <w:iCs/>
        </w:rPr>
        <w:t>minister</w:t>
      </w:r>
      <w:r w:rsidRPr="00A7267D">
        <w:rPr>
          <w:bCs/>
          <w:i/>
          <w:iCs/>
        </w:rPr>
        <w:t xml:space="preserve">’s </w:t>
      </w:r>
      <w:r>
        <w:rPr>
          <w:bCs/>
          <w:i/>
          <w:iCs/>
        </w:rPr>
        <w:t>d</w:t>
      </w:r>
      <w:r w:rsidRPr="00A7267D">
        <w:rPr>
          <w:bCs/>
          <w:i/>
          <w:iCs/>
        </w:rPr>
        <w:t>irection)</w:t>
      </w:r>
      <w:r>
        <w:rPr>
          <w:bCs/>
          <w:iCs/>
        </w:rPr>
        <w:t xml:space="preserve"> </w:t>
      </w:r>
      <w:r w:rsidRPr="00A7267D">
        <w:t xml:space="preserve">sets </w:t>
      </w:r>
      <w:r>
        <w:t>several</w:t>
      </w:r>
      <w:r w:rsidRPr="00A7267D">
        <w:t xml:space="preserve"> of the high-level objectives for the ACMA’s restack planning</w:t>
      </w:r>
      <w:r>
        <w:t>.</w:t>
      </w:r>
      <w:r w:rsidR="00E84DB4">
        <w:t xml:space="preserve"> </w:t>
      </w:r>
      <w:r w:rsidRPr="00A7267D">
        <w:t>These objectives include:</w:t>
      </w:r>
    </w:p>
    <w:p w:rsidR="00705B65" w:rsidRPr="00A7267D" w:rsidRDefault="00705B65" w:rsidP="00705B65">
      <w:pPr>
        <w:pStyle w:val="ListBullet"/>
      </w:pPr>
      <w:r w:rsidRPr="00A7267D">
        <w:t>the requirement to clear the dividend band (694-820 MHz)</w:t>
      </w:r>
    </w:p>
    <w:p w:rsidR="00705B65" w:rsidRPr="00A7267D" w:rsidRDefault="00705B65" w:rsidP="00705B65">
      <w:pPr>
        <w:pStyle w:val="ListBullet"/>
      </w:pPr>
      <w:r w:rsidRPr="00A7267D">
        <w:t xml:space="preserve">the </w:t>
      </w:r>
      <w:r>
        <w:t>requirement to complete</w:t>
      </w:r>
      <w:r w:rsidRPr="00A91A50">
        <w:t xml:space="preserve"> restack </w:t>
      </w:r>
      <w:r>
        <w:t>as soon as possible</w:t>
      </w:r>
      <w:r w:rsidRPr="00A91A50">
        <w:t xml:space="preserve"> </w:t>
      </w:r>
      <w:r w:rsidR="002547E9">
        <w:t xml:space="preserve">after the final switchover day </w:t>
      </w:r>
      <w:r w:rsidRPr="00A91A50">
        <w:t>(</w:t>
      </w:r>
      <w:r>
        <w:t>with a target of end 2014</w:t>
      </w:r>
      <w:r w:rsidR="002547E9">
        <w:rPr>
          <w:rStyle w:val="FootnoteReference"/>
        </w:rPr>
        <w:footnoteReference w:id="6"/>
      </w:r>
      <w:r>
        <w:t>)</w:t>
      </w:r>
    </w:p>
    <w:p w:rsidR="00705B65" w:rsidRPr="00A7267D" w:rsidRDefault="00705B65" w:rsidP="00705B65">
      <w:pPr>
        <w:pStyle w:val="ListBullet"/>
      </w:pPr>
      <w:r w:rsidRPr="00A7267D">
        <w:t>the number of services to be planned</w:t>
      </w:r>
      <w:r>
        <w:t xml:space="preserve"> at each location (generally 6 but 9 in licence overlap areas)</w:t>
      </w:r>
    </w:p>
    <w:p w:rsidR="00705B65" w:rsidRPr="00A7267D" w:rsidRDefault="00705B65" w:rsidP="00705B65">
      <w:pPr>
        <w:pStyle w:val="ListBullet"/>
      </w:pPr>
      <w:r w:rsidRPr="00A7267D">
        <w:lastRenderedPageBreak/>
        <w:t xml:space="preserve">the retention of </w:t>
      </w:r>
      <w:r>
        <w:t xml:space="preserve">VHF </w:t>
      </w:r>
      <w:r w:rsidRPr="00A7267D">
        <w:t>spectrum for digital radio purposes</w:t>
      </w:r>
      <w:r>
        <w:t xml:space="preserve"> (14 MHz)</w:t>
      </w:r>
    </w:p>
    <w:p w:rsidR="00705B65" w:rsidRPr="00A7267D" w:rsidRDefault="00705B65" w:rsidP="00705B65">
      <w:pPr>
        <w:pStyle w:val="ListBullet"/>
      </w:pPr>
      <w:r w:rsidRPr="00A7267D">
        <w:t>specific planning arrangements for metropolitan area main transmission sites</w:t>
      </w:r>
      <w:r>
        <w:t xml:space="preserve"> (all services to be in VHF)</w:t>
      </w:r>
    </w:p>
    <w:p w:rsidR="00705B65" w:rsidRPr="00A7267D" w:rsidRDefault="00705B65" w:rsidP="00705B65">
      <w:pPr>
        <w:pStyle w:val="ListBullet"/>
      </w:pPr>
      <w:r w:rsidRPr="00A7267D">
        <w:t xml:space="preserve">the requirement to consider viewer and broadcaster costs and viewer disruption </w:t>
      </w:r>
      <w:r>
        <w:t xml:space="preserve">resulting from any changes that are not necessary for, or consequential to, the achievement of the policy objectives of the minister’s direction. </w:t>
      </w:r>
    </w:p>
    <w:p w:rsidR="00705B65" w:rsidRDefault="00705B65" w:rsidP="00705B65">
      <w:pPr>
        <w:spacing w:before="240"/>
      </w:pPr>
      <w:r w:rsidRPr="00A7267D">
        <w:t xml:space="preserve">A copy of </w:t>
      </w:r>
      <w:r w:rsidRPr="007132C0">
        <w:t xml:space="preserve">the </w:t>
      </w:r>
      <w:r>
        <w:rPr>
          <w:bCs/>
          <w:iCs/>
        </w:rPr>
        <w:t>minister</w:t>
      </w:r>
      <w:r w:rsidRPr="007132C0">
        <w:rPr>
          <w:bCs/>
          <w:iCs/>
        </w:rPr>
        <w:t>’s direction</w:t>
      </w:r>
      <w:r>
        <w:rPr>
          <w:bCs/>
          <w:iCs/>
        </w:rPr>
        <w:t xml:space="preserve"> </w:t>
      </w:r>
      <w:r>
        <w:t>an</w:t>
      </w:r>
      <w:r w:rsidRPr="00A7267D">
        <w:t xml:space="preserve">d </w:t>
      </w:r>
      <w:r>
        <w:t xml:space="preserve">the </w:t>
      </w:r>
      <w:r w:rsidRPr="00A7267D">
        <w:t xml:space="preserve">explanatory statement </w:t>
      </w:r>
      <w:r w:rsidR="00190A56">
        <w:t>were attached</w:t>
      </w:r>
      <w:r w:rsidRPr="00A7267D">
        <w:t xml:space="preserve"> to th</w:t>
      </w:r>
      <w:r w:rsidR="00190A56">
        <w:t>e</w:t>
      </w:r>
      <w:r w:rsidRPr="00A7267D">
        <w:t xml:space="preserve"> </w:t>
      </w:r>
      <w:r>
        <w:t>discussion paper</w:t>
      </w:r>
      <w:r w:rsidRPr="00A7267D">
        <w:t>.</w:t>
      </w:r>
      <w:r w:rsidR="00E84DB4">
        <w:t xml:space="preserve"> </w:t>
      </w:r>
      <w:r w:rsidR="002320F3">
        <w:t xml:space="preserve">The minister’s direction is also available on </w:t>
      </w:r>
      <w:hyperlink r:id="rId29" w:history="1">
        <w:r w:rsidR="002320F3" w:rsidRPr="002320F3">
          <w:rPr>
            <w:rStyle w:val="Hyperlink"/>
          </w:rPr>
          <w:t>comlaw.gov.au</w:t>
        </w:r>
      </w:hyperlink>
      <w:r w:rsidR="002320F3">
        <w:t>.</w:t>
      </w:r>
    </w:p>
    <w:p w:rsidR="00B368C8" w:rsidRPr="00A7267D" w:rsidRDefault="00B368C8" w:rsidP="00705B65">
      <w:pPr>
        <w:spacing w:before="240"/>
      </w:pPr>
      <w:r>
        <w:t xml:space="preserve">The matters contained in the minister’s direction, including the number of </w:t>
      </w:r>
      <w:r w:rsidR="00A143DA">
        <w:t xml:space="preserve">channels </w:t>
      </w:r>
      <w:r>
        <w:t xml:space="preserve">to be planned at each location and the amount of spectrum reserved for digital radio, are </w:t>
      </w:r>
      <w:r w:rsidR="00FE6A0E">
        <w:t>matters that must be considered by</w:t>
      </w:r>
      <w:r>
        <w:t xml:space="preserve"> the ACMA</w:t>
      </w:r>
      <w:r w:rsidR="00FE6A0E">
        <w:t xml:space="preserve"> in exercising its powers in relation to the restack</w:t>
      </w:r>
      <w:r>
        <w:t>.</w:t>
      </w:r>
    </w:p>
    <w:p w:rsidR="00705B65" w:rsidRPr="00A7267D" w:rsidRDefault="00705B65" w:rsidP="002736CD">
      <w:pPr>
        <w:pStyle w:val="Bodysubheader"/>
      </w:pPr>
      <w:r w:rsidRPr="00A7267D">
        <w:t xml:space="preserve">Purpose of </w:t>
      </w:r>
      <w:r w:rsidR="00190A56">
        <w:t>the</w:t>
      </w:r>
      <w:r w:rsidRPr="00A7267D">
        <w:t xml:space="preserve"> discussion paper</w:t>
      </w:r>
    </w:p>
    <w:p w:rsidR="00705B65" w:rsidRPr="00A7267D" w:rsidRDefault="00705B65" w:rsidP="00705B65">
      <w:r w:rsidRPr="00A12904">
        <w:t xml:space="preserve">The </w:t>
      </w:r>
      <w:r>
        <w:t>minister’s direction</w:t>
      </w:r>
      <w:r w:rsidRPr="00A12904">
        <w:t xml:space="preserve"> settled </w:t>
      </w:r>
      <w:r>
        <w:t>several</w:t>
      </w:r>
      <w:r w:rsidRPr="00A12904">
        <w:t xml:space="preserve"> of the key high</w:t>
      </w:r>
      <w:r>
        <w:t>-</w:t>
      </w:r>
      <w:r w:rsidRPr="00A12904">
        <w:t>level restack objectives and some of the detailed planning principles to be applied</w:t>
      </w:r>
      <w:r>
        <w:t>.</w:t>
      </w:r>
      <w:r w:rsidR="00E84DB4">
        <w:t xml:space="preserve"> </w:t>
      </w:r>
      <w:r w:rsidRPr="00A12904">
        <w:t xml:space="preserve">However, a number of important restack </w:t>
      </w:r>
      <w:r>
        <w:t xml:space="preserve">matters </w:t>
      </w:r>
      <w:r w:rsidRPr="00A12904">
        <w:t>were left to the ACMA to determine.</w:t>
      </w:r>
      <w:r w:rsidR="00E84DB4">
        <w:t xml:space="preserve"> </w:t>
      </w:r>
      <w:r>
        <w:t>These</w:t>
      </w:r>
      <w:r w:rsidRPr="00A7267D">
        <w:t xml:space="preserve"> issues need</w:t>
      </w:r>
      <w:r w:rsidR="00C544B7">
        <w:t>ed</w:t>
      </w:r>
      <w:r w:rsidRPr="00A7267D">
        <w:t xml:space="preserve"> to be settled</w:t>
      </w:r>
      <w:r>
        <w:t>,</w:t>
      </w:r>
      <w:r w:rsidRPr="00175D4E">
        <w:t xml:space="preserve"> </w:t>
      </w:r>
      <w:r>
        <w:t>and a clear and unambiguous set of guiding principles developed,</w:t>
      </w:r>
      <w:r w:rsidRPr="00A7267D">
        <w:t xml:space="preserve"> before the ACMA’s replanning of digital television channels can commence.</w:t>
      </w:r>
    </w:p>
    <w:p w:rsidR="00705B65" w:rsidRDefault="00190A56" w:rsidP="00705B65">
      <w:r>
        <w:t xml:space="preserve">The </w:t>
      </w:r>
      <w:r w:rsidR="002736CD">
        <w:t xml:space="preserve">ACMA </w:t>
      </w:r>
      <w:r>
        <w:t xml:space="preserve">discussion </w:t>
      </w:r>
      <w:r w:rsidR="00705B65">
        <w:t>p</w:t>
      </w:r>
      <w:r>
        <w:t xml:space="preserve">aper </w:t>
      </w:r>
      <w:r w:rsidR="002736CD">
        <w:t xml:space="preserve">released in February 2011 </w:t>
      </w:r>
      <w:r>
        <w:t>proposed</w:t>
      </w:r>
      <w:r w:rsidR="00705B65" w:rsidRPr="00A12904">
        <w:t xml:space="preserve"> a set of restack planning objectives</w:t>
      </w:r>
      <w:r w:rsidR="00705B65">
        <w:t xml:space="preserve"> that identify the high-level outcomes expected from restack. </w:t>
      </w:r>
      <w:r w:rsidR="00705B65" w:rsidRPr="00A12904">
        <w:t xml:space="preserve">In addition to those objectives derived from the </w:t>
      </w:r>
      <w:r w:rsidR="00705B65">
        <w:t>minister’s direction</w:t>
      </w:r>
      <w:r w:rsidR="00705B65" w:rsidRPr="00A12904">
        <w:t xml:space="preserve"> a </w:t>
      </w:r>
      <w:r w:rsidR="00705B65">
        <w:t>number of</w:t>
      </w:r>
      <w:r w:rsidR="00705B65" w:rsidRPr="00A12904">
        <w:t xml:space="preserve"> other objectives </w:t>
      </w:r>
      <w:r>
        <w:t>were</w:t>
      </w:r>
      <w:r w:rsidR="00705B65">
        <w:t xml:space="preserve"> proposed that </w:t>
      </w:r>
      <w:r>
        <w:t>were</w:t>
      </w:r>
      <w:r w:rsidR="00705B65" w:rsidRPr="00A12904">
        <w:t xml:space="preserve"> either implicit in the restack task or otherwise desirable.</w:t>
      </w:r>
    </w:p>
    <w:p w:rsidR="00705B65" w:rsidRDefault="00705B65" w:rsidP="002736CD">
      <w:r w:rsidRPr="00A12904">
        <w:t xml:space="preserve">While the restack objectives set the </w:t>
      </w:r>
      <w:r>
        <w:t>desired</w:t>
      </w:r>
      <w:r w:rsidRPr="00A12904">
        <w:t xml:space="preserve"> high-level outcomes, </w:t>
      </w:r>
      <w:r w:rsidRPr="00AC546B">
        <w:t>in order to achieve the restack objectives</w:t>
      </w:r>
      <w:r w:rsidRPr="00F234CF">
        <w:t xml:space="preserve"> </w:t>
      </w:r>
      <w:r w:rsidR="002736CD">
        <w:t xml:space="preserve">the discussion paper identified </w:t>
      </w:r>
      <w:r w:rsidRPr="00A12904">
        <w:t>a need for restack planning principles that provide guidelines for detailed channel planning</w:t>
      </w:r>
      <w:r>
        <w:t xml:space="preserve"> address</w:t>
      </w:r>
      <w:r w:rsidR="000D5AEB">
        <w:t>ing</w:t>
      </w:r>
      <w:r>
        <w:t xml:space="preserve"> the </w:t>
      </w:r>
      <w:r w:rsidRPr="00A12904">
        <w:t>following restack planning issues:</w:t>
      </w:r>
    </w:p>
    <w:p w:rsidR="00705B65" w:rsidRDefault="00705B65" w:rsidP="000A7EC3">
      <w:pPr>
        <w:pStyle w:val="ListBullet"/>
        <w:rPr>
          <w:snapToGrid w:val="0"/>
          <w:lang w:eastAsia="en-US"/>
        </w:rPr>
      </w:pPr>
      <w:r>
        <w:rPr>
          <w:snapToGrid w:val="0"/>
          <w:lang w:eastAsia="en-US"/>
        </w:rPr>
        <w:t>t</w:t>
      </w:r>
      <w:r w:rsidRPr="00A12904">
        <w:rPr>
          <w:snapToGrid w:val="0"/>
          <w:lang w:eastAsia="en-US"/>
        </w:rPr>
        <w:t>he overall channel planning approach to be followed</w:t>
      </w:r>
    </w:p>
    <w:p w:rsidR="00705B65" w:rsidRDefault="00705B65" w:rsidP="000A7EC3">
      <w:pPr>
        <w:pStyle w:val="ListBullet"/>
        <w:rPr>
          <w:snapToGrid w:val="0"/>
          <w:lang w:eastAsia="en-US"/>
        </w:rPr>
      </w:pPr>
      <w:r>
        <w:rPr>
          <w:snapToGrid w:val="0"/>
          <w:lang w:eastAsia="en-US"/>
        </w:rPr>
        <w:t>t</w:t>
      </w:r>
      <w:r w:rsidRPr="00A12904">
        <w:rPr>
          <w:snapToGrid w:val="0"/>
          <w:lang w:eastAsia="en-US"/>
        </w:rPr>
        <w:t xml:space="preserve">he technical </w:t>
      </w:r>
      <w:r>
        <w:rPr>
          <w:snapToGrid w:val="0"/>
          <w:lang w:eastAsia="en-US"/>
        </w:rPr>
        <w:t>basis</w:t>
      </w:r>
      <w:r w:rsidRPr="00A12904">
        <w:rPr>
          <w:snapToGrid w:val="0"/>
          <w:lang w:eastAsia="en-US"/>
        </w:rPr>
        <w:t xml:space="preserve"> </w:t>
      </w:r>
      <w:r>
        <w:rPr>
          <w:snapToGrid w:val="0"/>
          <w:lang w:eastAsia="en-US"/>
        </w:rPr>
        <w:t>for</w:t>
      </w:r>
      <w:r w:rsidRPr="00A12904">
        <w:rPr>
          <w:snapToGrid w:val="0"/>
          <w:lang w:eastAsia="en-US"/>
        </w:rPr>
        <w:t xml:space="preserve"> planning</w:t>
      </w:r>
    </w:p>
    <w:p w:rsidR="00705B65" w:rsidRDefault="00705B65" w:rsidP="000A7EC3">
      <w:pPr>
        <w:pStyle w:val="ListBullet"/>
        <w:rPr>
          <w:snapToGrid w:val="0"/>
          <w:lang w:eastAsia="en-US"/>
        </w:rPr>
      </w:pPr>
      <w:r>
        <w:rPr>
          <w:snapToGrid w:val="0"/>
          <w:lang w:eastAsia="en-US"/>
        </w:rPr>
        <w:t>a</w:t>
      </w:r>
      <w:r w:rsidRPr="00A12904">
        <w:rPr>
          <w:snapToGrid w:val="0"/>
          <w:lang w:eastAsia="en-US"/>
        </w:rPr>
        <w:t>rrangements to support digital radio spectrum requirements</w:t>
      </w:r>
    </w:p>
    <w:p w:rsidR="00705B65" w:rsidRDefault="00705B65" w:rsidP="000A7EC3">
      <w:pPr>
        <w:pStyle w:val="ListBullet"/>
        <w:rPr>
          <w:snapToGrid w:val="0"/>
          <w:lang w:eastAsia="en-US"/>
        </w:rPr>
      </w:pPr>
      <w:r>
        <w:rPr>
          <w:snapToGrid w:val="0"/>
          <w:lang w:eastAsia="en-US"/>
        </w:rPr>
        <w:t>a</w:t>
      </w:r>
      <w:r w:rsidRPr="00A12904">
        <w:rPr>
          <w:snapToGrid w:val="0"/>
          <w:lang w:eastAsia="en-US"/>
        </w:rPr>
        <w:t xml:space="preserve"> range of lower level planning principles including the use of single frequency networks (SFNs) and channel assignment rules.</w:t>
      </w:r>
    </w:p>
    <w:p w:rsidR="00705B65" w:rsidRDefault="00705B65" w:rsidP="00705B65">
      <w:pPr>
        <w:spacing w:before="240"/>
      </w:pPr>
      <w:r>
        <w:t>Of these, the</w:t>
      </w:r>
      <w:r w:rsidRPr="00A12904">
        <w:t xml:space="preserve"> overall channel planning approach </w:t>
      </w:r>
      <w:r w:rsidR="00190A56">
        <w:t>was</w:t>
      </w:r>
      <w:r w:rsidRPr="00A12904">
        <w:t xml:space="preserve"> by far the most complex and important issue </w:t>
      </w:r>
      <w:r w:rsidR="00C544B7">
        <w:t>requiring</w:t>
      </w:r>
      <w:r w:rsidRPr="00A12904">
        <w:t xml:space="preserve"> resol</w:t>
      </w:r>
      <w:r w:rsidR="00C544B7">
        <w:t>ution</w:t>
      </w:r>
      <w:r w:rsidRPr="00A12904">
        <w:t xml:space="preserve"> prior to the commencement of detail</w:t>
      </w:r>
      <w:r>
        <w:t>ed</w:t>
      </w:r>
      <w:r w:rsidRPr="00A12904">
        <w:t xml:space="preserve"> restack planning.</w:t>
      </w:r>
      <w:r w:rsidR="00E84DB4">
        <w:t xml:space="preserve"> </w:t>
      </w:r>
      <w:r w:rsidRPr="00735155">
        <w:t xml:space="preserve">Two main candidate planning approaches </w:t>
      </w:r>
      <w:r w:rsidR="00190A56">
        <w:t>were</w:t>
      </w:r>
      <w:r w:rsidRPr="00735155">
        <w:t xml:space="preserve"> identified and considered in detail: </w:t>
      </w:r>
      <w:r>
        <w:t xml:space="preserve">these </w:t>
      </w:r>
      <w:r w:rsidR="00B368C8">
        <w:t>were</w:t>
      </w:r>
      <w:r>
        <w:t xml:space="preserve"> termed the ‘</w:t>
      </w:r>
      <w:r w:rsidRPr="00735155">
        <w:t>block</w:t>
      </w:r>
      <w:r>
        <w:t>’</w:t>
      </w:r>
      <w:r w:rsidRPr="00735155">
        <w:t xml:space="preserve"> and </w:t>
      </w:r>
      <w:r>
        <w:t>‘</w:t>
      </w:r>
      <w:r w:rsidRPr="00735155">
        <w:t>minimum moves</w:t>
      </w:r>
      <w:r>
        <w:t>’</w:t>
      </w:r>
      <w:r w:rsidRPr="00175D4E">
        <w:t xml:space="preserve"> </w:t>
      </w:r>
      <w:r>
        <w:t>planning approaches</w:t>
      </w:r>
      <w:r w:rsidRPr="00A2065D">
        <w:rPr>
          <w:rFonts w:cs="Arial"/>
        </w:rPr>
        <w:t>.</w:t>
      </w:r>
    </w:p>
    <w:p w:rsidR="00705B65" w:rsidRPr="00A7267D" w:rsidRDefault="00705B65" w:rsidP="00705B65">
      <w:r w:rsidRPr="00A7267D">
        <w:t xml:space="preserve">The </w:t>
      </w:r>
      <w:r>
        <w:t>block planning</w:t>
      </w:r>
      <w:r w:rsidRPr="00A7267D">
        <w:t xml:space="preserve"> </w:t>
      </w:r>
      <w:r w:rsidR="00AA4FEF">
        <w:t xml:space="preserve">approach </w:t>
      </w:r>
      <w:r w:rsidRPr="00A7267D">
        <w:t>take</w:t>
      </w:r>
      <w:r w:rsidR="00C544B7">
        <w:t>s</w:t>
      </w:r>
      <w:r w:rsidRPr="00A7267D">
        <w:t xml:space="preserve"> a green fields approach to channel allotments for each transmission site, placing all services at a site in </w:t>
      </w:r>
      <w:r>
        <w:t xml:space="preserve">one of five </w:t>
      </w:r>
      <w:r w:rsidRPr="00A7267D">
        <w:t>block</w:t>
      </w:r>
      <w:r>
        <w:t>s</w:t>
      </w:r>
      <w:r w:rsidRPr="00A7267D">
        <w:t xml:space="preserve"> of </w:t>
      </w:r>
      <w:r>
        <w:t>six</w:t>
      </w:r>
      <w:r w:rsidRPr="00A7267D">
        <w:t xml:space="preserve"> contiguous channels</w:t>
      </w:r>
      <w:r>
        <w:t>.</w:t>
      </w:r>
      <w:r>
        <w:rPr>
          <w:rStyle w:val="FootnoteReference"/>
        </w:rPr>
        <w:footnoteReference w:id="7"/>
      </w:r>
    </w:p>
    <w:p w:rsidR="00705B65" w:rsidRDefault="00705B65" w:rsidP="00705B65">
      <w:r>
        <w:t xml:space="preserve">The alternative approach is referred to as </w:t>
      </w:r>
      <w:r w:rsidRPr="00A7267D">
        <w:t xml:space="preserve">the </w:t>
      </w:r>
      <w:r>
        <w:t>minimum moves approach.</w:t>
      </w:r>
      <w:r w:rsidR="00E84DB4">
        <w:t xml:space="preserve"> </w:t>
      </w:r>
      <w:r>
        <w:t>It aim</w:t>
      </w:r>
      <w:r w:rsidR="00C544B7">
        <w:t>s</w:t>
      </w:r>
      <w:r w:rsidRPr="00A7267D">
        <w:t xml:space="preserve"> to minimise the number of channel moves by only changing the channel allotments where absolutely necessary</w:t>
      </w:r>
      <w:r>
        <w:t>.</w:t>
      </w:r>
      <w:r w:rsidR="00E84DB4">
        <w:t xml:space="preserve"> </w:t>
      </w:r>
      <w:r w:rsidRPr="00A7267D">
        <w:t>A necessary move is</w:t>
      </w:r>
      <w:r>
        <w:t xml:space="preserve"> either:</w:t>
      </w:r>
      <w:r w:rsidRPr="00A7267D">
        <w:t xml:space="preserve"> one where the current channel is in the digital dividend band</w:t>
      </w:r>
      <w:r>
        <w:t>,</w:t>
      </w:r>
      <w:r w:rsidRPr="00A7267D">
        <w:t xml:space="preserve"> or a consequential move to make way for another service to move.</w:t>
      </w:r>
    </w:p>
    <w:p w:rsidR="00705B65" w:rsidRDefault="00705B65" w:rsidP="00705B65">
      <w:pPr>
        <w:tabs>
          <w:tab w:val="left" w:pos="0"/>
        </w:tabs>
      </w:pPr>
      <w:r>
        <w:lastRenderedPageBreak/>
        <w:t xml:space="preserve">The two planning approaches </w:t>
      </w:r>
      <w:r w:rsidR="00190A56">
        <w:t>were identified as</w:t>
      </w:r>
      <w:r>
        <w:t xml:space="preserve"> not the only possible planning </w:t>
      </w:r>
      <w:proofErr w:type="gramStart"/>
      <w:r>
        <w:t>approaches,</w:t>
      </w:r>
      <w:proofErr w:type="gramEnd"/>
      <w:r>
        <w:t xml:space="preserve"> rather they represent end points on a continuum.</w:t>
      </w:r>
      <w:r w:rsidR="00E84DB4">
        <w:t xml:space="preserve"> </w:t>
      </w:r>
      <w:r>
        <w:t xml:space="preserve">Hybrids </w:t>
      </w:r>
      <w:r w:rsidR="00AA4FEF">
        <w:t xml:space="preserve">and variants </w:t>
      </w:r>
      <w:r>
        <w:t>are possible however</w:t>
      </w:r>
      <w:r w:rsidR="005215B0">
        <w:t>,</w:t>
      </w:r>
      <w:r>
        <w:t xml:space="preserve"> in the time available</w:t>
      </w:r>
      <w:r w:rsidR="00F364B9">
        <w:t>,</w:t>
      </w:r>
      <w:r>
        <w:t xml:space="preserve"> the ACMA </w:t>
      </w:r>
      <w:r w:rsidR="00190A56">
        <w:t>chose</w:t>
      </w:r>
      <w:r>
        <w:t xml:space="preserve"> to </w:t>
      </w:r>
      <w:r w:rsidR="00AA4FEF">
        <w:t xml:space="preserve">perform a detailed </w:t>
      </w:r>
      <w:r>
        <w:t>examin</w:t>
      </w:r>
      <w:r w:rsidR="00AA4FEF">
        <w:t>ation of</w:t>
      </w:r>
      <w:r>
        <w:t xml:space="preserve"> the two approaches only, representing on the one hand an innovation strongly supported by all commercial television broadcasters and, on the other, </w:t>
      </w:r>
      <w:r w:rsidR="00F364B9">
        <w:t xml:space="preserve">the </w:t>
      </w:r>
      <w:r>
        <w:t>incremental approach that is characteristic of Australian television planning over many years.</w:t>
      </w:r>
    </w:p>
    <w:p w:rsidR="00B368C8" w:rsidRPr="008D52D1" w:rsidRDefault="00B368C8" w:rsidP="00B368C8">
      <w:r>
        <w:t>T</w:t>
      </w:r>
      <w:r w:rsidRPr="008D52D1">
        <w:t>he discussion paper compare</w:t>
      </w:r>
      <w:r>
        <w:t>d</w:t>
      </w:r>
      <w:r w:rsidRPr="008D52D1">
        <w:t xml:space="preserve"> these planning approaches in detail, evaluating each against the proposed </w:t>
      </w:r>
      <w:r w:rsidR="00AA4FEF">
        <w:t xml:space="preserve">restack planning </w:t>
      </w:r>
      <w:r w:rsidRPr="008D52D1">
        <w:t>objectives and, in particular, the key issues of cost (including cost to broadcasters and costs to viewers) and viewer disruption, timing implications for completion of the restack and long-term benefits.</w:t>
      </w:r>
    </w:p>
    <w:p w:rsidR="00B368C8" w:rsidRPr="008D52D1" w:rsidRDefault="00B368C8" w:rsidP="00B368C8">
      <w:r w:rsidRPr="008D52D1">
        <w:t>To test the feasibility of both planning approaches and compare their costs and timing implications, the ACMA prepared channel plans using the two planning approaches for Queensland and adjacent areas.</w:t>
      </w:r>
      <w:r w:rsidR="00E84DB4">
        <w:t xml:space="preserve"> </w:t>
      </w:r>
      <w:r w:rsidRPr="008D52D1">
        <w:t>Queensland was chosen as it contains the most congested part of the country for television channel planning (Brisbane and the south east corner</w:t>
      </w:r>
      <w:r w:rsidR="006A044B">
        <w:t xml:space="preserve"> of Queensland</w:t>
      </w:r>
      <w:r w:rsidRPr="008D52D1">
        <w:t xml:space="preserve">) and represents a large enough sample of sites to </w:t>
      </w:r>
      <w:r w:rsidR="00AA4FEF">
        <w:t xml:space="preserve">allow </w:t>
      </w:r>
      <w:r w:rsidRPr="008D52D1">
        <w:t xml:space="preserve">useful conclusions </w:t>
      </w:r>
      <w:r w:rsidR="00AA4FEF">
        <w:t xml:space="preserve">to be drawn </w:t>
      </w:r>
      <w:r w:rsidRPr="008D52D1">
        <w:t>about how the approaches would compare nationally.</w:t>
      </w:r>
    </w:p>
    <w:p w:rsidR="005D743B" w:rsidRPr="00A7267D" w:rsidRDefault="005D743B" w:rsidP="005D743B">
      <w:r>
        <w:t>Four</w:t>
      </w:r>
      <w:r w:rsidRPr="00A7267D">
        <w:t xml:space="preserve"> reports </w:t>
      </w:r>
      <w:r>
        <w:t xml:space="preserve">were released </w:t>
      </w:r>
      <w:r w:rsidRPr="00A7267D">
        <w:t>in conjunction with th</w:t>
      </w:r>
      <w:r>
        <w:t>e</w:t>
      </w:r>
      <w:r w:rsidRPr="00A7267D">
        <w:t xml:space="preserve"> discussion paper</w:t>
      </w:r>
      <w:r>
        <w:t>.</w:t>
      </w:r>
      <w:r w:rsidR="00E84DB4">
        <w:t xml:space="preserve"> </w:t>
      </w:r>
      <w:r>
        <w:t>Three of these reports were prepared by the ACMA’s broadcast planning engineers and one by a consultant commissioned by the ACMA.</w:t>
      </w:r>
      <w:r w:rsidR="00E84DB4">
        <w:t xml:space="preserve"> </w:t>
      </w:r>
      <w:r w:rsidRPr="00A7267D">
        <w:t xml:space="preserve">These reports </w:t>
      </w:r>
      <w:r w:rsidR="000D5AEB">
        <w:t>were</w:t>
      </w:r>
      <w:r w:rsidRPr="00A7267D">
        <w:t xml:space="preserve"> developed in order to compare and evaluate the alternative planning approaches</w:t>
      </w:r>
      <w:r>
        <w:t>.</w:t>
      </w:r>
    </w:p>
    <w:p w:rsidR="005D743B" w:rsidRPr="00A7267D" w:rsidRDefault="005D743B" w:rsidP="005D743B">
      <w:r w:rsidRPr="00A7267D">
        <w:t>The first report describe</w:t>
      </w:r>
      <w:r>
        <w:t>d</w:t>
      </w:r>
      <w:r w:rsidRPr="00A7267D">
        <w:t xml:space="preserve"> two channel plans the ACMA prepared for the non-remote parts of Queensland</w:t>
      </w:r>
      <w:r>
        <w:rPr>
          <w:rFonts w:cs="Arial"/>
        </w:rPr>
        <w:t>—</w:t>
      </w:r>
      <w:r w:rsidRPr="00A7267D">
        <w:t>one using a block planning approach and the other a minimum moves approach</w:t>
      </w:r>
      <w:r>
        <w:t>.</w:t>
      </w:r>
      <w:r w:rsidRPr="00A7267D">
        <w:rPr>
          <w:rStyle w:val="FootnoteReference"/>
        </w:rPr>
        <w:footnoteReference w:id="8"/>
      </w:r>
      <w:r w:rsidR="00E84DB4">
        <w:t xml:space="preserve"> </w:t>
      </w:r>
      <w:r w:rsidRPr="00A7267D">
        <w:t xml:space="preserve">The report also </w:t>
      </w:r>
      <w:r>
        <w:t xml:space="preserve">provided an analysis of </w:t>
      </w:r>
      <w:r w:rsidRPr="00A7267D">
        <w:t>the basic metrics of the two plans indicating the number of services and sites affected and a range of other quantitative values associated with the plans.</w:t>
      </w:r>
    </w:p>
    <w:p w:rsidR="005D743B" w:rsidRPr="00A7267D" w:rsidRDefault="005D743B" w:rsidP="005D743B">
      <w:r w:rsidRPr="00A7267D">
        <w:t>The second report describe</w:t>
      </w:r>
      <w:r>
        <w:t>d</w:t>
      </w:r>
      <w:r w:rsidRPr="00A7267D">
        <w:t xml:space="preserve"> a costing model that the ACMA has developed</w:t>
      </w:r>
      <w:r>
        <w:t>.</w:t>
      </w:r>
      <w:r w:rsidR="00E84DB4">
        <w:t xml:space="preserve"> </w:t>
      </w:r>
      <w:r>
        <w:t xml:space="preserve">The report described the results of using the model </w:t>
      </w:r>
      <w:r w:rsidRPr="00A7267D">
        <w:t xml:space="preserve">to assess the relative costs of the two </w:t>
      </w:r>
      <w:r w:rsidR="00AA4FEF">
        <w:t xml:space="preserve">planning </w:t>
      </w:r>
      <w:r w:rsidRPr="00A7267D">
        <w:t>approaches.</w:t>
      </w:r>
      <w:r w:rsidRPr="00A7267D">
        <w:rPr>
          <w:rStyle w:val="FootnoteReference"/>
        </w:rPr>
        <w:footnoteReference w:id="9"/>
      </w:r>
    </w:p>
    <w:p w:rsidR="005D743B" w:rsidRPr="00A7267D" w:rsidRDefault="005D743B" w:rsidP="005D743B">
      <w:r w:rsidRPr="00A7267D">
        <w:t xml:space="preserve">The </w:t>
      </w:r>
      <w:r>
        <w:t>third</w:t>
      </w:r>
      <w:r w:rsidRPr="00A7267D">
        <w:t xml:space="preserve"> report</w:t>
      </w:r>
      <w:r>
        <w:t>,</w:t>
      </w:r>
      <w:r w:rsidRPr="00A7267D">
        <w:t xml:space="preserve"> </w:t>
      </w:r>
      <w:r>
        <w:t xml:space="preserve">provided under consultancy from Kordia Solutions, provided the modular costs for transmission equipment and the times needed to install or retune equipment that were used in the development of the </w:t>
      </w:r>
      <w:r w:rsidRPr="00A7267D">
        <w:t xml:space="preserve">costing model </w:t>
      </w:r>
      <w:r>
        <w:t>described in the second report</w:t>
      </w:r>
      <w:r w:rsidRPr="009D7A66">
        <w:t xml:space="preserve"> </w:t>
      </w:r>
      <w:r>
        <w:t>and the timing and sequencing analyses described in the fourth report</w:t>
      </w:r>
      <w:r w:rsidRPr="00A7267D">
        <w:t>.</w:t>
      </w:r>
      <w:r w:rsidRPr="00A7267D">
        <w:rPr>
          <w:rStyle w:val="FootnoteReference"/>
        </w:rPr>
        <w:footnoteReference w:id="10"/>
      </w:r>
    </w:p>
    <w:p w:rsidR="005D743B" w:rsidRPr="00A7267D" w:rsidRDefault="005D743B" w:rsidP="005D743B">
      <w:r w:rsidRPr="00A7267D">
        <w:t xml:space="preserve">The </w:t>
      </w:r>
      <w:r>
        <w:t>fourth</w:t>
      </w:r>
      <w:r w:rsidRPr="00A7267D">
        <w:t xml:space="preserve"> report provide</w:t>
      </w:r>
      <w:r>
        <w:t>d</w:t>
      </w:r>
      <w:r w:rsidRPr="00A7267D">
        <w:t xml:space="preserve"> an analysis of the implementation sequencing and timing in order to evaluate whether one approach will take longer to implement than the other.</w:t>
      </w:r>
      <w:r w:rsidRPr="00A7267D">
        <w:rPr>
          <w:rStyle w:val="FootnoteReference"/>
        </w:rPr>
        <w:footnoteReference w:id="11"/>
      </w:r>
    </w:p>
    <w:p w:rsidR="00705B65" w:rsidRPr="00A7267D" w:rsidRDefault="00705B65" w:rsidP="00705B65">
      <w:pPr>
        <w:pStyle w:val="Bodysubheader"/>
      </w:pPr>
      <w:r>
        <w:t>Urgency of resolving planning principles</w:t>
      </w:r>
    </w:p>
    <w:p w:rsidR="00705B65" w:rsidRDefault="00190A56" w:rsidP="00705B65">
      <w:r>
        <w:t xml:space="preserve">The </w:t>
      </w:r>
      <w:r w:rsidR="00F364B9">
        <w:t xml:space="preserve">discussion paper stressed the </w:t>
      </w:r>
      <w:r>
        <w:t xml:space="preserve">urgency </w:t>
      </w:r>
      <w:r w:rsidR="00F364B9">
        <w:t xml:space="preserve">of </w:t>
      </w:r>
      <w:r w:rsidR="000D5AEB">
        <w:t>deciding the restack planning principles</w:t>
      </w:r>
      <w:r w:rsidR="00705B65">
        <w:t>.</w:t>
      </w:r>
      <w:r w:rsidR="00E84DB4">
        <w:t xml:space="preserve"> </w:t>
      </w:r>
      <w:r w:rsidR="00705B65">
        <w:t xml:space="preserve">Achievement of the target of </w:t>
      </w:r>
      <w:r w:rsidR="000D5AEB">
        <w:t xml:space="preserve">end </w:t>
      </w:r>
      <w:r w:rsidR="00705B65">
        <w:t xml:space="preserve">2014 </w:t>
      </w:r>
      <w:r w:rsidR="000D5AEB">
        <w:t xml:space="preserve">for </w:t>
      </w:r>
      <w:r w:rsidR="00705B65">
        <w:t xml:space="preserve">completion </w:t>
      </w:r>
      <w:r w:rsidR="000D5AEB">
        <w:t>of the</w:t>
      </w:r>
      <w:r w:rsidR="00705B65">
        <w:t xml:space="preserve"> restack implementation will require broadcasters to know the final details of all restack channel plans as soon as possible to maximise the period available for implementation. </w:t>
      </w:r>
      <w:r w:rsidR="00F364B9">
        <w:t>T</w:t>
      </w:r>
      <w:r w:rsidR="000D5AEB">
        <w:t>he s</w:t>
      </w:r>
      <w:r w:rsidR="00705B65">
        <w:t xml:space="preserve">ettlement and </w:t>
      </w:r>
      <w:r w:rsidR="00705B65">
        <w:lastRenderedPageBreak/>
        <w:t xml:space="preserve">finalisation of restack plans and the development of detailed implementation timetables </w:t>
      </w:r>
      <w:r w:rsidR="00C544B7">
        <w:t>continues to be</w:t>
      </w:r>
      <w:r w:rsidR="00F364B9">
        <w:t xml:space="preserve"> </w:t>
      </w:r>
      <w:r w:rsidR="00BD78E7">
        <w:t>urgent</w:t>
      </w:r>
      <w:r w:rsidR="00705B65">
        <w:t>.</w:t>
      </w:r>
    </w:p>
    <w:p w:rsidR="00B368C8" w:rsidRDefault="00B368C8" w:rsidP="00B368C8">
      <w:pPr>
        <w:pStyle w:val="Bodysubheader"/>
      </w:pPr>
      <w:r>
        <w:t>Industry coordination</w:t>
      </w:r>
    </w:p>
    <w:p w:rsidR="008B0992" w:rsidRPr="0009362E" w:rsidRDefault="00B368C8" w:rsidP="008B0992">
      <w:pPr>
        <w:rPr>
          <w:rFonts w:cs="Arial"/>
        </w:rPr>
      </w:pPr>
      <w:r>
        <w:t>In order to minimise viewer disruption, all changes to affected services at a transmission site will need to occur simultaneously.</w:t>
      </w:r>
      <w:r w:rsidR="00E84DB4">
        <w:t xml:space="preserve"> </w:t>
      </w:r>
      <w:r w:rsidR="00872ABB">
        <w:t xml:space="preserve">The discussion paper </w:t>
      </w:r>
      <w:r w:rsidR="00F364B9">
        <w:t xml:space="preserve">stated </w:t>
      </w:r>
      <w:r w:rsidR="00872ABB">
        <w:t>that t</w:t>
      </w:r>
      <w:r>
        <w:t>his will require a high level of industry cooperation and coordination.</w:t>
      </w:r>
      <w:r w:rsidR="00E84DB4">
        <w:t xml:space="preserve"> </w:t>
      </w:r>
      <w:r>
        <w:t xml:space="preserve">It </w:t>
      </w:r>
      <w:r w:rsidR="002736CD">
        <w:t>appear</w:t>
      </w:r>
      <w:r w:rsidR="00F364B9">
        <w:t>s</w:t>
      </w:r>
      <w:r>
        <w:t xml:space="preserve"> likely, regardless of the implementation method used, that a paradigm shift from the legacy, largely individual broadcaster, method of implementing changes to infrastructure, to a more holistic industry level approach will be necessary to achieve restack in the desired timeframe.</w:t>
      </w:r>
    </w:p>
    <w:p w:rsidR="00345927" w:rsidRPr="00A7267D" w:rsidRDefault="00E3057F" w:rsidP="00563E5E">
      <w:pPr>
        <w:pStyle w:val="Heading1"/>
      </w:pPr>
      <w:bookmarkStart w:id="7" w:name="_Toc292291978"/>
      <w:r>
        <w:lastRenderedPageBreak/>
        <w:t>P</w:t>
      </w:r>
      <w:r w:rsidRPr="00A7267D">
        <w:t>lanning objectives</w:t>
      </w:r>
      <w:bookmarkEnd w:id="7"/>
    </w:p>
    <w:p w:rsidR="00F37AE5" w:rsidRDefault="00F37AE5" w:rsidP="00F37AE5">
      <w:r>
        <w:t>In the discussion paper the ACMA proposed</w:t>
      </w:r>
      <w:r w:rsidRPr="00A12904">
        <w:t xml:space="preserve"> a set of restack planning objectives</w:t>
      </w:r>
      <w:r>
        <w:t xml:space="preserve"> that identify the high-level outcomes expected from restack.</w:t>
      </w:r>
      <w:r w:rsidR="00E84DB4">
        <w:t xml:space="preserve"> </w:t>
      </w:r>
      <w:r w:rsidRPr="00A12904">
        <w:t xml:space="preserve">In addition to those objectives derived from the </w:t>
      </w:r>
      <w:r>
        <w:t>minister’s direction</w:t>
      </w:r>
      <w:r w:rsidRPr="00A12904">
        <w:t xml:space="preserve"> a </w:t>
      </w:r>
      <w:r>
        <w:t>number of</w:t>
      </w:r>
      <w:r w:rsidRPr="00A12904">
        <w:t xml:space="preserve"> other objectives </w:t>
      </w:r>
      <w:r>
        <w:t>were proposed that were</w:t>
      </w:r>
      <w:r w:rsidRPr="00A12904">
        <w:t xml:space="preserve"> either implicit in the restack task or otherwise desirable.</w:t>
      </w:r>
    </w:p>
    <w:p w:rsidR="00FC2F9D" w:rsidRPr="00A7267D" w:rsidRDefault="00F37AE5" w:rsidP="00F37AE5">
      <w:r>
        <w:t>The objectives originally proposed were:</w:t>
      </w:r>
    </w:p>
    <w:p w:rsidR="00FC2F9D" w:rsidRPr="00A7267D" w:rsidRDefault="00FC2F9D" w:rsidP="00054FDC">
      <w:pPr>
        <w:pStyle w:val="ListBullet"/>
        <w:numPr>
          <w:ilvl w:val="0"/>
          <w:numId w:val="29"/>
        </w:numPr>
      </w:pPr>
      <w:r>
        <w:t>c</w:t>
      </w:r>
      <w:r w:rsidRPr="00A7267D">
        <w:t>lear the digital dividend band of broadcasting services as soon as practicable*</w:t>
      </w:r>
    </w:p>
    <w:p w:rsidR="00FC2F9D" w:rsidRPr="00A7267D" w:rsidRDefault="00FC2F9D" w:rsidP="00054FDC">
      <w:pPr>
        <w:pStyle w:val="ListBullet"/>
        <w:numPr>
          <w:ilvl w:val="0"/>
          <w:numId w:val="29"/>
        </w:numPr>
      </w:pPr>
      <w:r>
        <w:t>p</w:t>
      </w:r>
      <w:r w:rsidRPr="00A7267D">
        <w:t>lan for six digital channels at each transmission site*</w:t>
      </w:r>
      <w:r w:rsidRPr="00A7267D">
        <w:rPr>
          <w:rStyle w:val="FootnoteReference"/>
        </w:rPr>
        <w:footnoteReference w:id="12"/>
      </w:r>
    </w:p>
    <w:p w:rsidR="00FC2F9D" w:rsidRPr="00A7267D" w:rsidRDefault="00FC2F9D" w:rsidP="00054FDC">
      <w:pPr>
        <w:pStyle w:val="ListBullet"/>
        <w:numPr>
          <w:ilvl w:val="0"/>
          <w:numId w:val="29"/>
        </w:numPr>
      </w:pPr>
      <w:r>
        <w:t>p</w:t>
      </w:r>
      <w:r w:rsidRPr="00A7267D">
        <w:t>lan for six VHF channels at all metropolitan main station sites*</w:t>
      </w:r>
    </w:p>
    <w:p w:rsidR="00FC2F9D" w:rsidRPr="00A7267D" w:rsidRDefault="00FC2F9D" w:rsidP="00054FDC">
      <w:pPr>
        <w:pStyle w:val="ListBullet"/>
        <w:numPr>
          <w:ilvl w:val="0"/>
          <w:numId w:val="29"/>
        </w:numPr>
      </w:pPr>
      <w:r>
        <w:t>p</w:t>
      </w:r>
      <w:r w:rsidRPr="00A7267D">
        <w:t>lan such that coverage of all six channels is similar</w:t>
      </w:r>
    </w:p>
    <w:p w:rsidR="00FC2F9D" w:rsidRPr="00A7267D" w:rsidRDefault="00FC2F9D" w:rsidP="00054FDC">
      <w:pPr>
        <w:pStyle w:val="ListBullet"/>
        <w:numPr>
          <w:ilvl w:val="0"/>
          <w:numId w:val="29"/>
        </w:numPr>
      </w:pPr>
      <w:r>
        <w:t>a</w:t>
      </w:r>
      <w:r w:rsidRPr="00A7267D">
        <w:t>im to maintain or improve digital television coverage</w:t>
      </w:r>
    </w:p>
    <w:p w:rsidR="00FC2F9D" w:rsidRPr="00A7267D" w:rsidRDefault="00FC2F9D" w:rsidP="00054FDC">
      <w:pPr>
        <w:pStyle w:val="ListBullet"/>
        <w:numPr>
          <w:ilvl w:val="0"/>
          <w:numId w:val="29"/>
        </w:numPr>
      </w:pPr>
      <w:r>
        <w:t>a</w:t>
      </w:r>
      <w:r w:rsidRPr="00A7267D">
        <w:t>im to simplify viewer reception of terrestrial digital television</w:t>
      </w:r>
    </w:p>
    <w:p w:rsidR="00FC2F9D" w:rsidRPr="00A7267D" w:rsidRDefault="00FC2F9D" w:rsidP="00054FDC">
      <w:pPr>
        <w:pStyle w:val="ListBullet"/>
        <w:numPr>
          <w:ilvl w:val="0"/>
          <w:numId w:val="29"/>
        </w:numPr>
      </w:pPr>
      <w:r>
        <w:t>a</w:t>
      </w:r>
      <w:r w:rsidRPr="00A7267D">
        <w:t>im to establish spectrum planning arrangements that support future needs</w:t>
      </w:r>
    </w:p>
    <w:p w:rsidR="00FC2F9D" w:rsidRPr="00A7267D" w:rsidRDefault="00FC2F9D" w:rsidP="00054FDC">
      <w:pPr>
        <w:pStyle w:val="ListBullet"/>
        <w:numPr>
          <w:ilvl w:val="0"/>
          <w:numId w:val="29"/>
        </w:numPr>
      </w:pPr>
      <w:r>
        <w:t>r</w:t>
      </w:r>
      <w:r w:rsidRPr="00A7267D">
        <w:t>etain 14 MHz of spectrum in VHF Band III for possible expansion of digital radio*</w:t>
      </w:r>
    </w:p>
    <w:p w:rsidR="00FC2F9D" w:rsidRPr="00A7267D" w:rsidRDefault="00FC2F9D" w:rsidP="00054FDC">
      <w:pPr>
        <w:pStyle w:val="ListBullet"/>
        <w:numPr>
          <w:ilvl w:val="0"/>
          <w:numId w:val="29"/>
        </w:numPr>
      </w:pPr>
      <w:r>
        <w:t>c</w:t>
      </w:r>
      <w:r w:rsidRPr="00A7267D">
        <w:t>omply with the legislated framework</w:t>
      </w:r>
    </w:p>
    <w:p w:rsidR="00FC2F9D" w:rsidRPr="00A7267D" w:rsidRDefault="00FC2F9D" w:rsidP="00054FDC">
      <w:pPr>
        <w:pStyle w:val="ListBullet"/>
        <w:numPr>
          <w:ilvl w:val="0"/>
          <w:numId w:val="29"/>
        </w:numPr>
      </w:pPr>
      <w:r>
        <w:t>c</w:t>
      </w:r>
      <w:r w:rsidRPr="00A7267D">
        <w:t xml:space="preserve">onsistent with the </w:t>
      </w:r>
      <w:r>
        <w:t>minister’s direction, the ACMA should</w:t>
      </w:r>
      <w:r w:rsidRPr="00A7267D">
        <w:t xml:space="preserve"> wherever possible:*</w:t>
      </w:r>
    </w:p>
    <w:p w:rsidR="00FC2F9D" w:rsidRPr="00A7267D" w:rsidRDefault="00FC2F9D" w:rsidP="00084C46">
      <w:pPr>
        <w:pStyle w:val="ListBullet2"/>
      </w:pPr>
      <w:r w:rsidRPr="00A7267D">
        <w:t xml:space="preserve">minimise viewer costs and disruption </w:t>
      </w:r>
    </w:p>
    <w:p w:rsidR="00FC2F9D" w:rsidRPr="00A7267D" w:rsidRDefault="00FC2F9D" w:rsidP="00084C46">
      <w:pPr>
        <w:pStyle w:val="ListBullet2"/>
      </w:pPr>
      <w:proofErr w:type="gramStart"/>
      <w:r w:rsidRPr="00A7267D">
        <w:t>minimise</w:t>
      </w:r>
      <w:proofErr w:type="gramEnd"/>
      <w:r w:rsidRPr="00A7267D">
        <w:t xml:space="preserve"> commercial and national broadcaster costs</w:t>
      </w:r>
      <w:r>
        <w:t>.</w:t>
      </w:r>
    </w:p>
    <w:p w:rsidR="00FC2F9D" w:rsidRDefault="00F37AE5" w:rsidP="00FC2F9D">
      <w:r>
        <w:t>It is important to note that s</w:t>
      </w:r>
      <w:r w:rsidR="00563E5E" w:rsidRPr="00A7267D">
        <w:t xml:space="preserve">ome of these </w:t>
      </w:r>
      <w:r w:rsidR="00084C46">
        <w:t xml:space="preserve">proposed </w:t>
      </w:r>
      <w:r w:rsidR="00563E5E" w:rsidRPr="00A7267D">
        <w:t xml:space="preserve">objectives </w:t>
      </w:r>
      <w:r w:rsidR="00084C46">
        <w:t>had</w:t>
      </w:r>
      <w:r w:rsidR="00084C46" w:rsidRPr="00A7267D">
        <w:t xml:space="preserve"> </w:t>
      </w:r>
      <w:r w:rsidR="00563E5E" w:rsidRPr="00A7267D">
        <w:t xml:space="preserve">been set by the government through </w:t>
      </w:r>
      <w:r w:rsidR="009727A0" w:rsidRPr="00A7267D">
        <w:t xml:space="preserve">the </w:t>
      </w:r>
      <w:r w:rsidR="00CF5838">
        <w:t>minister</w:t>
      </w:r>
      <w:r w:rsidR="007D6F0C">
        <w:t>’s direction</w:t>
      </w:r>
      <w:r w:rsidR="00563E5E" w:rsidRPr="00F23217">
        <w:t xml:space="preserve"> to the ACMA</w:t>
      </w:r>
      <w:r>
        <w:t>.</w:t>
      </w:r>
      <w:r w:rsidR="00E84DB4">
        <w:t xml:space="preserve"> </w:t>
      </w:r>
      <w:r>
        <w:t xml:space="preserve">These matters </w:t>
      </w:r>
      <w:r w:rsidR="00252660">
        <w:t xml:space="preserve">are </w:t>
      </w:r>
      <w:r>
        <w:t xml:space="preserve">binding on the </w:t>
      </w:r>
      <w:proofErr w:type="gramStart"/>
      <w:r>
        <w:t>ACMA,</w:t>
      </w:r>
      <w:proofErr w:type="gramEnd"/>
      <w:r>
        <w:t xml:space="preserve"> consequently the ACMA did not seek submissions on the substance of these issues </w:t>
      </w:r>
      <w:r w:rsidR="00F364B9">
        <w:t>although</w:t>
      </w:r>
      <w:r>
        <w:t xml:space="preserve"> </w:t>
      </w:r>
      <w:r w:rsidR="00252660">
        <w:t xml:space="preserve">the </w:t>
      </w:r>
      <w:r>
        <w:t>specific wording</w:t>
      </w:r>
      <w:r w:rsidR="00252660">
        <w:t xml:space="preserve"> could be reviewed</w:t>
      </w:r>
      <w:r>
        <w:t>.</w:t>
      </w:r>
      <w:r w:rsidR="00E84DB4">
        <w:t xml:space="preserve"> </w:t>
      </w:r>
      <w:r w:rsidR="00563E5E" w:rsidRPr="00F23217">
        <w:t>Objectives consistent with those set out in</w:t>
      </w:r>
      <w:r w:rsidR="00563E5E" w:rsidRPr="00A7267D">
        <w:t xml:space="preserve"> the </w:t>
      </w:r>
      <w:r w:rsidR="00CF5838">
        <w:t>minister</w:t>
      </w:r>
      <w:r w:rsidR="007D6F0C">
        <w:t>’s direction</w:t>
      </w:r>
      <w:r w:rsidR="00563E5E" w:rsidRPr="00A7267D">
        <w:t xml:space="preserve"> are marked</w:t>
      </w:r>
      <w:r w:rsidR="000959F0">
        <w:t xml:space="preserve"> with an asteri</w:t>
      </w:r>
      <w:r w:rsidR="00FE47DB">
        <w:t>sk</w:t>
      </w:r>
      <w:r w:rsidR="000959F0">
        <w:t xml:space="preserve"> (</w:t>
      </w:r>
      <w:r w:rsidR="00563E5E" w:rsidRPr="00A7267D">
        <w:t>*</w:t>
      </w:r>
      <w:r w:rsidR="000959F0">
        <w:t>)</w:t>
      </w:r>
      <w:r w:rsidR="006156CC">
        <w:t>.</w:t>
      </w:r>
      <w:r w:rsidR="00E84DB4">
        <w:t xml:space="preserve"> </w:t>
      </w:r>
      <w:r w:rsidR="001C2542">
        <w:t>A</w:t>
      </w:r>
      <w:r w:rsidR="00700B4B" w:rsidRPr="00135297">
        <w:t xml:space="preserve"> </w:t>
      </w:r>
      <w:r w:rsidR="00700B4B">
        <w:t>number of</w:t>
      </w:r>
      <w:r w:rsidR="00700B4B" w:rsidRPr="00135297">
        <w:t xml:space="preserve"> other objectives </w:t>
      </w:r>
      <w:r w:rsidR="00FC2F9D">
        <w:t>were</w:t>
      </w:r>
      <w:r w:rsidR="00700B4B">
        <w:t xml:space="preserve"> </w:t>
      </w:r>
      <w:r w:rsidR="00FC2F9D">
        <w:t xml:space="preserve">also </w:t>
      </w:r>
      <w:r w:rsidR="00263931">
        <w:t xml:space="preserve">proposed </w:t>
      </w:r>
      <w:r w:rsidR="00700B4B">
        <w:t xml:space="preserve">that </w:t>
      </w:r>
      <w:r w:rsidR="00700B4B" w:rsidRPr="00135297">
        <w:t>are either implicit in the restack task or otherwise desirable.</w:t>
      </w:r>
    </w:p>
    <w:p w:rsidR="004E3D8A" w:rsidRPr="004E3D8A" w:rsidRDefault="004E3D8A" w:rsidP="00084C46">
      <w:pPr>
        <w:pStyle w:val="Heading2"/>
      </w:pPr>
      <w:bookmarkStart w:id="8" w:name="_Toc292291979"/>
      <w:r>
        <w:t>Stakeholder feedback</w:t>
      </w:r>
      <w:r w:rsidR="00AA4FEF">
        <w:t xml:space="preserve"> and ACMA comments</w:t>
      </w:r>
      <w:bookmarkEnd w:id="8"/>
    </w:p>
    <w:p w:rsidR="00252660" w:rsidRDefault="00252660" w:rsidP="00632FFF">
      <w:pPr>
        <w:spacing w:before="240"/>
      </w:pPr>
      <w:r>
        <w:t>F</w:t>
      </w:r>
      <w:r w:rsidR="00FC2F9D">
        <w:t xml:space="preserve">eedback on the proposed restack objectives was </w:t>
      </w:r>
      <w:r>
        <w:t xml:space="preserve">broadly </w:t>
      </w:r>
      <w:r w:rsidR="00FC2F9D">
        <w:t>positive</w:t>
      </w:r>
      <w:r>
        <w:t xml:space="preserve"> and supportive of the </w:t>
      </w:r>
      <w:r w:rsidR="00251DD4">
        <w:t>proposed planning objectives</w:t>
      </w:r>
      <w:r w:rsidR="00CD4A16">
        <w:t xml:space="preserve">. </w:t>
      </w:r>
    </w:p>
    <w:p w:rsidR="004E3D8A" w:rsidRDefault="00BD6035" w:rsidP="00632FFF">
      <w:pPr>
        <w:spacing w:before="240"/>
      </w:pPr>
      <w:r>
        <w:t>Telstra</w:t>
      </w:r>
      <w:r w:rsidR="00252660">
        <w:t xml:space="preserve"> proposed a revised version of Objective 1 regarding the timeframe for the clearance broadcasting services from the digital dividend.</w:t>
      </w:r>
      <w:r w:rsidR="00E84DB4">
        <w:t xml:space="preserve"> </w:t>
      </w:r>
      <w:r w:rsidR="00252660">
        <w:t>The revised wording of the objective</w:t>
      </w:r>
      <w:r w:rsidR="00036658">
        <w:t>,</w:t>
      </w:r>
      <w:r w:rsidR="00252660">
        <w:t xml:space="preserve"> </w:t>
      </w:r>
      <w:r w:rsidR="00036658">
        <w:t xml:space="preserve">proposed by Telstra, </w:t>
      </w:r>
      <w:r w:rsidR="00252660">
        <w:t>identified that restack should occur at the same time, or soon after, as switchover in each area, or shortly thereafter and no later than 31 December 2014.</w:t>
      </w:r>
    </w:p>
    <w:p w:rsidR="000B5667" w:rsidRPr="006A4F3A" w:rsidRDefault="00251DD4" w:rsidP="000B5667">
      <w:pPr>
        <w:rPr>
          <w:rFonts w:ascii="Calibri" w:hAnsi="Calibri"/>
        </w:rPr>
      </w:pPr>
      <w:r>
        <w:t>The ACMA intends to develop</w:t>
      </w:r>
      <w:r w:rsidR="001450F9">
        <w:t xml:space="preserve"> and publish</w:t>
      </w:r>
      <w:r>
        <w:t xml:space="preserve"> a timetable for the restack.</w:t>
      </w:r>
      <w:r w:rsidR="00E84DB4">
        <w:t xml:space="preserve"> </w:t>
      </w:r>
      <w:r>
        <w:t>When the restack will occur for each area will depend upon a range of factors including</w:t>
      </w:r>
      <w:r w:rsidR="00F364B9">
        <w:t xml:space="preserve">: </w:t>
      </w:r>
      <w:r>
        <w:t>when channel plans are able to be developed, lead times for ordering equipment and planning site works, when the most favourable weather conditions are expected, and whether switchover has occurred.</w:t>
      </w:r>
      <w:r w:rsidR="00E84DB4">
        <w:t xml:space="preserve"> </w:t>
      </w:r>
      <w:r>
        <w:t xml:space="preserve">There may be other factors that will become apparent </w:t>
      </w:r>
      <w:r w:rsidR="001450F9">
        <w:t>during</w:t>
      </w:r>
      <w:r>
        <w:t xml:space="preserve"> industry c</w:t>
      </w:r>
      <w:r w:rsidR="001450F9">
        <w:t>onsultation.</w:t>
      </w:r>
      <w:r w:rsidR="00E84DB4">
        <w:t xml:space="preserve"> </w:t>
      </w:r>
      <w:r w:rsidR="001450F9">
        <w:t>A number of areas, such as Mildura, Regional SA and Regional Victoria have already switched over and Queensland will switchover by the end of this year.</w:t>
      </w:r>
      <w:r w:rsidR="00E84DB4">
        <w:t xml:space="preserve"> </w:t>
      </w:r>
      <w:r w:rsidR="001450F9">
        <w:t>These areas are the most likely to be restacked first, but there will be a gap between switchover and restack</w:t>
      </w:r>
      <w:r w:rsidR="00D6621B">
        <w:t xml:space="preserve"> commencing in these areas</w:t>
      </w:r>
      <w:r w:rsidR="00F42967">
        <w:t xml:space="preserve"> due to the time required to complete channel plans and equipment ordering and site planning lead times</w:t>
      </w:r>
      <w:r w:rsidR="001450F9">
        <w:t>.</w:t>
      </w:r>
      <w:r w:rsidR="00E84DB4">
        <w:t xml:space="preserve"> </w:t>
      </w:r>
      <w:r w:rsidR="009D05CE">
        <w:t xml:space="preserve">For areas </w:t>
      </w:r>
      <w:r w:rsidR="009D05CE">
        <w:lastRenderedPageBreak/>
        <w:t>that are being switched over later in the restack program i</w:t>
      </w:r>
      <w:r w:rsidR="001450F9">
        <w:t xml:space="preserve">t might be possible to restack some areas immediately after switchover, but consultation </w:t>
      </w:r>
      <w:r w:rsidR="00297DDD">
        <w:t>on relevant issues such as simulcasting requirements and capacity to deal with the simultaneous restacking of highly populated areas</w:t>
      </w:r>
      <w:r w:rsidR="00297DDD">
        <w:rPr>
          <w:rStyle w:val="FootnoteReference"/>
        </w:rPr>
        <w:footnoteReference w:id="13"/>
      </w:r>
      <w:r w:rsidR="007F7F2F">
        <w:t xml:space="preserve"> </w:t>
      </w:r>
      <w:r w:rsidR="001450F9">
        <w:t>will assist in making those decisions.</w:t>
      </w:r>
      <w:r w:rsidR="00E84DB4">
        <w:t xml:space="preserve"> </w:t>
      </w:r>
      <w:r w:rsidR="006E0C74">
        <w:t>At a limited number of sites</w:t>
      </w:r>
      <w:r w:rsidR="00F364B9">
        <w:t>,</w:t>
      </w:r>
      <w:r w:rsidR="006E0C74">
        <w:t xml:space="preserve"> including locations in </w:t>
      </w:r>
      <w:r w:rsidR="00F8336F">
        <w:t xml:space="preserve">non-metropolitan </w:t>
      </w:r>
      <w:r w:rsidR="006E0C74">
        <w:t>WA and possibly</w:t>
      </w:r>
      <w:r w:rsidR="00F8336F">
        <w:t xml:space="preserve"> regional</w:t>
      </w:r>
      <w:r w:rsidR="006E0C74">
        <w:t xml:space="preserve"> SA, restack </w:t>
      </w:r>
      <w:r w:rsidR="009D05CE">
        <w:t xml:space="preserve">of services </w:t>
      </w:r>
      <w:r w:rsidR="006E0C74">
        <w:t xml:space="preserve">may </w:t>
      </w:r>
      <w:r w:rsidR="00F364B9">
        <w:t>be possible</w:t>
      </w:r>
      <w:r w:rsidR="006E0C74">
        <w:t xml:space="preserve"> prior to switchover</w:t>
      </w:r>
      <w:r w:rsidR="00427755">
        <w:t xml:space="preserve"> (in WA)</w:t>
      </w:r>
      <w:r w:rsidR="006E0C74">
        <w:t xml:space="preserve"> </w:t>
      </w:r>
      <w:r w:rsidR="00427755">
        <w:t xml:space="preserve">or </w:t>
      </w:r>
      <w:r w:rsidR="006E0C74">
        <w:t>in conjunction with the rollout of commercial digital television services</w:t>
      </w:r>
      <w:r w:rsidR="00427755">
        <w:t xml:space="preserve"> (in both WA and SA)</w:t>
      </w:r>
      <w:r w:rsidR="006E0C74">
        <w:t>.</w:t>
      </w:r>
      <w:r w:rsidR="00E84DB4">
        <w:t xml:space="preserve"> </w:t>
      </w:r>
      <w:r w:rsidR="000B5667">
        <w:t>The current wording of the objective provides the flexibility necessary to cater for all of the aforementioned factors</w:t>
      </w:r>
      <w:r w:rsidR="00D933FD">
        <w:t xml:space="preserve"> and is consistent with the minister’s direction</w:t>
      </w:r>
      <w:r w:rsidR="00F364B9">
        <w:t>,</w:t>
      </w:r>
      <w:r w:rsidR="00D933FD">
        <w:t xml:space="preserve"> which does not mention a target date for restack (the explanatory </w:t>
      </w:r>
      <w:r w:rsidR="00D933FD" w:rsidRPr="006A4F3A">
        <w:t>statement gives a target date).</w:t>
      </w:r>
    </w:p>
    <w:p w:rsidR="00B176D0" w:rsidRDefault="00BD6035" w:rsidP="00DD0121">
      <w:r>
        <w:t xml:space="preserve">FreeTV Australia proposed an additional objective </w:t>
      </w:r>
      <w:r w:rsidR="00427755">
        <w:t>‘</w:t>
      </w:r>
      <w:r w:rsidR="00B176D0" w:rsidRPr="00C510A4">
        <w:t>that planning provides for six channels in a single contiguous frequency range.</w:t>
      </w:r>
      <w:r w:rsidR="00427755">
        <w:t>’</w:t>
      </w:r>
      <w:r w:rsidR="00E84DB4">
        <w:t xml:space="preserve"> </w:t>
      </w:r>
      <w:r w:rsidR="00B176D0">
        <w:t>However, the use of contiguous channels is not an objective of the restack</w:t>
      </w:r>
      <w:r w:rsidR="00D6621B">
        <w:t xml:space="preserve">, it is </w:t>
      </w:r>
      <w:r w:rsidR="000D0FDA">
        <w:t xml:space="preserve">a </w:t>
      </w:r>
      <w:r w:rsidR="00D6621B">
        <w:t>matter related to how the restack planning is performed and would be more appropriately addressed in the planning principles</w:t>
      </w:r>
      <w:r w:rsidR="00B176D0">
        <w:t>.</w:t>
      </w:r>
      <w:r w:rsidR="00E84DB4">
        <w:t xml:space="preserve"> </w:t>
      </w:r>
      <w:r w:rsidR="00B176D0">
        <w:t xml:space="preserve">The ACMA considers that the planning principles adequately address the issue of contiguous channels. </w:t>
      </w:r>
    </w:p>
    <w:p w:rsidR="00B176D0" w:rsidRDefault="00B176D0" w:rsidP="00C42AC4">
      <w:r>
        <w:t>FreeTV Australia</w:t>
      </w:r>
      <w:r w:rsidRPr="00C510A4">
        <w:t xml:space="preserve"> also suggest</w:t>
      </w:r>
      <w:r>
        <w:t>ed</w:t>
      </w:r>
      <w:r w:rsidRPr="00C510A4">
        <w:t xml:space="preserve"> removal of words </w:t>
      </w:r>
      <w:r w:rsidR="006A4F3A">
        <w:t>‘</w:t>
      </w:r>
      <w:r w:rsidRPr="00C510A4">
        <w:t>aim to</w:t>
      </w:r>
      <w:r w:rsidR="006A4F3A">
        <w:t>’</w:t>
      </w:r>
      <w:r w:rsidRPr="00C510A4">
        <w:t xml:space="preserve"> </w:t>
      </w:r>
      <w:r>
        <w:t>so as</w:t>
      </w:r>
      <w:r w:rsidRPr="00C510A4">
        <w:t xml:space="preserve"> to be clear and unequivocal.</w:t>
      </w:r>
    </w:p>
    <w:p w:rsidR="004E3D8A" w:rsidRPr="004E3D8A" w:rsidRDefault="004E3D8A" w:rsidP="00084C46">
      <w:pPr>
        <w:pStyle w:val="Heading2"/>
      </w:pPr>
      <w:bookmarkStart w:id="9" w:name="_Toc292291980"/>
      <w:r>
        <w:t>ACMA response</w:t>
      </w:r>
      <w:bookmarkEnd w:id="9"/>
    </w:p>
    <w:p w:rsidR="00251DD4" w:rsidRDefault="00D853CE" w:rsidP="00632FFF">
      <w:pPr>
        <w:spacing w:before="240"/>
      </w:pPr>
      <w:r>
        <w:t>Some r</w:t>
      </w:r>
      <w:r w:rsidR="00E85C56">
        <w:t xml:space="preserve">espondents </w:t>
      </w:r>
      <w:r w:rsidR="00BD6035">
        <w:t>may</w:t>
      </w:r>
      <w:r w:rsidR="00203340">
        <w:t xml:space="preserve"> </w:t>
      </w:r>
      <w:r w:rsidR="00BD6035">
        <w:t xml:space="preserve">have </w:t>
      </w:r>
      <w:r w:rsidR="00203340">
        <w:t xml:space="preserve">generally </w:t>
      </w:r>
      <w:r w:rsidR="00E85C56">
        <w:t>mis</w:t>
      </w:r>
      <w:r w:rsidR="00B30F99">
        <w:t>understood the purpose of the planning obj</w:t>
      </w:r>
      <w:r w:rsidR="00BD6035">
        <w:t xml:space="preserve">ectives which were primarily </w:t>
      </w:r>
      <w:r>
        <w:t xml:space="preserve">intended </w:t>
      </w:r>
      <w:r w:rsidR="00BD6035">
        <w:t xml:space="preserve">for </w:t>
      </w:r>
      <w:r w:rsidR="00B30F99">
        <w:t xml:space="preserve">use as a means to </w:t>
      </w:r>
      <w:r w:rsidR="00F364B9">
        <w:t>identify and evaluate</w:t>
      </w:r>
      <w:r w:rsidR="00B30F99">
        <w:t xml:space="preserve"> </w:t>
      </w:r>
      <w:r w:rsidR="00F364B9">
        <w:t>a</w:t>
      </w:r>
      <w:r w:rsidR="00732C3B">
        <w:t xml:space="preserve">n </w:t>
      </w:r>
      <w:r w:rsidR="00F364B9">
        <w:t xml:space="preserve">appropriate set of </w:t>
      </w:r>
      <w:r w:rsidR="00732C3B">
        <w:t xml:space="preserve">detailed </w:t>
      </w:r>
      <w:r w:rsidR="00B30F99">
        <w:t>planning principles</w:t>
      </w:r>
      <w:r w:rsidR="00732C3B">
        <w:t xml:space="preserve"> for the restack</w:t>
      </w:r>
      <w:r w:rsidR="00B30F99">
        <w:t>.</w:t>
      </w:r>
      <w:r w:rsidR="005215B0">
        <w:t xml:space="preserve"> </w:t>
      </w:r>
      <w:r w:rsidR="00BD6035">
        <w:t xml:space="preserve">The final planning principles are intended as the primary source of guidance to planners </w:t>
      </w:r>
      <w:r w:rsidR="006A044B">
        <w:t>when</w:t>
      </w:r>
      <w:r w:rsidR="00BD6035">
        <w:t xml:space="preserve"> preparing restack channel plans.</w:t>
      </w:r>
      <w:r w:rsidR="00E84DB4">
        <w:t xml:space="preserve"> </w:t>
      </w:r>
      <w:r w:rsidR="00251DD4">
        <w:t>Nevertheless the ACMA has decided to retain the planning objectives for the purpose of providing planners with additional guidance should a situation arise where the planning principles alone are not sufficient to decide on a course of action.</w:t>
      </w:r>
    </w:p>
    <w:p w:rsidR="00251DD4" w:rsidRDefault="00367C35" w:rsidP="00632FFF">
      <w:pPr>
        <w:spacing w:before="240"/>
      </w:pPr>
      <w:r>
        <w:t xml:space="preserve">Some respondents also made comments on matters </w:t>
      </w:r>
      <w:r w:rsidR="00D853CE">
        <w:t xml:space="preserve">that were </w:t>
      </w:r>
      <w:r>
        <w:t>settled by the minister’s direction.</w:t>
      </w:r>
      <w:r w:rsidR="00E84DB4">
        <w:t xml:space="preserve"> </w:t>
      </w:r>
      <w:r>
        <w:t>As these are not matters the ACMA can change this paper does not address those comments.</w:t>
      </w:r>
    </w:p>
    <w:p w:rsidR="00252660" w:rsidRDefault="00CD4A16" w:rsidP="00632FFF">
      <w:pPr>
        <w:spacing w:before="240"/>
      </w:pPr>
      <w:r>
        <w:t xml:space="preserve">Given the </w:t>
      </w:r>
      <w:r w:rsidR="00252660">
        <w:t xml:space="preserve">generally </w:t>
      </w:r>
      <w:r>
        <w:t>positive feedback to the draft objectives</w:t>
      </w:r>
      <w:r w:rsidR="00CA6213">
        <w:t xml:space="preserve"> and taking into account the assessment above of other comments received</w:t>
      </w:r>
      <w:r>
        <w:t xml:space="preserve">, the ACMA </w:t>
      </w:r>
      <w:r w:rsidR="00D853CE">
        <w:t xml:space="preserve">has decided to </w:t>
      </w:r>
      <w:r>
        <w:t xml:space="preserve">adopt the </w:t>
      </w:r>
      <w:r w:rsidR="00872ABB">
        <w:t xml:space="preserve">previously </w:t>
      </w:r>
      <w:r>
        <w:t xml:space="preserve">proposed </w:t>
      </w:r>
      <w:r w:rsidR="00872ABB">
        <w:t xml:space="preserve">restack planning </w:t>
      </w:r>
      <w:r>
        <w:t xml:space="preserve">objectives </w:t>
      </w:r>
      <w:r w:rsidR="00CA6213">
        <w:t xml:space="preserve">with minor </w:t>
      </w:r>
      <w:r>
        <w:t>change</w:t>
      </w:r>
      <w:r w:rsidR="00CA6213">
        <w:t>s</w:t>
      </w:r>
      <w:r w:rsidR="00251DD4">
        <w:t>.</w:t>
      </w:r>
      <w:r w:rsidR="00252660">
        <w:t xml:space="preserve"> </w:t>
      </w:r>
    </w:p>
    <w:p w:rsidR="006A4F3A" w:rsidRDefault="006A4F3A" w:rsidP="00632FFF">
      <w:pPr>
        <w:spacing w:before="240"/>
      </w:pPr>
      <w:r>
        <w:t>The changes made to the planning objectives consist only of the removal of the words ‘</w:t>
      </w:r>
      <w:r w:rsidRPr="00C510A4">
        <w:t>aim to</w:t>
      </w:r>
      <w:r>
        <w:t>’ from Objectives 5, 6 and 7.</w:t>
      </w:r>
    </w:p>
    <w:p w:rsidR="00084C46" w:rsidRPr="004E3D8A" w:rsidRDefault="00084C46" w:rsidP="00084C46">
      <w:pPr>
        <w:pStyle w:val="Heading2"/>
      </w:pPr>
      <w:bookmarkStart w:id="10" w:name="_Toc292291981"/>
      <w:r>
        <w:t xml:space="preserve">Final </w:t>
      </w:r>
      <w:r w:rsidR="00AC45DC">
        <w:t xml:space="preserve">restack </w:t>
      </w:r>
      <w:r>
        <w:t>planning objectives</w:t>
      </w:r>
      <w:bookmarkEnd w:id="10"/>
    </w:p>
    <w:p w:rsidR="00084C46" w:rsidRPr="00A7267D" w:rsidRDefault="00084C46" w:rsidP="00084C46">
      <w:r>
        <w:t>The final</w:t>
      </w:r>
      <w:r w:rsidR="00E34E3A">
        <w:t xml:space="preserve"> </w:t>
      </w:r>
      <w:r w:rsidR="00AC45DC">
        <w:t xml:space="preserve">restack </w:t>
      </w:r>
      <w:r>
        <w:t>planning objectives are:</w:t>
      </w:r>
    </w:p>
    <w:p w:rsidR="00084C46" w:rsidRPr="00A7267D" w:rsidRDefault="00084C46" w:rsidP="00084C46">
      <w:pPr>
        <w:pStyle w:val="ListBullet"/>
        <w:numPr>
          <w:ilvl w:val="0"/>
          <w:numId w:val="23"/>
        </w:numPr>
      </w:pPr>
      <w:r>
        <w:t>c</w:t>
      </w:r>
      <w:r w:rsidRPr="00A7267D">
        <w:t>lear the digital dividend band of broadcasting services as soon as practicable*</w:t>
      </w:r>
    </w:p>
    <w:p w:rsidR="00084C46" w:rsidRPr="00A7267D" w:rsidRDefault="00084C46" w:rsidP="00084C46">
      <w:pPr>
        <w:pStyle w:val="ListBullet"/>
        <w:numPr>
          <w:ilvl w:val="0"/>
          <w:numId w:val="23"/>
        </w:numPr>
      </w:pPr>
      <w:r>
        <w:t>p</w:t>
      </w:r>
      <w:r w:rsidRPr="00A7267D">
        <w:t>lan for six digital channels at each transmission site*</w:t>
      </w:r>
      <w:r w:rsidRPr="00A7267D">
        <w:rPr>
          <w:rStyle w:val="FootnoteReference"/>
        </w:rPr>
        <w:footnoteReference w:id="14"/>
      </w:r>
    </w:p>
    <w:p w:rsidR="00084C46" w:rsidRPr="00A7267D" w:rsidRDefault="00084C46" w:rsidP="00084C46">
      <w:pPr>
        <w:pStyle w:val="ListBullet"/>
        <w:numPr>
          <w:ilvl w:val="0"/>
          <w:numId w:val="23"/>
        </w:numPr>
      </w:pPr>
      <w:r>
        <w:t>p</w:t>
      </w:r>
      <w:r w:rsidRPr="00A7267D">
        <w:t>lan for six VHF channels at all metropolitan main station sites*</w:t>
      </w:r>
    </w:p>
    <w:p w:rsidR="00084C46" w:rsidRPr="00A7267D" w:rsidRDefault="00084C46" w:rsidP="00084C46">
      <w:pPr>
        <w:pStyle w:val="ListBullet"/>
        <w:numPr>
          <w:ilvl w:val="0"/>
          <w:numId w:val="23"/>
        </w:numPr>
      </w:pPr>
      <w:r>
        <w:t>p</w:t>
      </w:r>
      <w:r w:rsidRPr="00A7267D">
        <w:t>lan such that coverage of all six channels is similar</w:t>
      </w:r>
    </w:p>
    <w:p w:rsidR="00084C46" w:rsidRPr="00A7267D" w:rsidRDefault="00084C46" w:rsidP="00084C46">
      <w:pPr>
        <w:pStyle w:val="ListBullet"/>
        <w:numPr>
          <w:ilvl w:val="0"/>
          <w:numId w:val="23"/>
        </w:numPr>
      </w:pPr>
      <w:r w:rsidRPr="00A7267D">
        <w:t>maintain or improve digital television coverage</w:t>
      </w:r>
      <w:r w:rsidR="000A5A3D">
        <w:t xml:space="preserve"> </w:t>
      </w:r>
    </w:p>
    <w:p w:rsidR="00084C46" w:rsidRPr="00A7267D" w:rsidRDefault="00084C46" w:rsidP="00084C46">
      <w:pPr>
        <w:pStyle w:val="ListBullet"/>
        <w:numPr>
          <w:ilvl w:val="0"/>
          <w:numId w:val="23"/>
        </w:numPr>
      </w:pPr>
      <w:r w:rsidRPr="00A7267D">
        <w:lastRenderedPageBreak/>
        <w:t>simplify viewer reception of terrestrial digital television</w:t>
      </w:r>
      <w:r w:rsidR="00BB6F05">
        <w:t xml:space="preserve"> </w:t>
      </w:r>
    </w:p>
    <w:p w:rsidR="00084C46" w:rsidRPr="00A7267D" w:rsidRDefault="00084C46" w:rsidP="00084C46">
      <w:pPr>
        <w:pStyle w:val="ListBullet"/>
        <w:numPr>
          <w:ilvl w:val="0"/>
          <w:numId w:val="23"/>
        </w:numPr>
      </w:pPr>
      <w:r w:rsidRPr="00A7267D">
        <w:t>establish spectrum planning arrangements that support future needs</w:t>
      </w:r>
    </w:p>
    <w:p w:rsidR="00084C46" w:rsidRPr="00A7267D" w:rsidRDefault="00084C46" w:rsidP="00084C46">
      <w:pPr>
        <w:pStyle w:val="ListBullet"/>
        <w:numPr>
          <w:ilvl w:val="0"/>
          <w:numId w:val="23"/>
        </w:numPr>
      </w:pPr>
      <w:r>
        <w:t>r</w:t>
      </w:r>
      <w:r w:rsidRPr="00A7267D">
        <w:t>etain 14 MHz of spectrum in VHF Band III for possible expansion of digital radio*</w:t>
      </w:r>
    </w:p>
    <w:p w:rsidR="00084C46" w:rsidRPr="00A7267D" w:rsidRDefault="00084C46" w:rsidP="00084C46">
      <w:pPr>
        <w:pStyle w:val="ListBullet"/>
        <w:numPr>
          <w:ilvl w:val="0"/>
          <w:numId w:val="23"/>
        </w:numPr>
      </w:pPr>
      <w:r>
        <w:t>c</w:t>
      </w:r>
      <w:r w:rsidRPr="00A7267D">
        <w:t>omply with the legislated framework</w:t>
      </w:r>
    </w:p>
    <w:p w:rsidR="00084C46" w:rsidRPr="00A7267D" w:rsidRDefault="00084C46" w:rsidP="00084C46">
      <w:pPr>
        <w:pStyle w:val="ListBullet"/>
        <w:numPr>
          <w:ilvl w:val="0"/>
          <w:numId w:val="23"/>
        </w:numPr>
      </w:pPr>
      <w:r>
        <w:t>c</w:t>
      </w:r>
      <w:r w:rsidRPr="00A7267D">
        <w:t xml:space="preserve">onsistent with the </w:t>
      </w:r>
      <w:r>
        <w:t>minister’s direction, the ACMA should</w:t>
      </w:r>
      <w:r w:rsidRPr="00A7267D">
        <w:t xml:space="preserve"> wherever possible:*</w:t>
      </w:r>
    </w:p>
    <w:p w:rsidR="00084C46" w:rsidRPr="00A7267D" w:rsidRDefault="00084C46" w:rsidP="00084C46">
      <w:pPr>
        <w:pStyle w:val="ListBullet2"/>
        <w:numPr>
          <w:ilvl w:val="1"/>
          <w:numId w:val="28"/>
        </w:numPr>
      </w:pPr>
      <w:r w:rsidRPr="00A7267D">
        <w:t xml:space="preserve">minimise viewer costs and disruption </w:t>
      </w:r>
    </w:p>
    <w:p w:rsidR="00084C46" w:rsidRPr="00A7267D" w:rsidRDefault="00084C46" w:rsidP="00084C46">
      <w:pPr>
        <w:pStyle w:val="ListBullet2"/>
        <w:numPr>
          <w:ilvl w:val="1"/>
          <w:numId w:val="28"/>
        </w:numPr>
      </w:pPr>
      <w:proofErr w:type="gramStart"/>
      <w:r w:rsidRPr="00A7267D">
        <w:t>minimise</w:t>
      </w:r>
      <w:proofErr w:type="gramEnd"/>
      <w:r w:rsidRPr="00A7267D">
        <w:t xml:space="preserve"> commercial and national broadcaster costs</w:t>
      </w:r>
      <w:r>
        <w:t>.</w:t>
      </w:r>
    </w:p>
    <w:p w:rsidR="00084C46" w:rsidRDefault="00084C46" w:rsidP="00084C46">
      <w:pPr>
        <w:spacing w:before="240"/>
      </w:pPr>
      <w:r w:rsidRPr="00E867F4">
        <w:t>Subsequent references in this paper to particular objectives simply use the term ‘Objective’ and the relevant number, for example, Objective 6 or Objective 10(a).</w:t>
      </w:r>
    </w:p>
    <w:p w:rsidR="004E3D8A" w:rsidRPr="00A7267D" w:rsidRDefault="00FC2F9D" w:rsidP="00632FFF">
      <w:pPr>
        <w:spacing w:before="240"/>
      </w:pPr>
      <w:r w:rsidRPr="00A7267D">
        <w:t xml:space="preserve">It is important to note that the </w:t>
      </w:r>
      <w:r w:rsidR="00084C46">
        <w:t xml:space="preserve">application </w:t>
      </w:r>
      <w:r>
        <w:t xml:space="preserve">of the planning principles may </w:t>
      </w:r>
      <w:r w:rsidRPr="00A7267D">
        <w:t xml:space="preserve">require a balancing of competing </w:t>
      </w:r>
      <w:r w:rsidR="00084C46">
        <w:t>issues</w:t>
      </w:r>
      <w:r w:rsidRPr="00A7267D">
        <w:t>.</w:t>
      </w:r>
      <w:r w:rsidR="00E84DB4">
        <w:t xml:space="preserve"> </w:t>
      </w:r>
      <w:r w:rsidRPr="00A7267D">
        <w:t xml:space="preserve">Consequently, these </w:t>
      </w:r>
      <w:r w:rsidR="00036658">
        <w:t>o</w:t>
      </w:r>
      <w:r w:rsidRPr="00A7267D">
        <w:t xml:space="preserve">bjectives </w:t>
      </w:r>
      <w:r w:rsidR="00CD4A16">
        <w:t>will</w:t>
      </w:r>
      <w:r w:rsidRPr="00A7267D">
        <w:t xml:space="preserve"> be </w:t>
      </w:r>
      <w:r w:rsidR="00084C46">
        <w:t xml:space="preserve">referred </w:t>
      </w:r>
      <w:r w:rsidR="00BD6035">
        <w:t>to in weighing up such issues.</w:t>
      </w:r>
      <w:r w:rsidR="00E84DB4">
        <w:t xml:space="preserve"> </w:t>
      </w:r>
      <w:r w:rsidR="00084C46">
        <w:t xml:space="preserve">The </w:t>
      </w:r>
      <w:r w:rsidR="00036658">
        <w:t>o</w:t>
      </w:r>
      <w:r w:rsidR="00084C46">
        <w:t>bjectives may also require a balancing of issues and should therefore be considered</w:t>
      </w:r>
      <w:r w:rsidRPr="00A7267D">
        <w:t xml:space="preserve"> together and not individually in isolation of </w:t>
      </w:r>
      <w:r>
        <w:t>one another</w:t>
      </w:r>
      <w:r w:rsidR="00084C46">
        <w:t>.</w:t>
      </w:r>
    </w:p>
    <w:p w:rsidR="00A91002" w:rsidRPr="00A7267D" w:rsidRDefault="00C8177C" w:rsidP="00A91002">
      <w:pPr>
        <w:pStyle w:val="Heading1"/>
      </w:pPr>
      <w:bookmarkStart w:id="11" w:name="_Ref285019841"/>
      <w:bookmarkStart w:id="12" w:name="_Toc292291982"/>
      <w:r>
        <w:lastRenderedPageBreak/>
        <w:t>C</w:t>
      </w:r>
      <w:r w:rsidR="00A91002" w:rsidRPr="00A7267D">
        <w:t>hannel planning approach</w:t>
      </w:r>
      <w:bookmarkEnd w:id="11"/>
      <w:bookmarkEnd w:id="12"/>
    </w:p>
    <w:p w:rsidR="00EB7E76" w:rsidRDefault="0083280A" w:rsidP="00C47CBA">
      <w:r w:rsidRPr="00A7267D">
        <w:t>This section of</w:t>
      </w:r>
      <w:r w:rsidR="00D853CE">
        <w:t xml:space="preserve"> </w:t>
      </w:r>
      <w:r w:rsidRPr="00A7267D">
        <w:t xml:space="preserve">this </w:t>
      </w:r>
      <w:r>
        <w:t>d</w:t>
      </w:r>
      <w:r w:rsidR="00D853CE">
        <w:t>ecision</w:t>
      </w:r>
      <w:r>
        <w:t xml:space="preserve"> paper</w:t>
      </w:r>
      <w:r w:rsidRPr="00A7267D">
        <w:t xml:space="preserve"> describes how the ACMA </w:t>
      </w:r>
      <w:r w:rsidRPr="00D8724D">
        <w:t>evaluated the alternative planning approaches</w:t>
      </w:r>
      <w:r w:rsidRPr="00B02499">
        <w:t xml:space="preserve"> </w:t>
      </w:r>
      <w:r w:rsidR="002A5E3C">
        <w:t>taking into account information gathered during the consultation process.</w:t>
      </w:r>
    </w:p>
    <w:p w:rsidR="0083280A" w:rsidRPr="00A7267D" w:rsidRDefault="004E3D8A" w:rsidP="0083280A">
      <w:pPr>
        <w:pStyle w:val="Heading2"/>
      </w:pPr>
      <w:bookmarkStart w:id="13" w:name="_Toc292291983"/>
      <w:bookmarkStart w:id="14" w:name="_Ref285203027"/>
      <w:r>
        <w:t>Previous c</w:t>
      </w:r>
      <w:r w:rsidR="0083280A" w:rsidRPr="00A7267D">
        <w:t xml:space="preserve">omparison </w:t>
      </w:r>
      <w:r w:rsidR="0083280A">
        <w:t>of planning approach</w:t>
      </w:r>
      <w:r>
        <w:t>es</w:t>
      </w:r>
      <w:bookmarkEnd w:id="13"/>
      <w:r w:rsidR="0083280A">
        <w:t xml:space="preserve"> </w:t>
      </w:r>
      <w:bookmarkEnd w:id="14"/>
    </w:p>
    <w:p w:rsidR="00FC2F9D" w:rsidRDefault="00FC2F9D" w:rsidP="00901CAD">
      <w:pPr>
        <w:pStyle w:val="Bodysubheader"/>
      </w:pPr>
      <w:r>
        <w:t>Background on previous analysis/methodology and findings</w:t>
      </w:r>
    </w:p>
    <w:p w:rsidR="00E34E3A" w:rsidRPr="00A91A50" w:rsidRDefault="00B370F5" w:rsidP="00E34E3A">
      <w:r>
        <w:t>During</w:t>
      </w:r>
      <w:r w:rsidR="00E34E3A" w:rsidRPr="00A91A50">
        <w:t xml:space="preserve"> consultation</w:t>
      </w:r>
      <w:r>
        <w:t>s</w:t>
      </w:r>
      <w:r w:rsidR="00E34E3A" w:rsidRPr="00A91A50">
        <w:t xml:space="preserve"> with the broadcasting industry, two main candidate planning approaches </w:t>
      </w:r>
      <w:r w:rsidR="00E34E3A">
        <w:t>were</w:t>
      </w:r>
      <w:r w:rsidR="00E34E3A" w:rsidRPr="00A91A50">
        <w:t xml:space="preserve"> identified, known as the ‘block’ and ‘minimum moves’ </w:t>
      </w:r>
      <w:r w:rsidR="00E34E3A">
        <w:t xml:space="preserve">planning </w:t>
      </w:r>
      <w:r w:rsidR="00E34E3A" w:rsidRPr="00A91A50">
        <w:t>approaches</w:t>
      </w:r>
      <w:r w:rsidR="00E34E3A">
        <w:t>.</w:t>
      </w:r>
      <w:r w:rsidR="00E84DB4">
        <w:t xml:space="preserve"> </w:t>
      </w:r>
      <w:r w:rsidR="00E34E3A" w:rsidRPr="00A91A50">
        <w:t xml:space="preserve">The block </w:t>
      </w:r>
      <w:r w:rsidR="00E34E3A">
        <w:t xml:space="preserve">planning </w:t>
      </w:r>
      <w:r w:rsidR="00E34E3A" w:rsidRPr="00A91A50">
        <w:t>approach would see television services at all sites planned using ‘blocks’ of adjacent channels (</w:t>
      </w:r>
      <w:r w:rsidR="00E34E3A">
        <w:t>for example,</w:t>
      </w:r>
      <w:r w:rsidR="00E34E3A" w:rsidRPr="00A91A50">
        <w:t xml:space="preserve"> 28, 29, 30, 31, 32, 33)</w:t>
      </w:r>
      <w:r w:rsidR="00E34E3A">
        <w:t xml:space="preserve">. </w:t>
      </w:r>
      <w:r w:rsidR="00E34E3A" w:rsidRPr="00A91A50">
        <w:t xml:space="preserve">The commercial TV industry </w:t>
      </w:r>
      <w:r w:rsidR="00E34E3A">
        <w:t xml:space="preserve">strongly supports this approach as it </w:t>
      </w:r>
      <w:r w:rsidR="00E34E3A" w:rsidRPr="00A91A50">
        <w:t>sees both short</w:t>
      </w:r>
      <w:r w:rsidR="00E34E3A">
        <w:t>-</w:t>
      </w:r>
      <w:r w:rsidR="00E34E3A" w:rsidRPr="00A91A50">
        <w:t xml:space="preserve"> and long</w:t>
      </w:r>
      <w:r w:rsidR="00E34E3A">
        <w:t>-</w:t>
      </w:r>
      <w:r w:rsidR="00E34E3A" w:rsidRPr="00A91A50">
        <w:t>term advantages in moving to this approac</w:t>
      </w:r>
      <w:r w:rsidR="00E34E3A">
        <w:t>h.</w:t>
      </w:r>
    </w:p>
    <w:p w:rsidR="00E34E3A" w:rsidRPr="00A91A50" w:rsidRDefault="00E34E3A" w:rsidP="00E34E3A">
      <w:r w:rsidRPr="00A91A50">
        <w:t xml:space="preserve">The minimum moves </w:t>
      </w:r>
      <w:r>
        <w:t xml:space="preserve">planning </w:t>
      </w:r>
      <w:r w:rsidRPr="00A91A50">
        <w:t xml:space="preserve">approach reflects the more conservative, incremental way that </w:t>
      </w:r>
      <w:r>
        <w:t>Australian</w:t>
      </w:r>
      <w:r w:rsidRPr="00A91A50">
        <w:t xml:space="preserve"> television planning has proceeded to date</w:t>
      </w:r>
      <w:r>
        <w:t>.</w:t>
      </w:r>
      <w:r w:rsidR="00E84DB4">
        <w:t xml:space="preserve"> </w:t>
      </w:r>
      <w:r w:rsidRPr="00A91A50">
        <w:t xml:space="preserve">This approach typically results in a wider spread of </w:t>
      </w:r>
      <w:r>
        <w:t>television</w:t>
      </w:r>
      <w:r w:rsidRPr="00A91A50">
        <w:t xml:space="preserve"> channels in use at each site, as new services are added while minimising changes to existing services.</w:t>
      </w:r>
    </w:p>
    <w:p w:rsidR="00E34E3A" w:rsidRPr="00A91A50" w:rsidRDefault="00E34E3A" w:rsidP="00E34E3A">
      <w:r>
        <w:t>Section</w:t>
      </w:r>
      <w:r w:rsidRPr="00A91A50">
        <w:t xml:space="preserve"> </w:t>
      </w:r>
      <w:r>
        <w:t>4</w:t>
      </w:r>
      <w:r w:rsidRPr="00A91A50">
        <w:t xml:space="preserve"> of the discussion paper compare</w:t>
      </w:r>
      <w:r>
        <w:t>d</w:t>
      </w:r>
      <w:r w:rsidRPr="00A91A50">
        <w:t xml:space="preserve"> </w:t>
      </w:r>
      <w:r w:rsidR="006A044B">
        <w:t xml:space="preserve">the block and minimum moves </w:t>
      </w:r>
      <w:r>
        <w:t xml:space="preserve">planning </w:t>
      </w:r>
      <w:r w:rsidRPr="00A91A50">
        <w:t xml:space="preserve">approaches in detail, evaluating each against the proposed objectives of </w:t>
      </w:r>
      <w:r>
        <w:t>restack</w:t>
      </w:r>
      <w:r w:rsidRPr="00A91A50">
        <w:t xml:space="preserve"> planning and, in particular, the key issues of cost </w:t>
      </w:r>
      <w:r>
        <w:t xml:space="preserve">(including cost </w:t>
      </w:r>
      <w:r w:rsidRPr="00A91A50">
        <w:t>to broadcasters</w:t>
      </w:r>
      <w:r>
        <w:t xml:space="preserve"> and</w:t>
      </w:r>
      <w:r w:rsidRPr="00A91A50">
        <w:t xml:space="preserve"> costs</w:t>
      </w:r>
      <w:r>
        <w:t xml:space="preserve"> to viewers)</w:t>
      </w:r>
      <w:r w:rsidR="00D853CE">
        <w:t>,</w:t>
      </w:r>
      <w:r w:rsidRPr="00A91A50">
        <w:t xml:space="preserve"> viewer disruption, timing implications for completion of the restack and long-term benefits.</w:t>
      </w:r>
    </w:p>
    <w:p w:rsidR="00E34E3A" w:rsidRPr="00A91A50" w:rsidRDefault="00E34E3A" w:rsidP="00E34E3A">
      <w:r w:rsidRPr="00A91A50">
        <w:t xml:space="preserve">To test the feasibility of both </w:t>
      </w:r>
      <w:r>
        <w:t>planning approaches</w:t>
      </w:r>
      <w:r w:rsidRPr="00A91A50">
        <w:t xml:space="preserve"> and compare their costs and timing implications, the ACMA prepared channel plans using the two </w:t>
      </w:r>
      <w:r>
        <w:t xml:space="preserve">planning </w:t>
      </w:r>
      <w:r w:rsidRPr="00A91A50">
        <w:t>approaches for Queensland and adjacent areas</w:t>
      </w:r>
      <w:r>
        <w:t>.</w:t>
      </w:r>
      <w:r w:rsidR="00E84DB4">
        <w:t xml:space="preserve"> </w:t>
      </w:r>
      <w:r w:rsidRPr="00A91A50">
        <w:t xml:space="preserve">Queensland was chosen as it contains the most congested part of the country for </w:t>
      </w:r>
      <w:r>
        <w:t>television</w:t>
      </w:r>
      <w:r w:rsidRPr="00A91A50">
        <w:t xml:space="preserve"> channel planning (Brisbane </w:t>
      </w:r>
      <w:r>
        <w:t>and the s</w:t>
      </w:r>
      <w:r w:rsidRPr="00A91A50">
        <w:t xml:space="preserve">outh </w:t>
      </w:r>
      <w:r>
        <w:t>east c</w:t>
      </w:r>
      <w:r w:rsidRPr="00A91A50">
        <w:t>orner</w:t>
      </w:r>
      <w:r w:rsidR="006A044B">
        <w:t xml:space="preserve"> of Queensland</w:t>
      </w:r>
      <w:r w:rsidRPr="00A91A50">
        <w:t>) and represents a large enough sample of sites to help draw useful conclusions about how the approaches would compare nationally.</w:t>
      </w:r>
    </w:p>
    <w:p w:rsidR="003750F1" w:rsidRPr="00A91A50" w:rsidRDefault="003750F1" w:rsidP="003750F1">
      <w:pPr>
        <w:rPr>
          <w:rFonts w:cs="Arial"/>
        </w:rPr>
      </w:pPr>
      <w:r w:rsidRPr="00A91A50">
        <w:rPr>
          <w:rFonts w:cs="Arial"/>
        </w:rPr>
        <w:t>In relation to costs, a critical finding</w:t>
      </w:r>
      <w:r>
        <w:rPr>
          <w:rFonts w:cs="Arial"/>
        </w:rPr>
        <w:t xml:space="preserve"> from the Queensland case study</w:t>
      </w:r>
      <w:r w:rsidRPr="00A91A50">
        <w:rPr>
          <w:rFonts w:cs="Arial"/>
        </w:rPr>
        <w:t xml:space="preserve"> </w:t>
      </w:r>
      <w:r>
        <w:rPr>
          <w:rFonts w:cs="Arial"/>
        </w:rPr>
        <w:t>was</w:t>
      </w:r>
      <w:r w:rsidRPr="00A91A50">
        <w:rPr>
          <w:rFonts w:cs="Arial"/>
        </w:rPr>
        <w:t xml:space="preserve"> that the method of </w:t>
      </w:r>
      <w:r>
        <w:rPr>
          <w:rFonts w:cs="Arial"/>
        </w:rPr>
        <w:t>restack</w:t>
      </w:r>
      <w:r w:rsidRPr="00A91A50">
        <w:rPr>
          <w:rFonts w:cs="Arial"/>
        </w:rPr>
        <w:t xml:space="preserve"> implementation </w:t>
      </w:r>
      <w:r w:rsidR="006A044B">
        <w:rPr>
          <w:rFonts w:cs="Arial"/>
        </w:rPr>
        <w:t>has</w:t>
      </w:r>
      <w:r w:rsidRPr="00A91A50">
        <w:rPr>
          <w:rFonts w:cs="Arial"/>
        </w:rPr>
        <w:t xml:space="preserve"> a much larger bearing than the choice of planning approach</w:t>
      </w:r>
      <w:r>
        <w:rPr>
          <w:rFonts w:cs="Arial"/>
        </w:rPr>
        <w:t>. In preparing the discussion paper, t</w:t>
      </w:r>
      <w:r w:rsidRPr="00A91A50">
        <w:rPr>
          <w:rFonts w:cs="Arial"/>
        </w:rPr>
        <w:t xml:space="preserve">he ACMA </w:t>
      </w:r>
      <w:r w:rsidR="00141F26">
        <w:rPr>
          <w:rFonts w:cs="Arial"/>
        </w:rPr>
        <w:t>devised</w:t>
      </w:r>
      <w:r w:rsidR="00141F26" w:rsidRPr="00A91A50">
        <w:rPr>
          <w:rFonts w:cs="Arial"/>
        </w:rPr>
        <w:t xml:space="preserve"> </w:t>
      </w:r>
      <w:r w:rsidRPr="00A91A50">
        <w:rPr>
          <w:rFonts w:cs="Arial"/>
        </w:rPr>
        <w:t xml:space="preserve">two </w:t>
      </w:r>
      <w:r>
        <w:rPr>
          <w:rFonts w:cs="Arial"/>
        </w:rPr>
        <w:t>implementation methods</w:t>
      </w:r>
      <w:r w:rsidR="00141F26">
        <w:rPr>
          <w:rFonts w:cs="Arial"/>
        </w:rPr>
        <w:t xml:space="preserve"> for the purpose of modelling costs and analysing implementation timing</w:t>
      </w:r>
      <w:r w:rsidR="002A4969">
        <w:rPr>
          <w:rStyle w:val="FootnoteReference"/>
          <w:rFonts w:cs="Arial"/>
        </w:rPr>
        <w:footnoteReference w:id="15"/>
      </w:r>
      <w:r>
        <w:rPr>
          <w:rFonts w:cs="Arial"/>
        </w:rPr>
        <w:t>.</w:t>
      </w:r>
      <w:r w:rsidR="00E84DB4">
        <w:rPr>
          <w:rFonts w:cs="Arial"/>
        </w:rPr>
        <w:t xml:space="preserve"> </w:t>
      </w:r>
      <w:r>
        <w:rPr>
          <w:rFonts w:cs="Arial"/>
        </w:rPr>
        <w:t>The</w:t>
      </w:r>
      <w:r w:rsidRPr="00A91A50">
        <w:rPr>
          <w:rFonts w:cs="Arial"/>
        </w:rPr>
        <w:t xml:space="preserve"> cheapest </w:t>
      </w:r>
      <w:r>
        <w:rPr>
          <w:rFonts w:cs="Arial"/>
        </w:rPr>
        <w:t xml:space="preserve">of </w:t>
      </w:r>
      <w:r w:rsidRPr="00A91A50">
        <w:rPr>
          <w:rFonts w:cs="Arial"/>
        </w:rPr>
        <w:t>the</w:t>
      </w:r>
      <w:r>
        <w:rPr>
          <w:rFonts w:cs="Arial"/>
        </w:rPr>
        <w:t>se was the so-called</w:t>
      </w:r>
      <w:r w:rsidRPr="00A91A50">
        <w:rPr>
          <w:rFonts w:cs="Arial"/>
        </w:rPr>
        <w:t xml:space="preserve"> ‘</w:t>
      </w:r>
      <w:r>
        <w:rPr>
          <w:rFonts w:cs="Arial"/>
        </w:rPr>
        <w:t>TRU</w:t>
      </w:r>
      <w:r w:rsidRPr="00A91A50">
        <w:rPr>
          <w:rFonts w:cs="Arial"/>
        </w:rPr>
        <w:t xml:space="preserve"> </w:t>
      </w:r>
      <w:r>
        <w:rPr>
          <w:rFonts w:cs="Arial"/>
        </w:rPr>
        <w:t>method’,</w:t>
      </w:r>
      <w:r w:rsidRPr="00A91A50">
        <w:rPr>
          <w:rFonts w:cs="Arial"/>
        </w:rPr>
        <w:t xml:space="preserve"> </w:t>
      </w:r>
      <w:r>
        <w:rPr>
          <w:rFonts w:cs="Arial"/>
        </w:rPr>
        <w:t xml:space="preserve">which </w:t>
      </w:r>
      <w:r w:rsidRPr="00A91A50">
        <w:rPr>
          <w:rFonts w:cs="Arial"/>
        </w:rPr>
        <w:t xml:space="preserve">would </w:t>
      </w:r>
      <w:r>
        <w:rPr>
          <w:rFonts w:cs="Arial"/>
        </w:rPr>
        <w:t xml:space="preserve">involve the use of transportable ‘temporary retune units’ to keep services on air at </w:t>
      </w:r>
      <w:r w:rsidRPr="00A91A50">
        <w:rPr>
          <w:rFonts w:cs="Arial"/>
        </w:rPr>
        <w:t xml:space="preserve">each site while the existing </w:t>
      </w:r>
      <w:r>
        <w:rPr>
          <w:rFonts w:cs="Arial"/>
        </w:rPr>
        <w:t xml:space="preserve">transmission </w:t>
      </w:r>
      <w:r w:rsidRPr="00A91A50">
        <w:rPr>
          <w:rFonts w:cs="Arial"/>
        </w:rPr>
        <w:t>equipment is</w:t>
      </w:r>
      <w:r>
        <w:rPr>
          <w:rFonts w:cs="Arial"/>
        </w:rPr>
        <w:t xml:space="preserve"> </w:t>
      </w:r>
      <w:r w:rsidR="00116D85">
        <w:rPr>
          <w:rFonts w:cs="Arial"/>
        </w:rPr>
        <w:t xml:space="preserve">generally </w:t>
      </w:r>
      <w:r w:rsidRPr="00A91A50">
        <w:rPr>
          <w:rFonts w:cs="Arial"/>
        </w:rPr>
        <w:t>retuned</w:t>
      </w:r>
      <w:r w:rsidR="00116D85">
        <w:rPr>
          <w:rFonts w:cs="Arial"/>
        </w:rPr>
        <w:t>,</w:t>
      </w:r>
      <w:r w:rsidRPr="00A91A50">
        <w:rPr>
          <w:rFonts w:cs="Arial"/>
        </w:rPr>
        <w:t xml:space="preserve"> </w:t>
      </w:r>
      <w:r w:rsidR="00116D85">
        <w:rPr>
          <w:rFonts w:cs="Arial"/>
        </w:rPr>
        <w:t xml:space="preserve">if practicable, </w:t>
      </w:r>
      <w:r w:rsidRPr="00A91A50">
        <w:rPr>
          <w:rFonts w:cs="Arial"/>
        </w:rPr>
        <w:t xml:space="preserve">or replaced as </w:t>
      </w:r>
      <w:r>
        <w:rPr>
          <w:rFonts w:cs="Arial"/>
        </w:rPr>
        <w:t>necessary.</w:t>
      </w:r>
      <w:r w:rsidR="00E84DB4">
        <w:rPr>
          <w:rFonts w:cs="Arial"/>
        </w:rPr>
        <w:t xml:space="preserve"> </w:t>
      </w:r>
      <w:r>
        <w:rPr>
          <w:rFonts w:cs="Arial"/>
        </w:rPr>
        <w:t>Having regard to its considerably lower cost</w:t>
      </w:r>
      <w:r w:rsidR="00766379">
        <w:rPr>
          <w:rFonts w:cs="Arial"/>
        </w:rPr>
        <w:t xml:space="preserve"> and its minimal service disruption</w:t>
      </w:r>
      <w:r>
        <w:rPr>
          <w:rFonts w:cs="Arial"/>
        </w:rPr>
        <w:t>, the ACMA assumed the industry will adopt the TRU method, or something similar.</w:t>
      </w:r>
    </w:p>
    <w:p w:rsidR="003750F1" w:rsidRDefault="003750F1" w:rsidP="003750F1">
      <w:pPr>
        <w:rPr>
          <w:rFonts w:cs="Arial"/>
        </w:rPr>
      </w:pPr>
      <w:r>
        <w:rPr>
          <w:rFonts w:cs="Arial"/>
        </w:rPr>
        <w:t>T</w:t>
      </w:r>
      <w:r w:rsidRPr="00A91A50">
        <w:rPr>
          <w:rFonts w:cs="Arial"/>
        </w:rPr>
        <w:t>he ACMA conclude</w:t>
      </w:r>
      <w:r>
        <w:rPr>
          <w:rFonts w:cs="Arial"/>
        </w:rPr>
        <w:t>d that i</w:t>
      </w:r>
      <w:r w:rsidRPr="00A91A50">
        <w:rPr>
          <w:rFonts w:cs="Arial"/>
        </w:rPr>
        <w:t xml:space="preserve">f the </w:t>
      </w:r>
      <w:r>
        <w:rPr>
          <w:rFonts w:cs="Arial"/>
        </w:rPr>
        <w:t>TRU</w:t>
      </w:r>
      <w:r w:rsidRPr="00A91A50">
        <w:rPr>
          <w:rFonts w:cs="Arial"/>
        </w:rPr>
        <w:t xml:space="preserve"> </w:t>
      </w:r>
      <w:r>
        <w:rPr>
          <w:rFonts w:cs="Arial"/>
        </w:rPr>
        <w:t>method</w:t>
      </w:r>
      <w:r w:rsidRPr="00A91A50">
        <w:rPr>
          <w:rFonts w:cs="Arial"/>
        </w:rPr>
        <w:t xml:space="preserve"> </w:t>
      </w:r>
      <w:r>
        <w:rPr>
          <w:rFonts w:cs="Arial"/>
        </w:rPr>
        <w:t xml:space="preserve">(or similar) </w:t>
      </w:r>
      <w:r w:rsidRPr="00A91A50">
        <w:rPr>
          <w:rFonts w:cs="Arial"/>
        </w:rPr>
        <w:t>is adopted</w:t>
      </w:r>
      <w:r>
        <w:rPr>
          <w:rFonts w:cs="Arial"/>
        </w:rPr>
        <w:t>,</w:t>
      </w:r>
      <w:r w:rsidRPr="00A91A50">
        <w:rPr>
          <w:rFonts w:cs="Arial"/>
        </w:rPr>
        <w:t xml:space="preserve"> the </w:t>
      </w:r>
      <w:r>
        <w:rPr>
          <w:rFonts w:cs="Arial"/>
        </w:rPr>
        <w:t>cost of implementing the block</w:t>
      </w:r>
      <w:r w:rsidRPr="00A91A50">
        <w:rPr>
          <w:rFonts w:cs="Arial"/>
        </w:rPr>
        <w:t xml:space="preserve"> </w:t>
      </w:r>
      <w:r>
        <w:rPr>
          <w:rFonts w:cs="Arial"/>
        </w:rPr>
        <w:t xml:space="preserve">planning </w:t>
      </w:r>
      <w:r w:rsidRPr="00A91A50">
        <w:rPr>
          <w:rFonts w:cs="Arial"/>
        </w:rPr>
        <w:t xml:space="preserve">approach </w:t>
      </w:r>
      <w:r>
        <w:rPr>
          <w:rFonts w:cs="Arial"/>
        </w:rPr>
        <w:t>was</w:t>
      </w:r>
      <w:r w:rsidRPr="00A91A50">
        <w:rPr>
          <w:rFonts w:cs="Arial"/>
        </w:rPr>
        <w:t xml:space="preserve"> likely to be </w:t>
      </w:r>
      <w:r>
        <w:rPr>
          <w:rFonts w:cs="Arial"/>
        </w:rPr>
        <w:t>little different to that for t</w:t>
      </w:r>
      <w:r w:rsidRPr="00A91A50">
        <w:rPr>
          <w:rFonts w:cs="Arial"/>
        </w:rPr>
        <w:t>he minim</w:t>
      </w:r>
      <w:r>
        <w:rPr>
          <w:rFonts w:cs="Arial"/>
        </w:rPr>
        <w:t>um moves</w:t>
      </w:r>
      <w:r w:rsidRPr="00A91A50">
        <w:rPr>
          <w:rFonts w:cs="Arial"/>
        </w:rPr>
        <w:t xml:space="preserve"> approach</w:t>
      </w:r>
      <w:r>
        <w:rPr>
          <w:rFonts w:cs="Arial"/>
        </w:rPr>
        <w:t>.</w:t>
      </w:r>
      <w:r w:rsidR="00E84DB4">
        <w:rPr>
          <w:rFonts w:cs="Arial"/>
        </w:rPr>
        <w:t xml:space="preserve"> </w:t>
      </w:r>
      <w:r w:rsidRPr="00A91A50">
        <w:rPr>
          <w:rFonts w:cs="Arial"/>
        </w:rPr>
        <w:t xml:space="preserve">It also </w:t>
      </w:r>
      <w:r>
        <w:rPr>
          <w:rFonts w:cs="Arial"/>
        </w:rPr>
        <w:t xml:space="preserve">concluded that the restack was </w:t>
      </w:r>
      <w:r w:rsidRPr="00A91A50">
        <w:rPr>
          <w:rFonts w:cs="Arial"/>
        </w:rPr>
        <w:t>likely to be completed in the same time or fractionally more quickly.</w:t>
      </w:r>
    </w:p>
    <w:p w:rsidR="003750F1" w:rsidRDefault="003750F1" w:rsidP="003750F1">
      <w:pPr>
        <w:spacing w:after="80"/>
      </w:pPr>
      <w:r>
        <w:lastRenderedPageBreak/>
        <w:t>After considering the respective benefits of the two planning approaches, t</w:t>
      </w:r>
      <w:r w:rsidRPr="00A91A50">
        <w:t xml:space="preserve">he ACMA </w:t>
      </w:r>
      <w:r>
        <w:t>identified</w:t>
      </w:r>
      <w:r w:rsidRPr="00A91A50">
        <w:t xml:space="preserve"> </w:t>
      </w:r>
      <w:r>
        <w:t>a number of long-term</w:t>
      </w:r>
      <w:r w:rsidRPr="00A91A50">
        <w:t xml:space="preserve"> benefits </w:t>
      </w:r>
      <w:r>
        <w:t xml:space="preserve">of the block approach </w:t>
      </w:r>
      <w:r w:rsidRPr="00A91A50">
        <w:t>compared to minim</w:t>
      </w:r>
      <w:r>
        <w:t>um</w:t>
      </w:r>
      <w:r w:rsidRPr="00A91A50">
        <w:t xml:space="preserve"> </w:t>
      </w:r>
      <w:r>
        <w:t>moves approach.</w:t>
      </w:r>
      <w:r w:rsidR="00E84DB4">
        <w:t xml:space="preserve"> </w:t>
      </w:r>
      <w:r>
        <w:t xml:space="preserve">The benefits identified were: </w:t>
      </w:r>
    </w:p>
    <w:p w:rsidR="003750F1" w:rsidRPr="006C7CD5" w:rsidRDefault="003750F1" w:rsidP="003750F1">
      <w:pPr>
        <w:pStyle w:val="ListBullet"/>
      </w:pPr>
      <w:r w:rsidRPr="006C7CD5">
        <w:t>coverage of services will be the most equal possible with all services at a location operating in the same band and over a smaller range of channels.</w:t>
      </w:r>
      <w:r w:rsidR="00E84DB4">
        <w:t xml:space="preserve"> </w:t>
      </w:r>
      <w:r w:rsidRPr="006C7CD5">
        <w:t>(This means viewers who are able to receive one service should be able to receive all services in that area using a single receive antenna)</w:t>
      </w:r>
    </w:p>
    <w:p w:rsidR="003750F1" w:rsidRPr="006C7CD5" w:rsidRDefault="003750F1" w:rsidP="003750F1">
      <w:pPr>
        <w:pStyle w:val="ListBullet"/>
      </w:pPr>
      <w:r w:rsidRPr="006C7CD5">
        <w:t>new viewer antennas can be simpler and smaller</w:t>
      </w:r>
    </w:p>
    <w:p w:rsidR="003750F1" w:rsidRPr="006C7CD5" w:rsidRDefault="003750F1" w:rsidP="003750F1">
      <w:pPr>
        <w:pStyle w:val="ListBullet"/>
      </w:pPr>
      <w:r w:rsidRPr="006C7CD5">
        <w:t>master antenna TV systems can be simpler and cheaper</w:t>
      </w:r>
    </w:p>
    <w:p w:rsidR="003750F1" w:rsidRPr="006C7CD5" w:rsidRDefault="003750F1" w:rsidP="003750F1">
      <w:pPr>
        <w:pStyle w:val="ListBullet"/>
      </w:pPr>
      <w:r w:rsidRPr="006C7CD5">
        <w:t>the addition of future gap filler sites will be more cost effective as off-air inputs should be more readily available</w:t>
      </w:r>
    </w:p>
    <w:p w:rsidR="003750F1" w:rsidRPr="006C7CD5" w:rsidRDefault="003750F1" w:rsidP="003750F1">
      <w:pPr>
        <w:pStyle w:val="ListBullet"/>
      </w:pPr>
      <w:r w:rsidRPr="006C7CD5">
        <w:t>there are benefits for non-broadcast use of the ‘white space’ between television services.</w:t>
      </w:r>
    </w:p>
    <w:p w:rsidR="00E34E3A" w:rsidRDefault="003750F1" w:rsidP="003750F1">
      <w:pPr>
        <w:rPr>
          <w:rFonts w:cs="Arial"/>
        </w:rPr>
      </w:pPr>
      <w:r w:rsidRPr="00A91A50">
        <w:rPr>
          <w:rFonts w:cs="Arial"/>
        </w:rPr>
        <w:t xml:space="preserve">As little difference between the two </w:t>
      </w:r>
      <w:r>
        <w:rPr>
          <w:rFonts w:cs="Arial"/>
        </w:rPr>
        <w:t xml:space="preserve">planning </w:t>
      </w:r>
      <w:r w:rsidRPr="00A91A50">
        <w:rPr>
          <w:rFonts w:cs="Arial"/>
        </w:rPr>
        <w:t>approaches in terms of viewer costs or disruption</w:t>
      </w:r>
      <w:r>
        <w:rPr>
          <w:rFonts w:cs="Arial"/>
        </w:rPr>
        <w:t xml:space="preserve"> had been identified</w:t>
      </w:r>
      <w:r w:rsidRPr="00A91A50">
        <w:rPr>
          <w:rFonts w:cs="Arial"/>
        </w:rPr>
        <w:t xml:space="preserve">, and as the block approach </w:t>
      </w:r>
      <w:r>
        <w:rPr>
          <w:rFonts w:cs="Arial"/>
        </w:rPr>
        <w:t>has</w:t>
      </w:r>
      <w:r w:rsidRPr="00A91A50">
        <w:rPr>
          <w:rFonts w:cs="Arial"/>
        </w:rPr>
        <w:t xml:space="preserve"> </w:t>
      </w:r>
      <w:r>
        <w:rPr>
          <w:rFonts w:cs="Arial"/>
        </w:rPr>
        <w:t xml:space="preserve">modest but real </w:t>
      </w:r>
      <w:r w:rsidRPr="00A91A50">
        <w:rPr>
          <w:rFonts w:cs="Arial"/>
        </w:rPr>
        <w:t xml:space="preserve">long-term benefits when compared to </w:t>
      </w:r>
      <w:r>
        <w:rPr>
          <w:rFonts w:cs="Arial"/>
        </w:rPr>
        <w:t xml:space="preserve">the </w:t>
      </w:r>
      <w:r w:rsidRPr="00A91A50">
        <w:rPr>
          <w:rFonts w:cs="Arial"/>
        </w:rPr>
        <w:t>minim</w:t>
      </w:r>
      <w:r>
        <w:rPr>
          <w:rFonts w:cs="Arial"/>
        </w:rPr>
        <w:t>um</w:t>
      </w:r>
      <w:r w:rsidRPr="00A91A50">
        <w:rPr>
          <w:rFonts w:cs="Arial"/>
        </w:rPr>
        <w:t xml:space="preserve"> </w:t>
      </w:r>
      <w:r>
        <w:rPr>
          <w:rFonts w:cs="Arial"/>
        </w:rPr>
        <w:t xml:space="preserve">moves approach, and </w:t>
      </w:r>
      <w:r w:rsidRPr="00A91A50">
        <w:rPr>
          <w:rFonts w:cs="Arial"/>
        </w:rPr>
        <w:t xml:space="preserve">after considering all </w:t>
      </w:r>
      <w:r>
        <w:rPr>
          <w:rFonts w:cs="Arial"/>
        </w:rPr>
        <w:t xml:space="preserve">of the proposed </w:t>
      </w:r>
      <w:r w:rsidRPr="00A91A50">
        <w:rPr>
          <w:rFonts w:cs="Arial"/>
        </w:rPr>
        <w:t>obj</w:t>
      </w:r>
      <w:r>
        <w:rPr>
          <w:rFonts w:cs="Arial"/>
        </w:rPr>
        <w:t>ectives of the re</w:t>
      </w:r>
      <w:r w:rsidRPr="00A91A50">
        <w:rPr>
          <w:rFonts w:cs="Arial"/>
        </w:rPr>
        <w:t>stack planning process</w:t>
      </w:r>
      <w:r>
        <w:rPr>
          <w:rFonts w:cs="Arial"/>
        </w:rPr>
        <w:t>,</w:t>
      </w:r>
      <w:r w:rsidRPr="00A91A50">
        <w:rPr>
          <w:rFonts w:cs="Arial"/>
        </w:rPr>
        <w:t xml:space="preserve"> the ACMA formed </w:t>
      </w:r>
      <w:r>
        <w:rPr>
          <w:rFonts w:cs="Arial"/>
        </w:rPr>
        <w:t>the</w:t>
      </w:r>
      <w:r w:rsidRPr="00A91A50">
        <w:rPr>
          <w:rFonts w:cs="Arial"/>
        </w:rPr>
        <w:t xml:space="preserve"> preliminary view in favour of </w:t>
      </w:r>
      <w:r>
        <w:rPr>
          <w:rFonts w:cs="Arial"/>
        </w:rPr>
        <w:t xml:space="preserve">adopting </w:t>
      </w:r>
      <w:r w:rsidRPr="00A91A50">
        <w:rPr>
          <w:rFonts w:cs="Arial"/>
        </w:rPr>
        <w:t>the block planning approach</w:t>
      </w:r>
      <w:r>
        <w:rPr>
          <w:rFonts w:cs="Arial"/>
        </w:rPr>
        <w:t>.</w:t>
      </w:r>
    </w:p>
    <w:p w:rsidR="000A5A3D" w:rsidRDefault="000A5A3D" w:rsidP="003750F1">
      <w:r>
        <w:rPr>
          <w:rFonts w:cs="Arial"/>
        </w:rPr>
        <w:t>A critical purpose of the discussion paper was to test some of the ACMA’s key assumptions underlying this preliminary view.</w:t>
      </w:r>
      <w:r w:rsidR="00E84DB4">
        <w:rPr>
          <w:rFonts w:cs="Arial"/>
        </w:rPr>
        <w:t xml:space="preserve"> </w:t>
      </w:r>
      <w:r>
        <w:rPr>
          <w:rFonts w:cs="Arial"/>
        </w:rPr>
        <w:t>The ACMA noted that if some of its assumptions were incorrect and implementation of the minimum moves approach is likely to be significantly cheaper or quicker tha</w:t>
      </w:r>
      <w:r w:rsidR="00C01DC9">
        <w:rPr>
          <w:rFonts w:cs="Arial"/>
        </w:rPr>
        <w:t>n</w:t>
      </w:r>
      <w:r>
        <w:rPr>
          <w:rFonts w:cs="Arial"/>
        </w:rPr>
        <w:t xml:space="preserve"> the block approach, the ACMA would reconsider its preliminary view.</w:t>
      </w:r>
    </w:p>
    <w:p w:rsidR="006E0C74" w:rsidRPr="004E3D8A" w:rsidRDefault="006E0C74" w:rsidP="006E0C74">
      <w:pPr>
        <w:pStyle w:val="Heading2"/>
      </w:pPr>
      <w:bookmarkStart w:id="15" w:name="_Toc292291984"/>
      <w:r>
        <w:t>Stakeholder feedback</w:t>
      </w:r>
      <w:r w:rsidR="00D853CE">
        <w:t xml:space="preserve"> and ACMA comments</w:t>
      </w:r>
      <w:bookmarkEnd w:id="15"/>
    </w:p>
    <w:p w:rsidR="00171F35" w:rsidRDefault="00166E38" w:rsidP="00901CAD">
      <w:pPr>
        <w:pStyle w:val="Bodysubheader"/>
      </w:pPr>
      <w:r>
        <w:t xml:space="preserve">Comments on </w:t>
      </w:r>
      <w:r w:rsidR="00171F35">
        <w:t>planning approach</w:t>
      </w:r>
    </w:p>
    <w:p w:rsidR="006963F9" w:rsidRDefault="006E0C74" w:rsidP="003750F1">
      <w:r>
        <w:t>Respondents to the discussion paper were generally either</w:t>
      </w:r>
      <w:r w:rsidR="00D853CE">
        <w:t>:</w:t>
      </w:r>
      <w:r>
        <w:t xml:space="preserve"> supportive of the block planning approach</w:t>
      </w:r>
      <w:r w:rsidR="00D853CE">
        <w:t>;</w:t>
      </w:r>
      <w:r>
        <w:t xml:space="preserve"> or</w:t>
      </w:r>
      <w:r w:rsidR="00D853CE">
        <w:t>,</w:t>
      </w:r>
      <w:r w:rsidR="00152AE5">
        <w:t xml:space="preserve"> neutral</w:t>
      </w:r>
      <w:r>
        <w:t xml:space="preserve"> </w:t>
      </w:r>
      <w:r w:rsidR="00D853CE">
        <w:t xml:space="preserve">as </w:t>
      </w:r>
      <w:r>
        <w:t>to the approach adopted.</w:t>
      </w:r>
      <w:r w:rsidR="00E84DB4">
        <w:t xml:space="preserve"> </w:t>
      </w:r>
    </w:p>
    <w:p w:rsidR="00166E38" w:rsidRDefault="006E0C74" w:rsidP="003750F1">
      <w:r>
        <w:t xml:space="preserve">Wireless microphone interests (Australian Wireless Audio Group </w:t>
      </w:r>
      <w:r w:rsidR="00246605">
        <w:t xml:space="preserve">(AWAG) </w:t>
      </w:r>
      <w:r>
        <w:t xml:space="preserve">and </w:t>
      </w:r>
      <w:proofErr w:type="spellStart"/>
      <w:r>
        <w:t>Shure</w:t>
      </w:r>
      <w:proofErr w:type="spellEnd"/>
      <w:r>
        <w:t>)</w:t>
      </w:r>
      <w:r w:rsidR="00246605">
        <w:t>,</w:t>
      </w:r>
      <w:r>
        <w:t xml:space="preserve"> </w:t>
      </w:r>
      <w:r w:rsidR="00246605">
        <w:t>while not objecting to the block planning approach, indicated that the block planning approach would yield lower frequency availability for professional wireless audio users than an interleaved approach where digital television services were placed on every second channel.</w:t>
      </w:r>
      <w:r w:rsidR="00E84DB4">
        <w:t xml:space="preserve"> </w:t>
      </w:r>
      <w:r w:rsidR="00D853CE">
        <w:t>M</w:t>
      </w:r>
      <w:r w:rsidR="00246605">
        <w:t xml:space="preserve">odelling undertaken by the AWAG assuming the UHF television band was 50% occupied yielded between </w:t>
      </w:r>
      <w:r w:rsidR="00171F35">
        <w:t xml:space="preserve">51 and 59 wireless audio frequencies under a block planning approach to 76 or 77 under an interleaved planning approach </w:t>
      </w:r>
      <w:r w:rsidR="00B370F5">
        <w:t xml:space="preserve">with </w:t>
      </w:r>
      <w:r w:rsidR="00171F35">
        <w:t>every second channel occupied.</w:t>
      </w:r>
      <w:r w:rsidR="00E84DB4">
        <w:t xml:space="preserve"> </w:t>
      </w:r>
      <w:r w:rsidR="00262E72">
        <w:t xml:space="preserve">The AWAG made some </w:t>
      </w:r>
      <w:r w:rsidR="006A2EC4">
        <w:t xml:space="preserve">constructive </w:t>
      </w:r>
      <w:r w:rsidR="00262E72">
        <w:t>suggestions as to how the current regulations governing wireless micro</w:t>
      </w:r>
      <w:r w:rsidR="006A2EC4">
        <w:t>phones could be revised to assist in mitigating the potential reduction in frequency availability.</w:t>
      </w:r>
    </w:p>
    <w:p w:rsidR="009C7F22" w:rsidRDefault="00171F35" w:rsidP="002817CD">
      <w:r>
        <w:t xml:space="preserve">The ACMA’s examination of potential minimum moves channel planning options for </w:t>
      </w:r>
      <w:r w:rsidR="00166E38">
        <w:t xml:space="preserve">a few </w:t>
      </w:r>
      <w:r w:rsidR="00D853CE">
        <w:t xml:space="preserve">major </w:t>
      </w:r>
      <w:r>
        <w:t xml:space="preserve">locations </w:t>
      </w:r>
      <w:r w:rsidR="00166E38">
        <w:t xml:space="preserve">indicates that spectrum occupancy </w:t>
      </w:r>
      <w:r>
        <w:t xml:space="preserve">would look more like a hybrid of </w:t>
      </w:r>
      <w:r w:rsidR="00166E38">
        <w:t>the</w:t>
      </w:r>
      <w:r>
        <w:t xml:space="preserve"> block and interleaved approach</w:t>
      </w:r>
      <w:r w:rsidR="00166E38">
        <w:t>es</w:t>
      </w:r>
      <w:r w:rsidRPr="00171F35">
        <w:t xml:space="preserve"> </w:t>
      </w:r>
      <w:r w:rsidR="00166E38">
        <w:t>because</w:t>
      </w:r>
      <w:r w:rsidR="00B370F5">
        <w:t>, under the minimum moves planning approach,</w:t>
      </w:r>
      <w:r>
        <w:t xml:space="preserve"> quite a number of digital television services would operate on adjacent channels.</w:t>
      </w:r>
      <w:r w:rsidR="00E84DB4">
        <w:t xml:space="preserve"> </w:t>
      </w:r>
      <w:r>
        <w:t xml:space="preserve">Consequently the </w:t>
      </w:r>
      <w:r w:rsidR="00166E38">
        <w:t xml:space="preserve">ACMA anticipates that the </w:t>
      </w:r>
      <w:r>
        <w:t xml:space="preserve">number of wireless audio frequencies yielded under the minimum moves planning approach </w:t>
      </w:r>
      <w:r w:rsidR="00166E38">
        <w:t>would be</w:t>
      </w:r>
      <w:r>
        <w:t xml:space="preserve"> more likely to </w:t>
      </w:r>
      <w:r w:rsidR="00166E38">
        <w:t>fall</w:t>
      </w:r>
      <w:r>
        <w:t xml:space="preserve"> between the ranges indicated by the AWAG modelling.</w:t>
      </w:r>
    </w:p>
    <w:p w:rsidR="002817CD" w:rsidRDefault="002817CD" w:rsidP="002817CD">
      <w:r>
        <w:t xml:space="preserve">The ACMA </w:t>
      </w:r>
      <w:r w:rsidR="00B028A3">
        <w:t xml:space="preserve">recognises that there </w:t>
      </w:r>
      <w:r w:rsidR="006B0D50">
        <w:t>may</w:t>
      </w:r>
      <w:r w:rsidR="00B028A3">
        <w:t xml:space="preserve"> be some reduction in frequency </w:t>
      </w:r>
      <w:r w:rsidR="006A4F3A">
        <w:t>availability for wireless audio</w:t>
      </w:r>
      <w:r w:rsidR="00B028A3">
        <w:t xml:space="preserve"> </w:t>
      </w:r>
      <w:r w:rsidR="006A4F3A">
        <w:t xml:space="preserve">within the restacked UHF broadcasting band </w:t>
      </w:r>
      <w:r w:rsidR="00B028A3">
        <w:t xml:space="preserve">that could limit the number of systems that can be used simultaneously </w:t>
      </w:r>
      <w:r w:rsidR="006A4F3A">
        <w:t>for</w:t>
      </w:r>
      <w:r w:rsidR="00B028A3">
        <w:t xml:space="preserve"> large </w:t>
      </w:r>
      <w:r w:rsidR="006A4F3A">
        <w:t>events or productions</w:t>
      </w:r>
      <w:r w:rsidR="00B028A3">
        <w:t>.</w:t>
      </w:r>
      <w:r w:rsidR="00E84DB4">
        <w:t xml:space="preserve"> </w:t>
      </w:r>
      <w:r w:rsidR="00B028A3">
        <w:t xml:space="preserve">To investigate whether frequency availability can be improved, the ACMA </w:t>
      </w:r>
      <w:r>
        <w:t>will consider the suggestions regarding wireless microphone regulations made by the AWAG while also reviewing regulations for wireless microphone usage in the digital dividend band.</w:t>
      </w:r>
    </w:p>
    <w:p w:rsidR="00854837" w:rsidRDefault="00854837" w:rsidP="00854837">
      <w:pPr>
        <w:pStyle w:val="Bodysubheader"/>
      </w:pPr>
      <w:r>
        <w:lastRenderedPageBreak/>
        <w:t>Comments on broadcaster costs</w:t>
      </w:r>
    </w:p>
    <w:p w:rsidR="00B028A3" w:rsidRDefault="00FE17B3" w:rsidP="00FE17B3">
      <w:r>
        <w:t>Only one submission addressed the issue of costs.</w:t>
      </w:r>
      <w:r w:rsidR="00E84DB4">
        <w:t xml:space="preserve"> </w:t>
      </w:r>
      <w:r>
        <w:t xml:space="preserve">This submission was </w:t>
      </w:r>
      <w:r w:rsidR="00D853CE">
        <w:t xml:space="preserve">a commercial-in-confidence submission </w:t>
      </w:r>
      <w:r>
        <w:t>from the ‘Australian Terrestrial Television Broadcasting Industry’ (ATTBI).</w:t>
      </w:r>
      <w:r w:rsidR="00E84DB4">
        <w:t xml:space="preserve"> </w:t>
      </w:r>
      <w:r>
        <w:t>This submission was a result of contributions from all commercial television broadcasters,</w:t>
      </w:r>
      <w:r w:rsidR="00F41F51">
        <w:t xml:space="preserve"> and transmission service providers</w:t>
      </w:r>
      <w:r>
        <w:t xml:space="preserve"> Broadcast Australia and TX Australia.</w:t>
      </w:r>
      <w:r w:rsidR="00E84DB4">
        <w:t xml:space="preserve"> </w:t>
      </w:r>
      <w:r w:rsidR="00F41F51">
        <w:t xml:space="preserve">In this submission </w:t>
      </w:r>
      <w:r w:rsidR="00D853CE">
        <w:t xml:space="preserve">generally qualitative comments were provided on </w:t>
      </w:r>
      <w:r w:rsidR="00F41F51">
        <w:t xml:space="preserve">the cost of undertaking the restack </w:t>
      </w:r>
      <w:r w:rsidR="00854837">
        <w:t xml:space="preserve">for Queensland </w:t>
      </w:r>
      <w:r w:rsidR="003805E1">
        <w:t xml:space="preserve">using the block planning approach </w:t>
      </w:r>
      <w:r w:rsidR="00F41F51">
        <w:t>using a different implementation method.</w:t>
      </w:r>
      <w:r w:rsidR="00E84DB4">
        <w:t xml:space="preserve"> </w:t>
      </w:r>
      <w:r w:rsidR="003805E1">
        <w:t>These comments derived from a detailed analysis performed by members of the ATTBI group</w:t>
      </w:r>
      <w:r w:rsidR="006A044B">
        <w:t xml:space="preserve"> but which, was not made available for review by the ACMA</w:t>
      </w:r>
      <w:r w:rsidR="003805E1">
        <w:t>.</w:t>
      </w:r>
      <w:r w:rsidR="00E84DB4">
        <w:t xml:space="preserve"> </w:t>
      </w:r>
      <w:r w:rsidR="00F41F51">
        <w:t>The time to implement was not analysed nor was the cost of the minimum moves plan</w:t>
      </w:r>
      <w:r w:rsidR="00854837">
        <w:t>ning approach</w:t>
      </w:r>
      <w:r w:rsidR="00F41F51">
        <w:t xml:space="preserve"> analysed.</w:t>
      </w:r>
    </w:p>
    <w:p w:rsidR="00FE17B3" w:rsidRDefault="0062322B" w:rsidP="00FE17B3">
      <w:r>
        <w:t xml:space="preserve">As no submissions provided </w:t>
      </w:r>
      <w:r w:rsidR="00B028A3">
        <w:t>analysis of the relative costs of the minimum moves and block planning approaches</w:t>
      </w:r>
      <w:r>
        <w:t xml:space="preserve">, </w:t>
      </w:r>
      <w:r w:rsidR="00BF1F94" w:rsidRPr="00537E4F">
        <w:t>the ACMA has updated its previous analysis to take account of comments and submissions that indicate that on-site retuning of combiners, as assumed in the TRU method, is impractical.</w:t>
      </w:r>
      <w:r w:rsidR="00E84DB4">
        <w:t xml:space="preserve"> </w:t>
      </w:r>
      <w:r>
        <w:t>This analysis is discussed in section 4.3 of this decision paper.</w:t>
      </w:r>
      <w:r w:rsidDel="0062322B">
        <w:rPr>
          <w:rStyle w:val="CommentReference"/>
          <w:rFonts w:ascii="Calibri" w:eastAsia="Calibri" w:hAnsi="Calibri"/>
          <w:lang w:eastAsia="en-US"/>
        </w:rPr>
        <w:t xml:space="preserve"> </w:t>
      </w:r>
    </w:p>
    <w:p w:rsidR="00FE17B3" w:rsidRDefault="00FE17B3" w:rsidP="00FE17B3">
      <w:pPr>
        <w:pStyle w:val="Bodysubheader"/>
      </w:pPr>
      <w:r>
        <w:t xml:space="preserve">Comments on time to complete the restack </w:t>
      </w:r>
    </w:p>
    <w:p w:rsidR="00FE17B3" w:rsidRDefault="00FE17B3" w:rsidP="00FE17B3">
      <w:r>
        <w:t xml:space="preserve">Telstra agreed that the block planning approach is preferable on the </w:t>
      </w:r>
      <w:r w:rsidR="00D1033A">
        <w:t xml:space="preserve">proviso </w:t>
      </w:r>
      <w:r>
        <w:t>that it does not introduce any additional delay to the overall time required for restack</w:t>
      </w:r>
      <w:r w:rsidR="00610363">
        <w:t>.</w:t>
      </w:r>
    </w:p>
    <w:p w:rsidR="0080448E" w:rsidRDefault="000F403F" w:rsidP="0080448E">
      <w:r>
        <w:t>FreeTV stated that it ‘has no major concerns with the timing and sequencing analysis ACMA has put forward for Queensland.</w:t>
      </w:r>
      <w:r w:rsidR="00E84DB4">
        <w:t xml:space="preserve"> </w:t>
      </w:r>
      <w:r>
        <w:t>Restack implementation with the ‘Block’ approach and TRU method would meet the proposed timeframe’.</w:t>
      </w:r>
      <w:r w:rsidR="00E84DB4">
        <w:t xml:space="preserve"> </w:t>
      </w:r>
      <w:r>
        <w:t>In relation to the replacement of combiners with new pre-tuned combiners, FreeTV stated ‘this has the potential to deliver substantial time savings in those areas where the TRU method is not feasible</w:t>
      </w:r>
      <w:r w:rsidR="00F14AD0">
        <w:t>’</w:t>
      </w:r>
      <w:r>
        <w:t>.</w:t>
      </w:r>
    </w:p>
    <w:p w:rsidR="0080448E" w:rsidRDefault="000F403F" w:rsidP="0080448E">
      <w:proofErr w:type="spellStart"/>
      <w:r>
        <w:t>FreeTV’s</w:t>
      </w:r>
      <w:proofErr w:type="spellEnd"/>
      <w:r>
        <w:t xml:space="preserve"> submission </w:t>
      </w:r>
      <w:r w:rsidR="00B370F5">
        <w:t xml:space="preserve">described </w:t>
      </w:r>
      <w:r w:rsidR="006A044B">
        <w:t xml:space="preserve">a </w:t>
      </w:r>
      <w:r>
        <w:t>low-power restack scenario and in relation to the time taken to retune transmitters the submission indicates: ‘</w:t>
      </w:r>
      <w:proofErr w:type="gramStart"/>
      <w:r>
        <w:t>The</w:t>
      </w:r>
      <w:proofErr w:type="gramEnd"/>
      <w:r>
        <w:t xml:space="preserve"> all important parameters of output power and MER would need to be carefully checked and (once the output power is set), the pre-corrector adjustments could then be performed.</w:t>
      </w:r>
      <w:r w:rsidR="00E84DB4">
        <w:t xml:space="preserve"> </w:t>
      </w:r>
      <w:r>
        <w:t xml:space="preserve">This </w:t>
      </w:r>
      <w:r w:rsidRPr="00707BBE">
        <w:t>is time-consuming and could take up to a couple of hours per transmitter.’</w:t>
      </w:r>
      <w:r w:rsidR="00E84DB4">
        <w:t xml:space="preserve"> </w:t>
      </w:r>
      <w:r>
        <w:t xml:space="preserve">Although this would be </w:t>
      </w:r>
      <w:r w:rsidR="000A5A3D">
        <w:t xml:space="preserve">substantially </w:t>
      </w:r>
      <w:r>
        <w:t>faster than the times listed in the Kordia report</w:t>
      </w:r>
      <w:r w:rsidR="00F14AD0">
        <w:t xml:space="preserve"> </w:t>
      </w:r>
      <w:r w:rsidR="00F14AD0">
        <w:rPr>
          <w:i/>
        </w:rPr>
        <w:t>Digital TV modular costs,</w:t>
      </w:r>
      <w:r>
        <w:t xml:space="preserve"> it is slower than some informal comments had indicated.</w:t>
      </w:r>
    </w:p>
    <w:p w:rsidR="00DB76ED" w:rsidRDefault="00F41F51" w:rsidP="003750F1">
      <w:r>
        <w:t xml:space="preserve">The ATTBI submission considered there were profound time advantages in </w:t>
      </w:r>
      <w:r w:rsidR="000A5A3D">
        <w:t>an implementation method that replaced combiners</w:t>
      </w:r>
      <w:r w:rsidR="00D1033A">
        <w:t>.</w:t>
      </w:r>
      <w:r w:rsidR="00E84DB4">
        <w:t xml:space="preserve"> </w:t>
      </w:r>
      <w:r w:rsidR="00D1033A">
        <w:t>The ATTBI submission was not clear, but it is assumed that they meant that this would also apply to the method they analysed</w:t>
      </w:r>
      <w:r w:rsidR="00B370F5">
        <w:t xml:space="preserve"> which appeared to assume replacement of all combiners </w:t>
      </w:r>
      <w:r w:rsidR="00BD65CE">
        <w:t xml:space="preserve">and </w:t>
      </w:r>
      <w:r w:rsidR="00B370F5">
        <w:t>retuning of most transmitters</w:t>
      </w:r>
      <w:r w:rsidR="00D1033A">
        <w:t>.</w:t>
      </w:r>
      <w:r w:rsidR="00E84DB4">
        <w:t xml:space="preserve"> </w:t>
      </w:r>
      <w:r w:rsidR="000A5A3D">
        <w:t xml:space="preserve">A key observation in the ATTBI submission was that </w:t>
      </w:r>
      <w:r w:rsidR="000450BA">
        <w:t>‘</w:t>
      </w:r>
      <w:r w:rsidR="00355853" w:rsidRPr="00355853">
        <w:t xml:space="preserve">the industry considers that only the replacement method (for combiners) will achieve the timeframe set down in the </w:t>
      </w:r>
      <w:r w:rsidR="00E867F4">
        <w:t>m</w:t>
      </w:r>
      <w:r w:rsidR="00355853" w:rsidRPr="00355853">
        <w:t>inister's restack direction</w:t>
      </w:r>
      <w:r w:rsidR="000450BA">
        <w:t>’</w:t>
      </w:r>
      <w:r w:rsidR="000A5A3D" w:rsidRPr="000450BA">
        <w:t>.</w:t>
      </w:r>
      <w:r w:rsidR="00E84DB4">
        <w:t xml:space="preserve"> </w:t>
      </w:r>
      <w:r w:rsidR="000A5A3D">
        <w:t>While not substantiated with detailed analysis this is important industry feedback.</w:t>
      </w:r>
    </w:p>
    <w:p w:rsidR="004E491C" w:rsidRDefault="004E491C" w:rsidP="004E491C">
      <w:pPr>
        <w:pStyle w:val="Bodysubheader"/>
      </w:pPr>
      <w:r>
        <w:t xml:space="preserve">Comments on </w:t>
      </w:r>
      <w:r w:rsidR="00FE17B3">
        <w:t>viewer costs and disruption</w:t>
      </w:r>
    </w:p>
    <w:p w:rsidR="004E491C" w:rsidRDefault="00876C3F" w:rsidP="003750F1">
      <w:r>
        <w:t xml:space="preserve">Although many submissions addressed viewer related </w:t>
      </w:r>
      <w:r w:rsidR="00D1033A">
        <w:t xml:space="preserve">restack </w:t>
      </w:r>
      <w:r>
        <w:t>issues and made suggestions as to how to man</w:t>
      </w:r>
      <w:r w:rsidR="006A044B">
        <w:t>a</w:t>
      </w:r>
      <w:r>
        <w:t>ge the potential for disruption to viewers, none of the issues raised were specific to either the minimum moves or block planning approaches</w:t>
      </w:r>
      <w:r w:rsidR="00F55AA8">
        <w:t>.</w:t>
      </w:r>
    </w:p>
    <w:p w:rsidR="004E491C" w:rsidRDefault="004E491C" w:rsidP="004E491C">
      <w:pPr>
        <w:pStyle w:val="Bodysubheader"/>
      </w:pPr>
      <w:r>
        <w:t xml:space="preserve">Comments </w:t>
      </w:r>
      <w:r w:rsidR="00FE17B3">
        <w:t>longer term benefits</w:t>
      </w:r>
    </w:p>
    <w:p w:rsidR="00FE17B3" w:rsidRDefault="00FE17B3" w:rsidP="00FE17B3">
      <w:r>
        <w:t xml:space="preserve">Telstra considered that the block planning approach is likely to result in more efficient use of the spectrum by increasing the opportunity for the use of deployment of non-broadcasting </w:t>
      </w:r>
      <w:r w:rsidR="00E67353">
        <w:t>‘</w:t>
      </w:r>
      <w:r>
        <w:t>white space devices</w:t>
      </w:r>
      <w:r w:rsidR="00E67353">
        <w:t>’</w:t>
      </w:r>
      <w:r>
        <w:t>.</w:t>
      </w:r>
      <w:r w:rsidR="00E84DB4">
        <w:t xml:space="preserve"> </w:t>
      </w:r>
      <w:r>
        <w:t>The ACMA’s discussion paper in section 5.2.12 (pp. 44-45) came to a similar conclusion.</w:t>
      </w:r>
      <w:r w:rsidR="00E84DB4">
        <w:t xml:space="preserve"> </w:t>
      </w:r>
      <w:r>
        <w:t>The ACMA is maintaining a watching brief on the development of white space technologies</w:t>
      </w:r>
      <w:r w:rsidR="00054338">
        <w:t xml:space="preserve">; </w:t>
      </w:r>
      <w:r>
        <w:t xml:space="preserve">however, no time frame for </w:t>
      </w:r>
      <w:r w:rsidR="006A044B">
        <w:t xml:space="preserve">their </w:t>
      </w:r>
      <w:r>
        <w:t>introduction in Australia has been set.</w:t>
      </w:r>
    </w:p>
    <w:p w:rsidR="008323E1" w:rsidRDefault="00141F26" w:rsidP="00FE17B3">
      <w:r>
        <w:lastRenderedPageBreak/>
        <w:t xml:space="preserve">In his submission, Mr </w:t>
      </w:r>
      <w:r w:rsidR="008323E1">
        <w:t xml:space="preserve">Hughes </w:t>
      </w:r>
      <w:r w:rsidR="00B370F5">
        <w:t>made an observation</w:t>
      </w:r>
      <w:r w:rsidR="008323E1">
        <w:t xml:space="preserve"> relating to logical channel numbers (LCNs) and the way a receiver copes with duplicate services in areas where there are overlaps in the coverage of two or more transmitters.</w:t>
      </w:r>
      <w:r w:rsidR="00E84DB4">
        <w:t xml:space="preserve"> </w:t>
      </w:r>
      <w:r w:rsidR="008323E1">
        <w:t>Receivers typically reassign the LCN of any duplicate services to a number in the range 350-399.</w:t>
      </w:r>
      <w:r w:rsidR="00E84DB4">
        <w:t xml:space="preserve"> </w:t>
      </w:r>
      <w:r w:rsidR="008323E1">
        <w:t>In some instances the services being reassigned to this LCN range are the strongest signals.</w:t>
      </w:r>
      <w:r w:rsidR="00E84DB4">
        <w:t xml:space="preserve"> </w:t>
      </w:r>
      <w:r w:rsidR="008323E1">
        <w:t>Viewers are often unaware of this and complain about the poor reception of the services on the ‘normal’ LCN numbers.</w:t>
      </w:r>
      <w:r w:rsidR="00E84DB4">
        <w:t xml:space="preserve"> </w:t>
      </w:r>
      <w:r w:rsidR="008323E1">
        <w:t xml:space="preserve">In some cases where the channels used by sites with overlapping coverage have </w:t>
      </w:r>
      <w:r w:rsidR="00F03751">
        <w:t xml:space="preserve">interleaved </w:t>
      </w:r>
      <w:r w:rsidR="008323E1">
        <w:t>channel</w:t>
      </w:r>
      <w:r w:rsidR="00F03751">
        <w:t xml:space="preserve"> sets</w:t>
      </w:r>
      <w:r w:rsidR="008323E1">
        <w:t>, the ‘normal’ LCN</w:t>
      </w:r>
      <w:r w:rsidR="00F03751">
        <w:t>s</w:t>
      </w:r>
      <w:r w:rsidR="008323E1">
        <w:t xml:space="preserve"> could be a mixture of good and weak services with some </w:t>
      </w:r>
      <w:r w:rsidR="00F03751">
        <w:t xml:space="preserve">of the </w:t>
      </w:r>
      <w:r w:rsidR="008323E1">
        <w:t>good services assigned to the LCN 350 range.</w:t>
      </w:r>
      <w:r w:rsidR="00E84DB4">
        <w:t xml:space="preserve"> </w:t>
      </w:r>
      <w:r w:rsidR="008323E1">
        <w:t xml:space="preserve">While adopting a block planning approach won’t resolve the issue it will improve the situation </w:t>
      </w:r>
      <w:r w:rsidR="008C1EFC">
        <w:t xml:space="preserve">for viewers in areas </w:t>
      </w:r>
      <w:r w:rsidR="00602BC8">
        <w:t>where overlapping services currently have interleaved channel</w:t>
      </w:r>
      <w:r w:rsidR="00F03751">
        <w:t xml:space="preserve"> </w:t>
      </w:r>
      <w:r w:rsidR="00602BC8">
        <w:t>s</w:t>
      </w:r>
      <w:r w:rsidR="00F03751">
        <w:t>ets</w:t>
      </w:r>
      <w:r w:rsidR="00602BC8">
        <w:t>.</w:t>
      </w:r>
      <w:r w:rsidR="00E84DB4">
        <w:t xml:space="preserve"> </w:t>
      </w:r>
      <w:r w:rsidR="00602BC8">
        <w:t>Depending on where the viewer is located</w:t>
      </w:r>
      <w:r w:rsidR="00F03751">
        <w:t>,</w:t>
      </w:r>
      <w:r w:rsidR="00602BC8">
        <w:t xml:space="preserve"> </w:t>
      </w:r>
      <w:r w:rsidR="008C1EFC">
        <w:t xml:space="preserve">the block planning approach will result in either </w:t>
      </w:r>
      <w:r w:rsidR="00602BC8">
        <w:t xml:space="preserve">all </w:t>
      </w:r>
      <w:r w:rsidR="003864CC">
        <w:t xml:space="preserve">of </w:t>
      </w:r>
      <w:r w:rsidR="00602BC8">
        <w:t xml:space="preserve">the good or all </w:t>
      </w:r>
      <w:r w:rsidR="003864CC">
        <w:t xml:space="preserve">of </w:t>
      </w:r>
      <w:r w:rsidR="00602BC8">
        <w:t xml:space="preserve">the weak services </w:t>
      </w:r>
      <w:r w:rsidR="008C1EFC">
        <w:t xml:space="preserve">being assigned to </w:t>
      </w:r>
      <w:r w:rsidR="00602BC8">
        <w:t xml:space="preserve">the LCN 350 range which could make it more obvious to the viewer as to what the </w:t>
      </w:r>
      <w:r w:rsidR="003864CC">
        <w:t>problem</w:t>
      </w:r>
      <w:r w:rsidR="00602BC8">
        <w:t xml:space="preserve"> is</w:t>
      </w:r>
      <w:r w:rsidR="00DE5726">
        <w:t xml:space="preserve"> and </w:t>
      </w:r>
      <w:r w:rsidR="000450BA">
        <w:t xml:space="preserve">might make it </w:t>
      </w:r>
      <w:r w:rsidR="00DE5726">
        <w:t>simpler to subsequently resolve</w:t>
      </w:r>
      <w:r w:rsidR="00602BC8">
        <w:t>.</w:t>
      </w:r>
    </w:p>
    <w:p w:rsidR="00876C3F" w:rsidRPr="004C2BE2" w:rsidRDefault="00876C3F" w:rsidP="00FE17B3">
      <w:r>
        <w:t>M</w:t>
      </w:r>
      <w:r w:rsidR="003864CC">
        <w:t>any of the</w:t>
      </w:r>
      <w:r>
        <w:t xml:space="preserve"> submissions agreed that planning all services in a single band</w:t>
      </w:r>
      <w:r w:rsidR="00F03751">
        <w:t>,</w:t>
      </w:r>
      <w:r>
        <w:t xml:space="preserve"> either all VHF or all UHF</w:t>
      </w:r>
      <w:r w:rsidR="00F03751">
        <w:t xml:space="preserve"> as per the block planning approach</w:t>
      </w:r>
      <w:r w:rsidR="00AB0F5A">
        <w:t>,</w:t>
      </w:r>
      <w:r>
        <w:t xml:space="preserve"> would lead to longer term benefits for </w:t>
      </w:r>
      <w:r w:rsidRPr="004C2BE2">
        <w:t>viewers replacing or installing new antennas</w:t>
      </w:r>
      <w:r w:rsidR="00AB0F5A" w:rsidRPr="004C2BE2">
        <w:t xml:space="preserve"> and lead to more equal coverage</w:t>
      </w:r>
      <w:r w:rsidRPr="004C2BE2">
        <w:t>.</w:t>
      </w:r>
    </w:p>
    <w:p w:rsidR="009D08A2" w:rsidRPr="004C2BE2" w:rsidRDefault="009D08A2" w:rsidP="00FE17B3">
      <w:r w:rsidRPr="004C2BE2">
        <w:t>The Australian Digital Suppliers Industry Forum (ADSIF) agreed that the block planning approach would allow simpler, more easily re-tun</w:t>
      </w:r>
      <w:r w:rsidR="004C2BE2">
        <w:t>e</w:t>
      </w:r>
      <w:r w:rsidRPr="004C2BE2">
        <w:t>able MATV systems.</w:t>
      </w:r>
    </w:p>
    <w:p w:rsidR="00924A24" w:rsidRPr="004C2BE2" w:rsidRDefault="00924A24" w:rsidP="00FE17B3">
      <w:r w:rsidRPr="004C2BE2">
        <w:t>Hills Antenna and TV Systems considered that the block planning approach could, if filtering were added, allow improved performance of non-</w:t>
      </w:r>
      <w:proofErr w:type="spellStart"/>
      <w:r w:rsidRPr="004C2BE2">
        <w:t>channelised</w:t>
      </w:r>
      <w:proofErr w:type="spellEnd"/>
      <w:r w:rsidRPr="004C2BE2">
        <w:t xml:space="preserve"> MATV systems.</w:t>
      </w:r>
      <w:r w:rsidR="00E84DB4">
        <w:t xml:space="preserve"> </w:t>
      </w:r>
      <w:r w:rsidRPr="004C2BE2">
        <w:t xml:space="preserve">However, they also stated that the block planning approach is likely to cause challenges to </w:t>
      </w:r>
      <w:proofErr w:type="spellStart"/>
      <w:r w:rsidRPr="004C2BE2">
        <w:t>channelised</w:t>
      </w:r>
      <w:proofErr w:type="spellEnd"/>
      <w:r w:rsidRPr="004C2BE2">
        <w:t xml:space="preserve"> MATV head</w:t>
      </w:r>
      <w:r w:rsidR="004C2BE2">
        <w:t>-</w:t>
      </w:r>
      <w:r w:rsidRPr="004C2BE2">
        <w:t xml:space="preserve">ends because of the filtering required and that it may be necessary to modify European designs for Australian conditions. </w:t>
      </w:r>
    </w:p>
    <w:p w:rsidR="009D08A2" w:rsidRPr="004C2BE2" w:rsidRDefault="009D08A2" w:rsidP="00FE17B3">
      <w:r w:rsidRPr="004C2BE2">
        <w:t xml:space="preserve">FreeTV agreed that there does not appear to be any fundamental difference in the ability of either planning approach to accommodate additional gap filler services. </w:t>
      </w:r>
      <w:r w:rsidR="003D6BA2">
        <w:t xml:space="preserve">However, </w:t>
      </w:r>
      <w:r w:rsidRPr="004C2BE2">
        <w:t>FreeTV also noted that the block planning approach will maximise the feasib</w:t>
      </w:r>
      <w:r w:rsidR="00924A24" w:rsidRPr="004C2BE2">
        <w:t>ility of off-air channel inputs (which are important to both gap fillers and existing services).</w:t>
      </w:r>
    </w:p>
    <w:p w:rsidR="00924A24" w:rsidRDefault="00924A24" w:rsidP="00FE17B3">
      <w:r w:rsidRPr="004C2BE2">
        <w:t>SBS considered that new gap fillers can be more efficiently implemented with a block planning approach.</w:t>
      </w:r>
    </w:p>
    <w:p w:rsidR="00FE17B3" w:rsidRDefault="00FE17B3" w:rsidP="00FE17B3">
      <w:pPr>
        <w:pStyle w:val="Bodysubheader"/>
      </w:pPr>
      <w:r>
        <w:t>Comments on implementation method</w:t>
      </w:r>
    </w:p>
    <w:p w:rsidR="00FE17B3" w:rsidRPr="00537E4F" w:rsidRDefault="00FE17B3" w:rsidP="00FE17B3">
      <w:r>
        <w:t xml:space="preserve">Following release of the discussion paper, initial comments from industry indicated that it would be impracticable for combiners to be retuned </w:t>
      </w:r>
      <w:r w:rsidR="00DE5726">
        <w:t xml:space="preserve">in situ </w:t>
      </w:r>
      <w:r w:rsidR="002A4969">
        <w:t xml:space="preserve">in the time available for restack </w:t>
      </w:r>
      <w:r>
        <w:t>as assumed in the TRU method due to a shortage of suitable skilled technicians.</w:t>
      </w:r>
      <w:r w:rsidR="00E84DB4">
        <w:t xml:space="preserve"> </w:t>
      </w:r>
      <w:r>
        <w:t xml:space="preserve">This view </w:t>
      </w:r>
      <w:r w:rsidR="00D853CE">
        <w:t>was reiterated</w:t>
      </w:r>
      <w:r>
        <w:t xml:space="preserve"> in many of the submissions received.</w:t>
      </w:r>
      <w:r w:rsidR="00E84DB4">
        <w:t xml:space="preserve"> </w:t>
      </w:r>
      <w:r>
        <w:t xml:space="preserve">Consequently it would appear that the TRU method as </w:t>
      </w:r>
      <w:r w:rsidRPr="00537E4F">
        <w:t>described in the discussion paper will not be able to be used.</w:t>
      </w:r>
      <w:r w:rsidR="00E84DB4" w:rsidRPr="00537E4F">
        <w:t xml:space="preserve"> </w:t>
      </w:r>
      <w:r w:rsidR="00BF1F94" w:rsidRPr="00537E4F">
        <w:t xml:space="preserve">To consider the impact of this change, the ACMA has analysed an alternative implementation method that is a variation of the TRU method where all combiners are replaced instead of most combiners being </w:t>
      </w:r>
      <w:proofErr w:type="spellStart"/>
      <w:r w:rsidR="00BF1F94" w:rsidRPr="00537E4F">
        <w:t>retuned</w:t>
      </w:r>
      <w:proofErr w:type="spellEnd"/>
      <w:r w:rsidR="00BF1F94" w:rsidRPr="00537E4F">
        <w:t>.</w:t>
      </w:r>
      <w:r w:rsidR="00E84DB4" w:rsidRPr="00537E4F">
        <w:t xml:space="preserve"> </w:t>
      </w:r>
      <w:r w:rsidR="00BF1F94" w:rsidRPr="00537E4F">
        <w:t>This alternative method is referred to as the Hybrid TRU implementation method and is described in section 4.3 below.</w:t>
      </w:r>
    </w:p>
    <w:p w:rsidR="00FE17B3" w:rsidRPr="00537E4F" w:rsidRDefault="00FE17B3" w:rsidP="00FE17B3">
      <w:r w:rsidRPr="00537E4F">
        <w:t>SBS indicated a view that the method used to implement the restack should be determined on a site-by-site basis by the service providers and suggested that there would be trade-offs between cost and time.</w:t>
      </w:r>
    </w:p>
    <w:p w:rsidR="00944135" w:rsidRPr="00537E4F" w:rsidRDefault="00BF1F94" w:rsidP="00FE17B3">
      <w:r w:rsidRPr="00537E4F">
        <w:t>The ACMA’s modelling of implementation methods has been only undertaken to allow a comparison between the planning approaches.</w:t>
      </w:r>
      <w:r w:rsidR="00E84DB4" w:rsidRPr="00537E4F">
        <w:t xml:space="preserve"> </w:t>
      </w:r>
      <w:r w:rsidRPr="00537E4F">
        <w:t>The ACMA recognises that the actual details of the restack implementation will be for others to determine.</w:t>
      </w:r>
      <w:r w:rsidR="00E84DB4" w:rsidRPr="00537E4F">
        <w:t xml:space="preserve"> </w:t>
      </w:r>
      <w:r w:rsidRPr="00537E4F">
        <w:t>However, it should be noted that the ACMA, consistent with the planning principles (see principle 11), intends to set broad time frames within which the restack implementation for each area will need to occur.</w:t>
      </w:r>
      <w:r w:rsidR="00E84DB4" w:rsidRPr="00537E4F">
        <w:t xml:space="preserve"> </w:t>
      </w:r>
      <w:r w:rsidRPr="00537E4F">
        <w:t xml:space="preserve">Broadcasters and their service providers will need to select </w:t>
      </w:r>
      <w:r w:rsidRPr="00537E4F">
        <w:lastRenderedPageBreak/>
        <w:t>implementation methodologies that can achieve the restack within the specified time frames.</w:t>
      </w:r>
    </w:p>
    <w:p w:rsidR="004E491C" w:rsidRDefault="00F41F51" w:rsidP="003750F1">
      <w:r w:rsidRPr="00537E4F">
        <w:t>As noted above the ATTBI submission proposed a different implementation method</w:t>
      </w:r>
      <w:r w:rsidR="006A044B" w:rsidRPr="00537E4F">
        <w:t xml:space="preserve"> that did not assume retuning of combiners in situ, but </w:t>
      </w:r>
      <w:r w:rsidR="009D474E" w:rsidRPr="00537E4F">
        <w:rPr>
          <w:rStyle w:val="Strong"/>
          <w:b w:val="0"/>
        </w:rPr>
        <w:t>after a site-by-site analysis considered combiner replacement / recycling</w:t>
      </w:r>
      <w:r w:rsidR="00660422">
        <w:rPr>
          <w:rStyle w:val="Strong"/>
          <w:b w:val="0"/>
        </w:rPr>
        <w:t xml:space="preserve">, ATTBI </w:t>
      </w:r>
      <w:r w:rsidR="00995FD7" w:rsidRPr="00995FD7">
        <w:t>assumed on site retuning of transmitters without</w:t>
      </w:r>
      <w:r w:rsidR="006A044B" w:rsidRPr="009D474E">
        <w:t xml:space="preserve"> TRUs (except at high power sites)</w:t>
      </w:r>
      <w:r w:rsidR="009D474E" w:rsidRPr="009D474E">
        <w:t xml:space="preserve"> </w:t>
      </w:r>
      <w:r w:rsidR="009D474E" w:rsidRPr="009D474E">
        <w:rPr>
          <w:rStyle w:val="Strong"/>
          <w:b w:val="0"/>
        </w:rPr>
        <w:t>was achievable</w:t>
      </w:r>
      <w:r w:rsidR="00BD65CE">
        <w:t>. D</w:t>
      </w:r>
      <w:r w:rsidR="00D75636">
        <w:t>ue to the commercial-in-confidence nature of the submission we can not elaborate on its details.</w:t>
      </w:r>
      <w:r w:rsidR="00E84DB4">
        <w:t xml:space="preserve"> </w:t>
      </w:r>
      <w:r w:rsidR="00D75636">
        <w:t>Insufficient detail was provided for the ACMA to model the ATTBI’s implementation method</w:t>
      </w:r>
      <w:r w:rsidR="002A4969">
        <w:t xml:space="preserve"> in detail</w:t>
      </w:r>
      <w:r>
        <w:t>.</w:t>
      </w:r>
    </w:p>
    <w:p w:rsidR="00D75636" w:rsidRPr="002D5071" w:rsidRDefault="00D75636" w:rsidP="00D75636">
      <w:r>
        <w:t xml:space="preserve">ADSIF suggested a restack trial be undertaken </w:t>
      </w:r>
      <w:r w:rsidR="00F77309">
        <w:t>due the</w:t>
      </w:r>
      <w:r>
        <w:t xml:space="preserve"> lack of precedent for block planning and </w:t>
      </w:r>
      <w:r w:rsidR="00F77309">
        <w:t xml:space="preserve">the </w:t>
      </w:r>
      <w:r>
        <w:t>TRU method.</w:t>
      </w:r>
      <w:r w:rsidR="00E84DB4">
        <w:t xml:space="preserve"> </w:t>
      </w:r>
      <w:r w:rsidR="00F77309">
        <w:t>ADSIF suggested a tr</w:t>
      </w:r>
      <w:r>
        <w:t xml:space="preserve">ial </w:t>
      </w:r>
      <w:r w:rsidR="00F77309">
        <w:t>take place in Mildura no later than the</w:t>
      </w:r>
      <w:r>
        <w:t xml:space="preserve"> 2</w:t>
      </w:r>
      <w:r w:rsidRPr="001D1128">
        <w:rPr>
          <w:vertAlign w:val="superscript"/>
        </w:rPr>
        <w:t>nd</w:t>
      </w:r>
      <w:r>
        <w:t xml:space="preserve"> half of 2012. </w:t>
      </w:r>
    </w:p>
    <w:p w:rsidR="00CF7D0C" w:rsidRDefault="00F77309" w:rsidP="00CF7D0C">
      <w:r>
        <w:t>ADSIF also suggested an additional feature be incorporated into the TRU implementation method.</w:t>
      </w:r>
      <w:r w:rsidR="00E84DB4">
        <w:t xml:space="preserve"> </w:t>
      </w:r>
      <w:r>
        <w:t xml:space="preserve">ADSIF </w:t>
      </w:r>
      <w:r w:rsidR="00CF7D0C">
        <w:t>proposes Transport Stream (TS) monitoring be included as part of the TRU to allow transmissions to be monitored for TS errors before, during and after the restack/retuning process.</w:t>
      </w:r>
      <w:r w:rsidR="00E84DB4">
        <w:t xml:space="preserve"> </w:t>
      </w:r>
      <w:r>
        <w:t xml:space="preserve">ADSIF members have found that TS stream changes can lead to viewer complaints, sometimes specific to a particular receiver model, </w:t>
      </w:r>
      <w:r w:rsidR="005F0C3A">
        <w:t>and</w:t>
      </w:r>
      <w:r>
        <w:t xml:space="preserve"> this TS monitoring would assist in identifying and resolving any viewer complaints that </w:t>
      </w:r>
      <w:r w:rsidR="005F0C3A">
        <w:t xml:space="preserve">may </w:t>
      </w:r>
      <w:r>
        <w:t>arise during the restack.</w:t>
      </w:r>
    </w:p>
    <w:p w:rsidR="00CF7D0C" w:rsidRDefault="00CF7D0C" w:rsidP="00CF7D0C">
      <w:r w:rsidRPr="00944135">
        <w:t>B</w:t>
      </w:r>
      <w:r w:rsidR="0075537A" w:rsidRPr="00944135">
        <w:t>roadcast Australia’s submission considered the TRU and Replacement m</w:t>
      </w:r>
      <w:r w:rsidRPr="00944135">
        <w:t>ethods as bookends on a continuum.</w:t>
      </w:r>
      <w:r w:rsidR="00E84DB4">
        <w:t xml:space="preserve"> </w:t>
      </w:r>
      <w:r w:rsidR="0075537A" w:rsidRPr="00944135">
        <w:t>Broadcast Australia c</w:t>
      </w:r>
      <w:r w:rsidRPr="00944135">
        <w:t xml:space="preserve">onsiders that a hybrid between </w:t>
      </w:r>
      <w:r w:rsidR="0075537A" w:rsidRPr="00944135">
        <w:t>the two ends will be optim</w:t>
      </w:r>
      <w:r w:rsidR="00A647C3" w:rsidRPr="00944135">
        <w:t>al</w:t>
      </w:r>
      <w:r w:rsidR="0075537A" w:rsidRPr="00944135">
        <w:t xml:space="preserve"> noting that methods</w:t>
      </w:r>
      <w:r w:rsidRPr="00944135">
        <w:t xml:space="preserve"> requiring retuning of all equipment on site have significant service delivery risk.</w:t>
      </w:r>
      <w:r w:rsidR="00E84DB4">
        <w:t xml:space="preserve"> </w:t>
      </w:r>
      <w:r w:rsidR="0075537A">
        <w:t>Due to this higher risk Broadcast Australia considers</w:t>
      </w:r>
      <w:r>
        <w:t xml:space="preserve"> </w:t>
      </w:r>
      <w:r w:rsidR="005F0C3A">
        <w:t>that retuning of all combiners</w:t>
      </w:r>
      <w:r>
        <w:t xml:space="preserve"> should be done in </w:t>
      </w:r>
      <w:r w:rsidR="00AC62D7">
        <w:t xml:space="preserve">the supplier’s </w:t>
      </w:r>
      <w:r>
        <w:t>factory</w:t>
      </w:r>
      <w:r w:rsidR="0075537A">
        <w:t xml:space="preserve"> and not on site.</w:t>
      </w:r>
    </w:p>
    <w:p w:rsidR="00CF7D0C" w:rsidRDefault="00CF7D0C" w:rsidP="003750F1">
      <w:r w:rsidRPr="00944135">
        <w:t xml:space="preserve">For high power transmitters </w:t>
      </w:r>
      <w:r w:rsidR="00F10D2B" w:rsidRPr="00944135">
        <w:t xml:space="preserve">Broadcast Australia </w:t>
      </w:r>
      <w:r w:rsidRPr="00944135">
        <w:t xml:space="preserve">agrees with </w:t>
      </w:r>
      <w:r w:rsidR="00DE5726" w:rsidRPr="00944135">
        <w:t xml:space="preserve">the </w:t>
      </w:r>
      <w:r w:rsidRPr="00944135">
        <w:t>concept of on-site retuning.</w:t>
      </w:r>
      <w:r w:rsidR="00E84DB4">
        <w:t xml:space="preserve"> </w:t>
      </w:r>
      <w:r w:rsidRPr="00944135">
        <w:t xml:space="preserve">For low power sites </w:t>
      </w:r>
      <w:r w:rsidR="00F10D2B" w:rsidRPr="00944135">
        <w:t xml:space="preserve">Broadcast Australia </w:t>
      </w:r>
      <w:r w:rsidRPr="00944135">
        <w:t>favours an approach of on-site replacement and cycling transmitters back to a warehouse for retuning and subsequent redeployment.</w:t>
      </w:r>
    </w:p>
    <w:p w:rsidR="00901CAD" w:rsidRPr="004E3D8A" w:rsidRDefault="00B1677F" w:rsidP="00901CAD">
      <w:pPr>
        <w:pStyle w:val="Heading2"/>
      </w:pPr>
      <w:bookmarkStart w:id="16" w:name="_Toc292291985"/>
      <w:r>
        <w:t>Further analysis of restack implementation methods</w:t>
      </w:r>
      <w:bookmarkEnd w:id="16"/>
    </w:p>
    <w:p w:rsidR="00F53D78" w:rsidRDefault="00F53D78" w:rsidP="00F53D78">
      <w:r>
        <w:t xml:space="preserve">In response to comments regarding the practicability of retuning combiners on site, the ACMA prepared the </w:t>
      </w:r>
      <w:r w:rsidRPr="00A7014D">
        <w:t xml:space="preserve">Engineering Report TPS2011/04 </w:t>
      </w:r>
      <w:r w:rsidRPr="00A7014D">
        <w:rPr>
          <w:i/>
        </w:rPr>
        <w:t xml:space="preserve">Digital Dividend: Further analysis of restack implementation </w:t>
      </w:r>
      <w:r>
        <w:rPr>
          <w:i/>
        </w:rPr>
        <w:t>methods</w:t>
      </w:r>
      <w:r>
        <w:t xml:space="preserve"> analysing the likely implementation cost and time associated with a Hybrid TRU method.</w:t>
      </w:r>
    </w:p>
    <w:p w:rsidR="004E3D8A" w:rsidRDefault="004E3D8A" w:rsidP="00901CAD">
      <w:pPr>
        <w:pStyle w:val="Bodysubheader"/>
      </w:pPr>
      <w:r>
        <w:t xml:space="preserve">Hybrid </w:t>
      </w:r>
      <w:r w:rsidR="001531E2">
        <w:t xml:space="preserve">TRU </w:t>
      </w:r>
      <w:r w:rsidR="00FC2F9D">
        <w:t>i</w:t>
      </w:r>
      <w:r>
        <w:t xml:space="preserve">mplementation </w:t>
      </w:r>
      <w:r w:rsidR="00FC2F9D">
        <w:t>m</w:t>
      </w:r>
      <w:r>
        <w:t>ethod</w:t>
      </w:r>
    </w:p>
    <w:p w:rsidR="001531E2" w:rsidRDefault="001531E2" w:rsidP="001531E2">
      <w:r>
        <w:t xml:space="preserve">The Hybrid TRU implementation method </w:t>
      </w:r>
      <w:r w:rsidR="003805E1">
        <w:t>is a variation on the TRU implementation method that was described in the ACMA discussion paper.</w:t>
      </w:r>
      <w:r w:rsidR="00E84DB4">
        <w:t xml:space="preserve"> </w:t>
      </w:r>
      <w:r w:rsidR="003805E1">
        <w:t xml:space="preserve">It </w:t>
      </w:r>
      <w:r>
        <w:t xml:space="preserve">is based on the replacement of all combiners and the retuning of existing transmitters </w:t>
      </w:r>
      <w:r w:rsidR="002673C4">
        <w:t xml:space="preserve">in-situ </w:t>
      </w:r>
      <w:r>
        <w:t>while a temporary retune unit (comprising only transmitters) is operated through the new combiner in order to keep services on air (on the final channels).</w:t>
      </w:r>
    </w:p>
    <w:p w:rsidR="002673C4" w:rsidRPr="00A7014D" w:rsidRDefault="00A7014D" w:rsidP="00A7014D">
      <w:r w:rsidRPr="00A7014D">
        <w:t xml:space="preserve">Engineering Report TPS2011/04 </w:t>
      </w:r>
      <w:r>
        <w:t xml:space="preserve">provides a detailed analysis of the </w:t>
      </w:r>
      <w:r w:rsidR="00D00E29">
        <w:t>H</w:t>
      </w:r>
      <w:r>
        <w:t xml:space="preserve">ybrid TRU implementation method as applied to the indicative minimum moves and block </w:t>
      </w:r>
      <w:r w:rsidR="003805E1">
        <w:t xml:space="preserve">channel </w:t>
      </w:r>
      <w:r>
        <w:t>plan</w:t>
      </w:r>
      <w:r w:rsidR="003805E1">
        <w:t>s</w:t>
      </w:r>
      <w:r>
        <w:t xml:space="preserve"> for Queensland.</w:t>
      </w:r>
      <w:r w:rsidR="00E84DB4">
        <w:t xml:space="preserve"> </w:t>
      </w:r>
      <w:r>
        <w:t xml:space="preserve">It compares the implementation cost and implementation time for the Hybrid TRU method against updated results for the TRU method and the </w:t>
      </w:r>
      <w:r w:rsidR="003805E1">
        <w:t>R</w:t>
      </w:r>
      <w:r>
        <w:t>eplacement method.</w:t>
      </w:r>
    </w:p>
    <w:p w:rsidR="00FC2F9D" w:rsidRDefault="00FC2F9D" w:rsidP="00901CAD">
      <w:pPr>
        <w:pStyle w:val="Bodysubheader"/>
      </w:pPr>
      <w:r>
        <w:t>Summary of findings</w:t>
      </w:r>
    </w:p>
    <w:p w:rsidR="0080448E" w:rsidRDefault="005F0C3A" w:rsidP="0080448E">
      <w:r>
        <w:t xml:space="preserve">Table </w:t>
      </w:r>
      <w:r w:rsidR="00DE58E8">
        <w:t>1</w:t>
      </w:r>
      <w:r>
        <w:t xml:space="preserve"> below presents a summary of findings derived using the Kordia modular input cost and time values.</w:t>
      </w:r>
    </w:p>
    <w:p w:rsidR="001D6BC4" w:rsidRDefault="001D6BC4">
      <w:r>
        <w:rPr>
          <w:b/>
          <w:bCs/>
        </w:rPr>
        <w:br w:type="page"/>
      </w:r>
    </w:p>
    <w:tbl>
      <w:tblPr>
        <w:tblW w:w="9740" w:type="dxa"/>
        <w:tblBorders>
          <w:top w:val="single" w:sz="2" w:space="0" w:color="505050"/>
          <w:bottom w:val="single" w:sz="4" w:space="0" w:color="auto"/>
        </w:tblBorders>
        <w:tblLayout w:type="fixed"/>
        <w:tblCellMar>
          <w:top w:w="28" w:type="dxa"/>
          <w:left w:w="0" w:type="dxa"/>
          <w:bottom w:w="28" w:type="dxa"/>
          <w:right w:w="0" w:type="dxa"/>
        </w:tblCellMar>
        <w:tblLook w:val="01E0"/>
      </w:tblPr>
      <w:tblGrid>
        <w:gridCol w:w="9740"/>
      </w:tblGrid>
      <w:tr w:rsidR="00A7014D" w:rsidRPr="006D0CA2" w:rsidTr="00FE17B3">
        <w:trPr>
          <w:trHeight w:val="272"/>
        </w:trPr>
        <w:tc>
          <w:tcPr>
            <w:tcW w:w="9740" w:type="dxa"/>
            <w:shd w:val="clear" w:color="auto" w:fill="auto"/>
            <w:vAlign w:val="center"/>
          </w:tcPr>
          <w:p w:rsidR="00BA70F0" w:rsidRDefault="00A7014D" w:rsidP="00DE58E8">
            <w:pPr>
              <w:pStyle w:val="Caption"/>
              <w:spacing w:after="120"/>
              <w:ind w:left="1134" w:hanging="1134"/>
            </w:pPr>
            <w:r w:rsidRPr="006D0CA2">
              <w:lastRenderedPageBreak/>
              <w:t>Table</w:t>
            </w:r>
            <w:r>
              <w:t xml:space="preserve"> </w:t>
            </w:r>
            <w:r w:rsidR="00DE58E8">
              <w:t>1</w:t>
            </w:r>
            <w:r w:rsidRPr="006D0CA2">
              <w:t xml:space="preserve">: </w:t>
            </w:r>
            <w:r>
              <w:tab/>
            </w:r>
            <w:r w:rsidRPr="006D0CA2">
              <w:t xml:space="preserve">Estimated overall costs </w:t>
            </w:r>
            <w:r>
              <w:t xml:space="preserve">and implementation times </w:t>
            </w:r>
            <w:r w:rsidRPr="006D0CA2">
              <w:t>for di</w:t>
            </w:r>
            <w:r>
              <w:t xml:space="preserve">fferent planning approaches and </w:t>
            </w:r>
            <w:r w:rsidR="00B42F81">
              <w:t>i</w:t>
            </w:r>
            <w:r>
              <w:t>mplementation methods</w:t>
            </w:r>
            <w:r w:rsidR="00B42F81">
              <w:t xml:space="preserve"> for Queensland</w:t>
            </w:r>
          </w:p>
        </w:tc>
      </w:tr>
      <w:tr w:rsidR="00A7014D" w:rsidRPr="00BB0169" w:rsidTr="00FE17B3">
        <w:trPr>
          <w:trHeight w:val="1469"/>
        </w:trPr>
        <w:tc>
          <w:tcPr>
            <w:tcW w:w="9740" w:type="dxa"/>
            <w:shd w:val="clear" w:color="auto" w:fill="auto"/>
            <w:tcMar>
              <w:left w:w="28" w:type="dxa"/>
            </w:tcMar>
          </w:tcPr>
          <w:tbl>
            <w:tblPr>
              <w:tblW w:w="0" w:type="auto"/>
              <w:tblInd w:w="1" w:type="dxa"/>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tblPr>
            <w:tblGrid>
              <w:gridCol w:w="2234"/>
              <w:gridCol w:w="1115"/>
              <w:gridCol w:w="1137"/>
              <w:gridCol w:w="16"/>
              <w:gridCol w:w="1122"/>
              <w:gridCol w:w="1138"/>
              <w:gridCol w:w="8"/>
              <w:gridCol w:w="1130"/>
              <w:gridCol w:w="1138"/>
            </w:tblGrid>
            <w:tr w:rsidR="00A7014D" w:rsidRPr="00BB0169" w:rsidTr="004E491C">
              <w:trPr>
                <w:trHeight w:val="233"/>
              </w:trPr>
              <w:tc>
                <w:tcPr>
                  <w:tcW w:w="2234" w:type="dxa"/>
                  <w:tcBorders>
                    <w:bottom w:val="single" w:sz="18" w:space="0" w:color="F79646"/>
                  </w:tcBorders>
                  <w:shd w:val="clear" w:color="auto" w:fill="auto"/>
                  <w:tcMar>
                    <w:top w:w="34" w:type="dxa"/>
                    <w:left w:w="113" w:type="dxa"/>
                  </w:tcMar>
                </w:tcPr>
                <w:p w:rsidR="00A7014D" w:rsidRPr="00BB0169" w:rsidRDefault="00A7014D" w:rsidP="00FE17B3">
                  <w:pPr>
                    <w:pStyle w:val="TableHeading"/>
                    <w:rPr>
                      <w:rFonts w:cs="Arial"/>
                    </w:rPr>
                  </w:pPr>
                </w:p>
              </w:tc>
              <w:tc>
                <w:tcPr>
                  <w:tcW w:w="2268" w:type="dxa"/>
                  <w:gridSpan w:val="3"/>
                  <w:tcBorders>
                    <w:bottom w:val="single" w:sz="18" w:space="0" w:color="F79646"/>
                  </w:tcBorders>
                </w:tcPr>
                <w:p w:rsidR="00A7014D" w:rsidRDefault="00A7014D" w:rsidP="004E491C">
                  <w:pPr>
                    <w:pStyle w:val="TableHeading"/>
                    <w:jc w:val="center"/>
                    <w:rPr>
                      <w:lang w:eastAsia="en-US"/>
                    </w:rPr>
                  </w:pPr>
                  <w:r>
                    <w:rPr>
                      <w:lang w:eastAsia="en-US"/>
                    </w:rPr>
                    <w:t>TRU Method</w:t>
                  </w:r>
                </w:p>
              </w:tc>
              <w:tc>
                <w:tcPr>
                  <w:tcW w:w="2268" w:type="dxa"/>
                  <w:gridSpan w:val="3"/>
                  <w:tcBorders>
                    <w:bottom w:val="single" w:sz="18" w:space="0" w:color="F79646"/>
                  </w:tcBorders>
                  <w:shd w:val="clear" w:color="auto" w:fill="auto"/>
                  <w:vAlign w:val="center"/>
                </w:tcPr>
                <w:p w:rsidR="00A7014D" w:rsidRPr="00453784" w:rsidRDefault="00A7014D" w:rsidP="004E491C">
                  <w:pPr>
                    <w:pStyle w:val="TableHeading"/>
                    <w:jc w:val="center"/>
                    <w:rPr>
                      <w:color w:val="548DD4"/>
                      <w:lang w:eastAsia="en-US"/>
                    </w:rPr>
                  </w:pPr>
                  <w:r w:rsidRPr="00453784">
                    <w:rPr>
                      <w:color w:val="548DD4"/>
                      <w:lang w:eastAsia="en-US"/>
                    </w:rPr>
                    <w:t xml:space="preserve">Hybrid </w:t>
                  </w:r>
                  <w:r>
                    <w:rPr>
                      <w:color w:val="548DD4"/>
                      <w:lang w:eastAsia="en-US"/>
                    </w:rPr>
                    <w:t xml:space="preserve">TRU </w:t>
                  </w:r>
                  <w:r w:rsidRPr="00453784">
                    <w:rPr>
                      <w:color w:val="548DD4"/>
                      <w:lang w:eastAsia="en-US"/>
                    </w:rPr>
                    <w:t>Method</w:t>
                  </w:r>
                </w:p>
              </w:tc>
              <w:tc>
                <w:tcPr>
                  <w:tcW w:w="2268" w:type="dxa"/>
                  <w:gridSpan w:val="2"/>
                  <w:tcBorders>
                    <w:bottom w:val="single" w:sz="18" w:space="0" w:color="F79646"/>
                  </w:tcBorders>
                </w:tcPr>
                <w:p w:rsidR="00A7014D" w:rsidRDefault="00A7014D" w:rsidP="004E491C">
                  <w:pPr>
                    <w:pStyle w:val="TableHeading"/>
                    <w:jc w:val="center"/>
                    <w:rPr>
                      <w:lang w:eastAsia="en-US"/>
                    </w:rPr>
                  </w:pPr>
                  <w:r>
                    <w:rPr>
                      <w:lang w:eastAsia="en-US"/>
                    </w:rPr>
                    <w:t>Replacement Method</w:t>
                  </w:r>
                </w:p>
              </w:tc>
            </w:tr>
            <w:tr w:rsidR="004E491C" w:rsidRPr="00BB0169" w:rsidTr="004E491C">
              <w:trPr>
                <w:trHeight w:val="366"/>
              </w:trPr>
              <w:tc>
                <w:tcPr>
                  <w:tcW w:w="2234" w:type="dxa"/>
                  <w:tcBorders>
                    <w:top w:val="single" w:sz="18" w:space="0" w:color="F79646"/>
                    <w:left w:val="single" w:sz="4" w:space="0" w:color="C8C8C8"/>
                    <w:bottom w:val="single" w:sz="18" w:space="0" w:color="F79646"/>
                    <w:right w:val="single" w:sz="4" w:space="0" w:color="C8C8C8"/>
                  </w:tcBorders>
                  <w:shd w:val="clear" w:color="auto" w:fill="auto"/>
                  <w:tcMar>
                    <w:top w:w="34" w:type="dxa"/>
                    <w:left w:w="113" w:type="dxa"/>
                  </w:tcMar>
                </w:tcPr>
                <w:p w:rsidR="00A7014D" w:rsidRPr="00BB0169" w:rsidRDefault="00A7014D" w:rsidP="00FE17B3">
                  <w:pPr>
                    <w:pStyle w:val="TableHeading"/>
                    <w:rPr>
                      <w:rFonts w:cs="Arial"/>
                    </w:rPr>
                  </w:pPr>
                </w:p>
              </w:tc>
              <w:tc>
                <w:tcPr>
                  <w:tcW w:w="1115" w:type="dxa"/>
                  <w:tcBorders>
                    <w:top w:val="single" w:sz="18" w:space="0" w:color="F79646"/>
                    <w:left w:val="single" w:sz="4" w:space="0" w:color="C8C8C8"/>
                    <w:bottom w:val="single" w:sz="18" w:space="0" w:color="F79646"/>
                    <w:right w:val="single" w:sz="4" w:space="0" w:color="C8C8C8"/>
                  </w:tcBorders>
                  <w:vAlign w:val="center"/>
                </w:tcPr>
                <w:p w:rsidR="00A7014D" w:rsidRPr="00BB0169" w:rsidRDefault="00A7014D" w:rsidP="004E491C">
                  <w:pPr>
                    <w:pStyle w:val="TableHeading"/>
                    <w:jc w:val="center"/>
                    <w:rPr>
                      <w:lang w:eastAsia="en-US"/>
                    </w:rPr>
                  </w:pPr>
                  <w:r w:rsidRPr="00916358">
                    <w:rPr>
                      <w:lang w:eastAsia="en-US"/>
                    </w:rPr>
                    <w:t>Minimum Moves</w:t>
                  </w:r>
                </w:p>
              </w:tc>
              <w:tc>
                <w:tcPr>
                  <w:tcW w:w="1137" w:type="dxa"/>
                  <w:tcBorders>
                    <w:top w:val="single" w:sz="18" w:space="0" w:color="F79646"/>
                    <w:left w:val="single" w:sz="4" w:space="0" w:color="C8C8C8"/>
                    <w:bottom w:val="single" w:sz="18" w:space="0" w:color="F79646"/>
                    <w:right w:val="single" w:sz="4" w:space="0" w:color="C8C8C8"/>
                  </w:tcBorders>
                  <w:vAlign w:val="center"/>
                </w:tcPr>
                <w:p w:rsidR="00A7014D" w:rsidRPr="00BB0169" w:rsidRDefault="00A7014D" w:rsidP="004E491C">
                  <w:pPr>
                    <w:pStyle w:val="TableHeading"/>
                    <w:jc w:val="center"/>
                    <w:rPr>
                      <w:lang w:eastAsia="en-US"/>
                    </w:rPr>
                  </w:pPr>
                  <w:r w:rsidRPr="00916358">
                    <w:rPr>
                      <w:lang w:eastAsia="en-US"/>
                    </w:rPr>
                    <w:t>Block</w:t>
                  </w:r>
                  <w:r w:rsidR="004E491C">
                    <w:rPr>
                      <w:lang w:eastAsia="en-US"/>
                    </w:rPr>
                    <w:br/>
                  </w:r>
                </w:p>
              </w:tc>
              <w:tc>
                <w:tcPr>
                  <w:tcW w:w="1138" w:type="dxa"/>
                  <w:gridSpan w:val="2"/>
                  <w:tcBorders>
                    <w:top w:val="single" w:sz="18" w:space="0" w:color="F79646"/>
                    <w:left w:val="single" w:sz="4" w:space="0" w:color="C8C8C8"/>
                    <w:bottom w:val="single" w:sz="18" w:space="0" w:color="F79646"/>
                  </w:tcBorders>
                  <w:shd w:val="clear" w:color="auto" w:fill="auto"/>
                  <w:tcMar>
                    <w:left w:w="113" w:type="dxa"/>
                  </w:tcMar>
                  <w:vAlign w:val="center"/>
                </w:tcPr>
                <w:p w:rsidR="00A7014D" w:rsidRPr="00453784" w:rsidRDefault="00A7014D" w:rsidP="004E491C">
                  <w:pPr>
                    <w:pStyle w:val="TableHeading"/>
                    <w:jc w:val="center"/>
                    <w:rPr>
                      <w:color w:val="548DD4"/>
                      <w:lang w:eastAsia="en-US"/>
                    </w:rPr>
                  </w:pPr>
                  <w:r w:rsidRPr="00453784">
                    <w:rPr>
                      <w:color w:val="548DD4"/>
                      <w:lang w:eastAsia="en-US"/>
                    </w:rPr>
                    <w:t>Minimum Moves</w:t>
                  </w:r>
                </w:p>
              </w:tc>
              <w:tc>
                <w:tcPr>
                  <w:tcW w:w="1138" w:type="dxa"/>
                  <w:tcBorders>
                    <w:top w:val="single" w:sz="18" w:space="0" w:color="F79646"/>
                    <w:bottom w:val="single" w:sz="18" w:space="0" w:color="F79646"/>
                  </w:tcBorders>
                  <w:shd w:val="clear" w:color="auto" w:fill="auto"/>
                  <w:tcMar>
                    <w:left w:w="113" w:type="dxa"/>
                  </w:tcMar>
                  <w:vAlign w:val="center"/>
                </w:tcPr>
                <w:p w:rsidR="00A7014D" w:rsidRPr="00453784" w:rsidRDefault="00A7014D" w:rsidP="004E491C">
                  <w:pPr>
                    <w:pStyle w:val="TableHeading"/>
                    <w:jc w:val="center"/>
                    <w:rPr>
                      <w:color w:val="548DD4"/>
                      <w:lang w:eastAsia="en-US"/>
                    </w:rPr>
                  </w:pPr>
                  <w:r w:rsidRPr="00453784">
                    <w:rPr>
                      <w:color w:val="548DD4"/>
                      <w:lang w:eastAsia="en-US"/>
                    </w:rPr>
                    <w:t>Block</w:t>
                  </w:r>
                  <w:r w:rsidR="004E491C">
                    <w:rPr>
                      <w:color w:val="548DD4"/>
                      <w:lang w:eastAsia="en-US"/>
                    </w:rPr>
                    <w:br/>
                  </w:r>
                </w:p>
              </w:tc>
              <w:tc>
                <w:tcPr>
                  <w:tcW w:w="1138" w:type="dxa"/>
                  <w:gridSpan w:val="2"/>
                  <w:tcBorders>
                    <w:top w:val="single" w:sz="18" w:space="0" w:color="F79646"/>
                    <w:bottom w:val="single" w:sz="18" w:space="0" w:color="F79646"/>
                  </w:tcBorders>
                  <w:vAlign w:val="center"/>
                </w:tcPr>
                <w:p w:rsidR="00A7014D" w:rsidRPr="00BB0169" w:rsidRDefault="00A7014D" w:rsidP="004E491C">
                  <w:pPr>
                    <w:pStyle w:val="TableHeading"/>
                    <w:jc w:val="center"/>
                    <w:rPr>
                      <w:lang w:eastAsia="en-US"/>
                    </w:rPr>
                  </w:pPr>
                  <w:r w:rsidRPr="00916358">
                    <w:rPr>
                      <w:lang w:eastAsia="en-US"/>
                    </w:rPr>
                    <w:t>Minimum Moves</w:t>
                  </w:r>
                </w:p>
              </w:tc>
              <w:tc>
                <w:tcPr>
                  <w:tcW w:w="1138" w:type="dxa"/>
                  <w:tcBorders>
                    <w:top w:val="single" w:sz="18" w:space="0" w:color="F79646"/>
                    <w:bottom w:val="single" w:sz="18" w:space="0" w:color="F79646"/>
                  </w:tcBorders>
                  <w:vAlign w:val="center"/>
                </w:tcPr>
                <w:p w:rsidR="00A7014D" w:rsidRPr="00BB0169" w:rsidRDefault="00A7014D" w:rsidP="004E491C">
                  <w:pPr>
                    <w:pStyle w:val="TableHeading"/>
                    <w:jc w:val="center"/>
                    <w:rPr>
                      <w:lang w:eastAsia="en-US"/>
                    </w:rPr>
                  </w:pPr>
                  <w:r w:rsidRPr="00916358">
                    <w:rPr>
                      <w:lang w:eastAsia="en-US"/>
                    </w:rPr>
                    <w:t>Block</w:t>
                  </w:r>
                  <w:r w:rsidR="004E491C">
                    <w:rPr>
                      <w:lang w:eastAsia="en-US"/>
                    </w:rPr>
                    <w:br/>
                  </w:r>
                </w:p>
              </w:tc>
            </w:tr>
            <w:tr w:rsidR="004E491C" w:rsidRPr="00BB0169" w:rsidTr="004E491C">
              <w:trPr>
                <w:trHeight w:val="135"/>
              </w:trPr>
              <w:tc>
                <w:tcPr>
                  <w:tcW w:w="2234" w:type="dxa"/>
                  <w:tcBorders>
                    <w:top w:val="single" w:sz="18" w:space="0" w:color="F79646"/>
                    <w:bottom w:val="single" w:sz="4" w:space="0" w:color="C8C8C8"/>
                  </w:tcBorders>
                  <w:shd w:val="clear" w:color="auto" w:fill="auto"/>
                  <w:tcMar>
                    <w:left w:w="113" w:type="dxa"/>
                  </w:tcMar>
                  <w:vAlign w:val="center"/>
                </w:tcPr>
                <w:p w:rsidR="00A7014D" w:rsidRDefault="00A7014D" w:rsidP="00A7014D">
                  <w:pPr>
                    <w:pStyle w:val="TableHeading"/>
                  </w:pPr>
                  <w:r w:rsidRPr="00916358">
                    <w:t>Cost</w:t>
                  </w:r>
                  <w:r>
                    <w:t xml:space="preserve"> ($M)</w:t>
                  </w:r>
                </w:p>
              </w:tc>
              <w:tc>
                <w:tcPr>
                  <w:tcW w:w="1115" w:type="dxa"/>
                  <w:tcBorders>
                    <w:top w:val="single" w:sz="18" w:space="0" w:color="F79646"/>
                    <w:bottom w:val="single" w:sz="4" w:space="0" w:color="C8C8C8"/>
                  </w:tcBorders>
                  <w:vAlign w:val="center"/>
                </w:tcPr>
                <w:p w:rsidR="00A7014D" w:rsidRPr="00BB0169" w:rsidRDefault="004E491C" w:rsidP="007021D9">
                  <w:pPr>
                    <w:pStyle w:val="TableBody"/>
                  </w:pPr>
                  <w:r>
                    <w:t>$</w:t>
                  </w:r>
                  <w:r w:rsidR="00A7014D">
                    <w:t>17.</w:t>
                  </w:r>
                  <w:r w:rsidR="007021D9">
                    <w:t xml:space="preserve">4 </w:t>
                  </w:r>
                  <w:r>
                    <w:t>M</w:t>
                  </w:r>
                </w:p>
              </w:tc>
              <w:tc>
                <w:tcPr>
                  <w:tcW w:w="1137" w:type="dxa"/>
                  <w:tcBorders>
                    <w:top w:val="single" w:sz="18" w:space="0" w:color="F79646"/>
                    <w:bottom w:val="single" w:sz="4" w:space="0" w:color="C8C8C8"/>
                  </w:tcBorders>
                  <w:vAlign w:val="center"/>
                </w:tcPr>
                <w:p w:rsidR="00A7014D" w:rsidRDefault="004E491C" w:rsidP="004E491C">
                  <w:pPr>
                    <w:pStyle w:val="TableBody"/>
                  </w:pPr>
                  <w:r>
                    <w:t>$</w:t>
                  </w:r>
                  <w:r w:rsidR="00A7014D" w:rsidRPr="00860C79">
                    <w:t>18.</w:t>
                  </w:r>
                  <w:r w:rsidR="00A7014D">
                    <w:t>2</w:t>
                  </w:r>
                  <w:r>
                    <w:t xml:space="preserve"> M</w:t>
                  </w:r>
                </w:p>
              </w:tc>
              <w:tc>
                <w:tcPr>
                  <w:tcW w:w="1138" w:type="dxa"/>
                  <w:gridSpan w:val="2"/>
                  <w:tcBorders>
                    <w:top w:val="single" w:sz="18" w:space="0" w:color="F79646"/>
                    <w:bottom w:val="single" w:sz="4" w:space="0" w:color="C8C8C8"/>
                  </w:tcBorders>
                  <w:shd w:val="clear" w:color="auto" w:fill="auto"/>
                  <w:tcMar>
                    <w:left w:w="113" w:type="dxa"/>
                  </w:tcMar>
                  <w:vAlign w:val="center"/>
                </w:tcPr>
                <w:p w:rsidR="00A7014D" w:rsidRDefault="004E491C" w:rsidP="004E491C">
                  <w:pPr>
                    <w:pStyle w:val="TableBody"/>
                    <w:rPr>
                      <w:color w:val="548DD4"/>
                    </w:rPr>
                  </w:pPr>
                  <w:r>
                    <w:rPr>
                      <w:color w:val="548DD4"/>
                    </w:rPr>
                    <w:t>$</w:t>
                  </w:r>
                  <w:r w:rsidR="00A7014D" w:rsidRPr="00860C79">
                    <w:rPr>
                      <w:color w:val="548DD4"/>
                    </w:rPr>
                    <w:t>20.</w:t>
                  </w:r>
                  <w:r w:rsidR="00A7014D">
                    <w:rPr>
                      <w:color w:val="548DD4"/>
                    </w:rPr>
                    <w:t>9</w:t>
                  </w:r>
                  <w:r>
                    <w:rPr>
                      <w:color w:val="548DD4"/>
                    </w:rPr>
                    <w:t xml:space="preserve"> M</w:t>
                  </w:r>
                </w:p>
              </w:tc>
              <w:tc>
                <w:tcPr>
                  <w:tcW w:w="1138" w:type="dxa"/>
                  <w:tcBorders>
                    <w:top w:val="single" w:sz="18" w:space="0" w:color="F79646"/>
                    <w:bottom w:val="single" w:sz="4" w:space="0" w:color="C8C8C8"/>
                  </w:tcBorders>
                  <w:shd w:val="clear" w:color="auto" w:fill="auto"/>
                  <w:tcMar>
                    <w:left w:w="113" w:type="dxa"/>
                  </w:tcMar>
                  <w:vAlign w:val="center"/>
                </w:tcPr>
                <w:p w:rsidR="00A7014D" w:rsidRDefault="004E491C" w:rsidP="004E491C">
                  <w:pPr>
                    <w:pStyle w:val="TableBody"/>
                    <w:rPr>
                      <w:color w:val="548DD4"/>
                    </w:rPr>
                  </w:pPr>
                  <w:r>
                    <w:rPr>
                      <w:color w:val="548DD4"/>
                    </w:rPr>
                    <w:t>$</w:t>
                  </w:r>
                  <w:r w:rsidR="00A7014D" w:rsidRPr="00860C79">
                    <w:rPr>
                      <w:color w:val="548DD4"/>
                    </w:rPr>
                    <w:t>22.</w:t>
                  </w:r>
                  <w:r w:rsidR="00A7014D">
                    <w:rPr>
                      <w:color w:val="548DD4"/>
                    </w:rPr>
                    <w:t>7</w:t>
                  </w:r>
                  <w:r>
                    <w:rPr>
                      <w:color w:val="548DD4"/>
                    </w:rPr>
                    <w:t xml:space="preserve"> M</w:t>
                  </w:r>
                </w:p>
              </w:tc>
              <w:tc>
                <w:tcPr>
                  <w:tcW w:w="1138" w:type="dxa"/>
                  <w:gridSpan w:val="2"/>
                  <w:tcBorders>
                    <w:top w:val="single" w:sz="18" w:space="0" w:color="F79646"/>
                    <w:bottom w:val="single" w:sz="4" w:space="0" w:color="C8C8C8"/>
                  </w:tcBorders>
                  <w:vAlign w:val="center"/>
                </w:tcPr>
                <w:p w:rsidR="00A7014D" w:rsidRDefault="004E491C" w:rsidP="004E491C">
                  <w:pPr>
                    <w:pStyle w:val="TableBody"/>
                  </w:pPr>
                  <w:r>
                    <w:t>$</w:t>
                  </w:r>
                  <w:r w:rsidR="00A7014D">
                    <w:t>32.2</w:t>
                  </w:r>
                  <w:r>
                    <w:t xml:space="preserve"> M</w:t>
                  </w:r>
                </w:p>
              </w:tc>
              <w:tc>
                <w:tcPr>
                  <w:tcW w:w="1138" w:type="dxa"/>
                  <w:tcBorders>
                    <w:top w:val="single" w:sz="18" w:space="0" w:color="F79646"/>
                    <w:bottom w:val="single" w:sz="4" w:space="0" w:color="C8C8C8"/>
                  </w:tcBorders>
                  <w:vAlign w:val="center"/>
                </w:tcPr>
                <w:p w:rsidR="00A7014D" w:rsidRDefault="004E491C" w:rsidP="004E491C">
                  <w:pPr>
                    <w:pStyle w:val="TableBody"/>
                  </w:pPr>
                  <w:r>
                    <w:t>$</w:t>
                  </w:r>
                  <w:r w:rsidR="00A7014D">
                    <w:t>38.8</w:t>
                  </w:r>
                  <w:r>
                    <w:t xml:space="preserve"> M</w:t>
                  </w:r>
                </w:p>
              </w:tc>
            </w:tr>
            <w:tr w:rsidR="004E491C" w:rsidRPr="00BB0169" w:rsidTr="004E491C">
              <w:trPr>
                <w:trHeight w:val="135"/>
              </w:trPr>
              <w:tc>
                <w:tcPr>
                  <w:tcW w:w="2234" w:type="dxa"/>
                  <w:tcBorders>
                    <w:top w:val="single" w:sz="4" w:space="0" w:color="C8C8C8"/>
                    <w:bottom w:val="single" w:sz="4" w:space="0" w:color="C8C8C8"/>
                  </w:tcBorders>
                  <w:shd w:val="clear" w:color="auto" w:fill="auto"/>
                  <w:tcMar>
                    <w:left w:w="113" w:type="dxa"/>
                  </w:tcMar>
                  <w:vAlign w:val="center"/>
                </w:tcPr>
                <w:p w:rsidR="00A7014D" w:rsidRPr="00916358" w:rsidRDefault="00A7014D" w:rsidP="00A7014D">
                  <w:pPr>
                    <w:pStyle w:val="TableHeading"/>
                  </w:pPr>
                </w:p>
              </w:tc>
              <w:tc>
                <w:tcPr>
                  <w:tcW w:w="1115" w:type="dxa"/>
                  <w:tcBorders>
                    <w:top w:val="single" w:sz="4" w:space="0" w:color="C8C8C8"/>
                    <w:bottom w:val="single" w:sz="4" w:space="0" w:color="C8C8C8"/>
                  </w:tcBorders>
                  <w:vAlign w:val="center"/>
                </w:tcPr>
                <w:p w:rsidR="00A7014D" w:rsidRDefault="00A7014D" w:rsidP="004E491C">
                  <w:pPr>
                    <w:pStyle w:val="TableBody"/>
                  </w:pPr>
                </w:p>
              </w:tc>
              <w:tc>
                <w:tcPr>
                  <w:tcW w:w="1137" w:type="dxa"/>
                  <w:tcBorders>
                    <w:top w:val="single" w:sz="4" w:space="0" w:color="C8C8C8"/>
                    <w:bottom w:val="single" w:sz="4" w:space="0" w:color="C8C8C8"/>
                  </w:tcBorders>
                  <w:vAlign w:val="center"/>
                </w:tcPr>
                <w:p w:rsidR="00A7014D" w:rsidRPr="00860C79" w:rsidRDefault="00A7014D" w:rsidP="004E491C">
                  <w:pPr>
                    <w:pStyle w:val="TableBody"/>
                  </w:pPr>
                </w:p>
              </w:tc>
              <w:tc>
                <w:tcPr>
                  <w:tcW w:w="1138" w:type="dxa"/>
                  <w:gridSpan w:val="2"/>
                  <w:tcBorders>
                    <w:top w:val="single" w:sz="4" w:space="0" w:color="C8C8C8"/>
                    <w:bottom w:val="single" w:sz="4" w:space="0" w:color="C8C8C8"/>
                  </w:tcBorders>
                  <w:shd w:val="clear" w:color="auto" w:fill="auto"/>
                  <w:tcMar>
                    <w:left w:w="113" w:type="dxa"/>
                  </w:tcMar>
                  <w:vAlign w:val="center"/>
                </w:tcPr>
                <w:p w:rsidR="00A7014D" w:rsidRPr="00860C79" w:rsidRDefault="00A7014D" w:rsidP="004E491C">
                  <w:pPr>
                    <w:pStyle w:val="TableBody"/>
                    <w:rPr>
                      <w:color w:val="548DD4"/>
                    </w:rPr>
                  </w:pPr>
                </w:p>
              </w:tc>
              <w:tc>
                <w:tcPr>
                  <w:tcW w:w="1138" w:type="dxa"/>
                  <w:tcBorders>
                    <w:top w:val="single" w:sz="4" w:space="0" w:color="C8C8C8"/>
                    <w:bottom w:val="single" w:sz="4" w:space="0" w:color="C8C8C8"/>
                  </w:tcBorders>
                  <w:shd w:val="clear" w:color="auto" w:fill="auto"/>
                  <w:tcMar>
                    <w:left w:w="113" w:type="dxa"/>
                  </w:tcMar>
                  <w:vAlign w:val="center"/>
                </w:tcPr>
                <w:p w:rsidR="00A7014D" w:rsidRPr="00860C79" w:rsidRDefault="00A7014D" w:rsidP="004E491C">
                  <w:pPr>
                    <w:pStyle w:val="TableBody"/>
                    <w:rPr>
                      <w:color w:val="548DD4"/>
                    </w:rPr>
                  </w:pPr>
                </w:p>
              </w:tc>
              <w:tc>
                <w:tcPr>
                  <w:tcW w:w="1138" w:type="dxa"/>
                  <w:gridSpan w:val="2"/>
                  <w:tcBorders>
                    <w:top w:val="single" w:sz="4" w:space="0" w:color="C8C8C8"/>
                    <w:bottom w:val="single" w:sz="4" w:space="0" w:color="C8C8C8"/>
                  </w:tcBorders>
                  <w:vAlign w:val="center"/>
                </w:tcPr>
                <w:p w:rsidR="00A7014D" w:rsidRDefault="00A7014D" w:rsidP="004E491C">
                  <w:pPr>
                    <w:pStyle w:val="TableBody"/>
                  </w:pPr>
                </w:p>
              </w:tc>
              <w:tc>
                <w:tcPr>
                  <w:tcW w:w="1138" w:type="dxa"/>
                  <w:tcBorders>
                    <w:top w:val="single" w:sz="4" w:space="0" w:color="C8C8C8"/>
                    <w:bottom w:val="single" w:sz="4" w:space="0" w:color="C8C8C8"/>
                  </w:tcBorders>
                  <w:vAlign w:val="center"/>
                </w:tcPr>
                <w:p w:rsidR="00A7014D" w:rsidRDefault="00A7014D" w:rsidP="004E491C">
                  <w:pPr>
                    <w:pStyle w:val="TableBody"/>
                  </w:pPr>
                </w:p>
              </w:tc>
            </w:tr>
            <w:tr w:rsidR="004E491C" w:rsidRPr="00BB0169" w:rsidTr="004E491C">
              <w:trPr>
                <w:trHeight w:val="135"/>
              </w:trPr>
              <w:tc>
                <w:tcPr>
                  <w:tcW w:w="2234" w:type="dxa"/>
                  <w:tcBorders>
                    <w:top w:val="single" w:sz="4" w:space="0" w:color="C8C8C8"/>
                  </w:tcBorders>
                  <w:shd w:val="clear" w:color="auto" w:fill="auto"/>
                  <w:tcMar>
                    <w:left w:w="113" w:type="dxa"/>
                  </w:tcMar>
                </w:tcPr>
                <w:p w:rsidR="003C680F" w:rsidRDefault="00A7014D" w:rsidP="00A7014D">
                  <w:pPr>
                    <w:pStyle w:val="TableHeading"/>
                  </w:pPr>
                  <w:r>
                    <w:t>Implementation time</w:t>
                  </w:r>
                  <w:r w:rsidRPr="007509F1">
                    <w:t xml:space="preserve"> </w:t>
                  </w:r>
                  <w:r>
                    <w:t>(</w:t>
                  </w:r>
                  <w:r w:rsidRPr="007509F1">
                    <w:t>weeks</w:t>
                  </w:r>
                  <w:r w:rsidR="003C680F">
                    <w:t>)</w:t>
                  </w:r>
                </w:p>
                <w:p w:rsidR="00A7014D" w:rsidRPr="007A3146" w:rsidRDefault="00476F09" w:rsidP="009503B3">
                  <w:pPr>
                    <w:pStyle w:val="TableHeading"/>
                    <w:rPr>
                      <w:b w:val="0"/>
                      <w:sz w:val="16"/>
                      <w:szCs w:val="16"/>
                    </w:rPr>
                  </w:pPr>
                  <w:r>
                    <w:rPr>
                      <w:b w:val="0"/>
                      <w:sz w:val="16"/>
                      <w:szCs w:val="16"/>
                    </w:rPr>
                    <w:t xml:space="preserve">(4 teams working in parallel) </w:t>
                  </w:r>
                </w:p>
              </w:tc>
              <w:tc>
                <w:tcPr>
                  <w:tcW w:w="1115" w:type="dxa"/>
                  <w:tcBorders>
                    <w:top w:val="single" w:sz="4" w:space="0" w:color="C8C8C8"/>
                  </w:tcBorders>
                  <w:vAlign w:val="center"/>
                </w:tcPr>
                <w:p w:rsidR="00A7014D" w:rsidRDefault="00A7014D" w:rsidP="00B93B9E">
                  <w:pPr>
                    <w:pStyle w:val="TableBody"/>
                  </w:pPr>
                  <w:r w:rsidRPr="00074188">
                    <w:rPr>
                      <w:kern w:val="32"/>
                      <w:szCs w:val="20"/>
                    </w:rPr>
                    <w:t>36.6</w:t>
                  </w:r>
                  <w:r w:rsidR="004E491C">
                    <w:rPr>
                      <w:kern w:val="32"/>
                      <w:szCs w:val="20"/>
                    </w:rPr>
                    <w:t xml:space="preserve"> wks</w:t>
                  </w:r>
                </w:p>
              </w:tc>
              <w:tc>
                <w:tcPr>
                  <w:tcW w:w="1137" w:type="dxa"/>
                  <w:tcBorders>
                    <w:top w:val="single" w:sz="4" w:space="0" w:color="C8C8C8"/>
                  </w:tcBorders>
                  <w:vAlign w:val="center"/>
                </w:tcPr>
                <w:p w:rsidR="00A7014D" w:rsidRPr="00860C79" w:rsidRDefault="00A7014D" w:rsidP="00B93B9E">
                  <w:pPr>
                    <w:pStyle w:val="TableBody"/>
                  </w:pPr>
                  <w:r w:rsidRPr="00074188">
                    <w:rPr>
                      <w:kern w:val="32"/>
                      <w:szCs w:val="20"/>
                    </w:rPr>
                    <w:t>36.4</w:t>
                  </w:r>
                  <w:r w:rsidR="004E491C">
                    <w:rPr>
                      <w:kern w:val="32"/>
                      <w:szCs w:val="20"/>
                    </w:rPr>
                    <w:t xml:space="preserve"> wks</w:t>
                  </w:r>
                </w:p>
              </w:tc>
              <w:tc>
                <w:tcPr>
                  <w:tcW w:w="1138" w:type="dxa"/>
                  <w:gridSpan w:val="2"/>
                  <w:tcBorders>
                    <w:top w:val="single" w:sz="4" w:space="0" w:color="C8C8C8"/>
                  </w:tcBorders>
                  <w:shd w:val="clear" w:color="auto" w:fill="auto"/>
                  <w:tcMar>
                    <w:left w:w="113" w:type="dxa"/>
                  </w:tcMar>
                  <w:vAlign w:val="center"/>
                </w:tcPr>
                <w:p w:rsidR="00A7014D" w:rsidRPr="00860C79" w:rsidRDefault="00A7014D" w:rsidP="00EF3F3F">
                  <w:pPr>
                    <w:pStyle w:val="TableBody"/>
                    <w:rPr>
                      <w:color w:val="548DD4"/>
                    </w:rPr>
                  </w:pPr>
                  <w:r w:rsidRPr="00DE25A7">
                    <w:rPr>
                      <w:color w:val="548DD4"/>
                      <w:szCs w:val="20"/>
                      <w:lang w:eastAsia="en-US"/>
                    </w:rPr>
                    <w:t>34.</w:t>
                  </w:r>
                  <w:r w:rsidR="00EF3F3F">
                    <w:rPr>
                      <w:color w:val="548DD4"/>
                      <w:szCs w:val="20"/>
                      <w:lang w:eastAsia="en-US"/>
                    </w:rPr>
                    <w:t>3</w:t>
                  </w:r>
                  <w:r w:rsidR="004E491C">
                    <w:rPr>
                      <w:color w:val="548DD4"/>
                      <w:szCs w:val="20"/>
                      <w:lang w:eastAsia="en-US"/>
                    </w:rPr>
                    <w:t xml:space="preserve"> wks</w:t>
                  </w:r>
                </w:p>
              </w:tc>
              <w:tc>
                <w:tcPr>
                  <w:tcW w:w="1138" w:type="dxa"/>
                  <w:tcBorders>
                    <w:top w:val="single" w:sz="4" w:space="0" w:color="C8C8C8"/>
                  </w:tcBorders>
                  <w:shd w:val="clear" w:color="auto" w:fill="auto"/>
                  <w:tcMar>
                    <w:left w:w="113" w:type="dxa"/>
                  </w:tcMar>
                  <w:vAlign w:val="center"/>
                </w:tcPr>
                <w:p w:rsidR="00A7014D" w:rsidRPr="00860C79" w:rsidRDefault="00B93B9E" w:rsidP="00EF3F3F">
                  <w:pPr>
                    <w:pStyle w:val="TableBody"/>
                    <w:rPr>
                      <w:color w:val="548DD4"/>
                    </w:rPr>
                  </w:pPr>
                  <w:r>
                    <w:rPr>
                      <w:color w:val="548DD4"/>
                      <w:szCs w:val="20"/>
                      <w:lang w:eastAsia="en-US"/>
                    </w:rPr>
                    <w:t>39.</w:t>
                  </w:r>
                  <w:r w:rsidR="00EF3F3F">
                    <w:rPr>
                      <w:color w:val="548DD4"/>
                      <w:szCs w:val="20"/>
                      <w:lang w:eastAsia="en-US"/>
                    </w:rPr>
                    <w:t>5</w:t>
                  </w:r>
                  <w:r w:rsidR="004E491C">
                    <w:rPr>
                      <w:color w:val="548DD4"/>
                      <w:szCs w:val="20"/>
                      <w:lang w:eastAsia="en-US"/>
                    </w:rPr>
                    <w:t xml:space="preserve"> wks</w:t>
                  </w:r>
                </w:p>
              </w:tc>
              <w:tc>
                <w:tcPr>
                  <w:tcW w:w="1138" w:type="dxa"/>
                  <w:gridSpan w:val="2"/>
                  <w:tcBorders>
                    <w:top w:val="single" w:sz="4" w:space="0" w:color="C8C8C8"/>
                  </w:tcBorders>
                  <w:vAlign w:val="center"/>
                </w:tcPr>
                <w:p w:rsidR="00A7014D" w:rsidRDefault="00A7014D" w:rsidP="00EF3F3F">
                  <w:pPr>
                    <w:pStyle w:val="TableBody"/>
                  </w:pPr>
                  <w:r>
                    <w:rPr>
                      <w:color w:val="000000"/>
                      <w:szCs w:val="20"/>
                    </w:rPr>
                    <w:t>34.</w:t>
                  </w:r>
                  <w:r w:rsidR="00EF3F3F">
                    <w:rPr>
                      <w:color w:val="000000"/>
                      <w:szCs w:val="20"/>
                    </w:rPr>
                    <w:t>4</w:t>
                  </w:r>
                  <w:r w:rsidR="004E491C">
                    <w:rPr>
                      <w:color w:val="000000"/>
                      <w:szCs w:val="20"/>
                    </w:rPr>
                    <w:t xml:space="preserve"> wks</w:t>
                  </w:r>
                </w:p>
              </w:tc>
              <w:tc>
                <w:tcPr>
                  <w:tcW w:w="1138" w:type="dxa"/>
                  <w:tcBorders>
                    <w:top w:val="single" w:sz="4" w:space="0" w:color="C8C8C8"/>
                  </w:tcBorders>
                  <w:vAlign w:val="center"/>
                </w:tcPr>
                <w:p w:rsidR="00A7014D" w:rsidRDefault="00B93B9E" w:rsidP="00EF3F3F">
                  <w:pPr>
                    <w:pStyle w:val="TableBody"/>
                  </w:pPr>
                  <w:r>
                    <w:rPr>
                      <w:color w:val="000000"/>
                      <w:szCs w:val="20"/>
                    </w:rPr>
                    <w:t>39.</w:t>
                  </w:r>
                  <w:r w:rsidR="00EF3F3F">
                    <w:rPr>
                      <w:color w:val="000000"/>
                      <w:szCs w:val="20"/>
                    </w:rPr>
                    <w:t>7</w:t>
                  </w:r>
                  <w:r w:rsidR="004E491C">
                    <w:rPr>
                      <w:color w:val="000000"/>
                      <w:szCs w:val="20"/>
                    </w:rPr>
                    <w:t xml:space="preserve"> wks</w:t>
                  </w:r>
                </w:p>
              </w:tc>
            </w:tr>
          </w:tbl>
          <w:p w:rsidR="00A7014D" w:rsidRPr="00BB0169" w:rsidRDefault="00A7014D" w:rsidP="00FE17B3">
            <w:pPr>
              <w:rPr>
                <w:rFonts w:cs="Arial"/>
              </w:rPr>
            </w:pPr>
          </w:p>
        </w:tc>
      </w:tr>
    </w:tbl>
    <w:p w:rsidR="002673C4" w:rsidRPr="002673C4" w:rsidRDefault="002673C4" w:rsidP="002673C4"/>
    <w:p w:rsidR="00701F52" w:rsidRDefault="00B42F81" w:rsidP="006A2EC4">
      <w:r>
        <w:t xml:space="preserve">Engineering </w:t>
      </w:r>
      <w:r w:rsidR="00701F52">
        <w:t xml:space="preserve">report </w:t>
      </w:r>
      <w:r>
        <w:t xml:space="preserve">TPS2011/04 </w:t>
      </w:r>
      <w:r w:rsidR="00701F52">
        <w:t xml:space="preserve">also provides the results of </w:t>
      </w:r>
      <w:r w:rsidR="002A4969">
        <w:t xml:space="preserve">an </w:t>
      </w:r>
      <w:r w:rsidR="00701F52">
        <w:t>extensive sensitivity analysis in response to comments that certain tasks could be performed more quickly an</w:t>
      </w:r>
      <w:r w:rsidR="00A450F5">
        <w:t>d that some might take longer.</w:t>
      </w:r>
      <w:r w:rsidR="00E84DB4">
        <w:t xml:space="preserve"> </w:t>
      </w:r>
      <w:r w:rsidR="00134F55">
        <w:t>If combiner replacement times are significantly quicker than Kordia estimated</w:t>
      </w:r>
      <w:r w:rsidR="00D00E29">
        <w:t>,</w:t>
      </w:r>
      <w:r w:rsidR="00134F55">
        <w:t xml:space="preserve"> as some comments and submissions tend to imply, then the Hybrid TRU method may result in a shorter implementation time than the TRU method</w:t>
      </w:r>
      <w:r w:rsidR="00DE5726">
        <w:t xml:space="preserve"> irrespective of the planning approach taken</w:t>
      </w:r>
      <w:r w:rsidR="00134F55">
        <w:t>.</w:t>
      </w:r>
      <w:r w:rsidR="00E84DB4">
        <w:t xml:space="preserve"> </w:t>
      </w:r>
      <w:r w:rsidR="009B396C">
        <w:t>It should also be noted that the implementation time is highly dependent on the number of skilled technicians</w:t>
      </w:r>
      <w:r w:rsidR="00D00E29">
        <w:t xml:space="preserve"> that are assumed to be available</w:t>
      </w:r>
      <w:r w:rsidR="009B396C">
        <w:t xml:space="preserve">. The times presented are based on </w:t>
      </w:r>
      <w:r w:rsidR="00AC62D7">
        <w:t xml:space="preserve">four </w:t>
      </w:r>
      <w:r w:rsidR="009B396C">
        <w:t xml:space="preserve">teams of </w:t>
      </w:r>
      <w:r w:rsidR="00AC62D7">
        <w:t xml:space="preserve">two to three </w:t>
      </w:r>
      <w:r w:rsidR="009B396C">
        <w:t xml:space="preserve">technicians </w:t>
      </w:r>
      <w:r w:rsidR="006A044B">
        <w:t xml:space="preserve">working in parallel to </w:t>
      </w:r>
      <w:r w:rsidR="009B396C">
        <w:t>undertak</w:t>
      </w:r>
      <w:r w:rsidR="006A044B">
        <w:t xml:space="preserve">e </w:t>
      </w:r>
      <w:r w:rsidR="009B396C">
        <w:t xml:space="preserve">the work </w:t>
      </w:r>
      <w:r w:rsidR="006A044B">
        <w:t xml:space="preserve">across </w:t>
      </w:r>
      <w:r w:rsidR="009B396C">
        <w:t>Queensland.</w:t>
      </w:r>
      <w:r w:rsidR="00E84DB4">
        <w:t xml:space="preserve"> </w:t>
      </w:r>
      <w:r w:rsidR="009B396C">
        <w:t>The addition (or reduction) of the number of technicians</w:t>
      </w:r>
      <w:r w:rsidR="003769BB">
        <w:t>,</w:t>
      </w:r>
      <w:r w:rsidR="009B396C">
        <w:t xml:space="preserve"> even by just one team</w:t>
      </w:r>
      <w:r w:rsidR="003769BB">
        <w:t>,</w:t>
      </w:r>
      <w:r w:rsidR="009B396C">
        <w:t xml:space="preserve"> would have a bigger impact on timing than the planning approach.</w:t>
      </w:r>
    </w:p>
    <w:p w:rsidR="00A91002" w:rsidRDefault="00901CAD" w:rsidP="00A91002">
      <w:pPr>
        <w:pStyle w:val="Heading2"/>
      </w:pPr>
      <w:bookmarkStart w:id="17" w:name="_Toc292291986"/>
      <w:r>
        <w:t>D</w:t>
      </w:r>
      <w:r w:rsidR="004E3D8A">
        <w:t xml:space="preserve">ecision </w:t>
      </w:r>
      <w:r w:rsidR="00A91002" w:rsidRPr="00A7267D">
        <w:t xml:space="preserve">on </w:t>
      </w:r>
      <w:r w:rsidR="00380926" w:rsidRPr="00A7267D">
        <w:t>planning a</w:t>
      </w:r>
      <w:r w:rsidR="00A91002" w:rsidRPr="00A7267D">
        <w:t>pproach</w:t>
      </w:r>
      <w:bookmarkEnd w:id="17"/>
    </w:p>
    <w:p w:rsidR="00F7436A" w:rsidRDefault="009C7F22" w:rsidP="004E3D8A">
      <w:r>
        <w:t>A</w:t>
      </w:r>
      <w:r w:rsidR="00F7436A">
        <w:t xml:space="preserve">fter considering the </w:t>
      </w:r>
      <w:r w:rsidR="00CD70F9">
        <w:t xml:space="preserve">original </w:t>
      </w:r>
      <w:r w:rsidR="00851F54">
        <w:t>analysis</w:t>
      </w:r>
      <w:r w:rsidR="00CD70F9">
        <w:t xml:space="preserve"> performed by the ACMA in</w:t>
      </w:r>
      <w:r w:rsidR="00851F54">
        <w:t xml:space="preserve"> </w:t>
      </w:r>
      <w:r w:rsidR="00CD70F9">
        <w:t xml:space="preserve">support of the discussion paper, </w:t>
      </w:r>
      <w:r w:rsidR="00F7436A">
        <w:t xml:space="preserve">submissions </w:t>
      </w:r>
      <w:r>
        <w:t xml:space="preserve">to the ACMA paper </w:t>
      </w:r>
      <w:r w:rsidR="00F7436A">
        <w:t xml:space="preserve">and the additional analysis of </w:t>
      </w:r>
      <w:r w:rsidR="007236F1">
        <w:t>Engineering Report TPS2011/04</w:t>
      </w:r>
      <w:r>
        <w:t>,</w:t>
      </w:r>
      <w:r w:rsidR="007236F1">
        <w:t xml:space="preserve"> </w:t>
      </w:r>
      <w:r>
        <w:t>the ACMA notes</w:t>
      </w:r>
      <w:r w:rsidR="00F7436A">
        <w:t xml:space="preserve"> that:</w:t>
      </w:r>
    </w:p>
    <w:p w:rsidR="007236F1" w:rsidRDefault="007236F1" w:rsidP="000A7EC3">
      <w:pPr>
        <w:pStyle w:val="ListBullet"/>
      </w:pPr>
      <w:r>
        <w:t>no submissions opposed the block planning approach</w:t>
      </w:r>
      <w:r w:rsidR="00851F54">
        <w:t xml:space="preserve"> or explicitly supported the minimum moves planning approach</w:t>
      </w:r>
    </w:p>
    <w:p w:rsidR="007236F1" w:rsidRDefault="007236F1" w:rsidP="000A7EC3">
      <w:pPr>
        <w:pStyle w:val="ListBullet"/>
      </w:pPr>
      <w:r>
        <w:t>the additional analysis</w:t>
      </w:r>
      <w:r w:rsidR="009B396C">
        <w:t>,</w:t>
      </w:r>
      <w:r>
        <w:t xml:space="preserve"> </w:t>
      </w:r>
      <w:r w:rsidR="009B396C">
        <w:t xml:space="preserve">based on the </w:t>
      </w:r>
      <w:r w:rsidR="006A044B">
        <w:t xml:space="preserve">same </w:t>
      </w:r>
      <w:r w:rsidR="009B396C">
        <w:t>Kordia modular input cost</w:t>
      </w:r>
      <w:r w:rsidR="006A044B">
        <w:t xml:space="preserve"> and timing assumption</w:t>
      </w:r>
      <w:r w:rsidR="009B396C">
        <w:t>s</w:t>
      </w:r>
      <w:r w:rsidR="006A044B">
        <w:t xml:space="preserve"> for each planning approach</w:t>
      </w:r>
      <w:r w:rsidR="00CD70F9">
        <w:t xml:space="preserve"> </w:t>
      </w:r>
      <w:r w:rsidR="00851F54">
        <w:t>using</w:t>
      </w:r>
      <w:r w:rsidR="00CD70F9">
        <w:t xml:space="preserve"> the assumed hybrid TRU implementation method</w:t>
      </w:r>
      <w:r w:rsidR="009B396C">
        <w:t xml:space="preserve">, </w:t>
      </w:r>
      <w:r>
        <w:t>indicates that the block planning approach may take slightly longer (1</w:t>
      </w:r>
      <w:r w:rsidR="00B93B9E">
        <w:t>5</w:t>
      </w:r>
      <w:r>
        <w:t>%) to impl</w:t>
      </w:r>
      <w:r w:rsidR="009B396C">
        <w:t xml:space="preserve">ement and </w:t>
      </w:r>
      <w:r w:rsidR="0085100B">
        <w:t xml:space="preserve">may </w:t>
      </w:r>
      <w:r w:rsidR="009B396C">
        <w:t>cost slightly more (9</w:t>
      </w:r>
      <w:r>
        <w:t>%) to implement than the minimum moves planning approach</w:t>
      </w:r>
      <w:r w:rsidR="0085100B">
        <w:t xml:space="preserve"> for the Queensland case study</w:t>
      </w:r>
    </w:p>
    <w:p w:rsidR="009B396C" w:rsidRDefault="003C680F" w:rsidP="000A7EC3">
      <w:pPr>
        <w:pStyle w:val="ListBullet"/>
      </w:pPr>
      <w:r>
        <w:t xml:space="preserve">industry feedback has implied that the </w:t>
      </w:r>
      <w:r w:rsidR="009B396C">
        <w:t>actual</w:t>
      </w:r>
      <w:r w:rsidR="00851F54">
        <w:t xml:space="preserve"> restack</w:t>
      </w:r>
      <w:r w:rsidR="009B396C">
        <w:t xml:space="preserve"> implementation </w:t>
      </w:r>
      <w:r w:rsidR="00C01DC9">
        <w:t xml:space="preserve">using an implementation method that appears to be broadly similar to the Hybrid TRU method </w:t>
      </w:r>
      <w:r w:rsidR="009B396C">
        <w:t xml:space="preserve">may </w:t>
      </w:r>
      <w:r>
        <w:t>achieve</w:t>
      </w:r>
      <w:r w:rsidR="009B396C">
        <w:t xml:space="preserve"> both time and cost </w:t>
      </w:r>
      <w:r>
        <w:t xml:space="preserve">savings </w:t>
      </w:r>
      <w:r w:rsidR="009B396C">
        <w:t>relative to the ACMA modelling results</w:t>
      </w:r>
      <w:r w:rsidR="00766379">
        <w:t xml:space="preserve"> </w:t>
      </w:r>
      <w:r w:rsidR="00C01DC9">
        <w:t xml:space="preserve">for the TRU method described in the </w:t>
      </w:r>
      <w:r w:rsidR="00AC62D7">
        <w:t>d</w:t>
      </w:r>
      <w:r w:rsidR="00C01DC9">
        <w:t xml:space="preserve">iscussion </w:t>
      </w:r>
      <w:r w:rsidR="00AC62D7">
        <w:t>p</w:t>
      </w:r>
      <w:r w:rsidR="00C01DC9">
        <w:t xml:space="preserve">aper </w:t>
      </w:r>
      <w:r w:rsidR="00766379">
        <w:t>if the block planning approach is adopted</w:t>
      </w:r>
    </w:p>
    <w:p w:rsidR="007236F1" w:rsidRDefault="007236F1" w:rsidP="000A7EC3">
      <w:pPr>
        <w:pStyle w:val="ListBullet"/>
      </w:pPr>
      <w:r>
        <w:t xml:space="preserve">the block planning and minimum moves planning approaches will result in similar levels of viewer </w:t>
      </w:r>
      <w:r w:rsidR="00851F54">
        <w:t xml:space="preserve">cost and </w:t>
      </w:r>
      <w:r w:rsidR="00AC62D7">
        <w:t>disruption</w:t>
      </w:r>
    </w:p>
    <w:p w:rsidR="007236F1" w:rsidRDefault="007236F1" w:rsidP="000A7EC3">
      <w:pPr>
        <w:pStyle w:val="ListBullet"/>
      </w:pPr>
      <w:r>
        <w:t xml:space="preserve">that the block planning approach has real but modest </w:t>
      </w:r>
      <w:r w:rsidR="000C4E02">
        <w:t>long-term</w:t>
      </w:r>
      <w:r>
        <w:t xml:space="preserve"> benefits</w:t>
      </w:r>
      <w:r w:rsidR="009C7F22" w:rsidRPr="009C7F22">
        <w:t xml:space="preserve"> </w:t>
      </w:r>
      <w:r w:rsidR="009C7F22">
        <w:t xml:space="preserve">(discussed </w:t>
      </w:r>
      <w:r w:rsidR="00851F54">
        <w:t xml:space="preserve">in </w:t>
      </w:r>
      <w:r w:rsidR="009C7F22">
        <w:t>section 4.1 of this decision paper) including:</w:t>
      </w:r>
    </w:p>
    <w:p w:rsidR="009C7F22" w:rsidRPr="006C7CD5" w:rsidRDefault="009C7F22" w:rsidP="000A7EC3">
      <w:pPr>
        <w:pStyle w:val="ListBullet"/>
        <w:numPr>
          <w:ilvl w:val="1"/>
          <w:numId w:val="37"/>
        </w:numPr>
      </w:pPr>
      <w:r w:rsidRPr="006C7CD5">
        <w:t>coverage of services will be the most equal possible with all services at a location operating in the same band and over a smaller range of channels.</w:t>
      </w:r>
      <w:r w:rsidR="00E84DB4">
        <w:t xml:space="preserve"> </w:t>
      </w:r>
      <w:r w:rsidRPr="006C7CD5">
        <w:t>(This means viewers who are able to receive one service should be able to receive all services in that area using a single receive antenna)</w:t>
      </w:r>
    </w:p>
    <w:p w:rsidR="009C7F22" w:rsidRPr="006C7CD5" w:rsidRDefault="009C7F22" w:rsidP="000A7EC3">
      <w:pPr>
        <w:pStyle w:val="ListBullet"/>
        <w:numPr>
          <w:ilvl w:val="1"/>
          <w:numId w:val="37"/>
        </w:numPr>
      </w:pPr>
      <w:r w:rsidRPr="006C7CD5">
        <w:t>new viewer antennas can be simpler and smaller</w:t>
      </w:r>
    </w:p>
    <w:p w:rsidR="009C7F22" w:rsidRPr="006C7CD5" w:rsidRDefault="009C7F22" w:rsidP="000A7EC3">
      <w:pPr>
        <w:pStyle w:val="ListBullet"/>
        <w:numPr>
          <w:ilvl w:val="1"/>
          <w:numId w:val="37"/>
        </w:numPr>
      </w:pPr>
      <w:r w:rsidRPr="006C7CD5">
        <w:t>master antenna TV systems can be simpler and cheaper</w:t>
      </w:r>
    </w:p>
    <w:p w:rsidR="0007527B" w:rsidRDefault="009C7F22" w:rsidP="000A7EC3">
      <w:pPr>
        <w:pStyle w:val="ListBullet"/>
        <w:numPr>
          <w:ilvl w:val="1"/>
          <w:numId w:val="37"/>
        </w:numPr>
      </w:pPr>
      <w:r w:rsidRPr="006C7CD5">
        <w:t>the addition of future gap filler sites will be more cost effective as off-air inputs should be more readily available</w:t>
      </w:r>
    </w:p>
    <w:p w:rsidR="0007527B" w:rsidRDefault="009C7F22" w:rsidP="000A7EC3">
      <w:pPr>
        <w:pStyle w:val="ListBullet"/>
        <w:numPr>
          <w:ilvl w:val="1"/>
          <w:numId w:val="37"/>
        </w:numPr>
      </w:pPr>
      <w:r w:rsidRPr="006C7CD5">
        <w:lastRenderedPageBreak/>
        <w:t xml:space="preserve">there are benefits for </w:t>
      </w:r>
      <w:r w:rsidR="00851F54">
        <w:t xml:space="preserve">some </w:t>
      </w:r>
      <w:r w:rsidRPr="006C7CD5">
        <w:t>non-broadcast use of the ‘white spa</w:t>
      </w:r>
      <w:r>
        <w:t>ce’ between television services</w:t>
      </w:r>
    </w:p>
    <w:p w:rsidR="0007527B" w:rsidRDefault="009C7F22" w:rsidP="000A7EC3">
      <w:pPr>
        <w:pStyle w:val="ListBullet"/>
        <w:numPr>
          <w:ilvl w:val="1"/>
          <w:numId w:val="37"/>
        </w:numPr>
      </w:pPr>
      <w:r>
        <w:t>possible benefits in addressing complications associated with LCNs following restack (discussed in section 4.2).</w:t>
      </w:r>
    </w:p>
    <w:p w:rsidR="00057E47" w:rsidRDefault="00683993">
      <w:pPr>
        <w:rPr>
          <w:rFonts w:cs="Arial"/>
        </w:rPr>
      </w:pPr>
      <w:r w:rsidRPr="00683993">
        <w:rPr>
          <w:rFonts w:cs="Arial"/>
        </w:rPr>
        <w:t xml:space="preserve">The ACMA </w:t>
      </w:r>
      <w:r w:rsidR="00B21DD2">
        <w:rPr>
          <w:rFonts w:cs="Arial"/>
        </w:rPr>
        <w:t xml:space="preserve">notes that its original </w:t>
      </w:r>
      <w:r w:rsidRPr="00683993">
        <w:rPr>
          <w:rFonts w:cs="Arial"/>
        </w:rPr>
        <w:t>cost estimate for the TRU implementation method articulated in the discussion paper indicated that block planning may cost 8% more than minimum moves planning.</w:t>
      </w:r>
      <w:r w:rsidR="00E84DB4">
        <w:rPr>
          <w:rFonts w:cs="Arial"/>
        </w:rPr>
        <w:t xml:space="preserve"> </w:t>
      </w:r>
      <w:r w:rsidRPr="00683993">
        <w:rPr>
          <w:rFonts w:cs="Arial"/>
        </w:rPr>
        <w:t xml:space="preserve">At the time the ACMA concluded that at most, there would only be minor differences in implementation costs under either planning approach. Consequently, the </w:t>
      </w:r>
      <w:r w:rsidR="005F1C97">
        <w:rPr>
          <w:rFonts w:cs="Arial"/>
        </w:rPr>
        <w:t xml:space="preserve">ACMA was of the view that the </w:t>
      </w:r>
      <w:r w:rsidRPr="00683993">
        <w:rPr>
          <w:rFonts w:cs="Arial"/>
        </w:rPr>
        <w:t>cost of the restack implementation would not be a major factor in determining which planning approach should be adopted.</w:t>
      </w:r>
      <w:r w:rsidR="00E84DB4">
        <w:rPr>
          <w:rFonts w:cs="Arial"/>
        </w:rPr>
        <w:t xml:space="preserve"> </w:t>
      </w:r>
    </w:p>
    <w:p w:rsidR="00057E47" w:rsidRDefault="00683993">
      <w:pPr>
        <w:rPr>
          <w:rFonts w:cs="Arial"/>
        </w:rPr>
      </w:pPr>
      <w:r w:rsidRPr="00683993">
        <w:rPr>
          <w:rFonts w:cs="Arial"/>
        </w:rPr>
        <w:t>Given the very similar cost differential modelled under the hybrid TRU m</w:t>
      </w:r>
      <w:r w:rsidR="00766379">
        <w:rPr>
          <w:rFonts w:cs="Arial"/>
        </w:rPr>
        <w:t>ethod here (8% versus 9%), the</w:t>
      </w:r>
      <w:r w:rsidRPr="00683993">
        <w:rPr>
          <w:rFonts w:cs="Arial"/>
        </w:rPr>
        <w:t xml:space="preserve"> ACMA remains of the opinion that cost of the restack implementation is not a major factor in determining which planning approach should be adopted</w:t>
      </w:r>
      <w:r w:rsidR="005F1C97">
        <w:rPr>
          <w:rFonts w:cs="Arial"/>
        </w:rPr>
        <w:t>.</w:t>
      </w:r>
    </w:p>
    <w:p w:rsidR="00816885" w:rsidRDefault="00B21DD2" w:rsidP="00CD70F9">
      <w:pPr>
        <w:rPr>
          <w:rFonts w:cs="Arial"/>
        </w:rPr>
      </w:pPr>
      <w:r>
        <w:rPr>
          <w:rFonts w:cs="Arial"/>
        </w:rPr>
        <w:t xml:space="preserve">The ACMA also notes that the indicative timing modelling for </w:t>
      </w:r>
      <w:r w:rsidR="00CD70F9">
        <w:rPr>
          <w:rFonts w:cs="Arial"/>
        </w:rPr>
        <w:t xml:space="preserve">Queensland </w:t>
      </w:r>
      <w:r>
        <w:rPr>
          <w:rFonts w:cs="Arial"/>
        </w:rPr>
        <w:t>indicates block planning may take</w:t>
      </w:r>
      <w:r w:rsidR="00CD70F9">
        <w:rPr>
          <w:rFonts w:cs="Arial"/>
        </w:rPr>
        <w:t xml:space="preserve"> marginally longer to implement</w:t>
      </w:r>
      <w:r>
        <w:rPr>
          <w:rFonts w:cs="Arial"/>
        </w:rPr>
        <w:t xml:space="preserve"> than minimum moves planning under a hybrid TRU implementation method</w:t>
      </w:r>
      <w:r>
        <w:rPr>
          <w:rStyle w:val="FootnoteReference"/>
          <w:rFonts w:cs="Arial"/>
        </w:rPr>
        <w:footnoteReference w:id="16"/>
      </w:r>
      <w:r>
        <w:rPr>
          <w:rFonts w:cs="Arial"/>
        </w:rPr>
        <w:t>. However, the material impact</w:t>
      </w:r>
      <w:r w:rsidR="00816885">
        <w:rPr>
          <w:rFonts w:cs="Arial"/>
        </w:rPr>
        <w:t xml:space="preserve"> (if any)</w:t>
      </w:r>
      <w:r>
        <w:rPr>
          <w:rFonts w:cs="Arial"/>
        </w:rPr>
        <w:t xml:space="preserve"> o</w:t>
      </w:r>
      <w:r w:rsidR="00816885">
        <w:rPr>
          <w:rFonts w:cs="Arial"/>
        </w:rPr>
        <w:t>f</w:t>
      </w:r>
      <w:r>
        <w:rPr>
          <w:rFonts w:cs="Arial"/>
        </w:rPr>
        <w:t xml:space="preserve"> this </w:t>
      </w:r>
      <w:r w:rsidR="00BE66CB">
        <w:rPr>
          <w:rFonts w:cs="Arial"/>
        </w:rPr>
        <w:t xml:space="preserve">marginal modelled timing differential </w:t>
      </w:r>
      <w:r>
        <w:rPr>
          <w:rFonts w:cs="Arial"/>
        </w:rPr>
        <w:t xml:space="preserve">on </w:t>
      </w:r>
      <w:r w:rsidR="005F1C97">
        <w:rPr>
          <w:rFonts w:cs="Arial"/>
        </w:rPr>
        <w:t>the</w:t>
      </w:r>
      <w:r>
        <w:rPr>
          <w:rFonts w:cs="Arial"/>
        </w:rPr>
        <w:t xml:space="preserve"> nationwide restack program is difficult to assess, particularly given its sensitivity to the resources applied to restack implementation</w:t>
      </w:r>
      <w:r w:rsidR="00CD70F9" w:rsidRPr="00A91A50">
        <w:rPr>
          <w:rFonts w:cs="Arial"/>
        </w:rPr>
        <w:t>.</w:t>
      </w:r>
      <w:r w:rsidR="007266B1">
        <w:rPr>
          <w:rFonts w:cs="Arial"/>
        </w:rPr>
        <w:t xml:space="preserve"> Restack will also be faster than modelled if broadcaster claims, that combiner replacement can be performed significantly more quickly than estimated by Kordia, are </w:t>
      </w:r>
      <w:r w:rsidR="00766379">
        <w:rPr>
          <w:rFonts w:cs="Arial"/>
        </w:rPr>
        <w:t>correct</w:t>
      </w:r>
      <w:r w:rsidR="007266B1">
        <w:rPr>
          <w:rFonts w:cs="Arial"/>
        </w:rPr>
        <w:t>.</w:t>
      </w:r>
      <w:r w:rsidR="00CD70F9">
        <w:rPr>
          <w:rFonts w:cs="Arial"/>
        </w:rPr>
        <w:t xml:space="preserve"> </w:t>
      </w:r>
      <w:r w:rsidR="00816885">
        <w:rPr>
          <w:rFonts w:cs="Arial"/>
        </w:rPr>
        <w:t xml:space="preserve">Importantly, </w:t>
      </w:r>
      <w:r w:rsidR="005F1C97">
        <w:rPr>
          <w:rFonts w:cs="Arial"/>
        </w:rPr>
        <w:t>the conclusion on the</w:t>
      </w:r>
      <w:r w:rsidR="00816885">
        <w:rPr>
          <w:rFonts w:cs="Arial"/>
        </w:rPr>
        <w:t xml:space="preserve"> key </w:t>
      </w:r>
      <w:r w:rsidR="005F1C97">
        <w:rPr>
          <w:rFonts w:cs="Arial"/>
        </w:rPr>
        <w:t xml:space="preserve">timing and sequencing analysis </w:t>
      </w:r>
      <w:r w:rsidR="00816885">
        <w:rPr>
          <w:rFonts w:cs="Arial"/>
        </w:rPr>
        <w:t xml:space="preserve">objective to identify </w:t>
      </w:r>
      <w:r w:rsidR="00851F54">
        <w:rPr>
          <w:rFonts w:cs="Arial"/>
        </w:rPr>
        <w:t xml:space="preserve">if </w:t>
      </w:r>
      <w:r w:rsidR="005F1C97">
        <w:rPr>
          <w:rFonts w:cs="Arial"/>
        </w:rPr>
        <w:t xml:space="preserve">there </w:t>
      </w:r>
      <w:r w:rsidR="007266B1">
        <w:rPr>
          <w:rFonts w:cs="Arial"/>
        </w:rPr>
        <w:t xml:space="preserve">are </w:t>
      </w:r>
      <w:r w:rsidR="00816885">
        <w:rPr>
          <w:rFonts w:cs="Arial"/>
        </w:rPr>
        <w:t>any</w:t>
      </w:r>
      <w:r w:rsidR="00851F54">
        <w:rPr>
          <w:rFonts w:cs="Arial"/>
        </w:rPr>
        <w:t xml:space="preserve"> practical </w:t>
      </w:r>
      <w:r w:rsidR="007266B1">
        <w:rPr>
          <w:rFonts w:cs="Arial"/>
        </w:rPr>
        <w:t xml:space="preserve">impediments </w:t>
      </w:r>
      <w:r w:rsidR="00851F54">
        <w:rPr>
          <w:rFonts w:cs="Arial"/>
        </w:rPr>
        <w:t>that would prevent a particular planning approach fr</w:t>
      </w:r>
      <w:r w:rsidR="005F1C97">
        <w:rPr>
          <w:rFonts w:cs="Arial"/>
        </w:rPr>
        <w:t>o</w:t>
      </w:r>
      <w:r w:rsidR="00851F54">
        <w:rPr>
          <w:rFonts w:cs="Arial"/>
        </w:rPr>
        <w:t>m being implemented remains the same – each planning approach can be implemented.</w:t>
      </w:r>
      <w:r w:rsidR="00E84DB4">
        <w:rPr>
          <w:rFonts w:cs="Arial"/>
        </w:rPr>
        <w:t xml:space="preserve"> </w:t>
      </w:r>
    </w:p>
    <w:p w:rsidR="00B21DD2" w:rsidRDefault="00BE66CB" w:rsidP="00CD70F9">
      <w:pPr>
        <w:rPr>
          <w:rFonts w:cs="Arial"/>
        </w:rPr>
      </w:pPr>
      <w:r>
        <w:rPr>
          <w:rFonts w:cs="Arial"/>
        </w:rPr>
        <w:t>Given the marginal nature of the modelled tim</w:t>
      </w:r>
      <w:r w:rsidR="00C01DC9">
        <w:rPr>
          <w:rFonts w:cs="Arial"/>
        </w:rPr>
        <w:t>ing</w:t>
      </w:r>
      <w:r>
        <w:rPr>
          <w:rFonts w:cs="Arial"/>
        </w:rPr>
        <w:t xml:space="preserve"> differential, the ACMA </w:t>
      </w:r>
      <w:r w:rsidR="00816885">
        <w:rPr>
          <w:rFonts w:cs="Arial"/>
        </w:rPr>
        <w:t>remains of opinion</w:t>
      </w:r>
      <w:r>
        <w:rPr>
          <w:rFonts w:cs="Arial"/>
        </w:rPr>
        <w:t xml:space="preserve"> that that </w:t>
      </w:r>
      <w:r>
        <w:t>timing and sequencing implications are not</w:t>
      </w:r>
      <w:r w:rsidR="00C01DC9">
        <w:t xml:space="preserve">, by themselves, </w:t>
      </w:r>
      <w:r w:rsidR="00AC62D7">
        <w:t>major</w:t>
      </w:r>
      <w:r>
        <w:t xml:space="preserve"> factors in determining which planning approach should be adopted.</w:t>
      </w:r>
    </w:p>
    <w:p w:rsidR="00BE66CB" w:rsidRDefault="00BE66CB" w:rsidP="00CD70F9">
      <w:pPr>
        <w:rPr>
          <w:rFonts w:cs="Arial"/>
        </w:rPr>
      </w:pPr>
      <w:r>
        <w:rPr>
          <w:rFonts w:cs="Arial"/>
        </w:rPr>
        <w:t xml:space="preserve">In summary the ACMA </w:t>
      </w:r>
      <w:r w:rsidR="009C7F22" w:rsidRPr="00A91A50">
        <w:rPr>
          <w:rFonts w:cs="Arial"/>
        </w:rPr>
        <w:t>has</w:t>
      </w:r>
      <w:r>
        <w:rPr>
          <w:rFonts w:cs="Arial"/>
        </w:rPr>
        <w:t>:</w:t>
      </w:r>
    </w:p>
    <w:p w:rsidR="00057E47" w:rsidRDefault="009C7F22" w:rsidP="000A7EC3">
      <w:pPr>
        <w:pStyle w:val="ListBullet"/>
      </w:pPr>
      <w:r w:rsidRPr="00A91A50">
        <w:t xml:space="preserve">found little difference between the two </w:t>
      </w:r>
      <w:r>
        <w:t xml:space="preserve">planning </w:t>
      </w:r>
      <w:r w:rsidRPr="00A91A50">
        <w:t xml:space="preserve">approaches in terms of </w:t>
      </w:r>
      <w:r w:rsidR="00B21DD2">
        <w:t xml:space="preserve">broadcaster costs and </w:t>
      </w:r>
      <w:r w:rsidR="00BE66CB">
        <w:t>time to implement</w:t>
      </w:r>
      <w:r w:rsidR="00B21DD2">
        <w:t xml:space="preserve"> implications</w:t>
      </w:r>
    </w:p>
    <w:p w:rsidR="00F30CD5" w:rsidRPr="00F30CD5" w:rsidRDefault="00BE66CB" w:rsidP="000A7EC3">
      <w:pPr>
        <w:pStyle w:val="ListBullet"/>
      </w:pPr>
      <w:r w:rsidRPr="00A91A50">
        <w:t xml:space="preserve">found little difference between the two </w:t>
      </w:r>
      <w:r>
        <w:t xml:space="preserve">planning </w:t>
      </w:r>
      <w:r w:rsidRPr="00A91A50">
        <w:t xml:space="preserve">approaches </w:t>
      </w:r>
      <w:r w:rsidR="005F1C97">
        <w:t xml:space="preserve">in terms of </w:t>
      </w:r>
      <w:r w:rsidR="009C7F22" w:rsidRPr="00A91A50">
        <w:t xml:space="preserve">viewer costs </w:t>
      </w:r>
      <w:r w:rsidR="005F1C97">
        <w:t>and</w:t>
      </w:r>
      <w:r>
        <w:t xml:space="preserve"> </w:t>
      </w:r>
      <w:r w:rsidR="009C7F22" w:rsidRPr="00A91A50">
        <w:t>disruption</w:t>
      </w:r>
    </w:p>
    <w:p w:rsidR="005E3F5B" w:rsidRDefault="00F30CD5" w:rsidP="000A7EC3">
      <w:pPr>
        <w:pStyle w:val="ListBullet"/>
      </w:pPr>
      <w:r>
        <w:t>found that the block planning approach has strong suppo</w:t>
      </w:r>
      <w:r w:rsidR="000A7EC3">
        <w:t>rt from commercial broadcasters</w:t>
      </w:r>
      <w:r>
        <w:t xml:space="preserve"> and</w:t>
      </w:r>
    </w:p>
    <w:p w:rsidR="00057E47" w:rsidRDefault="00BE66CB" w:rsidP="000A7EC3">
      <w:pPr>
        <w:pStyle w:val="ListBullet"/>
      </w:pPr>
      <w:r>
        <w:t xml:space="preserve">concluded </w:t>
      </w:r>
      <w:r w:rsidR="009C7F22" w:rsidRPr="00A91A50">
        <w:t xml:space="preserve">the block </w:t>
      </w:r>
      <w:r w:rsidR="00F30CD5">
        <w:t xml:space="preserve">planning </w:t>
      </w:r>
      <w:r w:rsidR="009C7F22" w:rsidRPr="00A91A50">
        <w:t xml:space="preserve">approach </w:t>
      </w:r>
      <w:r w:rsidR="009C7F22">
        <w:t>has</w:t>
      </w:r>
      <w:r w:rsidR="009C7F22" w:rsidRPr="00A91A50">
        <w:t xml:space="preserve"> </w:t>
      </w:r>
      <w:r w:rsidR="009C7F22">
        <w:t xml:space="preserve">modest but real </w:t>
      </w:r>
      <w:r w:rsidR="009C7F22" w:rsidRPr="00A91A50">
        <w:t xml:space="preserve">long-term benefits when compared to </w:t>
      </w:r>
      <w:r w:rsidR="009C7F22">
        <w:t xml:space="preserve">the </w:t>
      </w:r>
      <w:r w:rsidR="009C7F22" w:rsidRPr="00A91A50">
        <w:t>minim</w:t>
      </w:r>
      <w:r w:rsidR="009C7F22">
        <w:t>um</w:t>
      </w:r>
      <w:r w:rsidR="009C7F22" w:rsidRPr="00A91A50">
        <w:t xml:space="preserve"> </w:t>
      </w:r>
      <w:r w:rsidR="005F1C97">
        <w:t xml:space="preserve">moves </w:t>
      </w:r>
      <w:r w:rsidR="00F30CD5">
        <w:t xml:space="preserve">planning </w:t>
      </w:r>
      <w:r w:rsidR="005F1C97">
        <w:t>approach.</w:t>
      </w:r>
    </w:p>
    <w:p w:rsidR="007236F1" w:rsidRDefault="00BE66CB" w:rsidP="00BE66CB">
      <w:r>
        <w:rPr>
          <w:rFonts w:cs="Arial"/>
        </w:rPr>
        <w:t>A</w:t>
      </w:r>
      <w:r w:rsidRPr="00A91A50">
        <w:rPr>
          <w:rFonts w:cs="Arial"/>
        </w:rPr>
        <w:t xml:space="preserve">fter considering </w:t>
      </w:r>
      <w:r>
        <w:rPr>
          <w:rFonts w:cs="Arial"/>
        </w:rPr>
        <w:t xml:space="preserve">these conclusions against the </w:t>
      </w:r>
      <w:r w:rsidRPr="00A91A50">
        <w:rPr>
          <w:rFonts w:cs="Arial"/>
        </w:rPr>
        <w:t>obj</w:t>
      </w:r>
      <w:r>
        <w:rPr>
          <w:rFonts w:cs="Arial"/>
        </w:rPr>
        <w:t>ectives of the re</w:t>
      </w:r>
      <w:r w:rsidRPr="00A91A50">
        <w:rPr>
          <w:rFonts w:cs="Arial"/>
        </w:rPr>
        <w:t>stack planning process</w:t>
      </w:r>
      <w:r>
        <w:rPr>
          <w:rFonts w:cs="Arial"/>
        </w:rPr>
        <w:t xml:space="preserve"> decided in </w:t>
      </w:r>
      <w:r w:rsidR="00B42F81">
        <w:rPr>
          <w:rFonts w:cs="Arial"/>
        </w:rPr>
        <w:t>section</w:t>
      </w:r>
      <w:r>
        <w:rPr>
          <w:rFonts w:cs="Arial"/>
        </w:rPr>
        <w:t xml:space="preserve"> 3, the </w:t>
      </w:r>
      <w:r w:rsidR="009C7F22" w:rsidRPr="00A91A50">
        <w:rPr>
          <w:rFonts w:cs="Arial"/>
        </w:rPr>
        <w:t xml:space="preserve">ACMA has </w:t>
      </w:r>
      <w:r w:rsidR="007236F1">
        <w:t>d</w:t>
      </w:r>
      <w:r w:rsidR="009B396C">
        <w:t>ecided</w:t>
      </w:r>
      <w:r w:rsidR="007236F1">
        <w:t xml:space="preserve"> to adopt the block planning approach for </w:t>
      </w:r>
      <w:r w:rsidR="00851F54">
        <w:t xml:space="preserve">the restack channel </w:t>
      </w:r>
      <w:r w:rsidR="007236F1">
        <w:t>planning of digital television services.</w:t>
      </w:r>
    </w:p>
    <w:p w:rsidR="00F7436A" w:rsidRPr="004E3D8A" w:rsidRDefault="00F7436A" w:rsidP="004E3D8A"/>
    <w:p w:rsidR="00A91002" w:rsidRDefault="008F21AA" w:rsidP="00A91002">
      <w:pPr>
        <w:pStyle w:val="Heading1"/>
      </w:pPr>
      <w:bookmarkStart w:id="18" w:name="_Ref285020239"/>
      <w:bookmarkStart w:id="19" w:name="_Toc292291987"/>
      <w:r>
        <w:lastRenderedPageBreak/>
        <w:t>P</w:t>
      </w:r>
      <w:r w:rsidR="00A91002" w:rsidRPr="00A7267D">
        <w:t xml:space="preserve">lanning </w:t>
      </w:r>
      <w:r w:rsidR="003135CB">
        <w:t>p</w:t>
      </w:r>
      <w:r w:rsidR="00A91002" w:rsidRPr="00A7267D">
        <w:t>rinciples</w:t>
      </w:r>
      <w:bookmarkEnd w:id="18"/>
      <w:bookmarkEnd w:id="19"/>
    </w:p>
    <w:p w:rsidR="00374C1E" w:rsidRDefault="00374C1E" w:rsidP="00374C1E">
      <w:r w:rsidRPr="00A7267D">
        <w:t xml:space="preserve">Planning principles are guidelines that </w:t>
      </w:r>
      <w:r w:rsidR="006A044B">
        <w:t>will</w:t>
      </w:r>
      <w:r>
        <w:t xml:space="preserve"> </w:t>
      </w:r>
      <w:r w:rsidRPr="00A7267D">
        <w:t xml:space="preserve">be used by </w:t>
      </w:r>
      <w:r>
        <w:t xml:space="preserve">the </w:t>
      </w:r>
      <w:r w:rsidRPr="00A7267D">
        <w:t>ACMA</w:t>
      </w:r>
      <w:r>
        <w:t>’s</w:t>
      </w:r>
      <w:r w:rsidRPr="00A7267D">
        <w:t xml:space="preserve"> </w:t>
      </w:r>
      <w:r>
        <w:t>planners</w:t>
      </w:r>
      <w:r w:rsidRPr="00A7267D">
        <w:t xml:space="preserve"> in preparing </w:t>
      </w:r>
      <w:r w:rsidRPr="00AE2297">
        <w:t>channel plans</w:t>
      </w:r>
      <w:r>
        <w:t>.</w:t>
      </w:r>
      <w:r w:rsidR="00E84DB4">
        <w:t xml:space="preserve"> </w:t>
      </w:r>
      <w:r w:rsidRPr="00A7267D">
        <w:t xml:space="preserve">ACMA </w:t>
      </w:r>
      <w:r>
        <w:t>planner</w:t>
      </w:r>
      <w:r w:rsidR="006A044B">
        <w:t>s</w:t>
      </w:r>
      <w:r w:rsidRPr="00A7267D">
        <w:t xml:space="preserve"> </w:t>
      </w:r>
      <w:r>
        <w:t xml:space="preserve">will </w:t>
      </w:r>
      <w:r w:rsidRPr="00A7267D">
        <w:t>follow the principles as closely as possible</w:t>
      </w:r>
      <w:r>
        <w:t>.</w:t>
      </w:r>
      <w:r w:rsidR="00E84DB4">
        <w:t xml:space="preserve"> </w:t>
      </w:r>
      <w:r>
        <w:t xml:space="preserve">If </w:t>
      </w:r>
      <w:r w:rsidRPr="00A7267D">
        <w:t>principles conflict</w:t>
      </w:r>
      <w:r>
        <w:t xml:space="preserve">, a </w:t>
      </w:r>
      <w:r w:rsidRPr="00A7267D">
        <w:t>case</w:t>
      </w:r>
      <w:r>
        <w:t>-</w:t>
      </w:r>
      <w:r w:rsidRPr="00A7267D">
        <w:t>by</w:t>
      </w:r>
      <w:r>
        <w:t>-</w:t>
      </w:r>
      <w:r w:rsidRPr="00A7267D">
        <w:t xml:space="preserve">case </w:t>
      </w:r>
      <w:r>
        <w:t>judgement would</w:t>
      </w:r>
      <w:r w:rsidRPr="00A7267D">
        <w:t xml:space="preserve"> need to be made</w:t>
      </w:r>
      <w:r>
        <w:t>.</w:t>
      </w:r>
      <w:r w:rsidR="00E84DB4">
        <w:t xml:space="preserve"> </w:t>
      </w:r>
      <w:r>
        <w:t xml:space="preserve">As policies rather than legislative instruments, the principles are not binding on the ACMA (although the </w:t>
      </w:r>
      <w:r w:rsidR="005826D0">
        <w:t xml:space="preserve">ACMA must consider the matters in the </w:t>
      </w:r>
      <w:r>
        <w:t>minister’s direction).</w:t>
      </w:r>
      <w:r w:rsidR="00E84DB4">
        <w:t xml:space="preserve"> </w:t>
      </w:r>
      <w:r w:rsidR="00D46279">
        <w:t>However, w</w:t>
      </w:r>
      <w:r w:rsidRPr="00A7267D">
        <w:t xml:space="preserve">here </w:t>
      </w:r>
      <w:r>
        <w:t xml:space="preserve">individual channel planning </w:t>
      </w:r>
      <w:r w:rsidRPr="00A7267D">
        <w:t>propos</w:t>
      </w:r>
      <w:r>
        <w:t>als</w:t>
      </w:r>
      <w:r w:rsidRPr="00A7267D">
        <w:t xml:space="preserve"> depart from the principles</w:t>
      </w:r>
      <w:r>
        <w:t>, it is expected that a detailed explanation would be</w:t>
      </w:r>
      <w:r w:rsidRPr="00A7267D">
        <w:t xml:space="preserve"> provided in the documentation accompanying the draft channel plan.</w:t>
      </w:r>
    </w:p>
    <w:p w:rsidR="00D933FD" w:rsidRDefault="00374C1E">
      <w:pPr>
        <w:spacing w:after="0"/>
      </w:pPr>
      <w:r w:rsidRPr="00A7267D">
        <w:t>The planning principles also set the technical basis for planning</w:t>
      </w:r>
      <w:r>
        <w:t>,</w:t>
      </w:r>
      <w:r w:rsidRPr="00A7267D">
        <w:t xml:space="preserve"> including the assumed transmission parameters used by the broadcasters</w:t>
      </w:r>
      <w:r>
        <w:t>,</w:t>
      </w:r>
      <w:r w:rsidRPr="00A7267D">
        <w:t xml:space="preserve"> the minimum signal levels needed to provide adequate coverage and the relevant interference protection ratios that allow the potential for interference between services to be predicted using computer model</w:t>
      </w:r>
      <w:r>
        <w:t>l</w:t>
      </w:r>
      <w:r w:rsidRPr="00A7267D">
        <w:t>ing.</w:t>
      </w:r>
    </w:p>
    <w:p w:rsidR="00D933FD" w:rsidRDefault="00D933FD">
      <w:pPr>
        <w:spacing w:after="0"/>
      </w:pPr>
    </w:p>
    <w:p w:rsidR="00374C1E" w:rsidRPr="004E3D8A" w:rsidRDefault="00374C1E" w:rsidP="00374C1E">
      <w:pPr>
        <w:pStyle w:val="Heading2"/>
      </w:pPr>
      <w:bookmarkStart w:id="20" w:name="_Toc292291988"/>
      <w:r>
        <w:t>Stakeholder feedback</w:t>
      </w:r>
      <w:r w:rsidR="003D6CB9">
        <w:t xml:space="preserve"> and ACMA comments</w:t>
      </w:r>
      <w:bookmarkEnd w:id="20"/>
    </w:p>
    <w:p w:rsidR="0080448E" w:rsidRDefault="00584911" w:rsidP="0080448E">
      <w:r>
        <w:t xml:space="preserve">The discussion paper proposed 13 </w:t>
      </w:r>
      <w:proofErr w:type="gramStart"/>
      <w:r>
        <w:t>draft</w:t>
      </w:r>
      <w:proofErr w:type="gramEnd"/>
      <w:r>
        <w:t xml:space="preserve"> planning principles and invited comments on those principles.</w:t>
      </w:r>
      <w:r w:rsidR="00E84DB4">
        <w:t xml:space="preserve"> </w:t>
      </w:r>
      <w:r w:rsidR="006A044B">
        <w:t xml:space="preserve">The </w:t>
      </w:r>
      <w:r w:rsidR="00641EBA">
        <w:t xml:space="preserve">non-confidential </w:t>
      </w:r>
      <w:r w:rsidR="006A044B">
        <w:t xml:space="preserve">submissions received are available in full </w:t>
      </w:r>
      <w:r w:rsidR="007F647A">
        <w:t xml:space="preserve">on the </w:t>
      </w:r>
      <w:hyperlink r:id="rId30" w:anchor="submissions" w:history="1">
        <w:r w:rsidR="007F647A" w:rsidRPr="007F647A">
          <w:rPr>
            <w:rStyle w:val="Hyperlink"/>
          </w:rPr>
          <w:t>ACMA website</w:t>
        </w:r>
      </w:hyperlink>
      <w:r w:rsidR="006A044B">
        <w:t xml:space="preserve"> however </w:t>
      </w:r>
      <w:r w:rsidR="00BA70F0">
        <w:t xml:space="preserve">relevant comments received in </w:t>
      </w:r>
      <w:r w:rsidR="00641EBA">
        <w:t xml:space="preserve">these </w:t>
      </w:r>
      <w:r w:rsidR="00BA70F0">
        <w:t xml:space="preserve">submissions are paraphrased </w:t>
      </w:r>
      <w:r w:rsidR="006A044B">
        <w:t xml:space="preserve">below </w:t>
      </w:r>
      <w:r w:rsidR="00BA70F0">
        <w:t xml:space="preserve">after each </w:t>
      </w:r>
      <w:r w:rsidR="006A044B">
        <w:t>planning principle heading</w:t>
      </w:r>
      <w:r w:rsidR="00BA70F0">
        <w:t>.</w:t>
      </w:r>
    </w:p>
    <w:p w:rsidR="00B37E2A" w:rsidRPr="00D70395" w:rsidRDefault="00D7385A" w:rsidP="001D0B5E">
      <w:pPr>
        <w:pStyle w:val="Principle"/>
        <w:rPr>
          <w:b w:val="0"/>
        </w:rPr>
      </w:pPr>
      <w:r>
        <w:t>Draft Principle 1</w:t>
      </w:r>
      <w:r w:rsidRPr="00D7385A">
        <w:t xml:space="preserve">: </w:t>
      </w:r>
      <w:r w:rsidRPr="00D70395">
        <w:rPr>
          <w:b w:val="0"/>
        </w:rPr>
        <w:t>Replan digital television services to use VHF channels 6</w:t>
      </w:r>
      <w:r w:rsidRPr="00D70395">
        <w:rPr>
          <w:rFonts w:cs="Arial"/>
          <w:b w:val="0"/>
        </w:rPr>
        <w:t>–</w:t>
      </w:r>
      <w:r w:rsidRPr="00D70395">
        <w:rPr>
          <w:b w:val="0"/>
        </w:rPr>
        <w:t>12 and UHF channels 28</w:t>
      </w:r>
      <w:r w:rsidRPr="00D70395">
        <w:rPr>
          <w:rFonts w:cs="Arial"/>
          <w:b w:val="0"/>
        </w:rPr>
        <w:t>–</w:t>
      </w:r>
      <w:r w:rsidRPr="00D70395">
        <w:rPr>
          <w:b w:val="0"/>
        </w:rPr>
        <w:t>51.</w:t>
      </w:r>
    </w:p>
    <w:p w:rsidR="00BA70F0" w:rsidRDefault="00677788" w:rsidP="003D6CB9">
      <w:r>
        <w:t>SBS indicated</w:t>
      </w:r>
      <w:r w:rsidR="00BA70F0">
        <w:t xml:space="preserve"> </w:t>
      </w:r>
      <w:r>
        <w:t xml:space="preserve">general </w:t>
      </w:r>
      <w:r w:rsidR="00BA70F0">
        <w:t>agree</w:t>
      </w:r>
      <w:r>
        <w:t>ment with this principle</w:t>
      </w:r>
      <w:r w:rsidR="000A2972">
        <w:t xml:space="preserve"> while suggesting that channel 27 </w:t>
      </w:r>
      <w:proofErr w:type="gramStart"/>
      <w:r w:rsidR="000A2972">
        <w:t>be</w:t>
      </w:r>
      <w:proofErr w:type="gramEnd"/>
      <w:r w:rsidR="000A2972">
        <w:t xml:space="preserve"> </w:t>
      </w:r>
      <w:r w:rsidR="009A2717">
        <w:t>made available for television planning purposes by making it a full 7 MHz channel</w:t>
      </w:r>
      <w:r w:rsidR="000A2972">
        <w:t>.</w:t>
      </w:r>
    </w:p>
    <w:p w:rsidR="00BA70F0" w:rsidRDefault="00677788" w:rsidP="003D6CB9">
      <w:r>
        <w:t xml:space="preserve">Mr </w:t>
      </w:r>
      <w:r w:rsidR="00BA70F0">
        <w:t xml:space="preserve">Hughes </w:t>
      </w:r>
      <w:r w:rsidR="000A2972">
        <w:t>proposed</w:t>
      </w:r>
      <w:r w:rsidR="00BA70F0">
        <w:t xml:space="preserve"> that VHF </w:t>
      </w:r>
      <w:r w:rsidR="000A2972">
        <w:t>digital television</w:t>
      </w:r>
      <w:r w:rsidR="00BA70F0">
        <w:t xml:space="preserve"> range should be 174-214 MHz (ch</w:t>
      </w:r>
      <w:r w:rsidR="000A2972">
        <w:t xml:space="preserve">annels </w:t>
      </w:r>
      <w:r w:rsidR="00BA70F0">
        <w:t xml:space="preserve">6-10) and </w:t>
      </w:r>
      <w:r w:rsidR="000A2972">
        <w:t xml:space="preserve">the </w:t>
      </w:r>
      <w:r w:rsidR="00BA70F0">
        <w:t xml:space="preserve">UHF </w:t>
      </w:r>
      <w:r w:rsidR="000A2972">
        <w:t xml:space="preserve">range </w:t>
      </w:r>
      <w:r w:rsidR="00BA70F0">
        <w:t>should be ch</w:t>
      </w:r>
      <w:r w:rsidR="003D6CB9">
        <w:t xml:space="preserve">annel </w:t>
      </w:r>
      <w:r w:rsidR="00BA70F0">
        <w:t>27-51 (519-694 MHz)</w:t>
      </w:r>
      <w:r w:rsidR="00A647C3">
        <w:t>,</w:t>
      </w:r>
      <w:r w:rsidR="000A2972">
        <w:t xml:space="preserve"> </w:t>
      </w:r>
      <w:r w:rsidR="00A647C3">
        <w:t>s</w:t>
      </w:r>
      <w:r w:rsidR="000A2972">
        <w:t>o that channel 39 could be made available for other (unspecified) broadcasting uses.</w:t>
      </w:r>
    </w:p>
    <w:p w:rsidR="00BA70F0" w:rsidRPr="00233870" w:rsidRDefault="0080448E" w:rsidP="003D6CB9">
      <w:r w:rsidRPr="0080448E">
        <w:t xml:space="preserve">FreeTV noted this principle is consistent with the </w:t>
      </w:r>
      <w:r w:rsidR="00A647C3">
        <w:t>m</w:t>
      </w:r>
      <w:r w:rsidR="005826D0">
        <w:t>inisterial</w:t>
      </w:r>
      <w:r w:rsidR="00162986">
        <w:t xml:space="preserve"> d</w:t>
      </w:r>
      <w:r w:rsidRPr="0080448E">
        <w:t>irection and offered no further comment.</w:t>
      </w:r>
    </w:p>
    <w:p w:rsidR="003D6CB9" w:rsidRPr="00233870" w:rsidRDefault="0080448E" w:rsidP="003D6CB9">
      <w:r w:rsidRPr="0080448E">
        <w:rPr>
          <w:rFonts w:cs="Arial"/>
          <w:b/>
          <w:szCs w:val="20"/>
        </w:rPr>
        <w:t>ACMA comment</w:t>
      </w:r>
      <w:r w:rsidRPr="0080448E">
        <w:rPr>
          <w:rFonts w:cs="Arial"/>
          <w:szCs w:val="20"/>
        </w:rPr>
        <w:t>:</w:t>
      </w:r>
      <w:r w:rsidR="00E84DB4">
        <w:rPr>
          <w:rFonts w:ascii="Helvetica" w:hAnsi="Helvetica" w:cs="Helvetica"/>
          <w:sz w:val="21"/>
          <w:szCs w:val="21"/>
        </w:rPr>
        <w:t xml:space="preserve"> </w:t>
      </w:r>
      <w:r w:rsidRPr="0080448E">
        <w:t>Channel 27 is not available as a full 7 MHz television channel without the minister changing the designation of the Broadcasting Services Bands under section 31 of the Radiocommunications Act 1992.</w:t>
      </w:r>
      <w:r w:rsidR="00E84DB4">
        <w:t xml:space="preserve"> </w:t>
      </w:r>
      <w:r w:rsidRPr="0080448E">
        <w:t>Doing so would impact on existing radiocommunications services in adjacent spectrum.</w:t>
      </w:r>
      <w:r w:rsidR="00E84DB4">
        <w:t xml:space="preserve"> </w:t>
      </w:r>
      <w:r w:rsidRPr="0080448E">
        <w:t>Given that the currently available channels are sufficient for five full sets of six channels there is no current need for channel 27 to be made available.</w:t>
      </w:r>
      <w:r w:rsidR="00E84DB4">
        <w:t xml:space="preserve"> </w:t>
      </w:r>
      <w:r w:rsidRPr="0080448E">
        <w:t xml:space="preserve">Additionally, despite </w:t>
      </w:r>
      <w:r w:rsidR="00CE2B15">
        <w:t>channel 27</w:t>
      </w:r>
      <w:r w:rsidR="00CE2B15" w:rsidRPr="0080448E">
        <w:t xml:space="preserve"> </w:t>
      </w:r>
      <w:r w:rsidRPr="0080448E">
        <w:t xml:space="preserve">being </w:t>
      </w:r>
      <w:r w:rsidR="00CE2B15">
        <w:t>listed in the table of channels</w:t>
      </w:r>
      <w:r w:rsidR="0061159A">
        <w:t xml:space="preserve"> in</w:t>
      </w:r>
      <w:r w:rsidRPr="0080448E">
        <w:t xml:space="preserve"> the digital television receiver standard (AS</w:t>
      </w:r>
      <w:r w:rsidR="00184784">
        <w:t>4933.1</w:t>
      </w:r>
      <w:r w:rsidRPr="0080448E">
        <w:t>) there is some question as to whether all digital television receivers can tune in channel 27.</w:t>
      </w:r>
    </w:p>
    <w:p w:rsidR="00B37E2A" w:rsidRPr="00D70395" w:rsidRDefault="00BA70F0" w:rsidP="001D0B5E">
      <w:pPr>
        <w:pStyle w:val="Principle"/>
        <w:rPr>
          <w:b w:val="0"/>
        </w:rPr>
      </w:pPr>
      <w:r>
        <w:t xml:space="preserve">Draft </w:t>
      </w:r>
      <w:r w:rsidRPr="00260070">
        <w:t xml:space="preserve">Principle </w:t>
      </w:r>
      <w:r>
        <w:t>2</w:t>
      </w:r>
      <w:r w:rsidRPr="00260070">
        <w:t>:</w:t>
      </w:r>
      <w:r>
        <w:t xml:space="preserve"> </w:t>
      </w:r>
      <w:r w:rsidR="00D7385A" w:rsidRPr="00D70395">
        <w:rPr>
          <w:b w:val="0"/>
        </w:rPr>
        <w:t xml:space="preserve">Create a digital radio sub-band, comprising of VHF television channels 9 and 9A, that </w:t>
      </w:r>
      <w:proofErr w:type="gramStart"/>
      <w:r w:rsidR="00D7385A" w:rsidRPr="00D70395">
        <w:rPr>
          <w:b w:val="0"/>
        </w:rPr>
        <w:t>is</w:t>
      </w:r>
      <w:proofErr w:type="gramEnd"/>
      <w:r w:rsidR="00D7385A" w:rsidRPr="00D70395">
        <w:rPr>
          <w:b w:val="0"/>
        </w:rPr>
        <w:t xml:space="preserve"> clear of digital television in metropolitan and regional licence areas. Where practicable also avoid planning new services on these channels in remote licence areas.</w:t>
      </w:r>
    </w:p>
    <w:p w:rsidR="00BA70F0" w:rsidRDefault="00B44556" w:rsidP="00BA70F0">
      <w:r>
        <w:t>The Department of Defence indicated s</w:t>
      </w:r>
      <w:r w:rsidR="00BA70F0">
        <w:t>up</w:t>
      </w:r>
      <w:r>
        <w:t>port</w:t>
      </w:r>
      <w:r w:rsidR="00BA70F0">
        <w:t xml:space="preserve"> </w:t>
      </w:r>
      <w:r>
        <w:t xml:space="preserve">for the digital radio sub-band to be located in </w:t>
      </w:r>
      <w:r w:rsidR="00BA70F0">
        <w:t>channels 9 and 9A as th</w:t>
      </w:r>
      <w:r>
        <w:t xml:space="preserve">is would provide the best protection for radiocommunications services in </w:t>
      </w:r>
      <w:r w:rsidR="00BA70F0">
        <w:t>adjacent band</w:t>
      </w:r>
      <w:r>
        <w:t>s</w:t>
      </w:r>
      <w:r w:rsidR="00BA70F0">
        <w:t>.</w:t>
      </w:r>
    </w:p>
    <w:p w:rsidR="00BA70F0" w:rsidRPr="00233870" w:rsidRDefault="00A779B5" w:rsidP="00BA70F0">
      <w:r>
        <w:t>FreeTV</w:t>
      </w:r>
      <w:r w:rsidR="0080448E" w:rsidRPr="0080448E">
        <w:t xml:space="preserve"> noted that this principle is consistent with the </w:t>
      </w:r>
      <w:r w:rsidR="00A647C3">
        <w:t>m</w:t>
      </w:r>
      <w:r w:rsidR="0080448E" w:rsidRPr="0080448E">
        <w:t xml:space="preserve">inisterial </w:t>
      </w:r>
      <w:r w:rsidR="00A647C3">
        <w:t>d</w:t>
      </w:r>
      <w:r w:rsidR="0080448E" w:rsidRPr="0080448E">
        <w:t>irection and that it would create the least disruption. FreeTV also listed some of the existing commercial digital television services that would need to change channels to create the sub-band.</w:t>
      </w:r>
    </w:p>
    <w:p w:rsidR="009040E6" w:rsidRDefault="009040E6" w:rsidP="00BA70F0">
      <w:r>
        <w:lastRenderedPageBreak/>
        <w:t>Mr Hughes proposed the digital radio sub-band be channels 11 and 12</w:t>
      </w:r>
      <w:r w:rsidR="00802E80">
        <w:t xml:space="preserve"> due to the improved antenna gain that could result from the smaller VHF channel range for television services</w:t>
      </w:r>
      <w:r>
        <w:t>.</w:t>
      </w:r>
      <w:r w:rsidR="00E84DB4">
        <w:t xml:space="preserve"> </w:t>
      </w:r>
      <w:r>
        <w:t>However, his submission does not address the greater level of disruption that would result</w:t>
      </w:r>
      <w:r w:rsidR="003C680F">
        <w:t>,</w:t>
      </w:r>
      <w:r>
        <w:t xml:space="preserve"> </w:t>
      </w:r>
      <w:proofErr w:type="gramStart"/>
      <w:r>
        <w:t>nor</w:t>
      </w:r>
      <w:proofErr w:type="gramEnd"/>
      <w:r>
        <w:t xml:space="preserve"> the issue of potential interference to the adjacent band – issues that were identified in the discussion paper.</w:t>
      </w:r>
    </w:p>
    <w:p w:rsidR="00016584" w:rsidRPr="009040E6" w:rsidRDefault="0080448E" w:rsidP="00BA70F0">
      <w:r w:rsidRPr="0080448E">
        <w:rPr>
          <w:rFonts w:cs="Arial"/>
          <w:b/>
          <w:szCs w:val="20"/>
        </w:rPr>
        <w:t>ACMA comment</w:t>
      </w:r>
      <w:r w:rsidRPr="0080448E">
        <w:rPr>
          <w:rFonts w:cs="Arial"/>
          <w:szCs w:val="20"/>
        </w:rPr>
        <w:t>:</w:t>
      </w:r>
      <w:r w:rsidR="00E84DB4">
        <w:rPr>
          <w:rFonts w:ascii="Helvetica" w:hAnsi="Helvetica" w:cs="Helvetica"/>
          <w:sz w:val="21"/>
          <w:szCs w:val="21"/>
        </w:rPr>
        <w:t xml:space="preserve"> </w:t>
      </w:r>
      <w:r w:rsidRPr="0080448E">
        <w:t>It is acknowledged that Mr Hughes’ proposal would have a slight advantage for the design of VHF television antennas</w:t>
      </w:r>
      <w:r w:rsidR="00A647C3">
        <w:t>;</w:t>
      </w:r>
      <w:r w:rsidRPr="0080448E">
        <w:t xml:space="preserve"> however, the ACMA considers that the reduced disruption and lower interference potential to other bands carry greater weight.</w:t>
      </w:r>
    </w:p>
    <w:p w:rsidR="00B37E2A" w:rsidRPr="00D70395" w:rsidRDefault="00BA70F0" w:rsidP="001D0B5E">
      <w:pPr>
        <w:pStyle w:val="Principle"/>
        <w:rPr>
          <w:b w:val="0"/>
        </w:rPr>
      </w:pPr>
      <w:r>
        <w:t>Draft Principle 3</w:t>
      </w:r>
      <w:r w:rsidRPr="00260070">
        <w:t>:</w:t>
      </w:r>
      <w:r>
        <w:t xml:space="preserve"> </w:t>
      </w:r>
      <w:r w:rsidR="00D7385A" w:rsidRPr="00D70395">
        <w:rPr>
          <w:b w:val="0"/>
        </w:rPr>
        <w:t>Plan for six digital channels at each transmission site, except for</w:t>
      </w:r>
      <w:r w:rsidR="00D7385A" w:rsidRPr="00D70395">
        <w:rPr>
          <w:b w:val="0"/>
        </w:rPr>
        <w:br/>
      </w:r>
      <w:proofErr w:type="spellStart"/>
      <w:r w:rsidR="00D7385A" w:rsidRPr="00D70395">
        <w:rPr>
          <w:b w:val="0"/>
        </w:rPr>
        <w:t>i</w:t>
      </w:r>
      <w:proofErr w:type="spellEnd"/>
      <w:r w:rsidR="00D7385A" w:rsidRPr="00D70395">
        <w:rPr>
          <w:b w:val="0"/>
        </w:rPr>
        <w:t>)   licence area overlaps where two sets of three commercial services will require channels (a total of nine channels)</w:t>
      </w:r>
      <w:r w:rsidR="00D7385A" w:rsidRPr="00D70395">
        <w:rPr>
          <w:b w:val="0"/>
        </w:rPr>
        <w:br/>
        <w:t>ii)   where broadcasters operate from different sites but cover the same area.</w:t>
      </w:r>
    </w:p>
    <w:p w:rsidR="00C708A8" w:rsidRDefault="00C708A8" w:rsidP="00C708A8">
      <w:r>
        <w:t>SBS commented against sub point (</w:t>
      </w:r>
      <w:proofErr w:type="spellStart"/>
      <w:r>
        <w:t>i</w:t>
      </w:r>
      <w:proofErr w:type="spellEnd"/>
      <w:r>
        <w:t>) that where different antenna patterns exist, national services should be planned to cover the sum of patterns</w:t>
      </w:r>
      <w:r w:rsidR="00A647C3">
        <w:t>,</w:t>
      </w:r>
      <w:r>
        <w:t xml:space="preserve"> </w:t>
      </w:r>
      <w:r w:rsidR="00A647C3">
        <w:t>a</w:t>
      </w:r>
      <w:r>
        <w:t>dding that in some cases this may require additional channels.</w:t>
      </w:r>
      <w:r w:rsidR="00E84DB4">
        <w:t xml:space="preserve"> </w:t>
      </w:r>
      <w:r>
        <w:t>In relation to sub point (ii) SBS agreed that six channels should be planned for each area.</w:t>
      </w:r>
    </w:p>
    <w:p w:rsidR="005A539A" w:rsidRDefault="00C708A8">
      <w:r>
        <w:t xml:space="preserve">FreeTV noted that this principle is consistent with the </w:t>
      </w:r>
      <w:r w:rsidR="008D4F13">
        <w:t>m</w:t>
      </w:r>
      <w:r>
        <w:t xml:space="preserve">inisterial </w:t>
      </w:r>
      <w:r w:rsidR="008D4F13">
        <w:t>d</w:t>
      </w:r>
      <w:r>
        <w:t>irection and submits that the principle should refer to planning for six contiguous channels at each transmission site, consistent with the block planning model.</w:t>
      </w:r>
      <w:r w:rsidR="00E84DB4">
        <w:t xml:space="preserve"> </w:t>
      </w:r>
      <w:r>
        <w:t>FreeTV also proposed that where nine channels are required, the adjacent upper or lower three channels from an adjacent block should be allocated, thereby creating a contiguous block of nine channels</w:t>
      </w:r>
      <w:r w:rsidR="009B562E">
        <w:t>.</w:t>
      </w:r>
    </w:p>
    <w:p w:rsidR="00C708A8" w:rsidRDefault="00C708A8" w:rsidP="00C708A8">
      <w:r>
        <w:t>Mr Hughes suggested creating new licence areas in the licence area overlaps to eliminate the requirement for nine channels in these areas.</w:t>
      </w:r>
    </w:p>
    <w:p w:rsidR="00C93265" w:rsidRPr="00233870" w:rsidRDefault="0080448E" w:rsidP="00C708A8">
      <w:pPr>
        <w:rPr>
          <w:rFonts w:cs="Arial"/>
          <w:szCs w:val="20"/>
        </w:rPr>
      </w:pPr>
      <w:r w:rsidRPr="0080448E">
        <w:rPr>
          <w:rFonts w:cs="Arial"/>
          <w:b/>
          <w:szCs w:val="20"/>
        </w:rPr>
        <w:t>ACMA comment</w:t>
      </w:r>
      <w:r w:rsidRPr="0080448E">
        <w:rPr>
          <w:rFonts w:cs="Arial"/>
          <w:szCs w:val="20"/>
        </w:rPr>
        <w:t>:</w:t>
      </w:r>
      <w:r w:rsidR="00E84DB4">
        <w:rPr>
          <w:rFonts w:cs="Arial"/>
          <w:szCs w:val="20"/>
        </w:rPr>
        <w:t xml:space="preserve"> </w:t>
      </w:r>
      <w:r w:rsidRPr="0080448E">
        <w:rPr>
          <w:rFonts w:cs="Arial"/>
          <w:szCs w:val="20"/>
        </w:rPr>
        <w:t xml:space="preserve">Regarding the FreeTV proposal, the ACMA considers that </w:t>
      </w:r>
      <w:r w:rsidR="00902EE3">
        <w:rPr>
          <w:rFonts w:cs="Arial"/>
          <w:szCs w:val="20"/>
        </w:rPr>
        <w:t>(draft) principle</w:t>
      </w:r>
      <w:r w:rsidRPr="0080448E">
        <w:rPr>
          <w:rFonts w:cs="Arial"/>
          <w:szCs w:val="20"/>
        </w:rPr>
        <w:t xml:space="preserve"> 5 </w:t>
      </w:r>
      <w:r w:rsidR="0068259B">
        <w:rPr>
          <w:rFonts w:cs="Arial"/>
          <w:szCs w:val="20"/>
        </w:rPr>
        <w:t>(</w:t>
      </w:r>
      <w:r w:rsidRPr="0080448E">
        <w:rPr>
          <w:rFonts w:cs="Arial"/>
          <w:szCs w:val="20"/>
        </w:rPr>
        <w:t>which defines the channel blocks</w:t>
      </w:r>
      <w:r w:rsidR="0068259B">
        <w:rPr>
          <w:rFonts w:cs="Arial"/>
          <w:szCs w:val="20"/>
        </w:rPr>
        <w:t>)</w:t>
      </w:r>
      <w:r w:rsidRPr="0080448E">
        <w:rPr>
          <w:rFonts w:cs="Arial"/>
          <w:szCs w:val="20"/>
        </w:rPr>
        <w:t xml:space="preserve"> adequately addresses the requirement for six contiguous channels.</w:t>
      </w:r>
      <w:r w:rsidR="00E84DB4">
        <w:rPr>
          <w:rFonts w:cs="Arial"/>
          <w:szCs w:val="20"/>
        </w:rPr>
        <w:t xml:space="preserve"> </w:t>
      </w:r>
      <w:r w:rsidRPr="0080448E">
        <w:rPr>
          <w:rFonts w:cs="Arial"/>
          <w:szCs w:val="20"/>
        </w:rPr>
        <w:t>With regard to the nine channel cases, the ACMA recognises that the achievement of contiguous channels is a desirable goal</w:t>
      </w:r>
      <w:r w:rsidR="008D4F13">
        <w:rPr>
          <w:rFonts w:cs="Arial"/>
          <w:szCs w:val="20"/>
        </w:rPr>
        <w:t>;</w:t>
      </w:r>
      <w:r w:rsidRPr="0080448E">
        <w:rPr>
          <w:rFonts w:cs="Arial"/>
          <w:szCs w:val="20"/>
        </w:rPr>
        <w:t xml:space="preserve"> however, as licence area overlaps are areas of high spectrum demand, the ACMA considers that flexibility should be retained to weigh up different issues on their merits.</w:t>
      </w:r>
      <w:r w:rsidR="00E84DB4">
        <w:rPr>
          <w:rFonts w:cs="Arial"/>
          <w:szCs w:val="20"/>
        </w:rPr>
        <w:t xml:space="preserve"> </w:t>
      </w:r>
      <w:r w:rsidRPr="0080448E">
        <w:rPr>
          <w:rFonts w:cs="Arial"/>
          <w:szCs w:val="20"/>
        </w:rPr>
        <w:t>Relevant issues are likely to include options to break up existing SFNs and the selection of appropriate channel blocks for nearby high power services.</w:t>
      </w:r>
    </w:p>
    <w:p w:rsidR="009B562E" w:rsidRPr="00233870" w:rsidRDefault="00420740" w:rsidP="00C708A8">
      <w:pPr>
        <w:rPr>
          <w:rFonts w:cs="Arial"/>
          <w:szCs w:val="20"/>
        </w:rPr>
      </w:pPr>
      <w:r w:rsidRPr="00233870">
        <w:rPr>
          <w:rFonts w:cs="Arial"/>
          <w:szCs w:val="20"/>
        </w:rPr>
        <w:t>With regard</w:t>
      </w:r>
      <w:r w:rsidR="0080448E" w:rsidRPr="0080448E">
        <w:rPr>
          <w:rFonts w:cs="Arial"/>
          <w:szCs w:val="20"/>
        </w:rPr>
        <w:t xml:space="preserve"> to the SBS comment, antenna radiation patterns are largely an implementation issue for each broadcaster to plan within the specified maximum ERP envelope.</w:t>
      </w:r>
      <w:r w:rsidR="00E84DB4">
        <w:rPr>
          <w:rFonts w:cs="Arial"/>
          <w:szCs w:val="20"/>
        </w:rPr>
        <w:t xml:space="preserve"> </w:t>
      </w:r>
      <w:r w:rsidR="0080448E" w:rsidRPr="0080448E">
        <w:rPr>
          <w:rFonts w:cs="Arial"/>
          <w:szCs w:val="20"/>
        </w:rPr>
        <w:t>The ACMA encourages broadcasters to work together to achieve the goal of equalised coverage.</w:t>
      </w:r>
    </w:p>
    <w:p w:rsidR="00AE508C" w:rsidRPr="00233870" w:rsidRDefault="00AE508C" w:rsidP="00AE508C">
      <w:pPr>
        <w:rPr>
          <w:rFonts w:cs="Arial"/>
          <w:szCs w:val="20"/>
        </w:rPr>
      </w:pPr>
      <w:r w:rsidRPr="0080448E">
        <w:rPr>
          <w:rFonts w:cs="Arial"/>
          <w:szCs w:val="20"/>
        </w:rPr>
        <w:t xml:space="preserve">Mr Hughes’ proposal is </w:t>
      </w:r>
      <w:r>
        <w:rPr>
          <w:rFonts w:cs="Arial"/>
          <w:szCs w:val="20"/>
        </w:rPr>
        <w:t xml:space="preserve">considered to be beyond the scope of the current exercise, which assumes maintenance of existing digital coverage as one of its starting-points. The ACMA observes that </w:t>
      </w:r>
      <w:r w:rsidRPr="0080448E">
        <w:rPr>
          <w:rFonts w:cs="Arial"/>
          <w:szCs w:val="20"/>
        </w:rPr>
        <w:t xml:space="preserve">viewers </w:t>
      </w:r>
      <w:r>
        <w:rPr>
          <w:rFonts w:cs="Arial"/>
          <w:szCs w:val="20"/>
        </w:rPr>
        <w:t xml:space="preserve">in the overlap areas may </w:t>
      </w:r>
      <w:r w:rsidRPr="0080448E">
        <w:rPr>
          <w:rFonts w:cs="Arial"/>
          <w:szCs w:val="20"/>
        </w:rPr>
        <w:t xml:space="preserve">have become accustomed to receiving </w:t>
      </w:r>
      <w:r>
        <w:rPr>
          <w:rFonts w:cs="Arial"/>
          <w:szCs w:val="20"/>
        </w:rPr>
        <w:t>eight</w:t>
      </w:r>
      <w:r w:rsidRPr="0080448E">
        <w:rPr>
          <w:rFonts w:cs="Arial"/>
          <w:szCs w:val="20"/>
        </w:rPr>
        <w:t xml:space="preserve"> services</w:t>
      </w:r>
      <w:r>
        <w:rPr>
          <w:rFonts w:cs="Arial"/>
          <w:szCs w:val="20"/>
        </w:rPr>
        <w:t>, including respective local content and advertising material from the overlapping commercial networked services</w:t>
      </w:r>
      <w:r w:rsidRPr="0080448E">
        <w:rPr>
          <w:rFonts w:cs="Arial"/>
          <w:szCs w:val="20"/>
        </w:rPr>
        <w:t>.</w:t>
      </w:r>
    </w:p>
    <w:p w:rsidR="00B37E2A" w:rsidRPr="00D70395" w:rsidRDefault="00BA70F0" w:rsidP="001D0B5E">
      <w:pPr>
        <w:pStyle w:val="Principle"/>
        <w:rPr>
          <w:b w:val="0"/>
        </w:rPr>
      </w:pPr>
      <w:r>
        <w:t>Draft Principle 4</w:t>
      </w:r>
      <w:r w:rsidRPr="00260070">
        <w:t>:</w:t>
      </w:r>
      <w:r>
        <w:t xml:space="preserve"> </w:t>
      </w:r>
      <w:r w:rsidRPr="00D70395">
        <w:rPr>
          <w:b w:val="0"/>
        </w:rPr>
        <w:t>Plan channels so that viewers in metropolitan and regional licence areas can receive all services in a single band (i.e. either all VHF or all UHF channels). Consider the benefit of single band operation in other areas on a case by case</w:t>
      </w:r>
      <w:r w:rsidR="006046E1" w:rsidRPr="00D70395">
        <w:rPr>
          <w:b w:val="0"/>
        </w:rPr>
        <w:t>.</w:t>
      </w:r>
    </w:p>
    <w:p w:rsidR="00BA70F0" w:rsidRDefault="00E32222" w:rsidP="00BA70F0">
      <w:r>
        <w:t xml:space="preserve">Mr Brooks strongly </w:t>
      </w:r>
      <w:r w:rsidR="00BA70F0">
        <w:t>agree</w:t>
      </w:r>
      <w:r>
        <w:t xml:space="preserve">d with this principle </w:t>
      </w:r>
      <w:r w:rsidR="00BA70F0">
        <w:t xml:space="preserve">and </w:t>
      </w:r>
      <w:r>
        <w:t>suggests</w:t>
      </w:r>
      <w:r w:rsidR="00BA70F0">
        <w:t xml:space="preserve"> that VHF should be used where possible at regional main sites</w:t>
      </w:r>
      <w:r>
        <w:t>.</w:t>
      </w:r>
    </w:p>
    <w:p w:rsidR="00BA70F0" w:rsidRPr="00260070" w:rsidRDefault="00E32222" w:rsidP="00BA70F0">
      <w:r>
        <w:lastRenderedPageBreak/>
        <w:t>SBS</w:t>
      </w:r>
      <w:r w:rsidR="00BA70F0">
        <w:t xml:space="preserve"> </w:t>
      </w:r>
      <w:r>
        <w:t xml:space="preserve">stated it would prefer to see single band operation in any one </w:t>
      </w:r>
      <w:r w:rsidR="001A02AF">
        <w:t>area</w:t>
      </w:r>
      <w:r>
        <w:t xml:space="preserve"> </w:t>
      </w:r>
      <w:r w:rsidR="00BA70F0">
        <w:t>in the longer term</w:t>
      </w:r>
      <w:r>
        <w:t>.</w:t>
      </w:r>
    </w:p>
    <w:p w:rsidR="00BA70F0" w:rsidRPr="00665E26" w:rsidRDefault="001216E2" w:rsidP="00665E26">
      <w:r>
        <w:t>Free</w:t>
      </w:r>
      <w:r w:rsidR="00BA70F0" w:rsidRPr="00E32222">
        <w:t xml:space="preserve">TV </w:t>
      </w:r>
      <w:r w:rsidR="00E32222" w:rsidRPr="00E32222">
        <w:t>stated that it</w:t>
      </w:r>
      <w:r w:rsidR="00BA70F0" w:rsidRPr="00E32222">
        <w:t xml:space="preserve"> strongly supports </w:t>
      </w:r>
      <w:r w:rsidR="00902EE3">
        <w:t>(draft) principle</w:t>
      </w:r>
      <w:r w:rsidR="00BA70F0" w:rsidRPr="00E32222">
        <w:t xml:space="preserve">s 4 and 5 as </w:t>
      </w:r>
      <w:r w:rsidR="00E32222" w:rsidRPr="00E32222">
        <w:t>they set the</w:t>
      </w:r>
      <w:r w:rsidR="00E32222">
        <w:t xml:space="preserve"> groundwork for a block planning approach.</w:t>
      </w:r>
      <w:r w:rsidR="00E84DB4">
        <w:t xml:space="preserve"> </w:t>
      </w:r>
      <w:r w:rsidR="00665E26">
        <w:t>FreeTV re</w:t>
      </w:r>
      <w:r w:rsidR="00E32222">
        <w:t xml:space="preserve">iterated </w:t>
      </w:r>
      <w:r w:rsidR="00BA70F0">
        <w:t>some of the benefits of this approach including equali</w:t>
      </w:r>
      <w:r w:rsidR="00E32222">
        <w:t>sation of</w:t>
      </w:r>
      <w:r w:rsidR="00665E26">
        <w:t xml:space="preserve"> coverage, single </w:t>
      </w:r>
      <w:r w:rsidR="00E32222">
        <w:t>band antennas and</w:t>
      </w:r>
      <w:r w:rsidR="00BA70F0">
        <w:t xml:space="preserve"> consistent coverage.</w:t>
      </w:r>
    </w:p>
    <w:p w:rsidR="00BA70F0" w:rsidRDefault="00665E26" w:rsidP="00665E26">
      <w:r>
        <w:t>Broadcast Australia contended that a</w:t>
      </w:r>
      <w:r w:rsidR="00BA70F0">
        <w:t>s a matter of public policy</w:t>
      </w:r>
      <w:r>
        <w:t>,</w:t>
      </w:r>
      <w:r w:rsidR="00BA70F0">
        <w:t xml:space="preserve"> remote areas shou</w:t>
      </w:r>
      <w:r>
        <w:t>ld also follow this principle of single band operation.</w:t>
      </w:r>
    </w:p>
    <w:p w:rsidR="00BA70F0" w:rsidRDefault="00E32222" w:rsidP="00BA70F0">
      <w:r>
        <w:t xml:space="preserve">Mr </w:t>
      </w:r>
      <w:r w:rsidR="00BA70F0">
        <w:t xml:space="preserve">Hughes </w:t>
      </w:r>
      <w:r>
        <w:t xml:space="preserve">strongly </w:t>
      </w:r>
      <w:r w:rsidR="00BA70F0">
        <w:t>support</w:t>
      </w:r>
      <w:r>
        <w:t>ed the</w:t>
      </w:r>
      <w:r w:rsidR="00BA70F0">
        <w:t xml:space="preserve"> idea</w:t>
      </w:r>
      <w:r>
        <w:t xml:space="preserve"> of all services in same band.</w:t>
      </w:r>
    </w:p>
    <w:p w:rsidR="00E32222" w:rsidRPr="00233870" w:rsidRDefault="0080448E" w:rsidP="00E32222">
      <w:pPr>
        <w:rPr>
          <w:rFonts w:cs="Arial"/>
          <w:szCs w:val="20"/>
        </w:rPr>
      </w:pPr>
      <w:r w:rsidRPr="0080448E">
        <w:rPr>
          <w:rFonts w:cs="Arial"/>
          <w:b/>
          <w:szCs w:val="20"/>
        </w:rPr>
        <w:t>ACMA comment</w:t>
      </w:r>
      <w:r w:rsidRPr="0080448E">
        <w:rPr>
          <w:rFonts w:cs="Arial"/>
          <w:szCs w:val="20"/>
        </w:rPr>
        <w:t>:</w:t>
      </w:r>
      <w:r w:rsidR="00E84DB4">
        <w:rPr>
          <w:rFonts w:cs="Arial"/>
          <w:szCs w:val="20"/>
        </w:rPr>
        <w:t xml:space="preserve"> </w:t>
      </w:r>
      <w:r w:rsidRPr="0080448E">
        <w:rPr>
          <w:rFonts w:cs="Arial"/>
          <w:szCs w:val="20"/>
        </w:rPr>
        <w:t>The ACMA notes the general support for the concept of allocating services in a single band.</w:t>
      </w:r>
      <w:r w:rsidR="00E84DB4">
        <w:rPr>
          <w:rFonts w:cs="Arial"/>
          <w:szCs w:val="20"/>
        </w:rPr>
        <w:t xml:space="preserve"> </w:t>
      </w:r>
      <w:r w:rsidRPr="0080448E">
        <w:rPr>
          <w:rFonts w:cs="Arial"/>
          <w:szCs w:val="20"/>
        </w:rPr>
        <w:t>The ACMA however considers that s</w:t>
      </w:r>
      <w:r w:rsidR="001A02AF" w:rsidRPr="00233870">
        <w:rPr>
          <w:rFonts w:cs="Arial"/>
          <w:szCs w:val="20"/>
        </w:rPr>
        <w:t xml:space="preserve">ingle band operation is not likely to have a significant benefit for viewers </w:t>
      </w:r>
      <w:r w:rsidRPr="0080448E">
        <w:rPr>
          <w:rFonts w:cs="Arial"/>
          <w:szCs w:val="20"/>
        </w:rPr>
        <w:t xml:space="preserve">for the small </w:t>
      </w:r>
      <w:r w:rsidR="00902EE3">
        <w:rPr>
          <w:rFonts w:cs="Arial"/>
          <w:szCs w:val="20"/>
        </w:rPr>
        <w:t>‘</w:t>
      </w:r>
      <w:r w:rsidRPr="0080448E">
        <w:rPr>
          <w:rFonts w:cs="Arial"/>
          <w:szCs w:val="20"/>
        </w:rPr>
        <w:t>town only</w:t>
      </w:r>
      <w:r w:rsidR="00902EE3">
        <w:rPr>
          <w:rFonts w:cs="Arial"/>
          <w:szCs w:val="20"/>
        </w:rPr>
        <w:t>’</w:t>
      </w:r>
      <w:r w:rsidRPr="0080448E">
        <w:rPr>
          <w:rFonts w:cs="Arial"/>
          <w:szCs w:val="20"/>
        </w:rPr>
        <w:t xml:space="preserve"> coverage areas typical in remote areas</w:t>
      </w:r>
      <w:r w:rsidR="008D4F13">
        <w:rPr>
          <w:rFonts w:cs="Arial"/>
          <w:szCs w:val="20"/>
        </w:rPr>
        <w:t>,</w:t>
      </w:r>
      <w:r w:rsidRPr="0080448E">
        <w:rPr>
          <w:rFonts w:cs="Arial"/>
          <w:szCs w:val="20"/>
        </w:rPr>
        <w:t xml:space="preserve"> because the main advantage occurs in fringe reception areas where high gain antennas are required.</w:t>
      </w:r>
      <w:r w:rsidR="00E84DB4">
        <w:rPr>
          <w:rFonts w:cs="Arial"/>
          <w:szCs w:val="20"/>
        </w:rPr>
        <w:t xml:space="preserve"> </w:t>
      </w:r>
      <w:r w:rsidRPr="0080448E">
        <w:rPr>
          <w:rFonts w:cs="Arial"/>
          <w:szCs w:val="20"/>
        </w:rPr>
        <w:t xml:space="preserve">The ACMA notes that as existing national digital television services in remote areas typically use </w:t>
      </w:r>
      <w:r w:rsidR="00561448">
        <w:rPr>
          <w:rFonts w:cs="Arial"/>
          <w:szCs w:val="20"/>
        </w:rPr>
        <w:t>Broadcast Australia</w:t>
      </w:r>
      <w:r w:rsidR="00561448" w:rsidRPr="0080448E">
        <w:rPr>
          <w:rFonts w:cs="Arial"/>
          <w:szCs w:val="20"/>
        </w:rPr>
        <w:t>’s</w:t>
      </w:r>
      <w:r w:rsidRPr="0080448E">
        <w:rPr>
          <w:rFonts w:cs="Arial"/>
          <w:szCs w:val="20"/>
        </w:rPr>
        <w:t xml:space="preserve"> infrastructure and that extension of this principle to remote areas could either</w:t>
      </w:r>
      <w:r w:rsidR="00902EE3">
        <w:rPr>
          <w:rFonts w:cs="Arial"/>
          <w:szCs w:val="20"/>
        </w:rPr>
        <w:t>:</w:t>
      </w:r>
      <w:r w:rsidRPr="0080448E">
        <w:rPr>
          <w:rFonts w:cs="Arial"/>
          <w:szCs w:val="20"/>
        </w:rPr>
        <w:t xml:space="preserve"> force remote commercial licensees to share </w:t>
      </w:r>
      <w:r w:rsidR="00561448">
        <w:rPr>
          <w:rFonts w:cs="Arial"/>
          <w:szCs w:val="20"/>
        </w:rPr>
        <w:t>Broadcast Australia</w:t>
      </w:r>
      <w:r w:rsidR="00561448" w:rsidRPr="0080448E">
        <w:rPr>
          <w:rFonts w:cs="Arial"/>
          <w:szCs w:val="20"/>
        </w:rPr>
        <w:t xml:space="preserve">’s </w:t>
      </w:r>
      <w:r w:rsidRPr="0080448E">
        <w:rPr>
          <w:rFonts w:cs="Arial"/>
          <w:szCs w:val="20"/>
        </w:rPr>
        <w:t>infrastructure</w:t>
      </w:r>
      <w:r w:rsidR="00902EE3">
        <w:rPr>
          <w:rFonts w:cs="Arial"/>
          <w:szCs w:val="20"/>
        </w:rPr>
        <w:t>;</w:t>
      </w:r>
      <w:r w:rsidRPr="0080448E">
        <w:rPr>
          <w:rFonts w:cs="Arial"/>
          <w:szCs w:val="20"/>
        </w:rPr>
        <w:t xml:space="preserve"> or lead to significantly greater costs to the commonwealth to change the band of the existing </w:t>
      </w:r>
      <w:r w:rsidR="00233870">
        <w:rPr>
          <w:rFonts w:cs="Arial"/>
          <w:szCs w:val="20"/>
        </w:rPr>
        <w:t xml:space="preserve">national </w:t>
      </w:r>
      <w:r w:rsidR="001A02AF" w:rsidRPr="00233870">
        <w:rPr>
          <w:rFonts w:cs="Arial"/>
          <w:szCs w:val="20"/>
        </w:rPr>
        <w:t xml:space="preserve">services, which will be in the minority once three commercial </w:t>
      </w:r>
      <w:r w:rsidRPr="0080448E">
        <w:rPr>
          <w:rFonts w:cs="Arial"/>
          <w:szCs w:val="20"/>
        </w:rPr>
        <w:t>digital services have rolled out on their currently planned channels.</w:t>
      </w:r>
    </w:p>
    <w:p w:rsidR="00B37E2A" w:rsidRDefault="00BA70F0" w:rsidP="001D0B5E">
      <w:pPr>
        <w:pStyle w:val="Principle"/>
      </w:pPr>
      <w:r>
        <w:t>Draft Principle 5</w:t>
      </w:r>
      <w:r w:rsidRPr="00260070">
        <w:t>:</w:t>
      </w:r>
      <w:r>
        <w:t xml:space="preserve"> </w:t>
      </w:r>
      <w:r w:rsidRPr="00D70395">
        <w:rPr>
          <w:b w:val="0"/>
        </w:rPr>
        <w:t xml:space="preserve">Plan all six services on channels within defined blocks of channels as follows: </w:t>
      </w:r>
      <w:r w:rsidRPr="00D70395">
        <w:rPr>
          <w:b w:val="0"/>
        </w:rPr>
        <w:br/>
        <w:t>Block A: 6, 7, 8, 10, 11 and 12*;</w:t>
      </w:r>
      <w:r w:rsidRPr="00D70395">
        <w:rPr>
          <w:b w:val="0"/>
        </w:rPr>
        <w:br/>
        <w:t>Block B: 28, 29, 30, 31, 32 and 33;</w:t>
      </w:r>
      <w:r w:rsidRPr="00D70395">
        <w:rPr>
          <w:b w:val="0"/>
        </w:rPr>
        <w:br/>
        <w:t>Block C: 34, 35, 36, 37, 38 and 39;</w:t>
      </w:r>
      <w:r w:rsidRPr="00D70395">
        <w:rPr>
          <w:b w:val="0"/>
        </w:rPr>
        <w:br/>
        <w:t>Block D: 40, 41, 42, 43, 44 and 45;</w:t>
      </w:r>
      <w:r w:rsidRPr="00D70395">
        <w:rPr>
          <w:b w:val="0"/>
        </w:rPr>
        <w:br/>
        <w:t>Block E: 46, 47, 48, 49, 50, and 51;</w:t>
      </w:r>
      <w:r w:rsidRPr="00D70395">
        <w:rPr>
          <w:b w:val="0"/>
        </w:rPr>
        <w:br/>
        <w:t>* channels 9 &amp; 9A may be used for digital TV in some remote areas.</w:t>
      </w:r>
    </w:p>
    <w:p w:rsidR="00BA70F0" w:rsidRDefault="001216E2" w:rsidP="002F385A">
      <w:r>
        <w:t xml:space="preserve">SBS </w:t>
      </w:r>
      <w:r w:rsidR="00BA70F0">
        <w:t>agree</w:t>
      </w:r>
      <w:r>
        <w:t>d with this principle.</w:t>
      </w:r>
    </w:p>
    <w:p w:rsidR="001216E2" w:rsidRPr="00665E26" w:rsidRDefault="001216E2" w:rsidP="001216E2">
      <w:r>
        <w:t>Free</w:t>
      </w:r>
      <w:r w:rsidRPr="00E32222">
        <w:t xml:space="preserve">TV stated that it strongly supports </w:t>
      </w:r>
      <w:r w:rsidR="00902EE3">
        <w:t>(draft) principle</w:t>
      </w:r>
      <w:r w:rsidRPr="00E32222">
        <w:t>s 4 and 5 as they set the</w:t>
      </w:r>
      <w:r>
        <w:t xml:space="preserve"> groundwork for a block planning approach.</w:t>
      </w:r>
      <w:r w:rsidR="00E84DB4">
        <w:t xml:space="preserve"> </w:t>
      </w:r>
      <w:r>
        <w:t>FreeTV reiterated some of the benefits of this approach including equalisation of coverage, single band antennas and consistent coverage.</w:t>
      </w:r>
    </w:p>
    <w:p w:rsidR="00BA70F0" w:rsidRPr="00233870" w:rsidRDefault="0080448E" w:rsidP="002F385A">
      <w:pPr>
        <w:rPr>
          <w:rFonts w:cs="Arial"/>
          <w:szCs w:val="20"/>
        </w:rPr>
      </w:pPr>
      <w:r w:rsidRPr="0080448E">
        <w:rPr>
          <w:rFonts w:cs="Arial"/>
          <w:szCs w:val="20"/>
        </w:rPr>
        <w:t>Mr Hughes proposed different blocks.</w:t>
      </w:r>
      <w:r w:rsidR="00E84DB4">
        <w:rPr>
          <w:rFonts w:cs="Arial"/>
          <w:szCs w:val="20"/>
        </w:rPr>
        <w:t xml:space="preserve"> </w:t>
      </w:r>
      <w:r w:rsidRPr="0080448E">
        <w:rPr>
          <w:rFonts w:cs="Arial"/>
          <w:szCs w:val="20"/>
        </w:rPr>
        <w:t xml:space="preserve">Block </w:t>
      </w:r>
      <w:proofErr w:type="gramStart"/>
      <w:r w:rsidRPr="0080448E">
        <w:rPr>
          <w:rFonts w:cs="Arial"/>
          <w:szCs w:val="20"/>
        </w:rPr>
        <w:t>A</w:t>
      </w:r>
      <w:proofErr w:type="gramEnd"/>
      <w:r w:rsidRPr="0080448E">
        <w:rPr>
          <w:rFonts w:cs="Arial"/>
          <w:szCs w:val="20"/>
        </w:rPr>
        <w:t xml:space="preserve"> excluded channels 11 and</w:t>
      </w:r>
      <w:r w:rsidR="008D4F13">
        <w:rPr>
          <w:rFonts w:cs="Arial"/>
          <w:szCs w:val="20"/>
        </w:rPr>
        <w:t xml:space="preserve"> </w:t>
      </w:r>
      <w:r w:rsidRPr="0080448E">
        <w:rPr>
          <w:rFonts w:cs="Arial"/>
          <w:szCs w:val="20"/>
        </w:rPr>
        <w:t>12, blocks B and C start one channel lower, to preserve channel 39 for future use. Blocks D and E were as per ACMA proposal.</w:t>
      </w:r>
    </w:p>
    <w:p w:rsidR="002F385A" w:rsidRPr="00233870" w:rsidRDefault="0080448E" w:rsidP="002F385A">
      <w:pPr>
        <w:rPr>
          <w:rFonts w:cs="Arial"/>
          <w:szCs w:val="20"/>
        </w:rPr>
      </w:pPr>
      <w:r w:rsidRPr="0080448E">
        <w:rPr>
          <w:rFonts w:cs="Arial"/>
          <w:b/>
          <w:szCs w:val="20"/>
        </w:rPr>
        <w:t>ACMA comment</w:t>
      </w:r>
      <w:r w:rsidRPr="0080448E">
        <w:rPr>
          <w:rFonts w:cs="Arial"/>
          <w:szCs w:val="20"/>
        </w:rPr>
        <w:t>:</w:t>
      </w:r>
      <w:r w:rsidR="00E84DB4">
        <w:rPr>
          <w:rFonts w:cs="Arial"/>
          <w:szCs w:val="20"/>
        </w:rPr>
        <w:t xml:space="preserve"> </w:t>
      </w:r>
      <w:r w:rsidRPr="0080448E">
        <w:rPr>
          <w:rFonts w:cs="Arial"/>
          <w:szCs w:val="20"/>
        </w:rPr>
        <w:t>Mr Hughes’ proposal relies on the availability of channel 27 and his proposal for a different digital radio sub-band.</w:t>
      </w:r>
      <w:r w:rsidR="00E84DB4">
        <w:rPr>
          <w:rFonts w:cs="Arial"/>
          <w:szCs w:val="20"/>
        </w:rPr>
        <w:t xml:space="preserve"> </w:t>
      </w:r>
      <w:r w:rsidRPr="0080448E">
        <w:rPr>
          <w:rFonts w:cs="Arial"/>
          <w:szCs w:val="20"/>
        </w:rPr>
        <w:t>Comments are made above in relation to these issues</w:t>
      </w:r>
      <w:r w:rsidR="002F385A" w:rsidRPr="00233870">
        <w:rPr>
          <w:rFonts w:cs="Arial"/>
          <w:szCs w:val="20"/>
        </w:rPr>
        <w:t>.</w:t>
      </w:r>
    </w:p>
    <w:p w:rsidR="00B37E2A" w:rsidRDefault="00BA70F0" w:rsidP="001D0B5E">
      <w:pPr>
        <w:pStyle w:val="Principle"/>
      </w:pPr>
      <w:r>
        <w:lastRenderedPageBreak/>
        <w:t>Draft Principle 6</w:t>
      </w:r>
      <w:r w:rsidRPr="00260070">
        <w:t>:</w:t>
      </w:r>
      <w:r>
        <w:t xml:space="preserve"> </w:t>
      </w:r>
      <w:r w:rsidRPr="00D70395">
        <w:rPr>
          <w:b w:val="0"/>
        </w:rPr>
        <w:t>Assign channels within a block as follows</w:t>
      </w:r>
      <w:r w:rsidR="00D70395" w:rsidRPr="00D70395">
        <w:rPr>
          <w:b w:val="0"/>
        </w:rPr>
        <w:t>:</w:t>
      </w:r>
      <w:r w:rsidRPr="00A7267D">
        <w:t xml:space="preserve"> </w:t>
      </w:r>
    </w:p>
    <w:p w:rsidR="0080448E" w:rsidRDefault="00BA70F0" w:rsidP="0080448E">
      <w:pPr>
        <w:pStyle w:val="principlebody"/>
        <w:keepNext/>
      </w:pPr>
      <w:r w:rsidRPr="00A7267D">
        <w:t xml:space="preserve">VHF: Existing VHF services to retain current channels unless they have to move to clear channels 9 and 9A </w:t>
      </w:r>
      <w:r>
        <w:t xml:space="preserve">under </w:t>
      </w:r>
      <w:r w:rsidR="00902EE3">
        <w:t>p</w:t>
      </w:r>
      <w:r w:rsidR="00902EE3" w:rsidRPr="00A7267D">
        <w:t xml:space="preserve">rinciple </w:t>
      </w:r>
      <w:r w:rsidRPr="00A7267D">
        <w:t>2</w:t>
      </w:r>
      <w:r>
        <w:t xml:space="preserve">. New or changed channel assignments do not need to </w:t>
      </w:r>
      <w:r w:rsidRPr="00A7267D">
        <w:t xml:space="preserve">follow </w:t>
      </w:r>
      <w:r>
        <w:t>any</w:t>
      </w:r>
      <w:r w:rsidRPr="00A7267D">
        <w:t xml:space="preserve"> particular order</w:t>
      </w:r>
      <w:r w:rsidR="00143FD5">
        <w:t>, except in all m</w:t>
      </w:r>
      <w:r>
        <w:t xml:space="preserve">etropolitan areas where SBS should move to channel 7. </w:t>
      </w:r>
      <w:r w:rsidRPr="00A7267D">
        <w:t xml:space="preserve">Where </w:t>
      </w:r>
      <w:r>
        <w:t xml:space="preserve">it is </w:t>
      </w:r>
      <w:r w:rsidRPr="00A7267D">
        <w:t>possible without moving existing services</w:t>
      </w:r>
      <w:r>
        <w:t>,</w:t>
      </w:r>
      <w:r w:rsidRPr="00A7267D">
        <w:t xml:space="preserve"> channel 10 should be the unassigned channel</w:t>
      </w:r>
      <w:r w:rsidR="00143FD5">
        <w:t xml:space="preserve"> to align with the m</w:t>
      </w:r>
      <w:r>
        <w:t>etropolitan area unassigned channel</w:t>
      </w:r>
      <w:r w:rsidRPr="00A7267D">
        <w:t>.</w:t>
      </w:r>
    </w:p>
    <w:p w:rsidR="0080448E" w:rsidRDefault="00BA70F0" w:rsidP="0080448E">
      <w:pPr>
        <w:pStyle w:val="principlebody"/>
        <w:keepNext/>
      </w:pPr>
      <w:r w:rsidRPr="00A7267D">
        <w:t xml:space="preserve">UHF: </w:t>
      </w:r>
      <w:r>
        <w:t>C</w:t>
      </w:r>
      <w:r w:rsidRPr="00A7267D">
        <w:t xml:space="preserve">hannel </w:t>
      </w:r>
      <w:r>
        <w:t>assignments should be made after considering and balancing a number of objectives including:</w:t>
      </w:r>
    </w:p>
    <w:p w:rsidR="0080448E" w:rsidRDefault="00D7385A" w:rsidP="0080448E">
      <w:pPr>
        <w:pStyle w:val="ListBullet"/>
        <w:keepNext/>
        <w:numPr>
          <w:ilvl w:val="0"/>
          <w:numId w:val="34"/>
        </w:numPr>
        <w:shd w:val="clear" w:color="auto" w:fill="EEECE1"/>
        <w:ind w:hanging="720"/>
        <w:rPr>
          <w:i/>
        </w:rPr>
      </w:pPr>
      <w:r w:rsidRPr="00D7385A">
        <w:rPr>
          <w:i/>
        </w:rPr>
        <w:t>avoiding off-air input issues (adjacent channel and N+5)</w:t>
      </w:r>
    </w:p>
    <w:p w:rsidR="0080448E" w:rsidRDefault="00D7385A" w:rsidP="0080448E">
      <w:pPr>
        <w:pStyle w:val="ListBullet"/>
        <w:keepNext/>
        <w:numPr>
          <w:ilvl w:val="0"/>
          <w:numId w:val="34"/>
        </w:numPr>
        <w:shd w:val="clear" w:color="auto" w:fill="EEECE1"/>
        <w:ind w:hanging="720"/>
        <w:rPr>
          <w:i/>
        </w:rPr>
      </w:pPr>
      <w:r w:rsidRPr="00D7385A">
        <w:rPr>
          <w:i/>
        </w:rPr>
        <w:t>avoiding changes to existing services within the block</w:t>
      </w:r>
    </w:p>
    <w:p w:rsidR="0080448E" w:rsidRDefault="00D7385A" w:rsidP="0080448E">
      <w:pPr>
        <w:pStyle w:val="ListBullet"/>
        <w:keepNext/>
        <w:numPr>
          <w:ilvl w:val="0"/>
          <w:numId w:val="34"/>
        </w:numPr>
        <w:shd w:val="clear" w:color="auto" w:fill="EEECE1"/>
        <w:ind w:hanging="720"/>
        <w:rPr>
          <w:i/>
        </w:rPr>
      </w:pPr>
      <w:r w:rsidRPr="00D7385A">
        <w:rPr>
          <w:i/>
        </w:rPr>
        <w:t>using the unassigned channel to remove restack timing constraints and manage band edge interference potential.</w:t>
      </w:r>
    </w:p>
    <w:p w:rsidR="00BA70F0" w:rsidRDefault="00BA70F0" w:rsidP="00BA70F0">
      <w:pPr>
        <w:pStyle w:val="principlebody"/>
      </w:pPr>
      <w:r>
        <w:t>If none of the above issues apply, UHF channels should</w:t>
      </w:r>
      <w:r w:rsidRPr="00A7267D">
        <w:t xml:space="preserve"> be assigned in t</w:t>
      </w:r>
      <w:r>
        <w:t>he following order:</w:t>
      </w:r>
      <w:r w:rsidR="00E84DB4">
        <w:t xml:space="preserve"> </w:t>
      </w:r>
      <w:r w:rsidRPr="00A7267D">
        <w:t>SBS, ABC, Seven (or affiliate), Nine (or affiliate), T</w:t>
      </w:r>
      <w:r>
        <w:t>en (or affiliate), Unassigned.</w:t>
      </w:r>
    </w:p>
    <w:p w:rsidR="00BA70F0" w:rsidRPr="00233870" w:rsidRDefault="008A731E" w:rsidP="00143FD5">
      <w:pPr>
        <w:rPr>
          <w:rFonts w:cs="Arial"/>
          <w:szCs w:val="20"/>
        </w:rPr>
      </w:pPr>
      <w:r w:rsidRPr="00233870">
        <w:rPr>
          <w:rFonts w:cs="Arial"/>
          <w:szCs w:val="20"/>
        </w:rPr>
        <w:t xml:space="preserve">Mr </w:t>
      </w:r>
      <w:r w:rsidR="00E0629A" w:rsidRPr="00233870">
        <w:rPr>
          <w:rFonts w:cs="Arial"/>
          <w:szCs w:val="20"/>
        </w:rPr>
        <w:t xml:space="preserve">Brooks </w:t>
      </w:r>
      <w:r w:rsidR="00BA70F0" w:rsidRPr="00233870">
        <w:rPr>
          <w:rFonts w:cs="Arial"/>
          <w:szCs w:val="20"/>
        </w:rPr>
        <w:t>agree</w:t>
      </w:r>
      <w:r w:rsidR="00E0629A" w:rsidRPr="00233870">
        <w:rPr>
          <w:rFonts w:cs="Arial"/>
          <w:szCs w:val="20"/>
        </w:rPr>
        <w:t>d</w:t>
      </w:r>
      <w:r w:rsidR="00BA70F0" w:rsidRPr="00233870">
        <w:rPr>
          <w:rFonts w:cs="Arial"/>
          <w:szCs w:val="20"/>
        </w:rPr>
        <w:t xml:space="preserve"> with channels remaining on current assignments where possible</w:t>
      </w:r>
      <w:r w:rsidR="008D4F13">
        <w:rPr>
          <w:rFonts w:cs="Arial"/>
          <w:szCs w:val="20"/>
        </w:rPr>
        <w:t>;</w:t>
      </w:r>
      <w:r w:rsidR="00BA70F0" w:rsidRPr="00233870">
        <w:rPr>
          <w:rFonts w:cs="Arial"/>
          <w:szCs w:val="20"/>
        </w:rPr>
        <w:t xml:space="preserve"> however</w:t>
      </w:r>
      <w:r w:rsidR="008D4F13">
        <w:rPr>
          <w:rFonts w:cs="Arial"/>
          <w:szCs w:val="20"/>
        </w:rPr>
        <w:t>,</w:t>
      </w:r>
      <w:r w:rsidR="00BA70F0" w:rsidRPr="00233870">
        <w:rPr>
          <w:rFonts w:cs="Arial"/>
          <w:szCs w:val="20"/>
        </w:rPr>
        <w:t xml:space="preserve"> </w:t>
      </w:r>
      <w:r w:rsidR="0080448E" w:rsidRPr="0080448E">
        <w:rPr>
          <w:rFonts w:cs="Arial"/>
          <w:szCs w:val="20"/>
        </w:rPr>
        <w:t>he suggests consideration should be given to a consistent block assignment so that simple block translation can be used for translators, gap fillers and MATV systems. He suggests the assignment order ABC, 7, 9, 10, UA, SBS.</w:t>
      </w:r>
      <w:r w:rsidR="00E84DB4">
        <w:rPr>
          <w:rFonts w:cs="Arial"/>
          <w:szCs w:val="20"/>
        </w:rPr>
        <w:t xml:space="preserve"> </w:t>
      </w:r>
      <w:r w:rsidR="0080448E" w:rsidRPr="0080448E">
        <w:rPr>
          <w:rFonts w:cs="Arial"/>
          <w:szCs w:val="20"/>
        </w:rPr>
        <w:t>He also recommends that the channel assignments for block E should be same as for other blocks.</w:t>
      </w:r>
      <w:r w:rsidR="00E84DB4">
        <w:rPr>
          <w:rFonts w:cs="Arial"/>
          <w:szCs w:val="20"/>
        </w:rPr>
        <w:t xml:space="preserve"> </w:t>
      </w:r>
      <w:r w:rsidR="008D4F13">
        <w:rPr>
          <w:rFonts w:cs="Arial"/>
          <w:szCs w:val="20"/>
        </w:rPr>
        <w:t xml:space="preserve">The </w:t>
      </w:r>
      <w:r w:rsidR="0080448E" w:rsidRPr="0080448E">
        <w:rPr>
          <w:rFonts w:cs="Arial"/>
          <w:szCs w:val="20"/>
        </w:rPr>
        <w:t>ACMA must ensure that all channels are equally useable.</w:t>
      </w:r>
    </w:p>
    <w:p w:rsidR="00BA70F0" w:rsidRPr="00233870" w:rsidRDefault="0080448E" w:rsidP="00BA70F0">
      <w:pPr>
        <w:rPr>
          <w:rFonts w:cs="Arial"/>
          <w:szCs w:val="20"/>
        </w:rPr>
      </w:pPr>
      <w:r w:rsidRPr="0080448E">
        <w:rPr>
          <w:rFonts w:cs="Arial"/>
          <w:szCs w:val="20"/>
        </w:rPr>
        <w:t>SBS indicated that it would prefer not to be assigned a channel on the block edge but acknowledged that this will be least impact for off-air feeds and viewers.</w:t>
      </w:r>
      <w:r w:rsidR="00F81B2F">
        <w:rPr>
          <w:rFonts w:cs="Arial"/>
          <w:szCs w:val="20"/>
        </w:rPr>
        <w:t xml:space="preserve"> </w:t>
      </w:r>
      <w:r w:rsidR="00561448">
        <w:rPr>
          <w:rFonts w:cs="Arial"/>
          <w:szCs w:val="20"/>
        </w:rPr>
        <w:t>SBS</w:t>
      </w:r>
      <w:r w:rsidR="00F81B2F">
        <w:rPr>
          <w:rFonts w:cs="Arial"/>
          <w:szCs w:val="20"/>
        </w:rPr>
        <w:t xml:space="preserve"> also a</w:t>
      </w:r>
      <w:r w:rsidRPr="0080448E">
        <w:rPr>
          <w:rFonts w:cs="Arial"/>
          <w:szCs w:val="20"/>
        </w:rPr>
        <w:t>gree</w:t>
      </w:r>
      <w:r w:rsidR="00F81B2F">
        <w:rPr>
          <w:rFonts w:cs="Arial"/>
          <w:szCs w:val="20"/>
        </w:rPr>
        <w:t>d that</w:t>
      </w:r>
      <w:r w:rsidRPr="0080448E">
        <w:rPr>
          <w:rFonts w:cs="Arial"/>
          <w:szCs w:val="20"/>
        </w:rPr>
        <w:t xml:space="preserve"> it is preferable to put UA on channel 51.</w:t>
      </w:r>
    </w:p>
    <w:p w:rsidR="00155F69" w:rsidRDefault="0080448E">
      <w:r w:rsidRPr="0080448E">
        <w:t>FreeTV</w:t>
      </w:r>
      <w:r w:rsidR="00BA70F0" w:rsidRPr="00233870">
        <w:t xml:space="preserve"> </w:t>
      </w:r>
      <w:r w:rsidR="00A55575" w:rsidRPr="00233870">
        <w:t xml:space="preserve">indicated qualified support for </w:t>
      </w:r>
      <w:r w:rsidR="00902EE3">
        <w:t>(draft) principle</w:t>
      </w:r>
      <w:r w:rsidR="00A55575" w:rsidRPr="00233870">
        <w:t xml:space="preserve"> 6. </w:t>
      </w:r>
      <w:r w:rsidR="004576F1" w:rsidRPr="00233870">
        <w:t>However, they proposed some revisions.</w:t>
      </w:r>
      <w:r w:rsidR="00E84DB4">
        <w:t xml:space="preserve"> </w:t>
      </w:r>
      <w:r w:rsidR="004576F1" w:rsidRPr="00233870">
        <w:t>They proposed</w:t>
      </w:r>
      <w:r w:rsidR="00BA70F0" w:rsidRPr="00233870">
        <w:t xml:space="preserve"> the following channel assignment: </w:t>
      </w:r>
      <w:r w:rsidRPr="0080448E">
        <w:t xml:space="preserve">ABC, Seven (or affiliate), Nine (or affiliate), Ten (or affiliate), SBS, unassigned. </w:t>
      </w:r>
      <w:r w:rsidR="00BA70F0" w:rsidRPr="00233870">
        <w:t>The</w:t>
      </w:r>
      <w:r w:rsidR="00A55575" w:rsidRPr="00233870">
        <w:t>ir</w:t>
      </w:r>
      <w:r w:rsidR="00BA70F0" w:rsidRPr="00233870">
        <w:t xml:space="preserve"> main reason</w:t>
      </w:r>
      <w:r w:rsidR="00A55575" w:rsidRPr="00233870">
        <w:t>ing</w:t>
      </w:r>
      <w:r w:rsidR="00BA70F0" w:rsidRPr="00233870">
        <w:t xml:space="preserve"> is due to off-air input feed issues.</w:t>
      </w:r>
      <w:r w:rsidR="00E84DB4">
        <w:t xml:space="preserve"> </w:t>
      </w:r>
      <w:r w:rsidRPr="0080448E">
        <w:t>They support putting the unassigned (UA) channel as a buffer at the top of each block to serve as a good planning principle. However, they stressed that it should be considered that at some stage the UA channel may be used.</w:t>
      </w:r>
      <w:r w:rsidR="00E84DB4">
        <w:t xml:space="preserve"> </w:t>
      </w:r>
      <w:r w:rsidRPr="0080448E">
        <w:t>They also support leaving channel 51 unassigned as an additional tool to mitigate potential interference issues, but they stress that the channel 51 should be protected to the same extent of any other channel.</w:t>
      </w:r>
    </w:p>
    <w:p w:rsidR="00BA70F0" w:rsidRPr="00233870" w:rsidRDefault="0080448E" w:rsidP="00202CC4">
      <w:pPr>
        <w:rPr>
          <w:rFonts w:cs="Arial"/>
          <w:szCs w:val="20"/>
        </w:rPr>
      </w:pPr>
      <w:r w:rsidRPr="0080448E">
        <w:rPr>
          <w:rFonts w:cs="Arial"/>
          <w:szCs w:val="20"/>
        </w:rPr>
        <w:t xml:space="preserve">In addition FreeTV proposed that </w:t>
      </w:r>
      <w:r w:rsidR="00902EE3">
        <w:rPr>
          <w:rFonts w:cs="Arial"/>
          <w:szCs w:val="20"/>
        </w:rPr>
        <w:t>(draft) principle</w:t>
      </w:r>
      <w:r w:rsidRPr="0080448E">
        <w:rPr>
          <w:rFonts w:cs="Arial"/>
          <w:szCs w:val="20"/>
        </w:rPr>
        <w:t xml:space="preserve"> 6 be revised to include the following </w:t>
      </w:r>
      <w:r w:rsidR="00032859">
        <w:rPr>
          <w:rFonts w:cs="Arial"/>
          <w:szCs w:val="20"/>
        </w:rPr>
        <w:t>‘</w:t>
      </w:r>
      <w:r w:rsidRPr="008A1BFE">
        <w:rPr>
          <w:rFonts w:cs="Arial"/>
          <w:szCs w:val="20"/>
        </w:rPr>
        <w:t>using the unassigned channel an interim buffer to manage block/band edge issues at either the top or bottom of the block (to assist with off air inputs adjacent to transmitted block).</w:t>
      </w:r>
      <w:r w:rsidR="00032859">
        <w:rPr>
          <w:rFonts w:cs="Arial"/>
          <w:szCs w:val="20"/>
        </w:rPr>
        <w:t>’</w:t>
      </w:r>
      <w:r w:rsidR="00BA70F0" w:rsidRPr="008A1BFE">
        <w:rPr>
          <w:rFonts w:cs="Arial"/>
          <w:szCs w:val="20"/>
        </w:rPr>
        <w:t xml:space="preserve"> </w:t>
      </w:r>
      <w:r w:rsidR="00202CC4" w:rsidRPr="008A1BFE">
        <w:rPr>
          <w:rFonts w:cs="Arial"/>
          <w:szCs w:val="20"/>
        </w:rPr>
        <w:t xml:space="preserve">In making this proposal they also deleted the text </w:t>
      </w:r>
      <w:r w:rsidR="00032859">
        <w:rPr>
          <w:rFonts w:cs="Arial"/>
          <w:szCs w:val="20"/>
        </w:rPr>
        <w:t>‘</w:t>
      </w:r>
      <w:r w:rsidRPr="008A1BFE">
        <w:rPr>
          <w:rFonts w:cs="Arial"/>
          <w:szCs w:val="20"/>
        </w:rPr>
        <w:t>using the unassigned channel to remove restack timing constraints and manage band edge interference potential</w:t>
      </w:r>
      <w:r w:rsidR="00032859">
        <w:rPr>
          <w:rFonts w:cs="Arial"/>
          <w:szCs w:val="20"/>
        </w:rPr>
        <w:t>’</w:t>
      </w:r>
      <w:r w:rsidR="00202CC4" w:rsidRPr="00233870">
        <w:rPr>
          <w:rFonts w:cs="Arial"/>
          <w:szCs w:val="20"/>
        </w:rPr>
        <w:t>.</w:t>
      </w:r>
    </w:p>
    <w:p w:rsidR="00202CC4" w:rsidRPr="00233870" w:rsidRDefault="0080448E" w:rsidP="00805090">
      <w:pPr>
        <w:rPr>
          <w:rFonts w:cs="Arial"/>
          <w:szCs w:val="20"/>
        </w:rPr>
      </w:pPr>
      <w:r w:rsidRPr="0080448E">
        <w:rPr>
          <w:rFonts w:cs="Arial"/>
          <w:b/>
          <w:szCs w:val="20"/>
        </w:rPr>
        <w:t>ACMA comment</w:t>
      </w:r>
      <w:r w:rsidRPr="0080448E">
        <w:rPr>
          <w:rFonts w:cs="Arial"/>
          <w:szCs w:val="20"/>
        </w:rPr>
        <w:t>: The ACMA agrees with Mr Brooks that the block E assignments be the same as other blocks</w:t>
      </w:r>
      <w:r w:rsidR="0068259B">
        <w:rPr>
          <w:rFonts w:cs="Arial"/>
          <w:szCs w:val="20"/>
        </w:rPr>
        <w:t>. This</w:t>
      </w:r>
      <w:r w:rsidRPr="0080448E">
        <w:rPr>
          <w:rFonts w:cs="Arial"/>
          <w:szCs w:val="20"/>
        </w:rPr>
        <w:t xml:space="preserve"> is why the unassigned channel </w:t>
      </w:r>
      <w:r w:rsidR="00032859">
        <w:rPr>
          <w:rFonts w:cs="Arial"/>
          <w:szCs w:val="20"/>
        </w:rPr>
        <w:t>was</w:t>
      </w:r>
      <w:r w:rsidR="00032859" w:rsidRPr="0080448E">
        <w:rPr>
          <w:rFonts w:cs="Arial"/>
          <w:szCs w:val="20"/>
        </w:rPr>
        <w:t xml:space="preserve"> </w:t>
      </w:r>
      <w:r w:rsidRPr="0080448E">
        <w:rPr>
          <w:rFonts w:cs="Arial"/>
          <w:szCs w:val="20"/>
        </w:rPr>
        <w:t xml:space="preserve">proposed to be at the top of all blocks, as </w:t>
      </w:r>
      <w:r w:rsidR="00233870">
        <w:rPr>
          <w:rFonts w:cs="Arial"/>
          <w:szCs w:val="20"/>
        </w:rPr>
        <w:t>the main</w:t>
      </w:r>
      <w:r w:rsidR="00666C2D" w:rsidRPr="00233870">
        <w:rPr>
          <w:rFonts w:cs="Arial"/>
          <w:szCs w:val="20"/>
        </w:rPr>
        <w:t xml:space="preserve"> aim of this is for channel 51 (at the top of block E) to be the unassigned channel.</w:t>
      </w:r>
      <w:r w:rsidR="00E84DB4">
        <w:rPr>
          <w:rFonts w:cs="Arial"/>
          <w:szCs w:val="20"/>
        </w:rPr>
        <w:t xml:space="preserve"> </w:t>
      </w:r>
      <w:r w:rsidR="007E43F2" w:rsidRPr="00233870">
        <w:rPr>
          <w:rFonts w:cs="Arial"/>
          <w:szCs w:val="20"/>
        </w:rPr>
        <w:t>It should be stressed however that the listed assignment order is only applied if no</w:t>
      </w:r>
      <w:r w:rsidRPr="0080448E">
        <w:rPr>
          <w:rFonts w:cs="Arial"/>
          <w:szCs w:val="20"/>
        </w:rPr>
        <w:t xml:space="preserve"> other more important considerations, such as avoiding off-air input issues, arise.</w:t>
      </w:r>
      <w:r w:rsidR="00E84DB4">
        <w:rPr>
          <w:rFonts w:cs="Arial"/>
          <w:szCs w:val="20"/>
        </w:rPr>
        <w:t xml:space="preserve"> </w:t>
      </w:r>
      <w:r w:rsidRPr="0080448E">
        <w:rPr>
          <w:rFonts w:cs="Arial"/>
          <w:szCs w:val="20"/>
        </w:rPr>
        <w:t>The FreeTV additional proposed text effectively duplicates the first UHF assignment principle of avoiding off-air input issues.</w:t>
      </w:r>
      <w:r w:rsidR="00E84DB4">
        <w:rPr>
          <w:rFonts w:cs="Arial"/>
          <w:szCs w:val="20"/>
        </w:rPr>
        <w:t xml:space="preserve"> </w:t>
      </w:r>
      <w:r w:rsidRPr="0080448E">
        <w:rPr>
          <w:rFonts w:cs="Arial"/>
          <w:szCs w:val="20"/>
        </w:rPr>
        <w:t xml:space="preserve">It also, perhaps inadvertently, deletes the third UHF assignment principle which proposes the use of the unassigned channel to </w:t>
      </w:r>
      <w:r w:rsidR="008C35AB">
        <w:rPr>
          <w:rFonts w:cs="Arial"/>
          <w:szCs w:val="20"/>
        </w:rPr>
        <w:t>avoid</w:t>
      </w:r>
      <w:r w:rsidR="008C35AB" w:rsidRPr="0080448E">
        <w:rPr>
          <w:rFonts w:cs="Arial"/>
          <w:szCs w:val="20"/>
        </w:rPr>
        <w:t xml:space="preserve"> </w:t>
      </w:r>
      <w:r w:rsidR="008C35AB">
        <w:rPr>
          <w:rFonts w:cs="Arial"/>
          <w:szCs w:val="20"/>
        </w:rPr>
        <w:t xml:space="preserve">creating </w:t>
      </w:r>
      <w:r w:rsidRPr="0080448E">
        <w:rPr>
          <w:rFonts w:cs="Arial"/>
          <w:szCs w:val="20"/>
        </w:rPr>
        <w:t>restack timing constraints.</w:t>
      </w:r>
      <w:r w:rsidR="00E84DB4">
        <w:rPr>
          <w:rFonts w:cs="Arial"/>
          <w:szCs w:val="20"/>
        </w:rPr>
        <w:t xml:space="preserve"> </w:t>
      </w:r>
      <w:r w:rsidRPr="0080448E">
        <w:rPr>
          <w:rFonts w:cs="Arial"/>
          <w:szCs w:val="20"/>
        </w:rPr>
        <w:t>This is a very important part of the principle as it assists in avoiding delays in the restack.</w:t>
      </w:r>
      <w:r w:rsidR="0068259B">
        <w:rPr>
          <w:rFonts w:cs="Arial"/>
          <w:szCs w:val="20"/>
        </w:rPr>
        <w:t xml:space="preserve"> </w:t>
      </w:r>
      <w:r w:rsidRPr="0080448E">
        <w:rPr>
          <w:rFonts w:cs="Arial"/>
          <w:szCs w:val="20"/>
        </w:rPr>
        <w:t>There was no clear rationale provided as to why FreeTV proposed that the ABC</w:t>
      </w:r>
      <w:r w:rsidR="008C35AB">
        <w:rPr>
          <w:rFonts w:cs="Arial"/>
          <w:szCs w:val="20"/>
        </w:rPr>
        <w:t>, rather than the SBS,</w:t>
      </w:r>
      <w:r w:rsidRPr="0080448E">
        <w:rPr>
          <w:rFonts w:cs="Arial"/>
          <w:szCs w:val="20"/>
        </w:rPr>
        <w:t xml:space="preserve"> should be at the </w:t>
      </w:r>
      <w:r w:rsidRPr="0080448E">
        <w:rPr>
          <w:rFonts w:cs="Arial"/>
          <w:szCs w:val="20"/>
        </w:rPr>
        <w:lastRenderedPageBreak/>
        <w:t>lower edge of the block.</w:t>
      </w:r>
      <w:r w:rsidR="0068259B">
        <w:rPr>
          <w:rFonts w:cs="Arial"/>
          <w:szCs w:val="20"/>
        </w:rPr>
        <w:t xml:space="preserve"> </w:t>
      </w:r>
      <w:r w:rsidRPr="0080448E">
        <w:rPr>
          <w:rFonts w:cs="Arial"/>
          <w:szCs w:val="20"/>
        </w:rPr>
        <w:t xml:space="preserve">The ACMA analysis presented in the discussion </w:t>
      </w:r>
      <w:r w:rsidR="0068259B">
        <w:rPr>
          <w:rFonts w:cs="Arial"/>
          <w:szCs w:val="20"/>
        </w:rPr>
        <w:t xml:space="preserve">paper </w:t>
      </w:r>
      <w:r w:rsidRPr="0080448E">
        <w:rPr>
          <w:rFonts w:cs="Arial"/>
          <w:szCs w:val="20"/>
        </w:rPr>
        <w:t xml:space="preserve">clearly indicated that SBS had fewer off air feeds and was the better option for a </w:t>
      </w:r>
      <w:r w:rsidR="00AE508C">
        <w:rPr>
          <w:rFonts w:cs="Arial"/>
          <w:szCs w:val="20"/>
        </w:rPr>
        <w:t xml:space="preserve">‘default’ </w:t>
      </w:r>
      <w:r w:rsidRPr="0080448E">
        <w:rPr>
          <w:rFonts w:cs="Arial"/>
          <w:szCs w:val="20"/>
        </w:rPr>
        <w:t>block edge assignment.</w:t>
      </w:r>
      <w:r w:rsidR="0068259B">
        <w:rPr>
          <w:rFonts w:cs="Arial"/>
          <w:szCs w:val="20"/>
        </w:rPr>
        <w:t xml:space="preserve"> </w:t>
      </w:r>
      <w:r w:rsidRPr="0080448E">
        <w:rPr>
          <w:rFonts w:cs="Arial"/>
          <w:szCs w:val="20"/>
        </w:rPr>
        <w:t>Nor was there a strong argument as to why the both national services should not be adjacent to each other.</w:t>
      </w:r>
    </w:p>
    <w:p w:rsidR="00B37E2A" w:rsidRDefault="00BA70F0" w:rsidP="001D0B5E">
      <w:pPr>
        <w:pStyle w:val="Principle"/>
      </w:pPr>
      <w:r>
        <w:t>Draft Principle 7</w:t>
      </w:r>
      <w:r w:rsidRPr="00260070">
        <w:t>:</w:t>
      </w:r>
      <w:r>
        <w:t xml:space="preserve"> </w:t>
      </w:r>
      <w:r w:rsidRPr="00D70395">
        <w:rPr>
          <w:b w:val="0"/>
        </w:rPr>
        <w:t xml:space="preserve">Avoid use of </w:t>
      </w:r>
      <w:r w:rsidR="00D70395" w:rsidRPr="00D70395">
        <w:rPr>
          <w:b w:val="0"/>
        </w:rPr>
        <w:t xml:space="preserve">block </w:t>
      </w:r>
      <w:r w:rsidRPr="00D70395">
        <w:rPr>
          <w:b w:val="0"/>
        </w:rPr>
        <w:t>B where there is no current or past use of UHF Band IV channels. Where this cannot be avoided, minimise the total population affected.</w:t>
      </w:r>
    </w:p>
    <w:p w:rsidR="00BA70F0" w:rsidRDefault="008A1BFE" w:rsidP="00BA70F0">
      <w:r>
        <w:t>Mr Brooks a</w:t>
      </w:r>
      <w:r w:rsidR="00BA70F0">
        <w:t>gree</w:t>
      </w:r>
      <w:r>
        <w:t>d with this principle, adding that</w:t>
      </w:r>
      <w:r w:rsidR="00C1765B">
        <w:t xml:space="preserve"> i</w:t>
      </w:r>
      <w:r w:rsidR="00BA70F0">
        <w:t xml:space="preserve">n his experience Band V UHF </w:t>
      </w:r>
      <w:proofErr w:type="spellStart"/>
      <w:r w:rsidR="00BA70F0">
        <w:t>yagi</w:t>
      </w:r>
      <w:proofErr w:type="spellEnd"/>
      <w:r w:rsidR="0068259B">
        <w:t xml:space="preserve"> antenna</w:t>
      </w:r>
      <w:r w:rsidR="00BA70F0">
        <w:t xml:space="preserve">s don’t perform well </w:t>
      </w:r>
      <w:r w:rsidR="00C1765B">
        <w:t>on lower Band IV channels.</w:t>
      </w:r>
    </w:p>
    <w:p w:rsidR="00BA70F0" w:rsidRPr="00260070" w:rsidRDefault="00353CAA" w:rsidP="00BA70F0">
      <w:r>
        <w:t>SBS also</w:t>
      </w:r>
      <w:r w:rsidR="00BA70F0">
        <w:t xml:space="preserve"> </w:t>
      </w:r>
      <w:r>
        <w:t xml:space="preserve">indicated </w:t>
      </w:r>
      <w:r w:rsidR="00BA70F0">
        <w:t>agree</w:t>
      </w:r>
      <w:r>
        <w:t>ment with this principle.</w:t>
      </w:r>
    </w:p>
    <w:p w:rsidR="00155F69" w:rsidRDefault="00355853">
      <w:proofErr w:type="spellStart"/>
      <w:r w:rsidRPr="00355853">
        <w:t>FreeTV’s</w:t>
      </w:r>
      <w:proofErr w:type="spellEnd"/>
      <w:r w:rsidRPr="00355853">
        <w:t xml:space="preserve"> submission </w:t>
      </w:r>
      <w:r w:rsidR="00C10C2E">
        <w:t>supported this principle but added</w:t>
      </w:r>
      <w:r w:rsidR="00BA70F0" w:rsidRPr="00C10C2E">
        <w:t xml:space="preserve"> </w:t>
      </w:r>
      <w:r w:rsidR="00427755">
        <w:t>‘</w:t>
      </w:r>
      <w:r w:rsidR="00BA70F0" w:rsidRPr="00C10C2E">
        <w:t>the proposed restriction on</w:t>
      </w:r>
      <w:r w:rsidR="00C10C2E">
        <w:t xml:space="preserve"> using b</w:t>
      </w:r>
      <w:r w:rsidR="00BA70F0">
        <w:t>lock B should be analysed on a case by case, area by area basis.</w:t>
      </w:r>
      <w:r w:rsidR="00E84DB4">
        <w:t xml:space="preserve"> </w:t>
      </w:r>
      <w:r w:rsidR="00BA70F0">
        <w:t>There may be some difficulty in finding alternate spectrum in some spectrum congested areas and i</w:t>
      </w:r>
      <w:r w:rsidR="00C10C2E">
        <w:t>t may be necessary to consider b</w:t>
      </w:r>
      <w:r w:rsidR="00BA70F0">
        <w:t>lock B in these areas notwithstanding the potential viewer impact.</w:t>
      </w:r>
      <w:r w:rsidR="00E84DB4">
        <w:t xml:space="preserve"> </w:t>
      </w:r>
      <w:r w:rsidR="00BA70F0">
        <w:t>This includes current DTTB services allocated in upper Band V, such as Coffs Harbour, Roc</w:t>
      </w:r>
      <w:r w:rsidR="00C10C2E">
        <w:t>khampton and Rosebud.</w:t>
      </w:r>
      <w:r w:rsidR="00427755">
        <w:t>’</w:t>
      </w:r>
    </w:p>
    <w:p w:rsidR="00BA70F0" w:rsidRDefault="0054784E" w:rsidP="00BA70F0">
      <w:pPr>
        <w:spacing w:before="240"/>
      </w:pPr>
      <w:r>
        <w:t>ADSIF agreed</w:t>
      </w:r>
      <w:r w:rsidR="00BA70F0">
        <w:t xml:space="preserve"> with the ACMA’s concerns about use of channels </w:t>
      </w:r>
      <w:r w:rsidR="00427755">
        <w:t>‘</w:t>
      </w:r>
      <w:r w:rsidR="00BA70F0">
        <w:t>in the lower parts of the UHF bands</w:t>
      </w:r>
      <w:r w:rsidR="00427755">
        <w:t>’</w:t>
      </w:r>
      <w:r>
        <w:t>.</w:t>
      </w:r>
      <w:r w:rsidR="00BA70F0">
        <w:t xml:space="preserve"> </w:t>
      </w:r>
    </w:p>
    <w:p w:rsidR="00BA70F0" w:rsidRDefault="0054784E" w:rsidP="00BA70F0">
      <w:pPr>
        <w:spacing w:before="240"/>
      </w:pPr>
      <w:r>
        <w:t xml:space="preserve">Mr </w:t>
      </w:r>
      <w:r w:rsidR="00BA70F0">
        <w:t>Hughes</w:t>
      </w:r>
      <w:r>
        <w:t>’ in his submission i</w:t>
      </w:r>
      <w:r w:rsidR="00BA70F0">
        <w:t>dent</w:t>
      </w:r>
      <w:r>
        <w:t>ified</w:t>
      </w:r>
      <w:r w:rsidR="00BA70F0">
        <w:t xml:space="preserve"> locations where </w:t>
      </w:r>
      <w:r>
        <w:t>he considered that b</w:t>
      </w:r>
      <w:r w:rsidR="00BA70F0">
        <w:t>lock B or C could be used.</w:t>
      </w:r>
      <w:r w:rsidR="00E84DB4">
        <w:t xml:space="preserve"> </w:t>
      </w:r>
      <w:r>
        <w:t>He suggested to use block C rather than b</w:t>
      </w:r>
      <w:r w:rsidR="00BA70F0">
        <w:t xml:space="preserve">lock B </w:t>
      </w:r>
      <w:r>
        <w:t xml:space="preserve">in some areas </w:t>
      </w:r>
      <w:r w:rsidR="008C35AB">
        <w:t xml:space="preserve">but </w:t>
      </w:r>
      <w:r>
        <w:t>did</w:t>
      </w:r>
      <w:r w:rsidR="00BA70F0">
        <w:t xml:space="preserve"> not provide a clear rationale.</w:t>
      </w:r>
    </w:p>
    <w:p w:rsidR="000B4F8F" w:rsidRPr="00260070" w:rsidRDefault="00355853" w:rsidP="00BA70F0">
      <w:pPr>
        <w:spacing w:before="240"/>
      </w:pPr>
      <w:r w:rsidRPr="00355853">
        <w:rPr>
          <w:b/>
        </w:rPr>
        <w:t>ACMA comment:</w:t>
      </w:r>
      <w:r w:rsidR="00E84DB4">
        <w:t xml:space="preserve"> </w:t>
      </w:r>
      <w:r w:rsidR="000B4F8F">
        <w:t>The ACMA notes general support for this principle.</w:t>
      </w:r>
      <w:r w:rsidR="00E84DB4">
        <w:t xml:space="preserve"> </w:t>
      </w:r>
      <w:r w:rsidR="00D236F6">
        <w:t>With respect to</w:t>
      </w:r>
      <w:r w:rsidR="000B4F8F">
        <w:t xml:space="preserve"> </w:t>
      </w:r>
      <w:proofErr w:type="spellStart"/>
      <w:r w:rsidR="00A779B5">
        <w:t>FreeTV</w:t>
      </w:r>
      <w:r w:rsidR="000B4F8F">
        <w:t>’s</w:t>
      </w:r>
      <w:proofErr w:type="spellEnd"/>
      <w:r w:rsidR="000B4F8F">
        <w:t xml:space="preserve"> comment the second sentence of the principle provide</w:t>
      </w:r>
      <w:r w:rsidR="00D236F6">
        <w:t>s</w:t>
      </w:r>
      <w:r w:rsidR="000B4F8F">
        <w:t xml:space="preserve"> some flexibility </w:t>
      </w:r>
      <w:r w:rsidR="004E7DCB">
        <w:t xml:space="preserve">and guidance for addressing </w:t>
      </w:r>
      <w:r w:rsidR="008A1BFE">
        <w:t>issues</w:t>
      </w:r>
      <w:r w:rsidR="004E7DCB">
        <w:t xml:space="preserve"> that might arise </w:t>
      </w:r>
      <w:r w:rsidR="000B4F8F">
        <w:t xml:space="preserve">in </w:t>
      </w:r>
      <w:r w:rsidR="00D236F6">
        <w:t>more spectrum congested areas.</w:t>
      </w:r>
    </w:p>
    <w:p w:rsidR="00B37E2A" w:rsidRDefault="00BA70F0" w:rsidP="001D0B5E">
      <w:pPr>
        <w:pStyle w:val="Principle"/>
      </w:pPr>
      <w:r>
        <w:t>Draft Principle 8</w:t>
      </w:r>
      <w:r w:rsidRPr="00260070">
        <w:t>:</w:t>
      </w:r>
      <w:r>
        <w:t xml:space="preserve"> </w:t>
      </w:r>
      <w:r w:rsidRPr="00D70395">
        <w:rPr>
          <w:b w:val="0"/>
        </w:rPr>
        <w:t>In selecting the channel block for a transmission site, consider the channels used by existing digital services and any information available on the operating frequency range of broadcaster transmission equipment.</w:t>
      </w:r>
    </w:p>
    <w:p w:rsidR="006313CF" w:rsidRPr="00260070" w:rsidRDefault="006313CF" w:rsidP="006313CF">
      <w:r>
        <w:t>SBS indicated agreement with this principle.</w:t>
      </w:r>
    </w:p>
    <w:p w:rsidR="005A539A" w:rsidRDefault="00AF5BF9">
      <w:r>
        <w:t>Mr Brooks</w:t>
      </w:r>
      <w:r w:rsidR="00BA70F0">
        <w:t xml:space="preserve"> agree</w:t>
      </w:r>
      <w:r>
        <w:t>d</w:t>
      </w:r>
      <w:r w:rsidR="00BA70F0">
        <w:t xml:space="preserve">, but </w:t>
      </w:r>
      <w:r>
        <w:t xml:space="preserve">indicated he considered </w:t>
      </w:r>
      <w:r w:rsidR="00902EE3">
        <w:t>(draft) principle</w:t>
      </w:r>
      <w:r w:rsidR="00BA70F0">
        <w:t xml:space="preserve"> 7 </w:t>
      </w:r>
      <w:r>
        <w:t>to be</w:t>
      </w:r>
      <w:r w:rsidR="00BA70F0">
        <w:t xml:space="preserve"> more important</w:t>
      </w:r>
      <w:r>
        <w:t>.</w:t>
      </w:r>
    </w:p>
    <w:p w:rsidR="00155F69" w:rsidRDefault="00355853">
      <w:r w:rsidRPr="00355853">
        <w:t xml:space="preserve">FreeTV </w:t>
      </w:r>
      <w:r w:rsidR="00BA70F0" w:rsidRPr="00AF5BF9">
        <w:t xml:space="preserve">supports this principle as it is consistent with the methodology applied </w:t>
      </w:r>
      <w:r w:rsidR="006313CF">
        <w:t>by FreeTV in</w:t>
      </w:r>
      <w:r w:rsidR="00BA70F0" w:rsidRPr="00AF5BF9">
        <w:t xml:space="preserve"> the</w:t>
      </w:r>
      <w:r w:rsidR="006313CF">
        <w:t xml:space="preserve"> development of ‘block restack model’</w:t>
      </w:r>
      <w:r w:rsidR="00BA70F0">
        <w:t>.</w:t>
      </w:r>
      <w:r w:rsidR="00E84DB4">
        <w:t xml:space="preserve"> </w:t>
      </w:r>
      <w:r w:rsidR="006313CF">
        <w:t>FreeTV also added that t</w:t>
      </w:r>
      <w:r w:rsidR="00BA70F0">
        <w:t xml:space="preserve">his principle needs to be implemented through a thorough area-by-area analysis of </w:t>
      </w:r>
      <w:proofErr w:type="gramStart"/>
      <w:r w:rsidR="00BA70F0">
        <w:t>the transmit</w:t>
      </w:r>
      <w:proofErr w:type="gramEnd"/>
      <w:r w:rsidR="00BA70F0">
        <w:t xml:space="preserve"> and r</w:t>
      </w:r>
      <w:r w:rsidR="006313CF">
        <w:t>eceive antennas.</w:t>
      </w:r>
    </w:p>
    <w:p w:rsidR="005A539A" w:rsidRDefault="00AF5BF9">
      <w:r>
        <w:t xml:space="preserve">Mr Hughes </w:t>
      </w:r>
      <w:r w:rsidR="006313CF">
        <w:t>agreed that the principle would minimise broadcaster costs but added that t</w:t>
      </w:r>
      <w:r w:rsidR="007A63F3">
        <w:t>h</w:t>
      </w:r>
      <w:r w:rsidR="006313CF">
        <w:t>is should not override a logical series of block allocations which will minimise interfe</w:t>
      </w:r>
      <w:r w:rsidR="00DF7577">
        <w:t>rence.</w:t>
      </w:r>
      <w:r w:rsidR="00E84DB4">
        <w:t xml:space="preserve"> </w:t>
      </w:r>
      <w:r w:rsidR="006313CF">
        <w:t xml:space="preserve">He </w:t>
      </w:r>
      <w:r w:rsidR="00DF7577">
        <w:t xml:space="preserve">also proposed </w:t>
      </w:r>
      <w:r w:rsidR="00BA70F0">
        <w:t xml:space="preserve">that </w:t>
      </w:r>
      <w:r w:rsidR="00DF7577">
        <w:t xml:space="preserve">this principle include a statement that the existing </w:t>
      </w:r>
      <w:r w:rsidR="00BA70F0">
        <w:t xml:space="preserve">polarisation </w:t>
      </w:r>
      <w:r w:rsidR="00DF7577">
        <w:t xml:space="preserve">of transmissions </w:t>
      </w:r>
      <w:r w:rsidR="00BA70F0">
        <w:t>should not be changed.</w:t>
      </w:r>
    </w:p>
    <w:p w:rsidR="005A539A" w:rsidRDefault="00355853">
      <w:r w:rsidRPr="00355853">
        <w:rPr>
          <w:b/>
        </w:rPr>
        <w:t>ACMA comment:</w:t>
      </w:r>
      <w:r w:rsidR="00E84DB4">
        <w:t xml:space="preserve"> </w:t>
      </w:r>
      <w:r w:rsidR="00500F6A">
        <w:t>T</w:t>
      </w:r>
      <w:r w:rsidR="004E7DCB">
        <w:t xml:space="preserve">he ACMA </w:t>
      </w:r>
      <w:r w:rsidR="00D236F6">
        <w:t>agree</w:t>
      </w:r>
      <w:r w:rsidR="004E7DCB">
        <w:t>s</w:t>
      </w:r>
      <w:r w:rsidR="00D236F6">
        <w:t xml:space="preserve"> </w:t>
      </w:r>
      <w:r w:rsidR="00AF5BF9">
        <w:t xml:space="preserve">with Mr Brooks </w:t>
      </w:r>
      <w:r w:rsidR="00D236F6">
        <w:t xml:space="preserve">that viewer antenna issues </w:t>
      </w:r>
      <w:r w:rsidR="007A63F3">
        <w:t>sh</w:t>
      </w:r>
      <w:r w:rsidR="00D236F6">
        <w:t xml:space="preserve">ould </w:t>
      </w:r>
      <w:r w:rsidR="0068259B">
        <w:t xml:space="preserve">generally </w:t>
      </w:r>
      <w:r w:rsidR="00D236F6">
        <w:t>take precedence over broadcaster infrastructure limitations</w:t>
      </w:r>
      <w:r w:rsidR="00DF7577">
        <w:t>, even to the point where this may increase broadcaster costs through having to make more channel changes</w:t>
      </w:r>
      <w:r w:rsidR="00002309">
        <w:t>.</w:t>
      </w:r>
      <w:r w:rsidR="00E84DB4">
        <w:t xml:space="preserve"> </w:t>
      </w:r>
      <w:r w:rsidR="00DF7577">
        <w:t>The ACMA also agrees with Mr Hughes that it would not be acceptable to change the polarisation of existing transmissions.</w:t>
      </w:r>
    </w:p>
    <w:p w:rsidR="00B37E2A" w:rsidRPr="00D70395" w:rsidRDefault="00BA70F0" w:rsidP="001D0B5E">
      <w:pPr>
        <w:pStyle w:val="Principle"/>
        <w:rPr>
          <w:b w:val="0"/>
        </w:rPr>
      </w:pPr>
      <w:r>
        <w:lastRenderedPageBreak/>
        <w:t>Draft Principle 9</w:t>
      </w:r>
      <w:r w:rsidRPr="00260070">
        <w:t>:</w:t>
      </w:r>
      <w:r>
        <w:t xml:space="preserve"> </w:t>
      </w:r>
      <w:r w:rsidRPr="00D70395">
        <w:rPr>
          <w:b w:val="0"/>
        </w:rPr>
        <w:t>Break up wide area single frequency networks (SFNs) known to have associated reception problems and minimise use of new SFNs where possible.</w:t>
      </w:r>
    </w:p>
    <w:p w:rsidR="005A539A" w:rsidRDefault="00500F6A">
      <w:r>
        <w:t xml:space="preserve">The </w:t>
      </w:r>
      <w:r w:rsidR="00BA70F0">
        <w:t xml:space="preserve">ABC </w:t>
      </w:r>
      <w:r>
        <w:t xml:space="preserve">indicated that it </w:t>
      </w:r>
      <w:r w:rsidR="00BA70F0">
        <w:t>sees restack as an opportunity to improve reception for viewers who reside in SFN areas.</w:t>
      </w:r>
    </w:p>
    <w:p w:rsidR="005A539A" w:rsidRDefault="00BA70F0">
      <w:r>
        <w:t xml:space="preserve">SBS </w:t>
      </w:r>
      <w:r w:rsidR="00500F6A">
        <w:t>indicated that it</w:t>
      </w:r>
      <w:r>
        <w:t xml:space="preserve"> does not oppose SFNs but cautions that they need</w:t>
      </w:r>
      <w:r w:rsidR="00500F6A">
        <w:t xml:space="preserve"> careful planning.</w:t>
      </w:r>
    </w:p>
    <w:p w:rsidR="00155F69" w:rsidRPr="00561448" w:rsidRDefault="00355853">
      <w:pPr>
        <w:rPr>
          <w:szCs w:val="20"/>
        </w:rPr>
      </w:pPr>
      <w:r w:rsidRPr="00561448">
        <w:rPr>
          <w:szCs w:val="20"/>
        </w:rPr>
        <w:t xml:space="preserve">FreeTV </w:t>
      </w:r>
      <w:r w:rsidR="000E71BD" w:rsidRPr="00561448">
        <w:rPr>
          <w:szCs w:val="20"/>
        </w:rPr>
        <w:t xml:space="preserve">also indicated support for </w:t>
      </w:r>
      <w:r w:rsidR="00902EE3">
        <w:rPr>
          <w:szCs w:val="20"/>
        </w:rPr>
        <w:t>(draft) principle</w:t>
      </w:r>
      <w:r w:rsidR="00BA70F0" w:rsidRPr="00561448">
        <w:rPr>
          <w:szCs w:val="20"/>
        </w:rPr>
        <w:t xml:space="preserve"> 9 as </w:t>
      </w:r>
      <w:r w:rsidR="000E71BD" w:rsidRPr="00561448">
        <w:rPr>
          <w:szCs w:val="20"/>
        </w:rPr>
        <w:t>‘</w:t>
      </w:r>
      <w:r w:rsidR="00BA70F0" w:rsidRPr="00561448">
        <w:rPr>
          <w:szCs w:val="20"/>
        </w:rPr>
        <w:t>it acknowledges the need to break up wide</w:t>
      </w:r>
      <w:r w:rsidR="000E71BD" w:rsidRPr="00561448">
        <w:rPr>
          <w:szCs w:val="20"/>
        </w:rPr>
        <w:t xml:space="preserve"> </w:t>
      </w:r>
      <w:r w:rsidR="00BA70F0" w:rsidRPr="00561448">
        <w:rPr>
          <w:szCs w:val="20"/>
        </w:rPr>
        <w:t>area SFNs to resolve long-standing reception issues</w:t>
      </w:r>
      <w:r w:rsidR="000E71BD" w:rsidRPr="00561448">
        <w:rPr>
          <w:szCs w:val="20"/>
        </w:rPr>
        <w:t>’</w:t>
      </w:r>
      <w:r w:rsidR="00BA70F0" w:rsidRPr="00561448">
        <w:rPr>
          <w:szCs w:val="20"/>
        </w:rPr>
        <w:t>.</w:t>
      </w:r>
    </w:p>
    <w:p w:rsidR="005A539A" w:rsidRPr="00561448" w:rsidRDefault="00355853">
      <w:pPr>
        <w:rPr>
          <w:rFonts w:cs="Arial"/>
          <w:szCs w:val="20"/>
        </w:rPr>
      </w:pPr>
      <w:r w:rsidRPr="00561448">
        <w:rPr>
          <w:rFonts w:cs="Arial"/>
          <w:b/>
          <w:szCs w:val="20"/>
        </w:rPr>
        <w:t>ACMA comment:</w:t>
      </w:r>
      <w:r w:rsidRPr="00561448">
        <w:rPr>
          <w:rFonts w:cs="Arial"/>
          <w:szCs w:val="20"/>
        </w:rPr>
        <w:t xml:space="preserve"> The ACMA notes ge</w:t>
      </w:r>
      <w:r w:rsidR="00AE508C">
        <w:rPr>
          <w:rFonts w:cs="Arial"/>
          <w:szCs w:val="20"/>
        </w:rPr>
        <w:t>neral support for the principle</w:t>
      </w:r>
      <w:r w:rsidRPr="00561448">
        <w:rPr>
          <w:rFonts w:cs="Arial"/>
          <w:szCs w:val="20"/>
        </w:rPr>
        <w:t>.</w:t>
      </w:r>
    </w:p>
    <w:p w:rsidR="00B37E2A" w:rsidRDefault="00BA70F0" w:rsidP="001D0B5E">
      <w:pPr>
        <w:pStyle w:val="Principle"/>
      </w:pPr>
      <w:r>
        <w:t>Draft Principle 10</w:t>
      </w:r>
      <w:r w:rsidRPr="00260070">
        <w:t>:</w:t>
      </w:r>
      <w:r>
        <w:t xml:space="preserve"> </w:t>
      </w:r>
      <w:r w:rsidRPr="00D70395">
        <w:rPr>
          <w:b w:val="0"/>
        </w:rPr>
        <w:t xml:space="preserve">Plan on the basis of broadcasters using the DVB-T standard with transmission parameters of 8k, 64QAM, 3/4 forward error correction (FEC) and 1/16 guard interval. </w:t>
      </w:r>
    </w:p>
    <w:p w:rsidR="005A539A" w:rsidRDefault="00AF5BF9">
      <w:r>
        <w:t xml:space="preserve">Mr Brooks </w:t>
      </w:r>
      <w:r w:rsidR="00105560">
        <w:t>agreed that the planning parameters should be based on real operating parameters</w:t>
      </w:r>
      <w:r w:rsidR="008D4F13">
        <w:t xml:space="preserve">; </w:t>
      </w:r>
      <w:r w:rsidR="00105560">
        <w:t>however, he considered the</w:t>
      </w:r>
      <w:r w:rsidR="00BA70F0">
        <w:t xml:space="preserve"> current use of 1/16 guard interval should be reviewed.</w:t>
      </w:r>
      <w:r w:rsidR="00E84DB4">
        <w:t xml:space="preserve"> </w:t>
      </w:r>
      <w:r w:rsidR="00521DEF">
        <w:t>He suggested</w:t>
      </w:r>
      <w:r w:rsidR="00A05468">
        <w:t xml:space="preserve"> that i</w:t>
      </w:r>
      <w:r w:rsidR="00BA70F0">
        <w:t>f more efficient spectrum use can be achi</w:t>
      </w:r>
      <w:r w:rsidR="00A05468">
        <w:t xml:space="preserve">eved with </w:t>
      </w:r>
      <w:r w:rsidR="00521DEF">
        <w:t xml:space="preserve">a </w:t>
      </w:r>
      <w:r w:rsidR="00A05468">
        <w:t>1/8 guard interval the</w:t>
      </w:r>
      <w:r w:rsidR="00BA70F0">
        <w:t>n consider</w:t>
      </w:r>
      <w:r w:rsidR="00A05468">
        <w:t>ation should be given to</w:t>
      </w:r>
      <w:r w:rsidR="00BA70F0">
        <w:t xml:space="preserve"> legislating to enforce it.</w:t>
      </w:r>
    </w:p>
    <w:p w:rsidR="005A539A" w:rsidRDefault="00521DEF">
      <w:r>
        <w:t xml:space="preserve">SBS strongly agreed with </w:t>
      </w:r>
      <w:r w:rsidR="00902EE3">
        <w:t>(draft) principle</w:t>
      </w:r>
      <w:r>
        <w:t xml:space="preserve"> 10 (subject to </w:t>
      </w:r>
      <w:r w:rsidR="00902EE3">
        <w:t>(draft) principle</w:t>
      </w:r>
      <w:r w:rsidR="00BA70F0">
        <w:t xml:space="preserve"> 11 being confirmed).</w:t>
      </w:r>
      <w:r w:rsidR="00E84DB4">
        <w:t xml:space="preserve"> </w:t>
      </w:r>
      <w:r>
        <w:t>SBS considered that now is the time to review the minimum field strength</w:t>
      </w:r>
      <w:r w:rsidR="00BA70F0">
        <w:t xml:space="preserve"> </w:t>
      </w:r>
      <w:r w:rsidR="008D4F13">
        <w:t xml:space="preserve">and </w:t>
      </w:r>
      <w:r>
        <w:t xml:space="preserve">said it </w:t>
      </w:r>
      <w:r w:rsidR="00BA70F0">
        <w:t>looks forward to technical sub-groups work on review</w:t>
      </w:r>
      <w:r w:rsidR="008D4F13">
        <w:t>ing</w:t>
      </w:r>
      <w:r w:rsidR="00BA70F0">
        <w:t xml:space="preserve"> </w:t>
      </w:r>
      <w:r>
        <w:t>this</w:t>
      </w:r>
      <w:r w:rsidR="00BA70F0">
        <w:t>.</w:t>
      </w:r>
    </w:p>
    <w:p w:rsidR="005A539A" w:rsidRDefault="000E71BD">
      <w:r>
        <w:t xml:space="preserve">In its submission </w:t>
      </w:r>
      <w:r w:rsidR="00A779B5">
        <w:t>FreeTV</w:t>
      </w:r>
      <w:r>
        <w:t xml:space="preserve"> welcomed</w:t>
      </w:r>
      <w:r w:rsidR="00BA70F0" w:rsidRPr="00AF5BF9">
        <w:t xml:space="preserve"> the proposed transmission parameters but their position regarding the </w:t>
      </w:r>
      <w:proofErr w:type="spellStart"/>
      <w:r w:rsidR="00BA70F0" w:rsidRPr="00AF5BF9">
        <w:t>E</w:t>
      </w:r>
      <w:r w:rsidR="00BA70F0" w:rsidRPr="00AF5BF9">
        <w:rPr>
          <w:vertAlign w:val="subscript"/>
        </w:rPr>
        <w:t>min</w:t>
      </w:r>
      <w:proofErr w:type="spellEnd"/>
      <w:r w:rsidR="00BA70F0" w:rsidRPr="00AF5BF9">
        <w:t xml:space="preserve"> </w:t>
      </w:r>
      <w:r>
        <w:t>was</w:t>
      </w:r>
      <w:r w:rsidR="00BA70F0" w:rsidRPr="00AF5BF9">
        <w:t xml:space="preserve"> not clear.</w:t>
      </w:r>
      <w:r w:rsidR="00E84DB4">
        <w:t xml:space="preserve"> </w:t>
      </w:r>
      <w:r w:rsidR="00A779B5">
        <w:t>FreeTV</w:t>
      </w:r>
      <w:r w:rsidR="00BA70F0">
        <w:t xml:space="preserve"> propose</w:t>
      </w:r>
      <w:r>
        <w:t>d tha</w:t>
      </w:r>
      <w:r w:rsidR="00C85A7B">
        <w:t>t</w:t>
      </w:r>
      <w:r w:rsidR="00BA70F0">
        <w:t xml:space="preserve"> </w:t>
      </w:r>
      <w:r w:rsidR="00C85A7B">
        <w:t xml:space="preserve">a (co-channel) </w:t>
      </w:r>
      <w:r w:rsidR="00BA70F0">
        <w:t>protection ratio of 22 dB</w:t>
      </w:r>
      <w:r w:rsidR="00C85A7B">
        <w:t xml:space="preserve"> be adopted and noting that as the ACMA had proposed a value of 21 dB suggested further consultation to finalise this matter</w:t>
      </w:r>
      <w:r w:rsidR="00BA70F0">
        <w:t>.</w:t>
      </w:r>
    </w:p>
    <w:p w:rsidR="005A539A" w:rsidRDefault="00AF5BF9">
      <w:r>
        <w:t xml:space="preserve">Mr Hughes </w:t>
      </w:r>
      <w:r w:rsidR="000758B8">
        <w:t xml:space="preserve">stated </w:t>
      </w:r>
      <w:r w:rsidR="00427755">
        <w:t>‘</w:t>
      </w:r>
      <w:r w:rsidR="000758B8">
        <w:t>...it is dangerous not to keep in mind what the equivalent performance is in DVB-T2 which will eventually come and is capable of a much wider range of configurations and data rate/ noise performance trade-offs.</w:t>
      </w:r>
      <w:r w:rsidR="00427755">
        <w:t>’</w:t>
      </w:r>
      <w:r w:rsidR="000758B8" w:rsidDel="000758B8">
        <w:t xml:space="preserve"> </w:t>
      </w:r>
    </w:p>
    <w:p w:rsidR="005A539A" w:rsidRDefault="00355853">
      <w:r w:rsidRPr="00355853">
        <w:rPr>
          <w:b/>
        </w:rPr>
        <w:t>ACMA comment:</w:t>
      </w:r>
      <w:r w:rsidR="00D236F6">
        <w:t xml:space="preserve"> </w:t>
      </w:r>
      <w:r w:rsidR="004E7DCB">
        <w:t>N</w:t>
      </w:r>
      <w:r w:rsidR="00D236F6">
        <w:t>o clear support or clear consensus for an alternative position</w:t>
      </w:r>
      <w:r w:rsidR="004E7DCB">
        <w:t xml:space="preserve"> was </w:t>
      </w:r>
      <w:r w:rsidR="004E7DCB" w:rsidRPr="00105560">
        <w:t xml:space="preserve">provided </w:t>
      </w:r>
      <w:r w:rsidR="002A2E9C">
        <w:t xml:space="preserve">in the comments received. </w:t>
      </w:r>
      <w:r w:rsidR="004E7DCB" w:rsidRPr="00105560">
        <w:t>Some respondents indicated a desire for further study</w:t>
      </w:r>
      <w:r w:rsidR="00514B25" w:rsidRPr="00105560">
        <w:t xml:space="preserve"> on</w:t>
      </w:r>
      <w:r w:rsidR="00514B25">
        <w:t xml:space="preserve"> this topic</w:t>
      </w:r>
      <w:r w:rsidR="002A2E9C">
        <w:t xml:space="preserve">. </w:t>
      </w:r>
      <w:r w:rsidR="00105560">
        <w:t xml:space="preserve">Overall, the effect of the changes proposed by the ACMA </w:t>
      </w:r>
      <w:r w:rsidR="00D454EF">
        <w:t>did not represent a major change</w:t>
      </w:r>
      <w:r w:rsidR="00105560">
        <w:t xml:space="preserve"> to the current planning parameters and amount mostly to differences of</w:t>
      </w:r>
      <w:r w:rsidR="002A2E9C">
        <w:t xml:space="preserve"> a few dB or less. </w:t>
      </w:r>
      <w:r w:rsidR="00AC08CE">
        <w:t>Further discussion on the general topic of technical planning parameters is included under section 5.2.</w:t>
      </w:r>
    </w:p>
    <w:p w:rsidR="00B37E2A" w:rsidRPr="00D70395" w:rsidRDefault="00BA70F0" w:rsidP="001D0B5E">
      <w:pPr>
        <w:pStyle w:val="Principle"/>
        <w:rPr>
          <w:b w:val="0"/>
        </w:rPr>
      </w:pPr>
      <w:r>
        <w:t>Draft Principle 11</w:t>
      </w:r>
      <w:r w:rsidRPr="00260070">
        <w:t>:</w:t>
      </w:r>
      <w:r>
        <w:t xml:space="preserve"> </w:t>
      </w:r>
      <w:r w:rsidRPr="00D70395">
        <w:rPr>
          <w:b w:val="0"/>
        </w:rPr>
        <w:t>Equalise transmissions across all broadcasters as far as practicable through planning on the basis of equal ERP levels, identical antenna patterns, closely sited transmitters and all broadcasters having the same SFN arrangement.</w:t>
      </w:r>
    </w:p>
    <w:p w:rsidR="005A539A" w:rsidRDefault="00144155">
      <w:r>
        <w:t xml:space="preserve">The </w:t>
      </w:r>
      <w:r w:rsidR="00BA70F0">
        <w:t>ABC</w:t>
      </w:r>
      <w:r>
        <w:t xml:space="preserve"> made a number of comments but did not directly address any of the </w:t>
      </w:r>
      <w:r w:rsidR="00D454EF">
        <w:t xml:space="preserve">proposed </w:t>
      </w:r>
      <w:r w:rsidR="002A2E9C">
        <w:t>planning principles.</w:t>
      </w:r>
      <w:r>
        <w:t xml:space="preserve"> </w:t>
      </w:r>
      <w:r w:rsidR="00D454EF">
        <w:t>In general c</w:t>
      </w:r>
      <w:r>
        <w:t xml:space="preserve">omments </w:t>
      </w:r>
      <w:r w:rsidR="00D454EF">
        <w:t xml:space="preserve">that were </w:t>
      </w:r>
      <w:r>
        <w:t>relevant to this principle the ABC stated ‘it is of</w:t>
      </w:r>
      <w:r w:rsidR="00BA70F0">
        <w:t xml:space="preserve"> critical importance</w:t>
      </w:r>
      <w:r>
        <w:t xml:space="preserve"> to the ABC </w:t>
      </w:r>
      <w:r w:rsidR="00BA70F0">
        <w:t xml:space="preserve">that </w:t>
      </w:r>
      <w:r>
        <w:t xml:space="preserve">the coverage area of </w:t>
      </w:r>
      <w:r w:rsidR="00BA70F0">
        <w:t xml:space="preserve">existing ABC </w:t>
      </w:r>
      <w:r>
        <w:t xml:space="preserve">digital television services </w:t>
      </w:r>
      <w:r w:rsidR="00BA70F0">
        <w:t>is not diminished as a result of the restack</w:t>
      </w:r>
      <w:r>
        <w:t>.’</w:t>
      </w:r>
    </w:p>
    <w:p w:rsidR="005A539A" w:rsidRDefault="00144155">
      <w:r>
        <w:t xml:space="preserve">The ABC also commented that ‘the ABC </w:t>
      </w:r>
      <w:r w:rsidR="00BA70F0">
        <w:t xml:space="preserve">has </w:t>
      </w:r>
      <w:r w:rsidR="000C4E02">
        <w:t>long-term</w:t>
      </w:r>
      <w:r w:rsidR="00BA70F0">
        <w:t xml:space="preserve"> agreements </w:t>
      </w:r>
      <w:r>
        <w:t xml:space="preserve">in place </w:t>
      </w:r>
      <w:r w:rsidR="00BA70F0">
        <w:t xml:space="preserve">with its transmission service </w:t>
      </w:r>
      <w:proofErr w:type="gramStart"/>
      <w:r w:rsidR="00BA70F0">
        <w:t>provider</w:t>
      </w:r>
      <w:r w:rsidR="00AC08CE">
        <w:t xml:space="preserve"> </w:t>
      </w:r>
      <w:r w:rsidR="00BA70F0">
        <w:t>..</w:t>
      </w:r>
      <w:proofErr w:type="gramEnd"/>
      <w:r w:rsidR="002A2E9C">
        <w:t>’.</w:t>
      </w:r>
      <w:r>
        <w:t xml:space="preserve"> ‘M</w:t>
      </w:r>
      <w:r w:rsidR="00BA70F0">
        <w:t>oving sites so that they are in line with commercial networks would be likely to result in a significant cost to the ABC and ultimately to the Commonwealth.</w:t>
      </w:r>
      <w:r w:rsidR="001F4D11">
        <w:t>’</w:t>
      </w:r>
    </w:p>
    <w:p w:rsidR="005A539A" w:rsidRDefault="00AF5BF9">
      <w:r>
        <w:t xml:space="preserve">Mr Brooks </w:t>
      </w:r>
      <w:r w:rsidR="00144155">
        <w:t>considered this to be a</w:t>
      </w:r>
      <w:r w:rsidR="00BA70F0">
        <w:t xml:space="preserve"> very important</w:t>
      </w:r>
      <w:r w:rsidR="00144155">
        <w:t xml:space="preserve"> planning principle.</w:t>
      </w:r>
    </w:p>
    <w:p w:rsidR="005A539A" w:rsidRDefault="00B34844">
      <w:r>
        <w:lastRenderedPageBreak/>
        <w:t>SBS strongly agreed</w:t>
      </w:r>
      <w:r w:rsidR="008D4F13">
        <w:t>, a</w:t>
      </w:r>
      <w:r>
        <w:t>dding that b</w:t>
      </w:r>
      <w:r w:rsidR="00BA70F0">
        <w:t xml:space="preserve">roadcasters should operate with same antenna patterns, </w:t>
      </w:r>
      <w:r w:rsidR="008D4F13">
        <w:t>polarisation</w:t>
      </w:r>
      <w:r w:rsidR="00BA70F0">
        <w:t xml:space="preserve"> and SFN timing.</w:t>
      </w:r>
    </w:p>
    <w:p w:rsidR="005A539A" w:rsidRDefault="00B34844">
      <w:r>
        <w:t>Broadcast Australia</w:t>
      </w:r>
      <w:r w:rsidR="00BA70F0">
        <w:t xml:space="preserve"> </w:t>
      </w:r>
      <w:r>
        <w:t xml:space="preserve">indicated it </w:t>
      </w:r>
      <w:r w:rsidR="00BA70F0">
        <w:t xml:space="preserve">agrees with </w:t>
      </w:r>
      <w:r>
        <w:t xml:space="preserve">this </w:t>
      </w:r>
      <w:r w:rsidR="00BA70F0">
        <w:t xml:space="preserve">principle, but </w:t>
      </w:r>
      <w:r>
        <w:t>considers</w:t>
      </w:r>
      <w:r w:rsidR="00BA70F0">
        <w:t xml:space="preserve"> a stronger approach should be taken to </w:t>
      </w:r>
      <w:r>
        <w:t xml:space="preserve">ERP levels as it does </w:t>
      </w:r>
      <w:r w:rsidR="00BA70F0">
        <w:t xml:space="preserve">not support reducing ERP to match lower powered services (in other words all should increase to the maximum). </w:t>
      </w:r>
    </w:p>
    <w:p w:rsidR="00155F69" w:rsidRDefault="00144155">
      <w:r>
        <w:t>FreeTV indicated support</w:t>
      </w:r>
      <w:r w:rsidR="00BA70F0">
        <w:t xml:space="preserve"> </w:t>
      </w:r>
      <w:r>
        <w:t xml:space="preserve">for the concept of </w:t>
      </w:r>
      <w:r w:rsidR="00902EE3">
        <w:t>(draft) principle</w:t>
      </w:r>
      <w:r w:rsidR="00BA70F0">
        <w:t xml:space="preserve"> 11</w:t>
      </w:r>
      <w:r>
        <w:t>.</w:t>
      </w:r>
      <w:r w:rsidR="00E84DB4">
        <w:t xml:space="preserve"> </w:t>
      </w:r>
      <w:r w:rsidR="00A779B5">
        <w:t>FreeTV</w:t>
      </w:r>
      <w:r w:rsidR="00BA70F0" w:rsidRPr="00187255">
        <w:t xml:space="preserve"> </w:t>
      </w:r>
      <w:r>
        <w:t>noted</w:t>
      </w:r>
      <w:r w:rsidR="00BA70F0">
        <w:t xml:space="preserve"> this principle will </w:t>
      </w:r>
      <w:r>
        <w:t>‘</w:t>
      </w:r>
      <w:r w:rsidR="00BA70F0">
        <w:t>equalise the SFN arrangements between broadcasters and remove anomalies such as the current limitation on Network Ten in Melbourne.</w:t>
      </w:r>
      <w:r w:rsidR="00E84DB4">
        <w:t xml:space="preserve"> </w:t>
      </w:r>
      <w:r w:rsidR="00BA70F0">
        <w:t>Under the current arrangements, Network Ten have one less channel allocated compared to other broadcasters and accordingly have had to operate a wider SFN than other broadcasters.</w:t>
      </w:r>
      <w:r>
        <w:t>’</w:t>
      </w:r>
    </w:p>
    <w:p w:rsidR="00BA70F0" w:rsidRDefault="00AF5BF9" w:rsidP="00BA70F0">
      <w:r>
        <w:t xml:space="preserve">Mr Hughes </w:t>
      </w:r>
      <w:r w:rsidR="00BA70F0">
        <w:t>agrees</w:t>
      </w:r>
      <w:r w:rsidR="009A0873" w:rsidRPr="009A0873">
        <w:t xml:space="preserve"> </w:t>
      </w:r>
      <w:r w:rsidR="009A0873">
        <w:t>noting that in his opinion it would minimise receiving antenna costs.</w:t>
      </w:r>
    </w:p>
    <w:p w:rsidR="002A2E9C" w:rsidRPr="00260070" w:rsidRDefault="002A2E9C" w:rsidP="002A2E9C">
      <w:r w:rsidRPr="00355853">
        <w:rPr>
          <w:b/>
        </w:rPr>
        <w:t>ACMA comment:</w:t>
      </w:r>
      <w:r>
        <w:t xml:space="preserve"> The ACMA notes the general support for this principle; however, the comments from the ABC and Broadcast Australia go to the concerns about the historical differences between the coverage of different broadcasters in some areas that were raised in the discussion paper. Without collective agreement by some broadcasters to increase ERP (or add missing services) or by others to either reduce ERP (or switch off services) those discrepancies will not be addressed. Moving in either direction could potentially impose costs on broadcasters or coverage loss (of terrestrially delivered services) for viewers; therefore the ACMA intends to treat this principle as a generally desirable goal but to take a flexible case-by-case consideration where inconsistencies arise.</w:t>
      </w:r>
    </w:p>
    <w:p w:rsidR="00B37E2A" w:rsidRPr="00D70395" w:rsidRDefault="00BA70F0" w:rsidP="001D0B5E">
      <w:pPr>
        <w:pStyle w:val="Principle"/>
        <w:rPr>
          <w:b w:val="0"/>
        </w:rPr>
      </w:pPr>
      <w:r>
        <w:t xml:space="preserve">Draft </w:t>
      </w:r>
      <w:r w:rsidRPr="00260070">
        <w:t>Principle 1</w:t>
      </w:r>
      <w:r w:rsidR="00074FAF">
        <w:t>2</w:t>
      </w:r>
      <w:r w:rsidRPr="00260070">
        <w:t>:</w:t>
      </w:r>
      <w:r>
        <w:t xml:space="preserve"> </w:t>
      </w:r>
      <w:r w:rsidRPr="00D70395">
        <w:rPr>
          <w:b w:val="0"/>
        </w:rPr>
        <w:t xml:space="preserve">Determine the timing constraints on channel availability and specify a minimum window of six months, where practicable, when both the current digital and the final digital channels are available. </w:t>
      </w:r>
      <w:proofErr w:type="gramStart"/>
      <w:r w:rsidRPr="00D70395">
        <w:rPr>
          <w:b w:val="0"/>
        </w:rPr>
        <w:t>When all sites and timing windows are considered together, they should result in the digital dividend channels (52</w:t>
      </w:r>
      <w:r w:rsidRPr="00D70395">
        <w:rPr>
          <w:rFonts w:cs="Arial"/>
          <w:b w:val="0"/>
        </w:rPr>
        <w:t>–</w:t>
      </w:r>
      <w:r w:rsidRPr="00D70395">
        <w:rPr>
          <w:b w:val="0"/>
        </w:rPr>
        <w:t>69) being cleared as soon as practicable, and by the end of 2014 at the latest.</w:t>
      </w:r>
      <w:proofErr w:type="gramEnd"/>
    </w:p>
    <w:p w:rsidR="005A539A" w:rsidRDefault="00BA70F0">
      <w:r>
        <w:t>SBS agree</w:t>
      </w:r>
      <w:r w:rsidR="0083007C">
        <w:t>d with this principle</w:t>
      </w:r>
      <w:r>
        <w:t xml:space="preserve">, but </w:t>
      </w:r>
      <w:r w:rsidR="0083007C">
        <w:t>indicated that it is concerned that the</w:t>
      </w:r>
      <w:r>
        <w:t xml:space="preserve"> end </w:t>
      </w:r>
      <w:r w:rsidR="0083007C">
        <w:t xml:space="preserve">of </w:t>
      </w:r>
      <w:r>
        <w:t>2014 is unrealistic</w:t>
      </w:r>
      <w:r w:rsidR="00D37F79">
        <w:t>, noting ‘the sooner the planning is done the sooner restack can be completed</w:t>
      </w:r>
      <w:r>
        <w:t>.</w:t>
      </w:r>
      <w:r w:rsidR="00D37F79">
        <w:t>’</w:t>
      </w:r>
    </w:p>
    <w:p w:rsidR="00155F69" w:rsidRDefault="00E44E9F">
      <w:r>
        <w:t xml:space="preserve">FreeTV stated that it </w:t>
      </w:r>
      <w:r w:rsidR="00BA70F0">
        <w:t xml:space="preserve">supports an efficient and timely restack process and provides in-principle support for </w:t>
      </w:r>
      <w:r w:rsidR="00902EE3">
        <w:t>(draft) principle</w:t>
      </w:r>
      <w:r w:rsidR="00BA70F0">
        <w:t xml:space="preserve"> 12.</w:t>
      </w:r>
      <w:r w:rsidR="00E84DB4">
        <w:t xml:space="preserve"> </w:t>
      </w:r>
      <w:r>
        <w:t xml:space="preserve">FreeTV also stated that ‘further </w:t>
      </w:r>
      <w:r w:rsidR="00BA70F0">
        <w:t>discussion and analysis is required to ensure the proposed timing window of 6-months (minimum) between when the current and final digital channels are available provides a sufficiently flexible period for broadcasters to implement the restack.</w:t>
      </w:r>
      <w:r w:rsidR="00E84DB4">
        <w:t xml:space="preserve"> </w:t>
      </w:r>
      <w:r w:rsidR="00BA70F0">
        <w:t>The order and size of timing windows should be coordinated with the ASO timetable …</w:t>
      </w:r>
      <w:r w:rsidR="00427755">
        <w:t>’</w:t>
      </w:r>
    </w:p>
    <w:p w:rsidR="00155F69" w:rsidRDefault="000234CA">
      <w:r>
        <w:t xml:space="preserve">Telstra considered that </w:t>
      </w:r>
      <w:r w:rsidR="00902EE3">
        <w:t>(draft) principle</w:t>
      </w:r>
      <w:r>
        <w:t xml:space="preserve"> 12 should be amended to state that restacking should be completed at or shortly after the time of switchover in each region.</w:t>
      </w:r>
    </w:p>
    <w:p w:rsidR="00155F69" w:rsidRDefault="00AF5BF9">
      <w:pPr>
        <w:rPr>
          <w:rFonts w:cs="Arial"/>
          <w:szCs w:val="20"/>
        </w:rPr>
      </w:pPr>
      <w:r w:rsidRPr="00AC08CE">
        <w:rPr>
          <w:szCs w:val="20"/>
        </w:rPr>
        <w:t xml:space="preserve">Mr Hughes </w:t>
      </w:r>
      <w:r w:rsidR="00355853" w:rsidRPr="00355853">
        <w:rPr>
          <w:rFonts w:cs="Arial"/>
          <w:szCs w:val="20"/>
        </w:rPr>
        <w:t xml:space="preserve">made a number of comments but did not directly address </w:t>
      </w:r>
      <w:r w:rsidR="00902EE3">
        <w:rPr>
          <w:rFonts w:cs="Arial"/>
          <w:szCs w:val="20"/>
        </w:rPr>
        <w:t>(draft) principle</w:t>
      </w:r>
      <w:r w:rsidR="00355853" w:rsidRPr="00355853">
        <w:rPr>
          <w:rFonts w:cs="Arial"/>
          <w:szCs w:val="20"/>
        </w:rPr>
        <w:t xml:space="preserve"> 12.</w:t>
      </w:r>
    </w:p>
    <w:p w:rsidR="00155F69" w:rsidRDefault="00355853">
      <w:r w:rsidRPr="00355853">
        <w:rPr>
          <w:b/>
        </w:rPr>
        <w:t>ACMA comment:</w:t>
      </w:r>
      <w:r w:rsidR="00E33357" w:rsidRPr="00E44E9F">
        <w:t xml:space="preserve"> </w:t>
      </w:r>
      <w:r w:rsidR="004E7DCB" w:rsidRPr="00E44E9F">
        <w:t>The ACMA d</w:t>
      </w:r>
      <w:r w:rsidR="00E33357" w:rsidRPr="00E44E9F">
        <w:t xml:space="preserve">id not </w:t>
      </w:r>
      <w:r w:rsidR="00E44E9F" w:rsidRPr="00E44E9F">
        <w:t>receive</w:t>
      </w:r>
      <w:r w:rsidR="00E33357" w:rsidRPr="00E44E9F">
        <w:t xml:space="preserve"> any objection to </w:t>
      </w:r>
      <w:r w:rsidR="00514B25" w:rsidRPr="00E44E9F">
        <w:t xml:space="preserve">adoption of </w:t>
      </w:r>
      <w:r w:rsidR="00E33357" w:rsidRPr="00E44E9F">
        <w:t>this principle.</w:t>
      </w:r>
      <w:r w:rsidR="00E84DB4">
        <w:t xml:space="preserve"> </w:t>
      </w:r>
      <w:r w:rsidR="00E44E9F" w:rsidRPr="00E44E9F">
        <w:t xml:space="preserve">The ACMA </w:t>
      </w:r>
      <w:r w:rsidRPr="00355853">
        <w:t>will be prepared to consider variations to a nominal 6 month window where the specific circumstances justify</w:t>
      </w:r>
      <w:r w:rsidR="00257A99">
        <w:t xml:space="preserve"> this.</w:t>
      </w:r>
      <w:r w:rsidR="00E84DB4">
        <w:t xml:space="preserve"> </w:t>
      </w:r>
      <w:r w:rsidR="00257A99">
        <w:t xml:space="preserve">As noted in section 3.1 it </w:t>
      </w:r>
      <w:r w:rsidR="00D454EF">
        <w:t>will</w:t>
      </w:r>
      <w:r w:rsidR="00257A99">
        <w:t xml:space="preserve"> not be practical in many areas to undertake restack at or shortly after switchover</w:t>
      </w:r>
      <w:r w:rsidRPr="00355853">
        <w:t>.</w:t>
      </w:r>
      <w:r w:rsidR="00E84DB4">
        <w:t xml:space="preserve"> </w:t>
      </w:r>
      <w:r w:rsidR="00257A99">
        <w:t>As per the draft principle</w:t>
      </w:r>
      <w:r w:rsidR="00D454EF">
        <w:t>,</w:t>
      </w:r>
      <w:r w:rsidR="00257A99">
        <w:t xml:space="preserve"> restack for each area will be scheduled as soon as practicable.</w:t>
      </w:r>
      <w:r w:rsidR="00E84DB4">
        <w:t xml:space="preserve"> </w:t>
      </w:r>
      <w:r w:rsidR="00257A99">
        <w:t xml:space="preserve">This scheduling will take into account a range of factors </w:t>
      </w:r>
      <w:r w:rsidR="00F601FF">
        <w:t>that will include the switchover timetable</w:t>
      </w:r>
      <w:r w:rsidR="00257A99">
        <w:t>.</w:t>
      </w:r>
    </w:p>
    <w:p w:rsidR="00B37E2A" w:rsidRDefault="00BA70F0" w:rsidP="001D0B5E">
      <w:pPr>
        <w:pStyle w:val="Principle"/>
      </w:pPr>
      <w:r>
        <w:t xml:space="preserve">Draft </w:t>
      </w:r>
      <w:r w:rsidRPr="00260070">
        <w:t>Principle 1</w:t>
      </w:r>
      <w:r>
        <w:t>3</w:t>
      </w:r>
      <w:r w:rsidRPr="00260070">
        <w:t>:</w:t>
      </w:r>
      <w:r>
        <w:t xml:space="preserve"> </w:t>
      </w:r>
      <w:r w:rsidRPr="00D70395">
        <w:rPr>
          <w:b w:val="0"/>
        </w:rPr>
        <w:t>Wherever sites utilise UHF channel blocks, attempt to place higher power services on lower UHF channel blocks.</w:t>
      </w:r>
    </w:p>
    <w:p w:rsidR="005A539A" w:rsidRDefault="00AF5BF9">
      <w:r>
        <w:t xml:space="preserve">Mr Brooks </w:t>
      </w:r>
      <w:r w:rsidR="00CE6081">
        <w:t>considered that this planning practice</w:t>
      </w:r>
      <w:r w:rsidR="00BA70F0">
        <w:t xml:space="preserve"> should be continued</w:t>
      </w:r>
      <w:r w:rsidR="00CE6081">
        <w:t>.</w:t>
      </w:r>
    </w:p>
    <w:p w:rsidR="00FD0290" w:rsidRPr="00260070" w:rsidRDefault="00FD0290" w:rsidP="00FD0290">
      <w:r>
        <w:lastRenderedPageBreak/>
        <w:t>SBS indicated agreement with this principle.</w:t>
      </w:r>
    </w:p>
    <w:p w:rsidR="005A539A" w:rsidRPr="00AF5BF9" w:rsidRDefault="00CB5F6B">
      <w:r>
        <w:t xml:space="preserve">Telstra’s submission recommended that wherever possible, the restacked blocks of television channels should be located towards the lower end of the UHF television band </w:t>
      </w:r>
      <w:r w:rsidR="00BA70F0">
        <w:t>as it provides bet</w:t>
      </w:r>
      <w:r>
        <w:t>ter propagation and would also ‘</w:t>
      </w:r>
      <w:r w:rsidR="00BA70F0">
        <w:t>mi</w:t>
      </w:r>
      <w:r>
        <w:t>nimise</w:t>
      </w:r>
      <w:r w:rsidR="00BA70F0">
        <w:t xml:space="preserve"> the already low risk of interference between </w:t>
      </w:r>
      <w:r>
        <w:t xml:space="preserve">television </w:t>
      </w:r>
      <w:r w:rsidRPr="00AF5BF9">
        <w:t>receivers</w:t>
      </w:r>
      <w:r>
        <w:t xml:space="preserve"> and LTE mobile devices…’.</w:t>
      </w:r>
    </w:p>
    <w:p w:rsidR="00155F69" w:rsidRDefault="00A779B5">
      <w:r>
        <w:t>FreeTV</w:t>
      </w:r>
      <w:r w:rsidR="00BA70F0" w:rsidRPr="00AF5BF9">
        <w:t xml:space="preserve"> </w:t>
      </w:r>
      <w:r w:rsidR="006C45C0">
        <w:t>indicated support for this approach in principle,</w:t>
      </w:r>
      <w:r w:rsidR="00BA70F0">
        <w:t xml:space="preserve"> not</w:t>
      </w:r>
      <w:r w:rsidR="006C45C0">
        <w:t>ing</w:t>
      </w:r>
      <w:r w:rsidR="00BA70F0">
        <w:t xml:space="preserve"> </w:t>
      </w:r>
      <w:r w:rsidR="006C45C0">
        <w:t>‘</w:t>
      </w:r>
      <w:r w:rsidR="00BA70F0">
        <w:t>that the ACMA has acknowledged it may not be possibl</w:t>
      </w:r>
      <w:r w:rsidR="006C45C0">
        <w:t>e to implement it in all areas.’</w:t>
      </w:r>
      <w:r w:rsidR="00E84DB4">
        <w:t xml:space="preserve"> </w:t>
      </w:r>
      <w:r w:rsidR="006C45C0">
        <w:t xml:space="preserve">FreeTV also considered that there will be </w:t>
      </w:r>
      <w:r w:rsidR="00BA70F0">
        <w:t xml:space="preserve">some </w:t>
      </w:r>
      <w:r w:rsidR="006C45C0">
        <w:t xml:space="preserve">spectrum </w:t>
      </w:r>
      <w:r w:rsidR="00BA70F0">
        <w:t xml:space="preserve">congested </w:t>
      </w:r>
      <w:r w:rsidR="00523570">
        <w:t xml:space="preserve">areas </w:t>
      </w:r>
      <w:r w:rsidR="00BA70F0">
        <w:t>(south-east Q</w:t>
      </w:r>
      <w:r w:rsidR="00D20DAE">
        <w:t>uee</w:t>
      </w:r>
      <w:r w:rsidR="00533884">
        <w:t>n</w:t>
      </w:r>
      <w:r w:rsidR="00D20DAE">
        <w:t>sland</w:t>
      </w:r>
      <w:r w:rsidR="00523570">
        <w:t xml:space="preserve"> and NSW central coast</w:t>
      </w:r>
      <w:r w:rsidR="00BA70F0">
        <w:t xml:space="preserve">) </w:t>
      </w:r>
      <w:r w:rsidR="00523570">
        <w:t xml:space="preserve">where </w:t>
      </w:r>
      <w:r w:rsidR="00BA70F0">
        <w:t>this is not possible.</w:t>
      </w:r>
      <w:r w:rsidR="00E84DB4">
        <w:t xml:space="preserve"> </w:t>
      </w:r>
      <w:r w:rsidR="00BA70F0">
        <w:t xml:space="preserve">They also state that </w:t>
      </w:r>
      <w:r w:rsidR="00427755">
        <w:t>‘</w:t>
      </w:r>
      <w:r w:rsidR="00BA70F0">
        <w:t>If over time more DTTB service overlap areas develop adjacent to major population centres, this principle may need to be reconsidered so that the full range of the redefined BSBs is protected and available for full use by DTTB.</w:t>
      </w:r>
      <w:r w:rsidR="00427755">
        <w:t>’</w:t>
      </w:r>
    </w:p>
    <w:p w:rsidR="00155F69" w:rsidRDefault="00901C8A">
      <w:r>
        <w:t>ADSIF addressed many issues in its submission but did not directly address any of the planning principles.</w:t>
      </w:r>
      <w:r w:rsidR="00E84DB4">
        <w:t xml:space="preserve"> </w:t>
      </w:r>
      <w:r>
        <w:t>In one comment ADSIF not</w:t>
      </w:r>
      <w:r w:rsidR="00BA70F0">
        <w:t xml:space="preserve">ed that </w:t>
      </w:r>
      <w:r>
        <w:t xml:space="preserve">‘by </w:t>
      </w:r>
      <w:r w:rsidR="00BA70F0">
        <w:t>planning high</w:t>
      </w:r>
      <w:r>
        <w:t>-</w:t>
      </w:r>
      <w:r w:rsidR="00BA70F0">
        <w:t>power</w:t>
      </w:r>
      <w:r>
        <w:t xml:space="preserve"> channels</w:t>
      </w:r>
      <w:r w:rsidR="00BA70F0">
        <w:t xml:space="preserve"> in VHF </w:t>
      </w:r>
      <w:r>
        <w:t xml:space="preserve">Band III </w:t>
      </w:r>
      <w:r w:rsidR="00BA70F0">
        <w:t xml:space="preserve">and lower UHF </w:t>
      </w:r>
      <w:r>
        <w:t>B</w:t>
      </w:r>
      <w:r w:rsidR="00BA70F0">
        <w:t>and</w:t>
      </w:r>
      <w:r>
        <w:t xml:space="preserve"> IV, there is likely to be less in interference into</w:t>
      </w:r>
      <w:r w:rsidR="00BA70F0">
        <w:t xml:space="preserve"> LTE services</w:t>
      </w:r>
      <w:r>
        <w:t>.’</w:t>
      </w:r>
    </w:p>
    <w:p w:rsidR="00155F69" w:rsidRDefault="00355853">
      <w:r w:rsidRPr="00355853">
        <w:rPr>
          <w:b/>
        </w:rPr>
        <w:t>ACMA comment:</w:t>
      </w:r>
      <w:r w:rsidR="00D236F6">
        <w:t xml:space="preserve"> </w:t>
      </w:r>
      <w:r w:rsidR="004E7DCB">
        <w:t>The ACMA noted that all respondents generally accepted this principle.</w:t>
      </w:r>
      <w:r w:rsidR="00E84DB4">
        <w:t xml:space="preserve"> </w:t>
      </w:r>
      <w:r w:rsidR="004E7DCB">
        <w:t>In respect of the FreeTV comment</w:t>
      </w:r>
      <w:r w:rsidR="006E08D7">
        <w:t>s</w:t>
      </w:r>
      <w:r w:rsidR="004E7DCB">
        <w:t xml:space="preserve"> regarding exceptions the ACMA notes that, as with all other principles, it will attempt to apply this principle wherever practical taking into account other principles and constraints.</w:t>
      </w:r>
    </w:p>
    <w:p w:rsidR="00374C1E" w:rsidRDefault="00374C1E" w:rsidP="00374C1E">
      <w:pPr>
        <w:pStyle w:val="Heading2"/>
      </w:pPr>
      <w:bookmarkStart w:id="21" w:name="_Toc292291989"/>
      <w:r>
        <w:t>ACMA response</w:t>
      </w:r>
      <w:bookmarkEnd w:id="21"/>
    </w:p>
    <w:p w:rsidR="00155F69" w:rsidRDefault="00147330">
      <w:r>
        <w:t>Having considered the submissions</w:t>
      </w:r>
      <w:r w:rsidR="00AC6881">
        <w:t>,</w:t>
      </w:r>
      <w:r>
        <w:t xml:space="preserve"> the main changes the ACMA has made in adopting the restack planning principles are summarise</w:t>
      </w:r>
      <w:r w:rsidR="00AC08CE">
        <w:t>d</w:t>
      </w:r>
      <w:r>
        <w:t xml:space="preserve"> in this section.</w:t>
      </w:r>
      <w:r w:rsidR="00E84DB4">
        <w:t xml:space="preserve"> </w:t>
      </w:r>
      <w:r w:rsidR="00E856E3">
        <w:t>S</w:t>
      </w:r>
      <w:r>
        <w:t xml:space="preserve">ection 5.3 </w:t>
      </w:r>
      <w:r w:rsidR="001F7DA6">
        <w:t>lists the final</w:t>
      </w:r>
      <w:r w:rsidR="00E856E3">
        <w:t>ised</w:t>
      </w:r>
      <w:r w:rsidR="001F7DA6">
        <w:t xml:space="preserve"> restack planning principles with a brief indication of </w:t>
      </w:r>
      <w:r w:rsidR="00E856E3">
        <w:t>the</w:t>
      </w:r>
      <w:r w:rsidR="001F7DA6">
        <w:t xml:space="preserve"> changes </w:t>
      </w:r>
      <w:r w:rsidR="00E856E3">
        <w:t xml:space="preserve">that </w:t>
      </w:r>
      <w:r w:rsidR="001F7DA6">
        <w:t>have been made.</w:t>
      </w:r>
    </w:p>
    <w:p w:rsidR="00155F69" w:rsidRDefault="00C85A7B">
      <w:pPr>
        <w:pStyle w:val="Bodysubheader"/>
      </w:pPr>
      <w:r>
        <w:t>Polarisation</w:t>
      </w:r>
    </w:p>
    <w:p w:rsidR="008F21AA" w:rsidRDefault="00DF7577" w:rsidP="008F21AA">
      <w:r>
        <w:t xml:space="preserve">Amended draft principle 4 to reflect the comment that the polarisation of existing transmissions should not change. </w:t>
      </w:r>
    </w:p>
    <w:p w:rsidR="00155F69" w:rsidRDefault="00E856E3">
      <w:pPr>
        <w:pStyle w:val="Bodysubheader"/>
      </w:pPr>
      <w:r>
        <w:t xml:space="preserve">Technical </w:t>
      </w:r>
      <w:r w:rsidR="00C85A7B">
        <w:t>Planning parameters</w:t>
      </w:r>
    </w:p>
    <w:p w:rsidR="00C85A7B" w:rsidRPr="00074FAF" w:rsidRDefault="00074FAF" w:rsidP="00C85A7B">
      <w:r>
        <w:t>Following consideration of the submissions</w:t>
      </w:r>
      <w:r w:rsidR="00E856E3">
        <w:t>,</w:t>
      </w:r>
      <w:r>
        <w:t xml:space="preserve"> and noting that there was no consensus and no </w:t>
      </w:r>
      <w:r w:rsidR="003B70BE">
        <w:t xml:space="preserve">clear </w:t>
      </w:r>
      <w:r>
        <w:t>alternative proposal</w:t>
      </w:r>
      <w:r w:rsidR="006B23C3">
        <w:t>, the ACMA has decided to adopt a least change approach to current technical planning parameters.</w:t>
      </w:r>
    </w:p>
    <w:p w:rsidR="00115496" w:rsidRDefault="00115496" w:rsidP="00115496">
      <w:r>
        <w:t>Instead of proceeding with the proposal set out in draft principle 10 from the discussion paper, the ACMA has decided to continue with the planning parameters that have been used to plan the introduction of digital television as set out in the DTTB Planning Handbook.</w:t>
      </w:r>
      <w:r w:rsidR="00E84DB4">
        <w:t xml:space="preserve"> </w:t>
      </w:r>
      <w:r>
        <w:t xml:space="preserve">However, due to the adoption of block planning </w:t>
      </w:r>
      <w:r w:rsidR="002A2E9C">
        <w:t xml:space="preserve">some adjustment is unavoidable to </w:t>
      </w:r>
      <w:r>
        <w:t xml:space="preserve">the boundary of where the different UHF minimum </w:t>
      </w:r>
      <w:r w:rsidR="00E856E3">
        <w:t xml:space="preserve">median </w:t>
      </w:r>
      <w:r>
        <w:t>field strengths apply.</w:t>
      </w:r>
      <w:r w:rsidR="00E84DB4">
        <w:t xml:space="preserve"> </w:t>
      </w:r>
      <w:r>
        <w:t>The DTTB Planning Handbook definition sets this break point between UHF Bands IV and Band V whi</w:t>
      </w:r>
      <w:r w:rsidR="00E856E3">
        <w:t>c</w:t>
      </w:r>
      <w:r>
        <w:t>h is between channels 35 and 36.</w:t>
      </w:r>
      <w:r w:rsidR="00E84DB4">
        <w:t xml:space="preserve"> </w:t>
      </w:r>
      <w:r>
        <w:t>This falls within block C.</w:t>
      </w:r>
      <w:r w:rsidR="00E84DB4">
        <w:t xml:space="preserve"> </w:t>
      </w:r>
      <w:r w:rsidR="00FC7ACF">
        <w:t>To ensure</w:t>
      </w:r>
      <w:r>
        <w:t xml:space="preserve"> that the same </w:t>
      </w:r>
      <w:r w:rsidR="00FC7ACF">
        <w:t xml:space="preserve">values </w:t>
      </w:r>
      <w:r>
        <w:t>apply across all channels within block C, the break point has been moved so that it falls between channels 39 and 40.</w:t>
      </w:r>
    </w:p>
    <w:p w:rsidR="001600DE" w:rsidRDefault="00355853" w:rsidP="00CB659E">
      <w:r w:rsidRPr="00355853">
        <w:t xml:space="preserve">Consistent with the reconfirmation of the </w:t>
      </w:r>
      <w:r w:rsidR="006B23C3">
        <w:t>existing</w:t>
      </w:r>
      <w:r w:rsidRPr="00355853">
        <w:t xml:space="preserve"> </w:t>
      </w:r>
      <w:r w:rsidR="00E856E3">
        <w:t xml:space="preserve">technical </w:t>
      </w:r>
      <w:r w:rsidRPr="00355853">
        <w:t xml:space="preserve">planning </w:t>
      </w:r>
      <w:r w:rsidR="006B23C3">
        <w:t>parameters</w:t>
      </w:r>
      <w:r w:rsidRPr="00355853">
        <w:t xml:space="preserve">, the assumed </w:t>
      </w:r>
      <w:r w:rsidR="001600DE">
        <w:t xml:space="preserve">forward error correction (FEC) </w:t>
      </w:r>
      <w:r w:rsidRPr="00355853">
        <w:t xml:space="preserve">parameter </w:t>
      </w:r>
      <w:r w:rsidR="00794202">
        <w:t xml:space="preserve">for planning purposes </w:t>
      </w:r>
      <w:r w:rsidRPr="00355853">
        <w:t>will also re</w:t>
      </w:r>
      <w:r w:rsidR="00E856E3">
        <w:t>main</w:t>
      </w:r>
      <w:r w:rsidR="00AC6881">
        <w:t xml:space="preserve"> </w:t>
      </w:r>
      <w:r w:rsidR="00E856E3">
        <w:t>at</w:t>
      </w:r>
      <w:r w:rsidRPr="00355853">
        <w:t xml:space="preserve"> 2/3 FEC, instead of </w:t>
      </w:r>
      <w:r w:rsidR="00E856E3">
        <w:t xml:space="preserve">the proposal to </w:t>
      </w:r>
      <w:r w:rsidRPr="00355853">
        <w:t xml:space="preserve">adopt the </w:t>
      </w:r>
      <w:r w:rsidR="00002309">
        <w:t>3/4</w:t>
      </w:r>
      <w:r w:rsidRPr="00355853">
        <w:t xml:space="preserve"> FEC </w:t>
      </w:r>
      <w:r w:rsidR="00E856E3">
        <w:t>value</w:t>
      </w:r>
      <w:r w:rsidRPr="00355853">
        <w:t>.</w:t>
      </w:r>
      <w:r w:rsidR="00E84DB4">
        <w:t xml:space="preserve"> </w:t>
      </w:r>
      <w:r w:rsidRPr="00355853">
        <w:t>This does not mean broadcasters</w:t>
      </w:r>
      <w:r w:rsidR="001600DE">
        <w:t xml:space="preserve"> that have successfully implemented </w:t>
      </w:r>
      <w:r w:rsidR="00794202">
        <w:t xml:space="preserve">3/4 FEC </w:t>
      </w:r>
      <w:r w:rsidR="001600DE">
        <w:t>will need to change their transmission parameters.</w:t>
      </w:r>
    </w:p>
    <w:p w:rsidR="00CB659E" w:rsidRPr="00CB659E" w:rsidRDefault="00355853" w:rsidP="00CB659E">
      <w:r w:rsidRPr="00355853">
        <w:t xml:space="preserve">Also consistent with the reconfirmation of the current minimum </w:t>
      </w:r>
      <w:r w:rsidR="00F57310">
        <w:t xml:space="preserve">median </w:t>
      </w:r>
      <w:r w:rsidRPr="00355853">
        <w:t xml:space="preserve">field strengths and 2/3 FEC, a co-channel protection ratio of 20 dB </w:t>
      </w:r>
      <w:r w:rsidR="006B23C3">
        <w:t xml:space="preserve">as set out in the DTTB Planning </w:t>
      </w:r>
      <w:r w:rsidR="006B23C3">
        <w:lastRenderedPageBreak/>
        <w:t>Handbook</w:t>
      </w:r>
      <w:r w:rsidR="00794202">
        <w:t xml:space="preserve"> </w:t>
      </w:r>
      <w:r w:rsidR="00892624">
        <w:t>(</w:t>
      </w:r>
      <w:r w:rsidR="00794202">
        <w:t>and consistent with ITU planning approaches</w:t>
      </w:r>
      <w:r w:rsidR="00561448">
        <w:t xml:space="preserve"> for 2/3 FEC</w:t>
      </w:r>
      <w:r w:rsidR="00892624">
        <w:t>)</w:t>
      </w:r>
      <w:r w:rsidRPr="00355853">
        <w:t xml:space="preserve"> will also continue to be used.</w:t>
      </w:r>
    </w:p>
    <w:p w:rsidR="00CB659E" w:rsidRDefault="00355853" w:rsidP="00CB659E">
      <w:r w:rsidRPr="00355853">
        <w:t>However, recognising the proposal to break up wide area SFNs it is proposed to adopt a 1/16 guard interval.</w:t>
      </w:r>
      <w:r w:rsidR="002A2E9C">
        <w:t xml:space="preserve"> </w:t>
      </w:r>
      <w:r w:rsidR="006B23C3">
        <w:t xml:space="preserve">The guard interval parameter has no effect on minimum </w:t>
      </w:r>
      <w:r w:rsidR="00E856E3">
        <w:t xml:space="preserve">median </w:t>
      </w:r>
      <w:r w:rsidR="006B23C3">
        <w:t>field strength</w:t>
      </w:r>
      <w:r w:rsidR="00E856E3">
        <w:t>s</w:t>
      </w:r>
      <w:r w:rsidR="006B23C3">
        <w:t xml:space="preserve"> or </w:t>
      </w:r>
      <w:r w:rsidR="00E856E3">
        <w:t xml:space="preserve">the co-channel </w:t>
      </w:r>
      <w:r w:rsidR="006B23C3">
        <w:t xml:space="preserve">protection ratio for services </w:t>
      </w:r>
      <w:r w:rsidR="00A779B5">
        <w:t xml:space="preserve">that are </w:t>
      </w:r>
      <w:r w:rsidR="006B23C3">
        <w:t>not part of an SFN.</w:t>
      </w:r>
    </w:p>
    <w:p w:rsidR="002A2E9C" w:rsidRDefault="002A2E9C" w:rsidP="002A2E9C">
      <w:r>
        <w:t>The reconfirmation of the current technical planning parameters at this time does not rule out future consideration of alternative values. However, if new values are adopted at some point in the future, retrospective revision of channel planning work undertaken prior to that time is expected to be impractical. This is because revisions to already planned channels could affect implemented services. It could also strain the ACMA’s limited planning resources with a consequential impact on the overall restack channel planning process.</w:t>
      </w:r>
      <w:r w:rsidR="00E84DB4">
        <w:t xml:space="preserve"> </w:t>
      </w:r>
      <w:r>
        <w:t>It is expected any new values adopted in future would only be applied to new planning work.</w:t>
      </w:r>
    </w:p>
    <w:p w:rsidR="00155F69" w:rsidRDefault="00074FAF">
      <w:pPr>
        <w:pStyle w:val="Bodysubheader"/>
      </w:pPr>
      <w:r>
        <w:t>Channel block selection principles</w:t>
      </w:r>
    </w:p>
    <w:p w:rsidR="00074FAF" w:rsidRPr="008F21AA" w:rsidRDefault="00074FAF" w:rsidP="008F21AA">
      <w:r>
        <w:t>In reviewing the planning principles the ACMA noted that three of the draft planning principles, 7, 8 and 13 related to aspects of channel block selection.</w:t>
      </w:r>
      <w:r w:rsidR="00E84DB4">
        <w:t xml:space="preserve"> </w:t>
      </w:r>
      <w:r>
        <w:t>Draft principle 7 related to avoiding block B for services currently using UHF Band V, draft principle 8 related to selecting the block with the most existing services and draft principle 13 related to using the lower frequency blocks for higher powered services.</w:t>
      </w:r>
      <w:r w:rsidR="00E84DB4">
        <w:t xml:space="preserve"> </w:t>
      </w:r>
      <w:r w:rsidR="00DC03D7">
        <w:t>Therefore</w:t>
      </w:r>
      <w:r w:rsidR="00D70395">
        <w:t>,</w:t>
      </w:r>
      <w:r w:rsidR="00DC03D7">
        <w:t xml:space="preserve"> these three draft principles have been combined and subsequent principles renumbered.</w:t>
      </w:r>
    </w:p>
    <w:p w:rsidR="008F21AA" w:rsidRDefault="008F21AA" w:rsidP="008F21AA">
      <w:pPr>
        <w:pStyle w:val="Heading2"/>
      </w:pPr>
      <w:bookmarkStart w:id="22" w:name="_Toc292291990"/>
      <w:r>
        <w:t>Decision on p</w:t>
      </w:r>
      <w:r w:rsidRPr="00A7267D">
        <w:t xml:space="preserve">lanning </w:t>
      </w:r>
      <w:r>
        <w:t>p</w:t>
      </w:r>
      <w:r w:rsidRPr="00A7267D">
        <w:t>rinciples</w:t>
      </w:r>
      <w:bookmarkEnd w:id="22"/>
      <w:r w:rsidRPr="00A7267D">
        <w:t xml:space="preserve"> </w:t>
      </w:r>
    </w:p>
    <w:p w:rsidR="003135CB" w:rsidRDefault="00E95E98" w:rsidP="0069510E">
      <w:r w:rsidRPr="00A7267D">
        <w:t>Based on the A</w:t>
      </w:r>
      <w:r w:rsidR="00233F51">
        <w:t xml:space="preserve">CMA </w:t>
      </w:r>
      <w:r w:rsidR="00F57310">
        <w:t>decision</w:t>
      </w:r>
      <w:r w:rsidR="00233F51">
        <w:t xml:space="preserve"> that the bl</w:t>
      </w:r>
      <w:r w:rsidRPr="00A7267D">
        <w:t xml:space="preserve">ock </w:t>
      </w:r>
      <w:r w:rsidR="00233F51">
        <w:t xml:space="preserve">planning </w:t>
      </w:r>
      <w:r w:rsidRPr="00A7267D">
        <w:t xml:space="preserve">approach should be adopted </w:t>
      </w:r>
      <w:r w:rsidR="00233F51">
        <w:t xml:space="preserve">for </w:t>
      </w:r>
      <w:r w:rsidR="00233F51" w:rsidRPr="00A7267D">
        <w:t>restack planning</w:t>
      </w:r>
      <w:r w:rsidR="00323D60">
        <w:t>,</w:t>
      </w:r>
      <w:r w:rsidR="00233F51" w:rsidRPr="00A7267D">
        <w:t xml:space="preserve"> </w:t>
      </w:r>
      <w:r w:rsidRPr="00A7267D">
        <w:t xml:space="preserve">the following </w:t>
      </w:r>
      <w:r w:rsidR="001F7DA6">
        <w:t xml:space="preserve">restack planning </w:t>
      </w:r>
      <w:r w:rsidRPr="00A7267D">
        <w:t xml:space="preserve">principles are </w:t>
      </w:r>
      <w:r w:rsidR="001F7DA6">
        <w:t>adopted for</w:t>
      </w:r>
      <w:r w:rsidR="00722D0F">
        <w:t xml:space="preserve"> use</w:t>
      </w:r>
      <w:r w:rsidR="001F7DA6">
        <w:t xml:space="preserve"> in</w:t>
      </w:r>
      <w:r w:rsidR="00722D0F">
        <w:t xml:space="preserve"> restack channel </w:t>
      </w:r>
      <w:r w:rsidR="004E3D8A">
        <w:t>planning.</w:t>
      </w:r>
    </w:p>
    <w:p w:rsidR="00E95E98" w:rsidRPr="00A7267D" w:rsidRDefault="00E95E98" w:rsidP="00B85BF4">
      <w:pPr>
        <w:pStyle w:val="FinalPrinciple"/>
      </w:pPr>
      <w:r w:rsidRPr="00A7267D">
        <w:t xml:space="preserve">Replan digital television services to use VHF channels 6-12 and </w:t>
      </w:r>
      <w:r w:rsidR="00C5509D">
        <w:t xml:space="preserve">UHF channels </w:t>
      </w:r>
      <w:r w:rsidRPr="00A7267D">
        <w:t>28</w:t>
      </w:r>
      <w:r w:rsidR="00323D60">
        <w:rPr>
          <w:rFonts w:cs="Arial"/>
        </w:rPr>
        <w:t>–</w:t>
      </w:r>
      <w:r w:rsidRPr="00A7267D">
        <w:t>51.</w:t>
      </w:r>
    </w:p>
    <w:p w:rsidR="00E95E98" w:rsidRPr="00A7267D" w:rsidRDefault="001F7DA6" w:rsidP="0069510E">
      <w:r>
        <w:t>No change from draft principle 1.</w:t>
      </w:r>
    </w:p>
    <w:p w:rsidR="0089403B" w:rsidRPr="00A7267D" w:rsidRDefault="0089403B" w:rsidP="00B85BF4">
      <w:pPr>
        <w:pStyle w:val="FinalPrinciple"/>
      </w:pPr>
      <w:r w:rsidRPr="00A7267D">
        <w:t xml:space="preserve">Create a </w:t>
      </w:r>
      <w:r w:rsidR="00A50EA6">
        <w:t xml:space="preserve">digital radio </w:t>
      </w:r>
      <w:r w:rsidRPr="00A7267D">
        <w:t>sub-band</w:t>
      </w:r>
      <w:r w:rsidR="0083453A">
        <w:t>,</w:t>
      </w:r>
      <w:r w:rsidRPr="00A7267D">
        <w:t xml:space="preserve"> comprising VHF television channels 9 and 9A</w:t>
      </w:r>
      <w:r w:rsidR="0083453A">
        <w:t>,</w:t>
      </w:r>
      <w:r w:rsidRPr="00A7267D">
        <w:t xml:space="preserve"> that </w:t>
      </w:r>
      <w:proofErr w:type="gramStart"/>
      <w:r w:rsidRPr="00A7267D">
        <w:t>is</w:t>
      </w:r>
      <w:proofErr w:type="gramEnd"/>
      <w:r w:rsidRPr="00A7267D">
        <w:t xml:space="preserve"> clear of digital television in metropolitan and regional </w:t>
      </w:r>
      <w:r w:rsidR="00970F5C" w:rsidRPr="00A7267D">
        <w:t xml:space="preserve">licence </w:t>
      </w:r>
      <w:r w:rsidRPr="00A7267D">
        <w:t>areas</w:t>
      </w:r>
      <w:r w:rsidR="00CF5838">
        <w:t xml:space="preserve">. </w:t>
      </w:r>
      <w:r w:rsidR="00970F5C" w:rsidRPr="00A7267D">
        <w:t>Where practicable</w:t>
      </w:r>
      <w:r w:rsidR="00323D60">
        <w:t>,</w:t>
      </w:r>
      <w:r w:rsidR="00970F5C" w:rsidRPr="00A7267D">
        <w:t xml:space="preserve"> also avoid planning new services on these channels in remote licence areas.</w:t>
      </w:r>
    </w:p>
    <w:p w:rsidR="00155F69" w:rsidRDefault="001F7DA6">
      <w:r>
        <w:t>No change from draft principle 2.</w:t>
      </w:r>
    </w:p>
    <w:p w:rsidR="003F0DA1" w:rsidRPr="00A7267D" w:rsidRDefault="003F0DA1" w:rsidP="00B85BF4">
      <w:pPr>
        <w:pStyle w:val="FinalPrinciple"/>
      </w:pPr>
      <w:r w:rsidRPr="00A7267D">
        <w:t>Plan for six digital channels at each t</w:t>
      </w:r>
      <w:r w:rsidR="004158A3">
        <w:t>ransmission site, except for</w:t>
      </w:r>
      <w:r w:rsidR="004158A3">
        <w:br/>
      </w:r>
      <w:proofErr w:type="spellStart"/>
      <w:r w:rsidR="004158A3" w:rsidRPr="003E37C9">
        <w:t>i</w:t>
      </w:r>
      <w:proofErr w:type="spellEnd"/>
      <w:r w:rsidR="00AF0D80" w:rsidRPr="003E37C9">
        <w:t>)</w:t>
      </w:r>
      <w:r w:rsidR="004158A3" w:rsidRPr="003E37C9">
        <w:t>  </w:t>
      </w:r>
      <w:r w:rsidRPr="003E37C9">
        <w:t>licence area overlaps where two sets of three commercial services will require</w:t>
      </w:r>
      <w:r w:rsidRPr="00A7267D">
        <w:t xml:space="preserve"> channels (a t</w:t>
      </w:r>
      <w:r w:rsidR="004158A3">
        <w:t>otal of nine channels) and;</w:t>
      </w:r>
      <w:r w:rsidR="004158A3">
        <w:br/>
        <w:t>ii)  </w:t>
      </w:r>
      <w:r w:rsidRPr="00A7267D">
        <w:t>where broadcasters operate from different sites but cover the same area.</w:t>
      </w:r>
    </w:p>
    <w:p w:rsidR="00155F69" w:rsidRDefault="00D54F2B">
      <w:r>
        <w:t>No change from draft principle 3.</w:t>
      </w:r>
    </w:p>
    <w:p w:rsidR="005664F9" w:rsidRPr="006352F5" w:rsidRDefault="005664F9" w:rsidP="005664F9">
      <w:pPr>
        <w:rPr>
          <w:b/>
        </w:rPr>
      </w:pPr>
      <w:r w:rsidRPr="006352F5">
        <w:rPr>
          <w:b/>
        </w:rPr>
        <w:t>Principles 4</w:t>
      </w:r>
      <w:r w:rsidR="00323D60">
        <w:rPr>
          <w:rFonts w:cs="Arial"/>
          <w:b/>
        </w:rPr>
        <w:t>–</w:t>
      </w:r>
      <w:r w:rsidRPr="006352F5">
        <w:rPr>
          <w:b/>
        </w:rPr>
        <w:t>6</w:t>
      </w:r>
      <w:r w:rsidR="00F52839" w:rsidRPr="006352F5">
        <w:rPr>
          <w:b/>
        </w:rPr>
        <w:t xml:space="preserve"> define the essential elements of the </w:t>
      </w:r>
      <w:r w:rsidR="00323D60">
        <w:rPr>
          <w:b/>
        </w:rPr>
        <w:t>b</w:t>
      </w:r>
      <w:r w:rsidR="00F52839" w:rsidRPr="006352F5">
        <w:rPr>
          <w:b/>
        </w:rPr>
        <w:t xml:space="preserve">lock </w:t>
      </w:r>
      <w:r w:rsidR="00323D60">
        <w:rPr>
          <w:b/>
        </w:rPr>
        <w:t>p</w:t>
      </w:r>
      <w:r w:rsidR="00F52839" w:rsidRPr="006352F5">
        <w:rPr>
          <w:b/>
        </w:rPr>
        <w:t xml:space="preserve">lanning </w:t>
      </w:r>
      <w:r w:rsidR="00323D60">
        <w:rPr>
          <w:b/>
        </w:rPr>
        <w:t>a</w:t>
      </w:r>
      <w:r w:rsidR="00F52839" w:rsidRPr="006352F5">
        <w:rPr>
          <w:b/>
        </w:rPr>
        <w:t>pproach</w:t>
      </w:r>
      <w:r w:rsidR="003F0DA1" w:rsidRPr="006352F5">
        <w:rPr>
          <w:b/>
        </w:rPr>
        <w:t>.</w:t>
      </w:r>
    </w:p>
    <w:p w:rsidR="005664F9" w:rsidRPr="00A7267D" w:rsidRDefault="00BC364D" w:rsidP="00B85BF4">
      <w:pPr>
        <w:pStyle w:val="FinalPrinciple"/>
      </w:pPr>
      <w:r w:rsidRPr="00A7267D">
        <w:t xml:space="preserve">Plan channels so that viewers </w:t>
      </w:r>
      <w:r w:rsidR="000776C5">
        <w:t xml:space="preserve">in metropolitan and regional licence areas </w:t>
      </w:r>
      <w:r w:rsidRPr="00A7267D">
        <w:t xml:space="preserve">can receive all services </w:t>
      </w:r>
      <w:r w:rsidR="00E44409">
        <w:t>using</w:t>
      </w:r>
      <w:r w:rsidR="00E44409" w:rsidRPr="00A7267D">
        <w:t xml:space="preserve"> </w:t>
      </w:r>
      <w:r w:rsidRPr="00A7267D">
        <w:t xml:space="preserve">a single band </w:t>
      </w:r>
      <w:r w:rsidR="00E44409">
        <w:t xml:space="preserve">antenna </w:t>
      </w:r>
      <w:r w:rsidRPr="00A7267D">
        <w:t>(i.e.</w:t>
      </w:r>
      <w:r w:rsidR="00D54F2B">
        <w:t xml:space="preserve"> plan </w:t>
      </w:r>
      <w:r w:rsidR="000776C5">
        <w:t xml:space="preserve">all </w:t>
      </w:r>
      <w:r w:rsidR="00E44409">
        <w:t xml:space="preserve">channels in either the </w:t>
      </w:r>
      <w:r w:rsidR="000776C5">
        <w:t>VHF o</w:t>
      </w:r>
      <w:r w:rsidR="0044037B">
        <w:t>r</w:t>
      </w:r>
      <w:r w:rsidR="000776C5">
        <w:t xml:space="preserve"> UHF </w:t>
      </w:r>
      <w:r w:rsidR="00E44409">
        <w:t>band</w:t>
      </w:r>
      <w:r w:rsidR="000776C5">
        <w:t>)</w:t>
      </w:r>
      <w:r w:rsidR="00CF5838">
        <w:t xml:space="preserve">. </w:t>
      </w:r>
      <w:r w:rsidR="000776C5">
        <w:t xml:space="preserve">Consider the benefit of single band operation in other areas on a </w:t>
      </w:r>
      <w:r w:rsidR="00323D60">
        <w:t>case-by-case</w:t>
      </w:r>
      <w:r w:rsidR="000776C5">
        <w:t xml:space="preserve"> basis.</w:t>
      </w:r>
      <w:r w:rsidR="00B51FD5">
        <w:t xml:space="preserve"> </w:t>
      </w:r>
      <w:r w:rsidR="00D54F2B">
        <w:t>T</w:t>
      </w:r>
      <w:r w:rsidR="00EB19C2">
        <w:t xml:space="preserve">he current polarisation of the </w:t>
      </w:r>
      <w:r w:rsidR="00D54F2B">
        <w:t xml:space="preserve">existing transmissions </w:t>
      </w:r>
      <w:r w:rsidR="00EB19C2">
        <w:t xml:space="preserve">in a particular band </w:t>
      </w:r>
      <w:r w:rsidR="00D54F2B">
        <w:t>at each transmission site is to</w:t>
      </w:r>
      <w:r w:rsidR="00EB19C2">
        <w:t xml:space="preserve"> be maintained</w:t>
      </w:r>
      <w:r w:rsidR="00D54F2B">
        <w:t>.</w:t>
      </w:r>
    </w:p>
    <w:p w:rsidR="00E44409" w:rsidRDefault="00E44409" w:rsidP="00722D0F">
      <w:r>
        <w:lastRenderedPageBreak/>
        <w:t xml:space="preserve">Slight rewording of </w:t>
      </w:r>
      <w:r w:rsidR="00D54F2B">
        <w:t xml:space="preserve">text in brackets compared with draft principle 4 </w:t>
      </w:r>
      <w:r>
        <w:t>to improve clarity</w:t>
      </w:r>
      <w:r w:rsidR="00D70395">
        <w:t>.</w:t>
      </w:r>
      <w:r w:rsidR="00B51FD5">
        <w:t xml:space="preserve"> </w:t>
      </w:r>
      <w:r w:rsidR="00D70395">
        <w:t>A</w:t>
      </w:r>
      <w:r w:rsidR="00E856E3">
        <w:t xml:space="preserve"> revision of the </w:t>
      </w:r>
      <w:r w:rsidR="00D54F2B">
        <w:t xml:space="preserve">final sentence </w:t>
      </w:r>
      <w:r w:rsidR="00AE218E">
        <w:t xml:space="preserve">was made </w:t>
      </w:r>
      <w:r w:rsidR="00D54F2B">
        <w:t xml:space="preserve">to </w:t>
      </w:r>
      <w:r w:rsidR="00EB19C2">
        <w:t>reflect that no polarisation changes will be considered</w:t>
      </w:r>
      <w:r>
        <w:t>.</w:t>
      </w:r>
    </w:p>
    <w:p w:rsidR="00954CEC" w:rsidRPr="00A7267D" w:rsidRDefault="00954CEC" w:rsidP="00B85BF4">
      <w:pPr>
        <w:pStyle w:val="FinalPrinciple"/>
      </w:pPr>
      <w:r w:rsidRPr="00A7267D">
        <w:t>Plan all six services on channels within defined blocks of channels as follows:</w:t>
      </w:r>
      <w:r w:rsidR="004158A3" w:rsidRPr="00A7267D">
        <w:t xml:space="preserve"> </w:t>
      </w:r>
      <w:r w:rsidR="004158A3">
        <w:br/>
      </w:r>
      <w:r w:rsidRPr="00A7267D">
        <w:t>Block A: 6, 7, 8, 10, 11 and 12</w:t>
      </w:r>
      <w:r w:rsidR="0083453A">
        <w:t>*</w:t>
      </w:r>
      <w:r w:rsidR="004158A3">
        <w:br/>
      </w:r>
      <w:r w:rsidRPr="00A7267D">
        <w:t>Block B: 28, 29, 30, 31, 32 and 33</w:t>
      </w:r>
      <w:r w:rsidR="004158A3">
        <w:br/>
      </w:r>
      <w:r w:rsidRPr="00A7267D">
        <w:t>Block C: 34, 35, 36, 37, 38 and 39</w:t>
      </w:r>
      <w:r w:rsidR="004158A3">
        <w:br/>
      </w:r>
      <w:r w:rsidRPr="00A7267D">
        <w:t>Block D: 40, 41, 42, 43, 44 and 45</w:t>
      </w:r>
      <w:r w:rsidR="004158A3">
        <w:br/>
      </w:r>
      <w:r w:rsidRPr="00A7267D">
        <w:t>Block E: 46, 47, 48, 49, 50, and 51</w:t>
      </w:r>
      <w:r w:rsidR="00323D60">
        <w:t>.</w:t>
      </w:r>
      <w:r w:rsidR="0083453A">
        <w:br/>
        <w:t xml:space="preserve">* </w:t>
      </w:r>
      <w:r w:rsidR="00323D60">
        <w:t>C</w:t>
      </w:r>
      <w:r w:rsidR="0083453A">
        <w:t xml:space="preserve">hannels 9 </w:t>
      </w:r>
      <w:r w:rsidR="00323D60">
        <w:t xml:space="preserve">and </w:t>
      </w:r>
      <w:r w:rsidR="0083453A">
        <w:t>9A may be used for digital TV in some remote areas.</w:t>
      </w:r>
    </w:p>
    <w:p w:rsidR="00722D0F" w:rsidRPr="00A7267D" w:rsidRDefault="00D54F2B" w:rsidP="00722D0F">
      <w:r>
        <w:t>No change from draft principle 5.</w:t>
      </w:r>
    </w:p>
    <w:p w:rsidR="00954CEC" w:rsidRPr="00A7267D" w:rsidRDefault="00B7025D" w:rsidP="00B85BF4">
      <w:pPr>
        <w:pStyle w:val="FinalPrinciple"/>
      </w:pPr>
      <w:r w:rsidRPr="00A7267D">
        <w:t>Assign channels within a block as follows</w:t>
      </w:r>
      <w:r w:rsidR="00954CEC" w:rsidRPr="00A7267D">
        <w:t xml:space="preserve">. </w:t>
      </w:r>
    </w:p>
    <w:p w:rsidR="00B7025D" w:rsidRPr="00A7267D" w:rsidRDefault="00B7025D" w:rsidP="003B09E9">
      <w:pPr>
        <w:pStyle w:val="principlebody"/>
      </w:pPr>
      <w:r w:rsidRPr="00A7267D">
        <w:t xml:space="preserve">VHF: Existing VHF services to retain current channels unless they have to move to clear channels 9 and 9A </w:t>
      </w:r>
      <w:r w:rsidR="00227A57">
        <w:t xml:space="preserve">under </w:t>
      </w:r>
      <w:r w:rsidR="00902EE3">
        <w:t>principle</w:t>
      </w:r>
      <w:r w:rsidRPr="00A7267D">
        <w:t xml:space="preserve"> 2</w:t>
      </w:r>
      <w:r w:rsidR="00CF5838">
        <w:t xml:space="preserve">. </w:t>
      </w:r>
      <w:r w:rsidR="00227A57">
        <w:t xml:space="preserve">New or changed channel assignments </w:t>
      </w:r>
      <w:r w:rsidR="00FA6ACB">
        <w:t xml:space="preserve">do not need </w:t>
      </w:r>
      <w:r w:rsidR="00227A57">
        <w:t xml:space="preserve">to </w:t>
      </w:r>
      <w:r w:rsidR="00227A57" w:rsidRPr="00A7267D">
        <w:t xml:space="preserve">follow </w:t>
      </w:r>
      <w:r w:rsidR="00FA6ACB">
        <w:t>any</w:t>
      </w:r>
      <w:r w:rsidR="00FA6ACB" w:rsidRPr="00A7267D">
        <w:t xml:space="preserve"> </w:t>
      </w:r>
      <w:r w:rsidR="00227A57" w:rsidRPr="00A7267D">
        <w:t>particular order</w:t>
      </w:r>
      <w:r w:rsidR="00227A57">
        <w:t>, except in all Metropolitan areas where SBS should move to channel 7</w:t>
      </w:r>
      <w:r w:rsidR="00CF5838">
        <w:t xml:space="preserve">. </w:t>
      </w:r>
      <w:r w:rsidR="00FF42C9" w:rsidRPr="00A7267D">
        <w:t xml:space="preserve">Where </w:t>
      </w:r>
      <w:r w:rsidR="00227A57">
        <w:t xml:space="preserve">it is </w:t>
      </w:r>
      <w:r w:rsidR="00FF42C9" w:rsidRPr="00A7267D">
        <w:t>possible without moving existing services</w:t>
      </w:r>
      <w:r w:rsidR="00985E98">
        <w:t>,</w:t>
      </w:r>
      <w:r w:rsidR="00FF42C9" w:rsidRPr="00A7267D">
        <w:t xml:space="preserve"> channel 10 should be the unassigned channel</w:t>
      </w:r>
      <w:r w:rsidR="00530A51">
        <w:t xml:space="preserve"> to align with the </w:t>
      </w:r>
      <w:r w:rsidR="003B09E9">
        <w:t>m</w:t>
      </w:r>
      <w:r w:rsidR="00530A51">
        <w:t>etropolitan area unassigned channel</w:t>
      </w:r>
      <w:r w:rsidR="00FF42C9" w:rsidRPr="00A7267D">
        <w:t>.</w:t>
      </w:r>
    </w:p>
    <w:p w:rsidR="00B57AE3" w:rsidRPr="003B09E9" w:rsidRDefault="00B7025D" w:rsidP="003B09E9">
      <w:pPr>
        <w:pStyle w:val="principlebody"/>
        <w:spacing w:after="80"/>
      </w:pPr>
      <w:r w:rsidRPr="00A7267D">
        <w:t>UHF</w:t>
      </w:r>
      <w:r w:rsidR="00FF42C9" w:rsidRPr="00A7267D">
        <w:t xml:space="preserve">: </w:t>
      </w:r>
      <w:r w:rsidR="00227A57">
        <w:t>C</w:t>
      </w:r>
      <w:r w:rsidR="00FF42C9" w:rsidRPr="00A7267D">
        <w:t xml:space="preserve">hannel </w:t>
      </w:r>
      <w:r w:rsidR="00B57AE3">
        <w:t xml:space="preserve">assignments should be made after considering and balancing a number of </w:t>
      </w:r>
      <w:r w:rsidR="00B57AE3" w:rsidRPr="003B09E9">
        <w:t>objectives including:</w:t>
      </w:r>
    </w:p>
    <w:p w:rsidR="00AE3CF5" w:rsidRPr="003B09E9" w:rsidRDefault="00B57AE3" w:rsidP="000870BD">
      <w:pPr>
        <w:pStyle w:val="principlesubpoint"/>
      </w:pPr>
      <w:r w:rsidRPr="003B09E9">
        <w:t xml:space="preserve">avoiding </w:t>
      </w:r>
      <w:r w:rsidR="00D26732" w:rsidRPr="003B09E9">
        <w:t>off-air input issues</w:t>
      </w:r>
      <w:r w:rsidR="00F76745" w:rsidRPr="003B09E9">
        <w:t xml:space="preserve"> (adjacent channel and N+5)</w:t>
      </w:r>
    </w:p>
    <w:p w:rsidR="00AE3CF5" w:rsidRPr="003B09E9" w:rsidRDefault="00F76745" w:rsidP="003B09E9">
      <w:pPr>
        <w:pStyle w:val="ListBullet"/>
        <w:shd w:val="clear" w:color="auto" w:fill="EEECE1"/>
        <w:rPr>
          <w:i/>
        </w:rPr>
      </w:pPr>
      <w:r w:rsidRPr="003B09E9">
        <w:rPr>
          <w:i/>
        </w:rPr>
        <w:t>avoiding changes to existing services within the block</w:t>
      </w:r>
    </w:p>
    <w:p w:rsidR="00AE3CF5" w:rsidRPr="003B09E9" w:rsidRDefault="00332FC0" w:rsidP="003B09E9">
      <w:pPr>
        <w:pStyle w:val="ListBullet"/>
        <w:shd w:val="clear" w:color="auto" w:fill="EEECE1"/>
        <w:rPr>
          <w:i/>
        </w:rPr>
      </w:pPr>
      <w:r w:rsidRPr="003B09E9">
        <w:rPr>
          <w:i/>
        </w:rPr>
        <w:t>u</w:t>
      </w:r>
      <w:r w:rsidR="00B57AE3" w:rsidRPr="003B09E9">
        <w:rPr>
          <w:i/>
        </w:rPr>
        <w:t>sing the unassigned channel to remove restack timing constraints</w:t>
      </w:r>
      <w:r w:rsidR="00D26732" w:rsidRPr="003B09E9">
        <w:rPr>
          <w:i/>
        </w:rPr>
        <w:t xml:space="preserve"> and manage band edge interference potential.</w:t>
      </w:r>
    </w:p>
    <w:p w:rsidR="00B7025D" w:rsidRDefault="00332FC0" w:rsidP="003B09E9">
      <w:pPr>
        <w:pStyle w:val="principlebody"/>
        <w:spacing w:before="240"/>
      </w:pPr>
      <w:r>
        <w:t>If none of the above issues apply</w:t>
      </w:r>
      <w:r w:rsidR="00985E98">
        <w:t>,</w:t>
      </w:r>
      <w:r>
        <w:t xml:space="preserve"> UHF channels should</w:t>
      </w:r>
      <w:r w:rsidR="00FF42C9" w:rsidRPr="00A7267D">
        <w:t xml:space="preserve"> be assigned in t</w:t>
      </w:r>
      <w:r>
        <w:t>he following order:</w:t>
      </w:r>
      <w:r w:rsidR="00FF42C9" w:rsidRPr="00A7267D">
        <w:t xml:space="preserve"> SBS, ABC, Seven (or affiliate), Nine (or affiliate), T</w:t>
      </w:r>
      <w:r>
        <w:t>en (or affiliate), Unassigned.</w:t>
      </w:r>
    </w:p>
    <w:p w:rsidR="00722D0F" w:rsidRPr="00A7267D" w:rsidRDefault="0024292D" w:rsidP="00722D0F">
      <w:r>
        <w:t>No change from draft principle 6</w:t>
      </w:r>
      <w:r w:rsidR="00423F26">
        <w:t>.</w:t>
      </w:r>
    </w:p>
    <w:p w:rsidR="000870BD" w:rsidRDefault="00E44409" w:rsidP="00B85BF4">
      <w:pPr>
        <w:pStyle w:val="FinalPrinciple"/>
      </w:pPr>
      <w:r>
        <w:t>In selecting the</w:t>
      </w:r>
      <w:r w:rsidR="000870BD">
        <w:t xml:space="preserve"> channel block for a </w:t>
      </w:r>
      <w:r w:rsidR="00EB19C2">
        <w:t xml:space="preserve">transmission </w:t>
      </w:r>
      <w:r w:rsidR="000870BD">
        <w:t xml:space="preserve">site: </w:t>
      </w:r>
    </w:p>
    <w:p w:rsidR="00EB19C2" w:rsidRDefault="00EB19C2" w:rsidP="000870BD">
      <w:pPr>
        <w:pStyle w:val="principlesubpoint"/>
      </w:pPr>
      <w:r>
        <w:t>Consider the channels used by existing digital services and any information available on the operating frequency range of broadcaster transmission equipment.</w:t>
      </w:r>
    </w:p>
    <w:p w:rsidR="00F632DF" w:rsidRDefault="00F632DF" w:rsidP="000870BD">
      <w:pPr>
        <w:pStyle w:val="principlesubpoint"/>
      </w:pPr>
      <w:r w:rsidRPr="00937EE8">
        <w:t xml:space="preserve">Avoid use of </w:t>
      </w:r>
      <w:r w:rsidR="000870BD">
        <w:t>a block outside the likely bandwidth of viewer antennas.</w:t>
      </w:r>
      <w:r w:rsidR="00B51FD5">
        <w:t xml:space="preserve"> </w:t>
      </w:r>
      <w:r w:rsidR="000870BD">
        <w:t xml:space="preserve">In particular, avoid </w:t>
      </w:r>
      <w:r w:rsidR="00D70395">
        <w:t>b</w:t>
      </w:r>
      <w:r w:rsidRPr="00937EE8">
        <w:t>lock B where there is no current or past use of UHF Band IV channels</w:t>
      </w:r>
      <w:r w:rsidR="00CF5838">
        <w:t xml:space="preserve">. </w:t>
      </w:r>
      <w:r w:rsidRPr="00937EE8">
        <w:t xml:space="preserve">Where this </w:t>
      </w:r>
      <w:r w:rsidR="003B09E9" w:rsidRPr="00937EE8">
        <w:t>cannot be avoided,</w:t>
      </w:r>
      <w:r w:rsidRPr="00937EE8">
        <w:t xml:space="preserve"> minimise the total population affected.</w:t>
      </w:r>
    </w:p>
    <w:p w:rsidR="000870BD" w:rsidRPr="00937EE8" w:rsidRDefault="000870BD" w:rsidP="000870BD">
      <w:pPr>
        <w:pStyle w:val="principlesubpoint"/>
      </w:pPr>
      <w:r>
        <w:t>Wherever sites utilise UHF channel blocks, attempt to place high power services on lower UHF channel blocks</w:t>
      </w:r>
      <w:r w:rsidR="00EB19C2">
        <w:t>.</w:t>
      </w:r>
    </w:p>
    <w:p w:rsidR="00115496" w:rsidRDefault="00115496" w:rsidP="00722D0F">
      <w:r>
        <w:t xml:space="preserve">The </w:t>
      </w:r>
      <w:r w:rsidR="000870BD">
        <w:t>original</w:t>
      </w:r>
      <w:r w:rsidR="00FC7ACF">
        <w:t>ly proposed</w:t>
      </w:r>
      <w:r w:rsidR="000870BD">
        <w:t xml:space="preserve"> draft princ</w:t>
      </w:r>
      <w:r w:rsidR="00EB19C2">
        <w:t xml:space="preserve">iples </w:t>
      </w:r>
      <w:r>
        <w:t>8, 7</w:t>
      </w:r>
      <w:r w:rsidR="00EB19C2">
        <w:t xml:space="preserve"> </w:t>
      </w:r>
      <w:r w:rsidR="000870BD">
        <w:t xml:space="preserve">and 13 </w:t>
      </w:r>
      <w:r>
        <w:t xml:space="preserve">have been combined (in that order) </w:t>
      </w:r>
      <w:r w:rsidR="000870BD">
        <w:t xml:space="preserve">as </w:t>
      </w:r>
      <w:r w:rsidR="00EB19C2">
        <w:t>each</w:t>
      </w:r>
      <w:r w:rsidR="000870BD">
        <w:t xml:space="preserve"> related to selection of channel blocks.</w:t>
      </w:r>
      <w:r w:rsidR="00E84DB4">
        <w:t xml:space="preserve"> </w:t>
      </w:r>
      <w:r w:rsidR="000870BD">
        <w:t>The scope of the original draft principle 7 has been broadened as it is may also be necessary to avoid using too high a channel block (eg</w:t>
      </w:r>
      <w:r w:rsidR="00F57310">
        <w:t>.</w:t>
      </w:r>
      <w:r w:rsidR="000870BD">
        <w:t xml:space="preserve"> </w:t>
      </w:r>
      <w:proofErr w:type="gramStart"/>
      <w:r w:rsidR="000870BD">
        <w:t>Block D or E) where viewers may have only a Band IV or Band IV+ antenna.</w:t>
      </w:r>
      <w:proofErr w:type="gramEnd"/>
      <w:r w:rsidR="00F57310">
        <w:t xml:space="preserve"> </w:t>
      </w:r>
      <w:r w:rsidR="000870BD">
        <w:t xml:space="preserve">This is less likely </w:t>
      </w:r>
      <w:r>
        <w:t xml:space="preserve">to be an issue </w:t>
      </w:r>
      <w:r w:rsidR="000870BD">
        <w:t>as services will generally need to move from higher channels to lower channels.</w:t>
      </w:r>
      <w:r w:rsidR="00F57310">
        <w:t xml:space="preserve"> </w:t>
      </w:r>
      <w:r w:rsidR="00892624">
        <w:t>The word ‘higher’ in the final sentence has been replaced with ‘high’ for improved clarity.</w:t>
      </w:r>
    </w:p>
    <w:p w:rsidR="00491FC1" w:rsidRPr="00A7267D" w:rsidRDefault="00491FC1" w:rsidP="00722D0F">
      <w:pPr>
        <w:pStyle w:val="FinalPrinciple"/>
      </w:pPr>
      <w:r>
        <w:lastRenderedPageBreak/>
        <w:t xml:space="preserve">Break up wide area single frequency networks (SFNs) known to have associated reception problems and minimise use of new SFNs where </w:t>
      </w:r>
      <w:r w:rsidR="00086386">
        <w:t>possible</w:t>
      </w:r>
      <w:r>
        <w:t>.</w:t>
      </w:r>
    </w:p>
    <w:p w:rsidR="00EB19C2" w:rsidRDefault="00115496" w:rsidP="00722D0F">
      <w:bookmarkStart w:id="23" w:name="_Ref284962393"/>
      <w:r>
        <w:t>This principle has been r</w:t>
      </w:r>
      <w:r w:rsidR="00EB19C2">
        <w:t>enumbered only</w:t>
      </w:r>
      <w:r>
        <w:t>.</w:t>
      </w:r>
      <w:r w:rsidR="00E84DB4">
        <w:t xml:space="preserve"> </w:t>
      </w:r>
      <w:r>
        <w:t>It was formerly draft principle 9</w:t>
      </w:r>
      <w:r w:rsidR="00EB19C2">
        <w:t>.</w:t>
      </w:r>
    </w:p>
    <w:p w:rsidR="00134E35" w:rsidRPr="00A7267D" w:rsidRDefault="00B27867" w:rsidP="00B85BF4">
      <w:pPr>
        <w:pStyle w:val="FinalPrinciple"/>
      </w:pPr>
      <w:r>
        <w:t>Plan on the basis of b</w:t>
      </w:r>
      <w:r w:rsidR="00491FC1">
        <w:t xml:space="preserve">roadcasters using the DVB-T standard with transmission parameters of </w:t>
      </w:r>
      <w:r w:rsidR="00E23C19">
        <w:t xml:space="preserve">8k, </w:t>
      </w:r>
      <w:r w:rsidR="00491FC1">
        <w:t xml:space="preserve">64QAM, </w:t>
      </w:r>
      <w:r w:rsidR="00EB19C2">
        <w:t>2/3</w:t>
      </w:r>
      <w:r w:rsidR="00491FC1">
        <w:t xml:space="preserve"> forward error correction (FEC) and 1/16 guard interval.</w:t>
      </w:r>
      <w:bookmarkEnd w:id="23"/>
    </w:p>
    <w:p w:rsidR="00414485" w:rsidRPr="003610E1" w:rsidRDefault="00414485" w:rsidP="00414485">
      <w:r>
        <w:t xml:space="preserve">The co-channel protection ratio used for planning </w:t>
      </w:r>
      <w:r w:rsidR="008D4F13">
        <w:t>will</w:t>
      </w:r>
      <w:r>
        <w:t xml:space="preserve"> be: 20 dB</w:t>
      </w:r>
    </w:p>
    <w:p w:rsidR="003B09E9" w:rsidRPr="003610E1" w:rsidRDefault="006B1289" w:rsidP="003B09E9">
      <w:r>
        <w:t xml:space="preserve">The minimum median field strengths used for planning </w:t>
      </w:r>
      <w:r w:rsidR="008D4F13">
        <w:t xml:space="preserve">will </w:t>
      </w:r>
      <w:r>
        <w:t>be:</w:t>
      </w:r>
    </w:p>
    <w:tbl>
      <w:tblPr>
        <w:tblW w:w="9645" w:type="dxa"/>
        <w:tblLayout w:type="fixed"/>
        <w:tblCellMar>
          <w:left w:w="0" w:type="dxa"/>
          <w:right w:w="0" w:type="dxa"/>
        </w:tblCellMar>
        <w:tblLook w:val="01E0"/>
      </w:tblPr>
      <w:tblGrid>
        <w:gridCol w:w="9645"/>
      </w:tblGrid>
      <w:tr w:rsidR="003B09E9" w:rsidTr="002840D4">
        <w:trPr>
          <w:trHeight w:val="570"/>
        </w:trPr>
        <w:tc>
          <w:tcPr>
            <w:tcW w:w="9645" w:type="dxa"/>
            <w:tcBorders>
              <w:top w:val="single" w:sz="2" w:space="0" w:color="505050"/>
            </w:tcBorders>
            <w:shd w:val="clear" w:color="auto" w:fill="auto"/>
            <w:vAlign w:val="center"/>
          </w:tcPr>
          <w:p w:rsidR="003B09E9" w:rsidRPr="00A74B5E" w:rsidRDefault="003B09E9" w:rsidP="002840D4">
            <w:pPr>
              <w:pStyle w:val="Caption"/>
            </w:pPr>
            <w:r w:rsidRPr="003B09E9">
              <w:t>Table 2: Minimum median field strengths for digital television planning (dBµV/m)</w:t>
            </w:r>
          </w:p>
        </w:tc>
      </w:tr>
      <w:tr w:rsidR="003B09E9" w:rsidTr="003B09E9">
        <w:trPr>
          <w:trHeight w:val="2036"/>
        </w:trPr>
        <w:tc>
          <w:tcPr>
            <w:tcW w:w="9645" w:type="dxa"/>
            <w:shd w:val="clear" w:color="auto" w:fill="auto"/>
            <w:tcMar>
              <w:left w:w="28" w:type="dxa"/>
            </w:tcMar>
          </w:tcPr>
          <w:tbl>
            <w:tblPr>
              <w:tblW w:w="8957" w:type="dxa"/>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0" w:type="dxa"/>
                <w:right w:w="0" w:type="dxa"/>
              </w:tblCellMar>
              <w:tblLook w:val="01E0"/>
            </w:tblPr>
            <w:tblGrid>
              <w:gridCol w:w="1417"/>
              <w:gridCol w:w="737"/>
              <w:gridCol w:w="964"/>
              <w:gridCol w:w="680"/>
              <w:gridCol w:w="737"/>
              <w:gridCol w:w="964"/>
              <w:gridCol w:w="850"/>
              <w:gridCol w:w="737"/>
              <w:gridCol w:w="964"/>
              <w:gridCol w:w="850"/>
              <w:gridCol w:w="57"/>
            </w:tblGrid>
            <w:tr w:rsidR="00414485" w:rsidRPr="00A7267D" w:rsidTr="00892624">
              <w:trPr>
                <w:trHeight w:val="567"/>
              </w:trPr>
              <w:tc>
                <w:tcPr>
                  <w:tcW w:w="1417" w:type="dxa"/>
                  <w:tcBorders>
                    <w:top w:val="single" w:sz="12" w:space="0" w:color="F47C20"/>
                    <w:left w:val="single" w:sz="4" w:space="0" w:color="C8C8C8"/>
                    <w:bottom w:val="single" w:sz="12" w:space="0" w:color="F47C20"/>
                    <w:right w:val="single" w:sz="4" w:space="0" w:color="C8C8C8"/>
                  </w:tcBorders>
                  <w:shd w:val="clear" w:color="auto" w:fill="auto"/>
                  <w:tcMar>
                    <w:top w:w="34" w:type="dxa"/>
                    <w:left w:w="113" w:type="dxa"/>
                  </w:tcMar>
                  <w:vAlign w:val="center"/>
                </w:tcPr>
                <w:p w:rsidR="00414485" w:rsidRPr="00A7267D" w:rsidRDefault="00414485" w:rsidP="003B09E9">
                  <w:pPr>
                    <w:pStyle w:val="TableHeading"/>
                    <w:keepNext/>
                    <w:keepLines/>
                    <w:spacing w:after="0" w:line="240" w:lineRule="auto"/>
                    <w:contextualSpacing/>
                  </w:pPr>
                </w:p>
              </w:tc>
              <w:tc>
                <w:tcPr>
                  <w:tcW w:w="2381" w:type="dxa"/>
                  <w:gridSpan w:val="3"/>
                  <w:tcBorders>
                    <w:top w:val="single" w:sz="12" w:space="0" w:color="F47C20"/>
                    <w:left w:val="single" w:sz="4" w:space="0" w:color="C8C8C8"/>
                    <w:bottom w:val="single" w:sz="12" w:space="0" w:color="F47C20"/>
                  </w:tcBorders>
                  <w:shd w:val="clear" w:color="auto" w:fill="auto"/>
                  <w:tcMar>
                    <w:left w:w="113" w:type="dxa"/>
                  </w:tcMar>
                  <w:vAlign w:val="center"/>
                </w:tcPr>
                <w:p w:rsidR="00414485" w:rsidRDefault="00414485" w:rsidP="00EB19C2">
                  <w:pPr>
                    <w:pStyle w:val="TableHeading"/>
                    <w:keepNext/>
                    <w:keepLines/>
                    <w:spacing w:after="0" w:line="240" w:lineRule="auto"/>
                    <w:contextualSpacing/>
                    <w:jc w:val="center"/>
                    <w:rPr>
                      <w:rFonts w:cs="Arial"/>
                      <w:bCs/>
                      <w:szCs w:val="20"/>
                    </w:rPr>
                  </w:pPr>
                  <w:r w:rsidRPr="003E37C9">
                    <w:rPr>
                      <w:rFonts w:cs="Arial"/>
                      <w:bCs/>
                      <w:szCs w:val="20"/>
                    </w:rPr>
                    <w:t xml:space="preserve">VHF </w:t>
                  </w:r>
                  <w:r>
                    <w:rPr>
                      <w:rFonts w:cs="Arial"/>
                      <w:bCs/>
                      <w:szCs w:val="20"/>
                    </w:rPr>
                    <w:t>(Block A)</w:t>
                  </w:r>
                </w:p>
                <w:p w:rsidR="00414485" w:rsidRPr="003E37C9" w:rsidRDefault="00414485" w:rsidP="00EB19C2">
                  <w:pPr>
                    <w:pStyle w:val="TableHeading"/>
                    <w:keepNext/>
                    <w:keepLines/>
                    <w:spacing w:after="0" w:line="240" w:lineRule="auto"/>
                    <w:contextualSpacing/>
                    <w:jc w:val="center"/>
                  </w:pPr>
                  <w:r>
                    <w:rPr>
                      <w:rFonts w:cs="Arial"/>
                      <w:bCs/>
                      <w:szCs w:val="20"/>
                    </w:rPr>
                    <w:t>(174-230 MHz)</w:t>
                  </w:r>
                </w:p>
              </w:tc>
              <w:tc>
                <w:tcPr>
                  <w:tcW w:w="2551" w:type="dxa"/>
                  <w:gridSpan w:val="3"/>
                  <w:tcBorders>
                    <w:top w:val="single" w:sz="12" w:space="0" w:color="F47C20"/>
                    <w:bottom w:val="single" w:sz="12" w:space="0" w:color="F47C20"/>
                  </w:tcBorders>
                  <w:vAlign w:val="center"/>
                </w:tcPr>
                <w:p w:rsidR="00414485" w:rsidRDefault="00414485" w:rsidP="00EB19C2">
                  <w:pPr>
                    <w:pStyle w:val="TableHeading"/>
                    <w:keepNext/>
                    <w:keepLines/>
                    <w:spacing w:after="0" w:line="240" w:lineRule="auto"/>
                    <w:contextualSpacing/>
                    <w:jc w:val="center"/>
                    <w:rPr>
                      <w:rFonts w:cs="Arial"/>
                      <w:bCs/>
                      <w:szCs w:val="20"/>
                    </w:rPr>
                  </w:pPr>
                  <w:r w:rsidRPr="003E37C9">
                    <w:rPr>
                      <w:rFonts w:cs="Arial"/>
                      <w:bCs/>
                      <w:szCs w:val="20"/>
                    </w:rPr>
                    <w:t>UHF (B</w:t>
                  </w:r>
                  <w:r>
                    <w:rPr>
                      <w:rFonts w:cs="Arial"/>
                      <w:bCs/>
                      <w:szCs w:val="20"/>
                    </w:rPr>
                    <w:t>locks B and C</w:t>
                  </w:r>
                  <w:r w:rsidRPr="003E37C9">
                    <w:rPr>
                      <w:rFonts w:cs="Arial"/>
                      <w:bCs/>
                      <w:szCs w:val="20"/>
                    </w:rPr>
                    <w:t>)</w:t>
                  </w:r>
                </w:p>
                <w:p w:rsidR="00414485" w:rsidRPr="003E37C9" w:rsidRDefault="00414485" w:rsidP="00414485">
                  <w:pPr>
                    <w:pStyle w:val="TableHeading"/>
                    <w:keepNext/>
                    <w:keepLines/>
                    <w:spacing w:after="0" w:line="240" w:lineRule="auto"/>
                    <w:contextualSpacing/>
                    <w:jc w:val="center"/>
                  </w:pPr>
                  <w:r>
                    <w:t>(526-610 MHz)</w:t>
                  </w:r>
                </w:p>
              </w:tc>
              <w:tc>
                <w:tcPr>
                  <w:tcW w:w="2608" w:type="dxa"/>
                  <w:gridSpan w:val="4"/>
                  <w:tcBorders>
                    <w:top w:val="single" w:sz="12" w:space="0" w:color="F47C20"/>
                    <w:bottom w:val="single" w:sz="12" w:space="0" w:color="F47C20"/>
                  </w:tcBorders>
                </w:tcPr>
                <w:p w:rsidR="00414485" w:rsidRDefault="00414485" w:rsidP="00414485">
                  <w:pPr>
                    <w:pStyle w:val="TableHeading"/>
                    <w:keepNext/>
                    <w:keepLines/>
                    <w:spacing w:after="0" w:line="240" w:lineRule="auto"/>
                    <w:contextualSpacing/>
                    <w:jc w:val="center"/>
                    <w:rPr>
                      <w:rFonts w:cs="Arial"/>
                      <w:bCs/>
                      <w:szCs w:val="20"/>
                    </w:rPr>
                  </w:pPr>
                  <w:r w:rsidRPr="003E37C9">
                    <w:rPr>
                      <w:rFonts w:cs="Arial"/>
                      <w:bCs/>
                      <w:szCs w:val="20"/>
                    </w:rPr>
                    <w:t>UHF (B</w:t>
                  </w:r>
                  <w:r>
                    <w:rPr>
                      <w:rFonts w:cs="Arial"/>
                      <w:bCs/>
                      <w:szCs w:val="20"/>
                    </w:rPr>
                    <w:t>locks D and E</w:t>
                  </w:r>
                  <w:r w:rsidRPr="003E37C9">
                    <w:rPr>
                      <w:rFonts w:cs="Arial"/>
                      <w:bCs/>
                      <w:szCs w:val="20"/>
                    </w:rPr>
                    <w:t>)</w:t>
                  </w:r>
                </w:p>
                <w:p w:rsidR="00414485" w:rsidRPr="003E37C9" w:rsidRDefault="00414485" w:rsidP="00414485">
                  <w:pPr>
                    <w:pStyle w:val="TableHeading"/>
                    <w:keepNext/>
                    <w:keepLines/>
                    <w:spacing w:after="0" w:line="240" w:lineRule="auto"/>
                    <w:contextualSpacing/>
                    <w:jc w:val="center"/>
                    <w:rPr>
                      <w:rFonts w:cs="Arial"/>
                      <w:bCs/>
                      <w:szCs w:val="20"/>
                    </w:rPr>
                  </w:pPr>
                  <w:r>
                    <w:t>(610-694 MHz)</w:t>
                  </w:r>
                </w:p>
              </w:tc>
            </w:tr>
            <w:tr w:rsidR="00047581" w:rsidRPr="00A7267D" w:rsidTr="00892624">
              <w:trPr>
                <w:gridAfter w:val="1"/>
                <w:wAfter w:w="57" w:type="dxa"/>
                <w:trHeight w:val="567"/>
              </w:trPr>
              <w:tc>
                <w:tcPr>
                  <w:tcW w:w="1417" w:type="dxa"/>
                  <w:tcBorders>
                    <w:top w:val="single" w:sz="12" w:space="0" w:color="F47C20"/>
                    <w:left w:val="single" w:sz="4" w:space="0" w:color="C8C8C8"/>
                    <w:bottom w:val="single" w:sz="12" w:space="0" w:color="F47C20"/>
                    <w:right w:val="single" w:sz="4" w:space="0" w:color="C8C8C8"/>
                  </w:tcBorders>
                  <w:shd w:val="clear" w:color="auto" w:fill="auto"/>
                  <w:tcMar>
                    <w:top w:w="34" w:type="dxa"/>
                    <w:left w:w="113" w:type="dxa"/>
                  </w:tcMar>
                  <w:vAlign w:val="center"/>
                </w:tcPr>
                <w:p w:rsidR="00414485" w:rsidRPr="00A7267D" w:rsidRDefault="00414485" w:rsidP="003B09E9">
                  <w:pPr>
                    <w:pStyle w:val="TableHeading"/>
                    <w:keepNext/>
                    <w:keepLines/>
                    <w:spacing w:after="0" w:line="240" w:lineRule="auto"/>
                    <w:contextualSpacing/>
                  </w:pPr>
                </w:p>
              </w:tc>
              <w:tc>
                <w:tcPr>
                  <w:tcW w:w="737" w:type="dxa"/>
                  <w:tcBorders>
                    <w:top w:val="single" w:sz="12" w:space="0" w:color="F47C20"/>
                    <w:left w:val="single" w:sz="4" w:space="0" w:color="C8C8C8"/>
                    <w:bottom w:val="single" w:sz="12" w:space="0" w:color="F47C20"/>
                  </w:tcBorders>
                  <w:shd w:val="clear" w:color="auto" w:fill="auto"/>
                  <w:tcMar>
                    <w:left w:w="113" w:type="dxa"/>
                  </w:tcMar>
                  <w:vAlign w:val="center"/>
                </w:tcPr>
                <w:p w:rsidR="00414485" w:rsidRPr="000A4498" w:rsidRDefault="00414485" w:rsidP="00EB19C2">
                  <w:pPr>
                    <w:spacing w:after="0" w:line="240" w:lineRule="auto"/>
                    <w:jc w:val="center"/>
                    <w:rPr>
                      <w:rFonts w:cs="Arial"/>
                      <w:b/>
                      <w:bCs/>
                      <w:szCs w:val="20"/>
                    </w:rPr>
                  </w:pPr>
                  <w:r w:rsidRPr="000A4498">
                    <w:rPr>
                      <w:rFonts w:cs="Arial"/>
                      <w:b/>
                      <w:bCs/>
                      <w:szCs w:val="20"/>
                    </w:rPr>
                    <w:t>Rural</w:t>
                  </w:r>
                </w:p>
              </w:tc>
              <w:tc>
                <w:tcPr>
                  <w:tcW w:w="964" w:type="dxa"/>
                  <w:tcBorders>
                    <w:top w:val="single" w:sz="12" w:space="0" w:color="F47C20"/>
                    <w:bottom w:val="single" w:sz="12" w:space="0" w:color="F47C20"/>
                  </w:tcBorders>
                  <w:vAlign w:val="center"/>
                </w:tcPr>
                <w:p w:rsidR="00414485" w:rsidRPr="000A4498" w:rsidRDefault="00414485" w:rsidP="00EB19C2">
                  <w:pPr>
                    <w:spacing w:after="0" w:line="240" w:lineRule="auto"/>
                    <w:jc w:val="center"/>
                    <w:rPr>
                      <w:rFonts w:cs="Arial"/>
                      <w:b/>
                      <w:bCs/>
                      <w:szCs w:val="20"/>
                    </w:rPr>
                  </w:pPr>
                  <w:r w:rsidRPr="000A4498">
                    <w:rPr>
                      <w:rFonts w:cs="Arial"/>
                      <w:b/>
                      <w:bCs/>
                      <w:szCs w:val="20"/>
                    </w:rPr>
                    <w:t>Suburban</w:t>
                  </w:r>
                </w:p>
              </w:tc>
              <w:tc>
                <w:tcPr>
                  <w:tcW w:w="680" w:type="dxa"/>
                  <w:tcBorders>
                    <w:top w:val="single" w:sz="12" w:space="0" w:color="F47C20"/>
                    <w:bottom w:val="single" w:sz="12" w:space="0" w:color="F47C20"/>
                  </w:tcBorders>
                  <w:vAlign w:val="center"/>
                </w:tcPr>
                <w:p w:rsidR="00414485" w:rsidRPr="000A4498" w:rsidRDefault="00414485" w:rsidP="00EB19C2">
                  <w:pPr>
                    <w:spacing w:after="0" w:line="240" w:lineRule="auto"/>
                    <w:jc w:val="center"/>
                    <w:rPr>
                      <w:rFonts w:cs="Arial"/>
                      <w:b/>
                      <w:bCs/>
                      <w:szCs w:val="20"/>
                    </w:rPr>
                  </w:pPr>
                  <w:r w:rsidRPr="000A4498">
                    <w:rPr>
                      <w:rFonts w:cs="Arial"/>
                      <w:b/>
                      <w:bCs/>
                      <w:szCs w:val="20"/>
                    </w:rPr>
                    <w:t>Urban</w:t>
                  </w:r>
                </w:p>
              </w:tc>
              <w:tc>
                <w:tcPr>
                  <w:tcW w:w="737" w:type="dxa"/>
                  <w:tcBorders>
                    <w:top w:val="single" w:sz="12" w:space="0" w:color="F47C20"/>
                    <w:bottom w:val="single" w:sz="12" w:space="0" w:color="F47C20"/>
                  </w:tcBorders>
                  <w:vAlign w:val="center"/>
                </w:tcPr>
                <w:p w:rsidR="00414485" w:rsidRPr="000A4498" w:rsidRDefault="00414485" w:rsidP="00EB19C2">
                  <w:pPr>
                    <w:spacing w:after="0" w:line="240" w:lineRule="auto"/>
                    <w:jc w:val="center"/>
                    <w:rPr>
                      <w:rFonts w:cs="Arial"/>
                      <w:b/>
                      <w:bCs/>
                      <w:szCs w:val="20"/>
                    </w:rPr>
                  </w:pPr>
                  <w:r w:rsidRPr="000A4498">
                    <w:rPr>
                      <w:rFonts w:cs="Arial"/>
                      <w:b/>
                      <w:bCs/>
                      <w:szCs w:val="20"/>
                    </w:rPr>
                    <w:t>Rural</w:t>
                  </w:r>
                </w:p>
              </w:tc>
              <w:tc>
                <w:tcPr>
                  <w:tcW w:w="964" w:type="dxa"/>
                  <w:tcBorders>
                    <w:top w:val="single" w:sz="12" w:space="0" w:color="F47C20"/>
                    <w:bottom w:val="single" w:sz="12" w:space="0" w:color="F47C20"/>
                  </w:tcBorders>
                  <w:vAlign w:val="center"/>
                </w:tcPr>
                <w:p w:rsidR="00414485" w:rsidRPr="000A4498" w:rsidRDefault="00414485" w:rsidP="00EB19C2">
                  <w:pPr>
                    <w:spacing w:after="0" w:line="240" w:lineRule="auto"/>
                    <w:jc w:val="center"/>
                    <w:rPr>
                      <w:rFonts w:cs="Arial"/>
                      <w:b/>
                      <w:bCs/>
                      <w:szCs w:val="20"/>
                    </w:rPr>
                  </w:pPr>
                  <w:r w:rsidRPr="000A4498">
                    <w:rPr>
                      <w:rFonts w:cs="Arial"/>
                      <w:b/>
                      <w:bCs/>
                      <w:szCs w:val="20"/>
                    </w:rPr>
                    <w:t>Suburban</w:t>
                  </w:r>
                </w:p>
              </w:tc>
              <w:tc>
                <w:tcPr>
                  <w:tcW w:w="850" w:type="dxa"/>
                  <w:tcBorders>
                    <w:top w:val="single" w:sz="12" w:space="0" w:color="F47C20"/>
                    <w:bottom w:val="single" w:sz="12" w:space="0" w:color="F47C20"/>
                  </w:tcBorders>
                  <w:shd w:val="clear" w:color="auto" w:fill="auto"/>
                  <w:tcMar>
                    <w:left w:w="113" w:type="dxa"/>
                  </w:tcMar>
                  <w:vAlign w:val="center"/>
                </w:tcPr>
                <w:p w:rsidR="00414485" w:rsidRPr="000A4498" w:rsidRDefault="00414485" w:rsidP="00EB19C2">
                  <w:pPr>
                    <w:spacing w:after="0" w:line="240" w:lineRule="auto"/>
                    <w:jc w:val="center"/>
                    <w:rPr>
                      <w:rFonts w:cs="Arial"/>
                      <w:b/>
                      <w:bCs/>
                      <w:szCs w:val="20"/>
                    </w:rPr>
                  </w:pPr>
                  <w:r w:rsidRPr="000A4498">
                    <w:rPr>
                      <w:rFonts w:cs="Arial"/>
                      <w:b/>
                      <w:bCs/>
                      <w:szCs w:val="20"/>
                    </w:rPr>
                    <w:t>Urban</w:t>
                  </w:r>
                </w:p>
              </w:tc>
              <w:tc>
                <w:tcPr>
                  <w:tcW w:w="737" w:type="dxa"/>
                  <w:tcBorders>
                    <w:top w:val="single" w:sz="12" w:space="0" w:color="F47C20"/>
                    <w:bottom w:val="single" w:sz="12" w:space="0" w:color="F79646"/>
                  </w:tcBorders>
                  <w:vAlign w:val="center"/>
                </w:tcPr>
                <w:p w:rsidR="00414485" w:rsidRPr="000A4498" w:rsidRDefault="00414485" w:rsidP="00414485">
                  <w:pPr>
                    <w:spacing w:after="0" w:line="240" w:lineRule="auto"/>
                    <w:jc w:val="center"/>
                    <w:rPr>
                      <w:rFonts w:cs="Arial"/>
                      <w:b/>
                      <w:bCs/>
                      <w:szCs w:val="20"/>
                    </w:rPr>
                  </w:pPr>
                  <w:r w:rsidRPr="000A4498">
                    <w:rPr>
                      <w:rFonts w:cs="Arial"/>
                      <w:b/>
                      <w:bCs/>
                      <w:szCs w:val="20"/>
                    </w:rPr>
                    <w:t>Rural</w:t>
                  </w:r>
                </w:p>
              </w:tc>
              <w:tc>
                <w:tcPr>
                  <w:tcW w:w="964" w:type="dxa"/>
                  <w:tcBorders>
                    <w:top w:val="single" w:sz="12" w:space="0" w:color="F47C20"/>
                    <w:bottom w:val="single" w:sz="12" w:space="0" w:color="F79646"/>
                  </w:tcBorders>
                  <w:vAlign w:val="center"/>
                </w:tcPr>
                <w:p w:rsidR="00414485" w:rsidRPr="000A4498" w:rsidRDefault="00414485" w:rsidP="00414485">
                  <w:pPr>
                    <w:spacing w:after="0" w:line="240" w:lineRule="auto"/>
                    <w:jc w:val="center"/>
                    <w:rPr>
                      <w:rFonts w:cs="Arial"/>
                      <w:b/>
                      <w:bCs/>
                      <w:szCs w:val="20"/>
                    </w:rPr>
                  </w:pPr>
                  <w:r w:rsidRPr="000A4498">
                    <w:rPr>
                      <w:rFonts w:cs="Arial"/>
                      <w:b/>
                      <w:bCs/>
                      <w:szCs w:val="20"/>
                    </w:rPr>
                    <w:t>Suburban</w:t>
                  </w:r>
                </w:p>
              </w:tc>
              <w:tc>
                <w:tcPr>
                  <w:tcW w:w="850" w:type="dxa"/>
                  <w:tcBorders>
                    <w:top w:val="single" w:sz="12" w:space="0" w:color="F47C20"/>
                    <w:bottom w:val="single" w:sz="12" w:space="0" w:color="F79646"/>
                  </w:tcBorders>
                  <w:vAlign w:val="center"/>
                </w:tcPr>
                <w:p w:rsidR="00414485" w:rsidRPr="000A4498" w:rsidRDefault="00414485" w:rsidP="00414485">
                  <w:pPr>
                    <w:spacing w:after="0" w:line="240" w:lineRule="auto"/>
                    <w:jc w:val="center"/>
                    <w:rPr>
                      <w:rFonts w:cs="Arial"/>
                      <w:b/>
                      <w:bCs/>
                      <w:szCs w:val="20"/>
                    </w:rPr>
                  </w:pPr>
                  <w:r w:rsidRPr="000A4498">
                    <w:rPr>
                      <w:rFonts w:cs="Arial"/>
                      <w:b/>
                      <w:bCs/>
                      <w:szCs w:val="20"/>
                    </w:rPr>
                    <w:t>Urban</w:t>
                  </w:r>
                </w:p>
              </w:tc>
            </w:tr>
            <w:tr w:rsidR="00047581" w:rsidRPr="00A7267D" w:rsidTr="00892624">
              <w:trPr>
                <w:gridAfter w:val="1"/>
                <w:wAfter w:w="57" w:type="dxa"/>
                <w:trHeight w:val="624"/>
              </w:trPr>
              <w:tc>
                <w:tcPr>
                  <w:tcW w:w="1417" w:type="dxa"/>
                  <w:shd w:val="clear" w:color="auto" w:fill="auto"/>
                  <w:tcMar>
                    <w:left w:w="113" w:type="dxa"/>
                  </w:tcMar>
                </w:tcPr>
                <w:p w:rsidR="00414485" w:rsidRDefault="00892624" w:rsidP="003B09E9">
                  <w:pPr>
                    <w:spacing w:after="0" w:line="240" w:lineRule="auto"/>
                    <w:rPr>
                      <w:rFonts w:cs="Arial"/>
                      <w:szCs w:val="20"/>
                    </w:rPr>
                  </w:pPr>
                  <w:r w:rsidRPr="003B09E9">
                    <w:t>Minimum median field strength</w:t>
                  </w:r>
                  <w:r>
                    <w:rPr>
                      <w:rFonts w:cs="Arial"/>
                      <w:szCs w:val="20"/>
                    </w:rPr>
                    <w:t xml:space="preserve"> (dBuV/m</w:t>
                  </w:r>
                  <w:r w:rsidR="00F57310">
                    <w:rPr>
                      <w:rFonts w:cs="Arial"/>
                      <w:szCs w:val="20"/>
                    </w:rPr>
                    <w:t>)</w:t>
                  </w:r>
                </w:p>
              </w:tc>
              <w:tc>
                <w:tcPr>
                  <w:tcW w:w="737" w:type="dxa"/>
                  <w:shd w:val="clear" w:color="auto" w:fill="auto"/>
                  <w:tcMar>
                    <w:left w:w="113" w:type="dxa"/>
                  </w:tcMar>
                  <w:vAlign w:val="center"/>
                </w:tcPr>
                <w:p w:rsidR="00414485" w:rsidRPr="000A4498" w:rsidRDefault="00414485" w:rsidP="00EB19C2">
                  <w:pPr>
                    <w:spacing w:after="0" w:line="240" w:lineRule="auto"/>
                    <w:jc w:val="center"/>
                    <w:rPr>
                      <w:rFonts w:cs="Arial"/>
                      <w:szCs w:val="20"/>
                    </w:rPr>
                  </w:pPr>
                  <w:r>
                    <w:rPr>
                      <w:rFonts w:cs="Arial"/>
                      <w:szCs w:val="20"/>
                    </w:rPr>
                    <w:t>44</w:t>
                  </w:r>
                </w:p>
              </w:tc>
              <w:tc>
                <w:tcPr>
                  <w:tcW w:w="964" w:type="dxa"/>
                  <w:vAlign w:val="center"/>
                </w:tcPr>
                <w:p w:rsidR="00414485" w:rsidRPr="000A4498" w:rsidRDefault="00414485" w:rsidP="00EB19C2">
                  <w:pPr>
                    <w:spacing w:after="0" w:line="240" w:lineRule="auto"/>
                    <w:jc w:val="center"/>
                    <w:rPr>
                      <w:rFonts w:cs="Arial"/>
                      <w:szCs w:val="20"/>
                    </w:rPr>
                  </w:pPr>
                  <w:r>
                    <w:rPr>
                      <w:rFonts w:cs="Arial"/>
                      <w:szCs w:val="20"/>
                    </w:rPr>
                    <w:t>57</w:t>
                  </w:r>
                </w:p>
              </w:tc>
              <w:tc>
                <w:tcPr>
                  <w:tcW w:w="680" w:type="dxa"/>
                  <w:vAlign w:val="center"/>
                </w:tcPr>
                <w:p w:rsidR="00414485" w:rsidRPr="000A4498" w:rsidRDefault="00414485" w:rsidP="00EB19C2">
                  <w:pPr>
                    <w:spacing w:after="0" w:line="240" w:lineRule="auto"/>
                    <w:jc w:val="center"/>
                    <w:rPr>
                      <w:rFonts w:cs="Arial"/>
                      <w:szCs w:val="20"/>
                    </w:rPr>
                  </w:pPr>
                  <w:r>
                    <w:rPr>
                      <w:rFonts w:cs="Arial"/>
                      <w:szCs w:val="20"/>
                    </w:rPr>
                    <w:t>66</w:t>
                  </w:r>
                </w:p>
              </w:tc>
              <w:tc>
                <w:tcPr>
                  <w:tcW w:w="737" w:type="dxa"/>
                  <w:vAlign w:val="center"/>
                </w:tcPr>
                <w:p w:rsidR="00414485" w:rsidRPr="000A4498" w:rsidRDefault="00414485" w:rsidP="00EB19C2">
                  <w:pPr>
                    <w:spacing w:after="0" w:line="240" w:lineRule="auto"/>
                    <w:jc w:val="center"/>
                    <w:rPr>
                      <w:rFonts w:cs="Arial"/>
                      <w:szCs w:val="20"/>
                    </w:rPr>
                  </w:pPr>
                  <w:r>
                    <w:rPr>
                      <w:rFonts w:cs="Arial"/>
                      <w:szCs w:val="20"/>
                    </w:rPr>
                    <w:t>50</w:t>
                  </w:r>
                </w:p>
              </w:tc>
              <w:tc>
                <w:tcPr>
                  <w:tcW w:w="964" w:type="dxa"/>
                  <w:vAlign w:val="center"/>
                </w:tcPr>
                <w:p w:rsidR="00414485" w:rsidRPr="000A4498" w:rsidRDefault="00414485" w:rsidP="00EB19C2">
                  <w:pPr>
                    <w:spacing w:after="0" w:line="240" w:lineRule="auto"/>
                    <w:jc w:val="center"/>
                    <w:rPr>
                      <w:rFonts w:cs="Arial"/>
                      <w:szCs w:val="20"/>
                    </w:rPr>
                  </w:pPr>
                  <w:r>
                    <w:rPr>
                      <w:rFonts w:cs="Arial"/>
                      <w:szCs w:val="20"/>
                    </w:rPr>
                    <w:t>63</w:t>
                  </w:r>
                </w:p>
              </w:tc>
              <w:tc>
                <w:tcPr>
                  <w:tcW w:w="850" w:type="dxa"/>
                  <w:shd w:val="clear" w:color="auto" w:fill="auto"/>
                  <w:tcMar>
                    <w:left w:w="113" w:type="dxa"/>
                  </w:tcMar>
                  <w:vAlign w:val="center"/>
                </w:tcPr>
                <w:p w:rsidR="00414485" w:rsidRPr="000A4498" w:rsidRDefault="00414485" w:rsidP="00EB19C2">
                  <w:pPr>
                    <w:spacing w:after="0" w:line="240" w:lineRule="auto"/>
                    <w:jc w:val="center"/>
                    <w:rPr>
                      <w:rFonts w:cs="Arial"/>
                      <w:szCs w:val="20"/>
                    </w:rPr>
                  </w:pPr>
                  <w:r>
                    <w:rPr>
                      <w:rFonts w:cs="Arial"/>
                      <w:szCs w:val="20"/>
                    </w:rPr>
                    <w:t>71</w:t>
                  </w:r>
                </w:p>
              </w:tc>
              <w:tc>
                <w:tcPr>
                  <w:tcW w:w="737" w:type="dxa"/>
                  <w:tcBorders>
                    <w:top w:val="single" w:sz="12" w:space="0" w:color="F79646"/>
                  </w:tcBorders>
                  <w:vAlign w:val="center"/>
                </w:tcPr>
                <w:p w:rsidR="00414485" w:rsidRDefault="00414485" w:rsidP="00414485">
                  <w:pPr>
                    <w:spacing w:after="0" w:line="240" w:lineRule="auto"/>
                    <w:jc w:val="center"/>
                    <w:rPr>
                      <w:rFonts w:cs="Arial"/>
                      <w:szCs w:val="20"/>
                    </w:rPr>
                  </w:pPr>
                  <w:r>
                    <w:rPr>
                      <w:rFonts w:cs="Arial"/>
                      <w:szCs w:val="20"/>
                    </w:rPr>
                    <w:t>54</w:t>
                  </w:r>
                </w:p>
              </w:tc>
              <w:tc>
                <w:tcPr>
                  <w:tcW w:w="964" w:type="dxa"/>
                  <w:tcBorders>
                    <w:top w:val="single" w:sz="12" w:space="0" w:color="F79646"/>
                  </w:tcBorders>
                  <w:vAlign w:val="center"/>
                </w:tcPr>
                <w:p w:rsidR="00414485" w:rsidRDefault="00414485" w:rsidP="00414485">
                  <w:pPr>
                    <w:spacing w:after="0" w:line="240" w:lineRule="auto"/>
                    <w:jc w:val="center"/>
                    <w:rPr>
                      <w:rFonts w:cs="Arial"/>
                      <w:szCs w:val="20"/>
                    </w:rPr>
                  </w:pPr>
                  <w:r>
                    <w:rPr>
                      <w:rFonts w:cs="Arial"/>
                      <w:szCs w:val="20"/>
                    </w:rPr>
                    <w:t>67</w:t>
                  </w:r>
                </w:p>
              </w:tc>
              <w:tc>
                <w:tcPr>
                  <w:tcW w:w="850" w:type="dxa"/>
                  <w:tcBorders>
                    <w:top w:val="single" w:sz="12" w:space="0" w:color="F79646"/>
                  </w:tcBorders>
                  <w:vAlign w:val="center"/>
                </w:tcPr>
                <w:p w:rsidR="00414485" w:rsidRDefault="00414485" w:rsidP="00414485">
                  <w:pPr>
                    <w:spacing w:after="0" w:line="240" w:lineRule="auto"/>
                    <w:jc w:val="center"/>
                    <w:rPr>
                      <w:rFonts w:cs="Arial"/>
                      <w:szCs w:val="20"/>
                    </w:rPr>
                  </w:pPr>
                  <w:r>
                    <w:rPr>
                      <w:rFonts w:cs="Arial"/>
                      <w:szCs w:val="20"/>
                    </w:rPr>
                    <w:t>74</w:t>
                  </w:r>
                </w:p>
              </w:tc>
            </w:tr>
          </w:tbl>
          <w:p w:rsidR="003B09E9" w:rsidRDefault="003B09E9" w:rsidP="002840D4"/>
        </w:tc>
      </w:tr>
      <w:tr w:rsidR="003B09E9" w:rsidTr="003B09E9">
        <w:trPr>
          <w:trHeight w:val="138"/>
        </w:trPr>
        <w:tc>
          <w:tcPr>
            <w:tcW w:w="9645" w:type="dxa"/>
            <w:tcBorders>
              <w:bottom w:val="single" w:sz="2" w:space="0" w:color="505050"/>
            </w:tcBorders>
            <w:shd w:val="clear" w:color="auto" w:fill="auto"/>
          </w:tcPr>
          <w:p w:rsidR="003B09E9" w:rsidRDefault="003B09E9" w:rsidP="003B09E9">
            <w:pPr>
              <w:spacing w:after="120"/>
            </w:pPr>
          </w:p>
        </w:tc>
      </w:tr>
    </w:tbl>
    <w:p w:rsidR="00414485" w:rsidRDefault="00414485" w:rsidP="00414485"/>
    <w:p w:rsidR="007A3146" w:rsidRDefault="00002309">
      <w:r>
        <w:t>This principle has been renumbered and i</w:t>
      </w:r>
      <w:r w:rsidR="00414485">
        <w:t>nstead of</w:t>
      </w:r>
      <w:r w:rsidR="006257DB">
        <w:t xml:space="preserve"> proceeding with the propos</w:t>
      </w:r>
      <w:r w:rsidR="00F57310">
        <w:t>ed</w:t>
      </w:r>
      <w:r w:rsidR="006257DB">
        <w:t xml:space="preserve"> draft principle 10 from the discussion paper, the ACMA has decided to continue with the </w:t>
      </w:r>
      <w:r w:rsidR="00FC7ACF">
        <w:t xml:space="preserve">technical </w:t>
      </w:r>
      <w:r w:rsidR="006257DB">
        <w:t xml:space="preserve">planning parameters </w:t>
      </w:r>
      <w:r w:rsidR="00D46279">
        <w:t xml:space="preserve">that have been </w:t>
      </w:r>
      <w:r w:rsidR="006257DB">
        <w:t>used to plan the introduction of digital television as set out in the DTTB Planning Handbook.</w:t>
      </w:r>
      <w:r w:rsidR="00E84DB4">
        <w:t xml:space="preserve"> </w:t>
      </w:r>
      <w:r w:rsidR="006257DB">
        <w:t xml:space="preserve">However, due to the adoption of block planning it is necessary to redefine the boundary of where the different UHF minimum </w:t>
      </w:r>
      <w:r w:rsidR="00F57310">
        <w:t xml:space="preserve">median </w:t>
      </w:r>
      <w:r w:rsidR="006257DB">
        <w:t>field strengths apply.</w:t>
      </w:r>
      <w:r w:rsidR="00E84DB4">
        <w:t xml:space="preserve"> </w:t>
      </w:r>
      <w:r w:rsidR="006257DB">
        <w:t xml:space="preserve">The DTTB Planning Handbook definition sets this break point between UHF Bands IV and Band V </w:t>
      </w:r>
      <w:r w:rsidR="00F30CD5">
        <w:t xml:space="preserve">which </w:t>
      </w:r>
      <w:r w:rsidR="006257DB">
        <w:t>is between channels 35 and 36.</w:t>
      </w:r>
      <w:r w:rsidR="00E84DB4">
        <w:t xml:space="preserve"> </w:t>
      </w:r>
      <w:r w:rsidR="00D46279">
        <w:t>T</w:t>
      </w:r>
      <w:r w:rsidR="006257DB">
        <w:t>his falls within block C.</w:t>
      </w:r>
      <w:r w:rsidR="00E84DB4">
        <w:t xml:space="preserve"> </w:t>
      </w:r>
      <w:r w:rsidR="00FC7ACF">
        <w:t>T</w:t>
      </w:r>
      <w:r w:rsidR="00331D5A">
        <w:t>o</w:t>
      </w:r>
      <w:r w:rsidR="00FC7ACF">
        <w:t xml:space="preserve"> ensure </w:t>
      </w:r>
      <w:r w:rsidR="006257DB">
        <w:t xml:space="preserve">that the same values apply across all </w:t>
      </w:r>
      <w:r w:rsidR="00D46279">
        <w:t xml:space="preserve">channels within </w:t>
      </w:r>
      <w:r w:rsidR="006257DB">
        <w:t xml:space="preserve">block C, the break point has been moved </w:t>
      </w:r>
      <w:r w:rsidR="00D46279">
        <w:t>so that it</w:t>
      </w:r>
      <w:r w:rsidR="006257DB">
        <w:t xml:space="preserve"> falls between channels 39 and 40.</w:t>
      </w:r>
    </w:p>
    <w:p w:rsidR="00002309" w:rsidRPr="00CB659E" w:rsidRDefault="00002309" w:rsidP="00002309">
      <w:r w:rsidRPr="00CB659E">
        <w:t xml:space="preserve">Consistent with the reconfirmation of the existing </w:t>
      </w:r>
      <w:r w:rsidR="00FC7ACF">
        <w:t xml:space="preserve">technical </w:t>
      </w:r>
      <w:r w:rsidRPr="00CB659E">
        <w:t>planning parameters, the assumed transmission parameter</w:t>
      </w:r>
      <w:r>
        <w:t>s</w:t>
      </w:r>
      <w:r w:rsidRPr="00CB659E">
        <w:t xml:space="preserve"> </w:t>
      </w:r>
      <w:r>
        <w:t>include</w:t>
      </w:r>
      <w:r w:rsidRPr="00CB659E">
        <w:t xml:space="preserve"> a</w:t>
      </w:r>
      <w:r>
        <w:t>n FEC of 2/3.</w:t>
      </w:r>
      <w:r w:rsidR="00E84DB4">
        <w:t xml:space="preserve"> </w:t>
      </w:r>
      <w:r w:rsidRPr="00CB659E">
        <w:t xml:space="preserve">Also consistent with the reconfirmation of the current minimum </w:t>
      </w:r>
      <w:r w:rsidR="00FC7ACF">
        <w:t xml:space="preserve">median </w:t>
      </w:r>
      <w:r w:rsidRPr="00CB659E">
        <w:t>field strengths and 2/3 FEC, a co-channel protection ratio of 20 dB will also continue to be used.</w:t>
      </w:r>
    </w:p>
    <w:p w:rsidR="001600DE" w:rsidRDefault="00002309" w:rsidP="003B09E9">
      <w:r w:rsidRPr="00CB659E">
        <w:t xml:space="preserve">However, recognising the proposal to break up wide area SFNs </w:t>
      </w:r>
      <w:r>
        <w:t xml:space="preserve">in principle 8, a </w:t>
      </w:r>
      <w:r w:rsidRPr="00CB659E">
        <w:t>1/16 guard interval</w:t>
      </w:r>
      <w:r w:rsidRPr="00002309">
        <w:t xml:space="preserve"> </w:t>
      </w:r>
      <w:r>
        <w:t>has been adopted</w:t>
      </w:r>
      <w:r w:rsidRPr="00CB659E">
        <w:t>.</w:t>
      </w:r>
    </w:p>
    <w:p w:rsidR="00AB10C9" w:rsidRDefault="001600DE" w:rsidP="00B85BF4">
      <w:pPr>
        <w:pStyle w:val="FinalPrinciple"/>
      </w:pPr>
      <w:r w:rsidDel="001600DE">
        <w:t xml:space="preserve"> </w:t>
      </w:r>
      <w:r w:rsidR="00AB10C9">
        <w:t>Equalise transmission</w:t>
      </w:r>
      <w:r w:rsidR="00B27867">
        <w:t>s</w:t>
      </w:r>
      <w:r w:rsidR="00AB10C9">
        <w:t xml:space="preserve"> across all broadcasters as far as practicable through planning on the basis of equal ERP levels, identical antenna patterns, closely sited transmi</w:t>
      </w:r>
      <w:r w:rsidR="00232E37">
        <w:t>tters</w:t>
      </w:r>
      <w:r w:rsidR="00AB10C9">
        <w:t xml:space="preserve"> and all broadcaster</w:t>
      </w:r>
      <w:r w:rsidR="00232E37">
        <w:t>s</w:t>
      </w:r>
      <w:r w:rsidR="00AB10C9">
        <w:t xml:space="preserve"> having the same SFN arrangement.</w:t>
      </w:r>
    </w:p>
    <w:p w:rsidR="00722D0F" w:rsidRDefault="00002309" w:rsidP="00722D0F">
      <w:r>
        <w:t>This principle has been renumbered only.</w:t>
      </w:r>
      <w:r w:rsidR="00E84DB4">
        <w:t xml:space="preserve"> </w:t>
      </w:r>
      <w:r>
        <w:t>It was formerly draft principle 11.</w:t>
      </w:r>
    </w:p>
    <w:p w:rsidR="00E95E98" w:rsidRPr="00A7267D" w:rsidRDefault="00E95E98" w:rsidP="00B85BF4">
      <w:pPr>
        <w:pStyle w:val="FinalPrinciple"/>
      </w:pPr>
      <w:r w:rsidRPr="00A7267D">
        <w:lastRenderedPageBreak/>
        <w:t xml:space="preserve">Determine the timing constraints on channel availability </w:t>
      </w:r>
      <w:r w:rsidR="007B23D0">
        <w:t>and</w:t>
      </w:r>
      <w:r w:rsidRPr="00A7267D">
        <w:t xml:space="preserve"> specify a minimum wind</w:t>
      </w:r>
      <w:r w:rsidR="000669C1" w:rsidRPr="00A7267D">
        <w:t xml:space="preserve">ow of </w:t>
      </w:r>
      <w:r w:rsidR="003B09E9">
        <w:t>six</w:t>
      </w:r>
      <w:r w:rsidR="003B09E9" w:rsidRPr="00A7267D">
        <w:t xml:space="preserve"> </w:t>
      </w:r>
      <w:r w:rsidR="000669C1" w:rsidRPr="00A7267D">
        <w:t>months</w:t>
      </w:r>
      <w:r w:rsidRPr="00A7267D">
        <w:t>, where practicable, when both the current digital and the final digital channels are available</w:t>
      </w:r>
      <w:r w:rsidR="00CF5838">
        <w:t xml:space="preserve">. </w:t>
      </w:r>
      <w:r w:rsidR="000669C1" w:rsidRPr="00A7267D">
        <w:t>When all sites and timing windows are considered together, they should result in the digital dividend channels (52</w:t>
      </w:r>
      <w:r w:rsidR="003B09E9">
        <w:rPr>
          <w:rFonts w:cs="Arial"/>
        </w:rPr>
        <w:t>–</w:t>
      </w:r>
      <w:r w:rsidR="000669C1" w:rsidRPr="00A7267D">
        <w:t>69) being cleared as soon as practicable, and by the end of 2014 at the latest.</w:t>
      </w:r>
    </w:p>
    <w:p w:rsidR="00722D0F" w:rsidRDefault="00002309" w:rsidP="00722D0F">
      <w:r>
        <w:t>This principle has been renumbered only.</w:t>
      </w:r>
      <w:r w:rsidR="00E84DB4">
        <w:t xml:space="preserve"> </w:t>
      </w:r>
      <w:r>
        <w:t>It was formerly draft principle 12.</w:t>
      </w:r>
    </w:p>
    <w:p w:rsidR="0071050D" w:rsidRDefault="004E531F" w:rsidP="006E7729">
      <w:pPr>
        <w:pStyle w:val="Heading1"/>
      </w:pPr>
      <w:bookmarkStart w:id="24" w:name="_Toc292291991"/>
      <w:r>
        <w:lastRenderedPageBreak/>
        <w:t>Next steps</w:t>
      </w:r>
      <w:bookmarkEnd w:id="24"/>
    </w:p>
    <w:p w:rsidR="00252660" w:rsidRDefault="00252660" w:rsidP="00252660">
      <w:r>
        <w:t>Decisions on restack planning principles are a precondition for the commencement of further detail</w:t>
      </w:r>
      <w:r w:rsidR="00D46279">
        <w:t>ed</w:t>
      </w:r>
      <w:r>
        <w:t xml:space="preserve"> restack planning activities.</w:t>
      </w:r>
      <w:r w:rsidR="00E84DB4">
        <w:t xml:space="preserve"> </w:t>
      </w:r>
      <w:r>
        <w:t xml:space="preserve">Now that these decisions have been made, the ACMA will commence development </w:t>
      </w:r>
      <w:r w:rsidR="00F57310">
        <w:t>of</w:t>
      </w:r>
      <w:r w:rsidR="00006FCF">
        <w:t>,</w:t>
      </w:r>
      <w:r w:rsidR="00F57310">
        <w:t xml:space="preserve"> </w:t>
      </w:r>
      <w:r>
        <w:t>and consultation on</w:t>
      </w:r>
      <w:r w:rsidR="00006FCF">
        <w:t>,</w:t>
      </w:r>
      <w:r>
        <w:t xml:space="preserve"> a range of additional outputs that will further progress the restack.</w:t>
      </w:r>
    </w:p>
    <w:p w:rsidR="004E3D8A" w:rsidRDefault="00252660" w:rsidP="00252660">
      <w:pPr>
        <w:pStyle w:val="Bodysubheader"/>
      </w:pPr>
      <w:r>
        <w:t>R</w:t>
      </w:r>
      <w:r w:rsidR="004E3D8A">
        <w:t>estac</w:t>
      </w:r>
      <w:r>
        <w:t>k planning principles document</w:t>
      </w:r>
    </w:p>
    <w:p w:rsidR="00252660" w:rsidRPr="00252660" w:rsidRDefault="00252660" w:rsidP="00252660">
      <w:r>
        <w:t xml:space="preserve">This </w:t>
      </w:r>
      <w:r w:rsidR="00384EF8">
        <w:t xml:space="preserve">decision </w:t>
      </w:r>
      <w:r>
        <w:t>paper articulate</w:t>
      </w:r>
      <w:r w:rsidR="00AC6881">
        <w:t>s</w:t>
      </w:r>
      <w:r>
        <w:t xml:space="preserve"> the ACMA’s decisions on restack principles.</w:t>
      </w:r>
      <w:r w:rsidR="00E84DB4">
        <w:t xml:space="preserve"> </w:t>
      </w:r>
      <w:r>
        <w:t>However, the ACMA recognises the value of a stand</w:t>
      </w:r>
      <w:r w:rsidR="00D46279">
        <w:t>-</w:t>
      </w:r>
      <w:r>
        <w:t xml:space="preserve">alone policy document that </w:t>
      </w:r>
      <w:r w:rsidR="00AE218E">
        <w:t>encapsulates</w:t>
      </w:r>
      <w:r>
        <w:t xml:space="preserve"> these principles </w:t>
      </w:r>
      <w:r w:rsidR="00D46279">
        <w:t xml:space="preserve">together with </w:t>
      </w:r>
      <w:r>
        <w:t>an</w:t>
      </w:r>
      <w:r w:rsidR="00D46279">
        <w:t>y</w:t>
      </w:r>
      <w:r>
        <w:t xml:space="preserve"> necessary context and background.</w:t>
      </w:r>
      <w:r w:rsidR="00E84DB4">
        <w:t xml:space="preserve"> </w:t>
      </w:r>
      <w:r>
        <w:t>The ACMA will therefore develop a restack planning document that brings together the key planning inputs necessary for restack planning.</w:t>
      </w:r>
      <w:r w:rsidR="00E84DB4">
        <w:t xml:space="preserve"> </w:t>
      </w:r>
      <w:r>
        <w:t>While decisions on planning principles have been made, the ACMA will consult on the specific wording and format of the planning principles document.</w:t>
      </w:r>
      <w:r w:rsidR="00E84DB4">
        <w:t xml:space="preserve"> </w:t>
      </w:r>
      <w:r>
        <w:t xml:space="preserve">In the interim, prior to the development of this </w:t>
      </w:r>
      <w:r w:rsidR="00D46279">
        <w:t xml:space="preserve">restack planning principles </w:t>
      </w:r>
      <w:r>
        <w:t>document, the ACMA will progress restack planning on the basis of the principles outlined in this</w:t>
      </w:r>
      <w:r w:rsidR="00D46279">
        <w:t xml:space="preserve"> decision </w:t>
      </w:r>
      <w:proofErr w:type="gramStart"/>
      <w:r>
        <w:t>paper.</w:t>
      </w:r>
      <w:proofErr w:type="gramEnd"/>
    </w:p>
    <w:p w:rsidR="004E3D8A" w:rsidRDefault="00252660" w:rsidP="00252660">
      <w:pPr>
        <w:pStyle w:val="Bodysubheader"/>
      </w:pPr>
      <w:r>
        <w:t>Development of restack channel plans for key transmission sites</w:t>
      </w:r>
    </w:p>
    <w:p w:rsidR="00252660" w:rsidRPr="00252660" w:rsidRDefault="002A2E9C" w:rsidP="00252660">
      <w:r>
        <w:t>The ACMA does not consider it practical to develop restack channel plans for every site in Australia in a single process.</w:t>
      </w:r>
      <w:r w:rsidR="00E84DB4">
        <w:t xml:space="preserve"> </w:t>
      </w:r>
      <w:r>
        <w:t>However, the ACMA sees considerable merit in the early development, in consultation with broadcasters, of an indicative restack channel plan for the 50 to 60 key high power and selected medium power transmission sites around which the majority of lower powered sites will be planned.</w:t>
      </w:r>
    </w:p>
    <w:p w:rsidR="00F30CD5" w:rsidRDefault="00F30CD5" w:rsidP="00F30CD5">
      <w:pPr>
        <w:pStyle w:val="Bodysubheader"/>
      </w:pPr>
      <w:r>
        <w:t>Restack project schedule</w:t>
      </w:r>
    </w:p>
    <w:p w:rsidR="00F30CD5" w:rsidRDefault="00AA2AE6" w:rsidP="00F30CD5">
      <w:r>
        <w:t>T</w:t>
      </w:r>
      <w:r w:rsidR="00F30CD5">
        <w:t>he ACMA intends to prepare a restack project schedule</w:t>
      </w:r>
      <w:r w:rsidR="002A2E9C">
        <w:t>, in consultation with broadcasters.</w:t>
      </w:r>
      <w:r w:rsidR="00E84DB4">
        <w:t xml:space="preserve"> </w:t>
      </w:r>
      <w:r w:rsidR="00F30CD5">
        <w:t xml:space="preserve">The intention is that the schedule will set out the </w:t>
      </w:r>
      <w:r w:rsidR="001A2F5D">
        <w:t>high-level</w:t>
      </w:r>
      <w:r w:rsidR="00F30CD5">
        <w:t xml:space="preserve"> time frames for developing restack channel plans for each area and for the implementation of restack in each area.</w:t>
      </w:r>
    </w:p>
    <w:p w:rsidR="00F30CD5" w:rsidRPr="00135C31" w:rsidRDefault="00F30CD5" w:rsidP="00F30CD5">
      <w:r>
        <w:t>Such a schedule will allow planning for the implementation to commence in advance of the channel plans being completed.</w:t>
      </w:r>
      <w:r w:rsidR="00E84DB4">
        <w:t xml:space="preserve"> </w:t>
      </w:r>
      <w:r>
        <w:t xml:space="preserve">It will also assist in the development of </w:t>
      </w:r>
      <w:r w:rsidR="00006FCF">
        <w:t xml:space="preserve">any </w:t>
      </w:r>
      <w:r>
        <w:t>consumer information campaign and will provide an early indication when the digital dividend spectrum in each area will be cleared of broadcaster operated digital television services.</w:t>
      </w:r>
    </w:p>
    <w:p w:rsidR="00F30CD5" w:rsidRPr="00252660" w:rsidRDefault="00F30CD5" w:rsidP="00F30CD5">
      <w:r>
        <w:t>More detailed implementation project plans will need to be developed by an overall restack project manager</w:t>
      </w:r>
      <w:r w:rsidR="00006FCF">
        <w:t>,</w:t>
      </w:r>
      <w:r>
        <w:t xml:space="preserve"> by each broadcaster and by transmission service providers.</w:t>
      </w:r>
    </w:p>
    <w:p w:rsidR="00F30CD5" w:rsidRDefault="00F30CD5" w:rsidP="00F30CD5">
      <w:pPr>
        <w:pStyle w:val="Bodysubheader"/>
      </w:pPr>
      <w:r>
        <w:t>Area</w:t>
      </w:r>
      <w:r w:rsidR="00B93B9E">
        <w:t>-</w:t>
      </w:r>
      <w:r>
        <w:t>by</w:t>
      </w:r>
      <w:r w:rsidR="00B93B9E">
        <w:t>-</w:t>
      </w:r>
      <w:r>
        <w:t xml:space="preserve">area </w:t>
      </w:r>
      <w:proofErr w:type="gramStart"/>
      <w:r>
        <w:t>restack</w:t>
      </w:r>
      <w:proofErr w:type="gramEnd"/>
      <w:r>
        <w:t xml:space="preserve"> channel planning</w:t>
      </w:r>
    </w:p>
    <w:p w:rsidR="00F30CD5" w:rsidRDefault="00F30CD5" w:rsidP="00F30CD5">
      <w:r>
        <w:t>As indicative channel plans for Queensland were developed as part of the process assessing the alternative planning approaches, the ACMA intends to develop the indicative Queensland block plan into one of the first formal restack channel plans.</w:t>
      </w:r>
      <w:r w:rsidR="00E84DB4">
        <w:t xml:space="preserve"> </w:t>
      </w:r>
      <w:r>
        <w:t>In doing so, the ACMA will consider the comments it has received on the indicative channel plans and develop a formal draft channel plan for public consultation.</w:t>
      </w:r>
    </w:p>
    <w:p w:rsidR="00F30CD5" w:rsidRPr="00187248" w:rsidRDefault="00F30CD5" w:rsidP="00F30CD5">
      <w:r>
        <w:t>As regional South Australia, Broken Hill and regional Victoria (including Mildura) have already switched over to all digital television broadcasting, South Australia and Victoria will be the next areas where the ACMA will develop restack channel plans.</w:t>
      </w:r>
    </w:p>
    <w:p w:rsidR="00F30CD5" w:rsidRDefault="00F30CD5" w:rsidP="00F30CD5">
      <w:r>
        <w:t>Additionally a digital channel plan variation has been under development for remote and regional WA to facilitate a ‘restack proof’ rollout of the commercial digital television services.</w:t>
      </w:r>
      <w:r w:rsidR="00E84DB4">
        <w:t xml:space="preserve"> </w:t>
      </w:r>
      <w:r>
        <w:t>A draft channel plan variation is expected to be published mid 2011.</w:t>
      </w:r>
    </w:p>
    <w:p w:rsidR="00F30CD5" w:rsidRDefault="00F30CD5" w:rsidP="00F30CD5">
      <w:r>
        <w:t>The consultation to develop the restack project schedule will assist in determining the order for developing restack channel plans for the remaining parts of Australia.</w:t>
      </w:r>
    </w:p>
    <w:sectPr w:rsidR="00F30CD5" w:rsidSect="00C2420B">
      <w:headerReference w:type="even" r:id="rId31"/>
      <w:headerReference w:type="default" r:id="rId32"/>
      <w:footerReference w:type="even" r:id="rId33"/>
      <w:footerReference w:type="default" r:id="rId34"/>
      <w:pgSz w:w="11906" w:h="16838" w:code="9"/>
      <w:pgMar w:top="1533" w:right="2552" w:bottom="868" w:left="1418"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7A67" w:rsidRDefault="00507A67">
      <w:r>
        <w:separator/>
      </w:r>
    </w:p>
  </w:endnote>
  <w:endnote w:type="continuationSeparator" w:id="0">
    <w:p w:rsidR="00507A67" w:rsidRDefault="00507A6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altName w:val="Arial Unicode MS"/>
    <w:charset w:val="80"/>
    <w:family w:val="auto"/>
    <w:pitch w:val="default"/>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Med">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NeueLT Std Lt">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rsidP="006156CC">
    <w:pPr>
      <w:pStyle w:val="Footer"/>
    </w:pPr>
    <w:r>
      <w:rPr>
        <w:noProof/>
      </w:rPr>
      <w:pict>
        <v:shape id="Logo_ftr_grey_ing" o:spid="_x0000_s2064"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507A67" w:rsidRPr="00915B1C" w:rsidTr="002E4DDC">
      <w:tc>
        <w:tcPr>
          <w:tcW w:w="6352" w:type="dxa"/>
          <w:shd w:val="clear" w:color="auto" w:fill="auto"/>
        </w:tcPr>
        <w:p w:rsidR="00507A67" w:rsidRPr="00915B1C" w:rsidRDefault="00507A67" w:rsidP="00915B1C">
          <w:pPr>
            <w:pStyle w:val="Footer"/>
            <w:ind w:right="28"/>
            <w:jc w:val="right"/>
            <w:rPr>
              <w:sz w:val="2"/>
              <w:szCs w:val="2"/>
            </w:rPr>
          </w:pPr>
        </w:p>
      </w:tc>
      <w:tc>
        <w:tcPr>
          <w:tcW w:w="1332" w:type="dxa"/>
          <w:tcBorders>
            <w:top w:val="single" w:sz="2" w:space="0" w:color="505050"/>
          </w:tcBorders>
          <w:shd w:val="clear" w:color="auto" w:fill="auto"/>
        </w:tcPr>
        <w:p w:rsidR="00507A67" w:rsidRPr="00915B1C" w:rsidRDefault="00507A67" w:rsidP="00915B1C">
          <w:pPr>
            <w:pStyle w:val="Footer"/>
            <w:ind w:right="28"/>
            <w:jc w:val="right"/>
            <w:rPr>
              <w:sz w:val="2"/>
              <w:szCs w:val="2"/>
            </w:rPr>
          </w:pPr>
        </w:p>
      </w:tc>
      <w:tc>
        <w:tcPr>
          <w:tcW w:w="396" w:type="dxa"/>
          <w:shd w:val="clear" w:color="auto" w:fill="auto"/>
        </w:tcPr>
        <w:p w:rsidR="00507A67" w:rsidRPr="00915B1C" w:rsidRDefault="00507A67" w:rsidP="00332011">
          <w:pPr>
            <w:pStyle w:val="Footer"/>
            <w:rPr>
              <w:sz w:val="2"/>
              <w:szCs w:val="2"/>
            </w:rPr>
          </w:pPr>
        </w:p>
      </w:tc>
    </w:tr>
    <w:tr w:rsidR="00507A67" w:rsidRPr="002E4DDC" w:rsidTr="00915B1C">
      <w:tc>
        <w:tcPr>
          <w:tcW w:w="7684" w:type="dxa"/>
          <w:gridSpan w:val="2"/>
          <w:shd w:val="clear" w:color="auto" w:fill="auto"/>
        </w:tcPr>
        <w:p w:rsidR="00507A67" w:rsidRPr="002E4DDC" w:rsidRDefault="00507A67" w:rsidP="00915B1C">
          <w:pPr>
            <w:pStyle w:val="Footer"/>
            <w:ind w:right="28"/>
            <w:jc w:val="right"/>
            <w:rPr>
              <w:color w:val="505050"/>
            </w:rPr>
          </w:pPr>
          <w:r>
            <w:rPr>
              <w:color w:val="505050"/>
            </w:rPr>
            <w:t xml:space="preserve"> </w:t>
          </w: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Pr>
              <w:color w:val="505050"/>
            </w:rPr>
            <w:t xml:space="preserve"> </w:t>
          </w:r>
          <w:r w:rsidRPr="002E4DDC">
            <w:rPr>
              <w:color w:val="505050"/>
            </w:rPr>
            <w:t xml:space="preserve"> |</w:t>
          </w:r>
          <w:r>
            <w:rPr>
              <w:color w:val="505050"/>
            </w:rPr>
            <w:t xml:space="preserve"> </w:t>
          </w:r>
          <w:r w:rsidRPr="002E4DDC">
            <w:rPr>
              <w:color w:val="505050"/>
            </w:rPr>
            <w:t xml:space="preserve">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rsidR="00507A67" w:rsidRPr="002E4DDC" w:rsidRDefault="00507A67" w:rsidP="00332011">
          <w:pPr>
            <w:pStyle w:val="Footer"/>
            <w:rPr>
              <w:color w:val="505050"/>
            </w:rPr>
          </w:pPr>
        </w:p>
      </w:tc>
    </w:tr>
  </w:tbl>
  <w:p w:rsidR="00507A67" w:rsidRDefault="00507A67">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507A67" w:rsidRPr="00915B1C" w:rsidTr="00B22EB2">
      <w:tc>
        <w:tcPr>
          <w:tcW w:w="1311" w:type="dxa"/>
          <w:tcBorders>
            <w:top w:val="single" w:sz="2" w:space="0" w:color="505050"/>
          </w:tcBorders>
          <w:shd w:val="clear" w:color="auto" w:fill="auto"/>
        </w:tcPr>
        <w:p w:rsidR="00507A67" w:rsidRPr="00915B1C" w:rsidRDefault="00507A67" w:rsidP="00332011">
          <w:pPr>
            <w:pStyle w:val="Footer"/>
            <w:rPr>
              <w:sz w:val="2"/>
              <w:szCs w:val="2"/>
            </w:rPr>
          </w:pPr>
        </w:p>
      </w:tc>
      <w:tc>
        <w:tcPr>
          <w:tcW w:w="6352" w:type="dxa"/>
          <w:shd w:val="clear" w:color="auto" w:fill="auto"/>
        </w:tcPr>
        <w:p w:rsidR="00507A67" w:rsidRPr="00915B1C" w:rsidRDefault="00507A67" w:rsidP="00332011">
          <w:pPr>
            <w:pStyle w:val="Footer"/>
            <w:rPr>
              <w:sz w:val="2"/>
              <w:szCs w:val="2"/>
            </w:rPr>
          </w:pPr>
        </w:p>
      </w:tc>
    </w:tr>
    <w:tr w:rsidR="00507A67" w:rsidRPr="002E4DDC" w:rsidTr="00B22EB2">
      <w:tc>
        <w:tcPr>
          <w:tcW w:w="7663" w:type="dxa"/>
          <w:gridSpan w:val="2"/>
          <w:shd w:val="clear" w:color="auto" w:fill="auto"/>
        </w:tcPr>
        <w:p w:rsidR="00507A67" w:rsidRPr="002E4DDC" w:rsidRDefault="00507A67"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33E70">
            <w:rPr>
              <w:noProof/>
              <w:color w:val="505050"/>
            </w:rPr>
            <w:t>vi</w:t>
          </w:r>
          <w:r w:rsidRPr="002E4DDC">
            <w:rPr>
              <w:color w:val="505050"/>
            </w:rPr>
            <w:fldChar w:fldCharType="end"/>
          </w:r>
          <w:r>
            <w:rPr>
              <w:color w:val="505050"/>
            </w:rPr>
            <w:t xml:space="preserve"> </w:t>
          </w:r>
          <w:r w:rsidRPr="002E4DDC">
            <w:rPr>
              <w:color w:val="505050"/>
            </w:rPr>
            <w:t xml:space="preserve"> |</w:t>
          </w:r>
          <w:r>
            <w:rPr>
              <w:color w:val="505050"/>
            </w:rPr>
            <w:t xml:space="preserve"> </w:t>
          </w: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rsidR="00507A67" w:rsidRDefault="00507A67">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507A67" w:rsidRPr="00915B1C" w:rsidTr="002E4DDC">
      <w:tc>
        <w:tcPr>
          <w:tcW w:w="6352" w:type="dxa"/>
          <w:shd w:val="clear" w:color="auto" w:fill="auto"/>
        </w:tcPr>
        <w:p w:rsidR="00507A67" w:rsidRPr="00915B1C" w:rsidRDefault="00507A67" w:rsidP="00915B1C">
          <w:pPr>
            <w:pStyle w:val="Footer"/>
            <w:ind w:right="28"/>
            <w:jc w:val="right"/>
            <w:rPr>
              <w:sz w:val="2"/>
              <w:szCs w:val="2"/>
            </w:rPr>
          </w:pPr>
        </w:p>
      </w:tc>
      <w:tc>
        <w:tcPr>
          <w:tcW w:w="1332" w:type="dxa"/>
          <w:tcBorders>
            <w:top w:val="single" w:sz="2" w:space="0" w:color="505050"/>
          </w:tcBorders>
          <w:shd w:val="clear" w:color="auto" w:fill="auto"/>
        </w:tcPr>
        <w:p w:rsidR="00507A67" w:rsidRPr="00915B1C" w:rsidRDefault="00507A67" w:rsidP="00915B1C">
          <w:pPr>
            <w:pStyle w:val="Footer"/>
            <w:ind w:right="28"/>
            <w:jc w:val="right"/>
            <w:rPr>
              <w:sz w:val="2"/>
              <w:szCs w:val="2"/>
            </w:rPr>
          </w:pPr>
        </w:p>
      </w:tc>
      <w:tc>
        <w:tcPr>
          <w:tcW w:w="396" w:type="dxa"/>
          <w:shd w:val="clear" w:color="auto" w:fill="auto"/>
        </w:tcPr>
        <w:p w:rsidR="00507A67" w:rsidRPr="00915B1C" w:rsidRDefault="00507A67" w:rsidP="00332011">
          <w:pPr>
            <w:pStyle w:val="Footer"/>
            <w:rPr>
              <w:sz w:val="2"/>
              <w:szCs w:val="2"/>
            </w:rPr>
          </w:pPr>
        </w:p>
      </w:tc>
    </w:tr>
    <w:tr w:rsidR="00507A67" w:rsidRPr="002E4DDC" w:rsidTr="00915B1C">
      <w:tc>
        <w:tcPr>
          <w:tcW w:w="7684" w:type="dxa"/>
          <w:gridSpan w:val="2"/>
          <w:shd w:val="clear" w:color="auto" w:fill="auto"/>
        </w:tcPr>
        <w:p w:rsidR="00507A67" w:rsidRPr="002E4DDC" w:rsidRDefault="00507A6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663750">
            <w:rPr>
              <w:noProof/>
              <w:color w:val="505050"/>
            </w:rPr>
            <w:t>v</w:t>
          </w:r>
          <w:r w:rsidRPr="002E4DDC">
            <w:rPr>
              <w:color w:val="505050"/>
            </w:rPr>
            <w:fldChar w:fldCharType="end"/>
          </w:r>
        </w:p>
      </w:tc>
      <w:tc>
        <w:tcPr>
          <w:tcW w:w="396" w:type="dxa"/>
          <w:shd w:val="clear" w:color="auto" w:fill="auto"/>
        </w:tcPr>
        <w:p w:rsidR="00507A67" w:rsidRPr="002E4DDC" w:rsidRDefault="00507A67" w:rsidP="00332011">
          <w:pPr>
            <w:pStyle w:val="Footer"/>
            <w:rPr>
              <w:color w:val="505050"/>
            </w:rPr>
          </w:pPr>
        </w:p>
      </w:tc>
    </w:tr>
  </w:tbl>
  <w:p w:rsidR="00507A67" w:rsidRDefault="00507A67">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4" w:type="dxa"/>
      <w:tblLayout w:type="fixed"/>
      <w:tblCellMar>
        <w:left w:w="0" w:type="dxa"/>
        <w:right w:w="0" w:type="dxa"/>
      </w:tblCellMar>
      <w:tblLook w:val="01E0"/>
    </w:tblPr>
    <w:tblGrid>
      <w:gridCol w:w="6352"/>
      <w:gridCol w:w="1332"/>
    </w:tblGrid>
    <w:tr w:rsidR="00507A67" w:rsidRPr="00915B1C" w:rsidTr="005A6328">
      <w:trPr>
        <w:trHeight w:val="65"/>
      </w:trPr>
      <w:tc>
        <w:tcPr>
          <w:tcW w:w="6352" w:type="dxa"/>
          <w:shd w:val="clear" w:color="auto" w:fill="auto"/>
        </w:tcPr>
        <w:p w:rsidR="00507A67" w:rsidRPr="00915B1C" w:rsidRDefault="00507A67" w:rsidP="00915B1C">
          <w:pPr>
            <w:pStyle w:val="Footer"/>
            <w:ind w:right="28"/>
            <w:jc w:val="right"/>
            <w:rPr>
              <w:sz w:val="2"/>
              <w:szCs w:val="2"/>
            </w:rPr>
          </w:pPr>
        </w:p>
      </w:tc>
      <w:tc>
        <w:tcPr>
          <w:tcW w:w="1332" w:type="dxa"/>
          <w:tcBorders>
            <w:top w:val="single" w:sz="2" w:space="0" w:color="505050"/>
          </w:tcBorders>
          <w:shd w:val="clear" w:color="auto" w:fill="auto"/>
        </w:tcPr>
        <w:p w:rsidR="00507A67" w:rsidRPr="00915B1C" w:rsidRDefault="00507A67" w:rsidP="00915B1C">
          <w:pPr>
            <w:pStyle w:val="Footer"/>
            <w:ind w:right="28"/>
            <w:jc w:val="right"/>
            <w:rPr>
              <w:sz w:val="2"/>
              <w:szCs w:val="2"/>
            </w:rPr>
          </w:pPr>
        </w:p>
      </w:tc>
    </w:tr>
    <w:tr w:rsidR="00507A67" w:rsidRPr="002E4DDC" w:rsidTr="005A6328">
      <w:trPr>
        <w:trHeight w:val="306"/>
      </w:trPr>
      <w:tc>
        <w:tcPr>
          <w:tcW w:w="7684" w:type="dxa"/>
          <w:gridSpan w:val="2"/>
          <w:shd w:val="clear" w:color="auto" w:fill="auto"/>
        </w:tcPr>
        <w:p w:rsidR="00507A67" w:rsidRPr="002E4DDC" w:rsidRDefault="00507A6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w:t>
          </w:r>
          <w:r w:rsidRPr="002E4DDC">
            <w:rPr>
              <w:color w:val="505050"/>
            </w:rPr>
            <w:fldChar w:fldCharType="end"/>
          </w:r>
        </w:p>
      </w:tc>
    </w:tr>
  </w:tbl>
  <w:p w:rsidR="00507A67" w:rsidRDefault="00507A67">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507A67" w:rsidRPr="00915B1C" w:rsidTr="00B22EB2">
      <w:tc>
        <w:tcPr>
          <w:tcW w:w="1311" w:type="dxa"/>
          <w:tcBorders>
            <w:top w:val="single" w:sz="2" w:space="0" w:color="505050"/>
          </w:tcBorders>
          <w:shd w:val="clear" w:color="auto" w:fill="auto"/>
        </w:tcPr>
        <w:p w:rsidR="00507A67" w:rsidRPr="00915B1C" w:rsidRDefault="00507A67" w:rsidP="00332011">
          <w:pPr>
            <w:pStyle w:val="Footer"/>
            <w:rPr>
              <w:sz w:val="2"/>
              <w:szCs w:val="2"/>
            </w:rPr>
          </w:pPr>
        </w:p>
      </w:tc>
      <w:tc>
        <w:tcPr>
          <w:tcW w:w="6352" w:type="dxa"/>
          <w:shd w:val="clear" w:color="auto" w:fill="auto"/>
        </w:tcPr>
        <w:p w:rsidR="00507A67" w:rsidRPr="00915B1C" w:rsidRDefault="00507A67" w:rsidP="00332011">
          <w:pPr>
            <w:pStyle w:val="Footer"/>
            <w:rPr>
              <w:sz w:val="2"/>
              <w:szCs w:val="2"/>
            </w:rPr>
          </w:pPr>
        </w:p>
      </w:tc>
    </w:tr>
    <w:tr w:rsidR="00507A67" w:rsidRPr="002E4DDC" w:rsidTr="00B22EB2">
      <w:tc>
        <w:tcPr>
          <w:tcW w:w="7663" w:type="dxa"/>
          <w:gridSpan w:val="2"/>
          <w:shd w:val="clear" w:color="auto" w:fill="auto"/>
        </w:tcPr>
        <w:p w:rsidR="00507A67" w:rsidRPr="002E4DDC" w:rsidRDefault="00507A67" w:rsidP="00332011">
          <w:pPr>
            <w:pStyle w:val="Footer"/>
            <w:rPr>
              <w:color w:val="505050"/>
            </w:rPr>
          </w:pPr>
          <w:r>
            <w:rPr>
              <w:color w:val="505050"/>
            </w:rPr>
            <w:fldChar w:fldCharType="begin"/>
          </w:r>
          <w:r>
            <w:rPr>
              <w:color w:val="505050"/>
            </w:rPr>
            <w:instrText xml:space="preserve"> PAGE  \* Arabic  \* MERGEFORMAT </w:instrText>
          </w:r>
          <w:r>
            <w:rPr>
              <w:color w:val="505050"/>
            </w:rPr>
            <w:fldChar w:fldCharType="separate"/>
          </w:r>
          <w:r w:rsidR="00333E70">
            <w:rPr>
              <w:noProof/>
              <w:color w:val="505050"/>
            </w:rPr>
            <w:t>2</w:t>
          </w:r>
          <w:r>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rsidR="00507A67" w:rsidRDefault="00507A67">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507A67" w:rsidRPr="00915B1C" w:rsidTr="002E4DDC">
      <w:tc>
        <w:tcPr>
          <w:tcW w:w="6352" w:type="dxa"/>
          <w:shd w:val="clear" w:color="auto" w:fill="auto"/>
        </w:tcPr>
        <w:p w:rsidR="00507A67" w:rsidRPr="00915B1C" w:rsidRDefault="00507A67" w:rsidP="00915B1C">
          <w:pPr>
            <w:pStyle w:val="Footer"/>
            <w:ind w:right="28"/>
            <w:jc w:val="right"/>
            <w:rPr>
              <w:sz w:val="2"/>
              <w:szCs w:val="2"/>
            </w:rPr>
          </w:pPr>
        </w:p>
      </w:tc>
      <w:tc>
        <w:tcPr>
          <w:tcW w:w="1332" w:type="dxa"/>
          <w:tcBorders>
            <w:top w:val="single" w:sz="2" w:space="0" w:color="505050"/>
          </w:tcBorders>
          <w:shd w:val="clear" w:color="auto" w:fill="auto"/>
        </w:tcPr>
        <w:p w:rsidR="00507A67" w:rsidRPr="00915B1C" w:rsidRDefault="00507A67" w:rsidP="00915B1C">
          <w:pPr>
            <w:pStyle w:val="Footer"/>
            <w:ind w:right="28"/>
            <w:jc w:val="right"/>
            <w:rPr>
              <w:sz w:val="2"/>
              <w:szCs w:val="2"/>
            </w:rPr>
          </w:pPr>
        </w:p>
      </w:tc>
      <w:tc>
        <w:tcPr>
          <w:tcW w:w="396" w:type="dxa"/>
          <w:shd w:val="clear" w:color="auto" w:fill="auto"/>
        </w:tcPr>
        <w:p w:rsidR="00507A67" w:rsidRPr="00915B1C" w:rsidRDefault="00507A67" w:rsidP="00332011">
          <w:pPr>
            <w:pStyle w:val="Footer"/>
            <w:rPr>
              <w:sz w:val="2"/>
              <w:szCs w:val="2"/>
            </w:rPr>
          </w:pPr>
        </w:p>
      </w:tc>
    </w:tr>
    <w:tr w:rsidR="00507A67" w:rsidRPr="002E4DDC" w:rsidTr="00915B1C">
      <w:tc>
        <w:tcPr>
          <w:tcW w:w="7684" w:type="dxa"/>
          <w:gridSpan w:val="2"/>
          <w:shd w:val="clear" w:color="auto" w:fill="auto"/>
        </w:tcPr>
        <w:p w:rsidR="00507A67" w:rsidRPr="002E4DDC" w:rsidRDefault="00507A67" w:rsidP="00236B0A">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Pr>
              <w:color w:val="505050"/>
            </w:rPr>
            <w:fldChar w:fldCharType="begin"/>
          </w:r>
          <w:r>
            <w:rPr>
              <w:color w:val="505050"/>
            </w:rPr>
            <w:instrText xml:space="preserve"> PAGE  \* Arabic  \* MERGEFORMAT </w:instrText>
          </w:r>
          <w:r>
            <w:rPr>
              <w:color w:val="505050"/>
            </w:rPr>
            <w:fldChar w:fldCharType="separate"/>
          </w:r>
          <w:r w:rsidR="00333E70">
            <w:rPr>
              <w:noProof/>
              <w:color w:val="505050"/>
            </w:rPr>
            <w:t>1</w:t>
          </w:r>
          <w:r>
            <w:rPr>
              <w:color w:val="505050"/>
            </w:rPr>
            <w:fldChar w:fldCharType="end"/>
          </w:r>
        </w:p>
      </w:tc>
      <w:tc>
        <w:tcPr>
          <w:tcW w:w="396" w:type="dxa"/>
          <w:shd w:val="clear" w:color="auto" w:fill="auto"/>
        </w:tcPr>
        <w:p w:rsidR="00507A67" w:rsidRPr="002E4DDC" w:rsidRDefault="00507A67" w:rsidP="00332011">
          <w:pPr>
            <w:pStyle w:val="Footer"/>
            <w:rPr>
              <w:color w:val="505050"/>
            </w:rPr>
          </w:pPr>
        </w:p>
      </w:tc>
    </w:tr>
  </w:tbl>
  <w:p w:rsidR="00507A67" w:rsidRDefault="00507A6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7A67" w:rsidRDefault="00507A67">
      <w:r>
        <w:separator/>
      </w:r>
    </w:p>
  </w:footnote>
  <w:footnote w:type="continuationSeparator" w:id="0">
    <w:p w:rsidR="00507A67" w:rsidRDefault="00507A67">
      <w:r>
        <w:continuationSeparator/>
      </w:r>
    </w:p>
  </w:footnote>
  <w:footnote w:id="1">
    <w:p w:rsidR="00507A67" w:rsidRDefault="00507A67" w:rsidP="00AA6972">
      <w:pPr>
        <w:pStyle w:val="FootnoteText"/>
      </w:pPr>
      <w:r>
        <w:rPr>
          <w:rStyle w:val="FootnoteReference"/>
        </w:rPr>
        <w:footnoteRef/>
      </w:r>
      <w:r>
        <w:t xml:space="preserve"> </w:t>
      </w:r>
      <w:r w:rsidRPr="009D44DC">
        <w:t>Media release:</w:t>
      </w:r>
      <w:r>
        <w:t xml:space="preserve"> </w:t>
      </w:r>
      <w:r w:rsidRPr="009D44DC">
        <w:t>Senator the Hon Stephen Conroy</w:t>
      </w:r>
      <w:r>
        <w:t xml:space="preserve">, </w:t>
      </w:r>
      <w:r w:rsidRPr="009D44DC">
        <w:t>Minister for Broadband, Communications and the Digital Economy</w:t>
      </w:r>
      <w:r>
        <w:t xml:space="preserve">, </w:t>
      </w:r>
      <w:hyperlink r:id="rId1" w:history="1">
        <w:r w:rsidRPr="009D44DC">
          <w:rPr>
            <w:rStyle w:val="Hyperlink"/>
          </w:rPr>
          <w:t>Size and Location of the Digital Dividend</w:t>
        </w:r>
      </w:hyperlink>
      <w:r w:rsidRPr="009D44DC">
        <w:t>, 24 June 2010.</w:t>
      </w:r>
    </w:p>
  </w:footnote>
  <w:footnote w:id="2">
    <w:p w:rsidR="00507A67" w:rsidRDefault="00507A67" w:rsidP="00AA6972">
      <w:pPr>
        <w:pStyle w:val="FootnoteText"/>
      </w:pPr>
      <w:r>
        <w:rPr>
          <w:rStyle w:val="FootnoteReference"/>
        </w:rPr>
        <w:footnoteRef/>
      </w:r>
      <w:r>
        <w:t xml:space="preserve"> The temporary retune unit (TRU) implementation method.</w:t>
      </w:r>
    </w:p>
  </w:footnote>
  <w:footnote w:id="3">
    <w:p w:rsidR="00507A67" w:rsidRDefault="00507A67" w:rsidP="00AA6972">
      <w:pPr>
        <w:pStyle w:val="FootnoteText"/>
      </w:pPr>
      <w:r>
        <w:rPr>
          <w:rStyle w:val="FootnoteReference"/>
        </w:rPr>
        <w:footnoteRef/>
      </w:r>
      <w:r>
        <w:t xml:space="preserve"> The ‘Hybrid TRU’ implementation method.</w:t>
      </w:r>
    </w:p>
  </w:footnote>
  <w:footnote w:id="4">
    <w:p w:rsidR="00507A67" w:rsidRPr="001850C8" w:rsidRDefault="00507A67">
      <w:pPr>
        <w:pStyle w:val="FootnoteText"/>
      </w:pPr>
      <w:r w:rsidRPr="00384EF8">
        <w:rPr>
          <w:rStyle w:val="FootnoteReference"/>
        </w:rPr>
        <w:footnoteRef/>
      </w:r>
      <w:r w:rsidRPr="00384EF8">
        <w:t xml:space="preserve"> The ACMA took over the functions of the </w:t>
      </w:r>
      <w:r>
        <w:t>Australian Broadcasting Authority</w:t>
      </w:r>
      <w:r w:rsidRPr="00384EF8">
        <w:t xml:space="preserve"> in 2005.</w:t>
      </w:r>
    </w:p>
  </w:footnote>
  <w:footnote w:id="5">
    <w:p w:rsidR="00507A67" w:rsidRDefault="00507A67" w:rsidP="00705B65">
      <w:pPr>
        <w:pStyle w:val="FootnoteText"/>
      </w:pPr>
      <w:r>
        <w:rPr>
          <w:rStyle w:val="FootnoteReference"/>
        </w:rPr>
        <w:footnoteRef/>
      </w:r>
      <w:r>
        <w:t xml:space="preserve"> </w:t>
      </w:r>
      <w:r w:rsidRPr="009D44DC">
        <w:t>Media release:</w:t>
      </w:r>
      <w:r>
        <w:t xml:space="preserve"> </w:t>
      </w:r>
      <w:r w:rsidRPr="009D44DC">
        <w:t>Senator the Hon Stephen Conroy</w:t>
      </w:r>
      <w:r>
        <w:t xml:space="preserve">, </w:t>
      </w:r>
      <w:r w:rsidRPr="009D44DC">
        <w:t>Minister for Broadband, Communications and the Digital Economy</w:t>
      </w:r>
      <w:r>
        <w:t xml:space="preserve">, </w:t>
      </w:r>
      <w:hyperlink r:id="rId2" w:history="1">
        <w:r w:rsidRPr="009D44DC">
          <w:rPr>
            <w:rStyle w:val="Hyperlink"/>
          </w:rPr>
          <w:t>Size and Location of the Digital Dividend</w:t>
        </w:r>
      </w:hyperlink>
      <w:r w:rsidRPr="009D44DC">
        <w:t>, 24 June 2010.</w:t>
      </w:r>
    </w:p>
  </w:footnote>
  <w:footnote w:id="6">
    <w:p w:rsidR="00507A67" w:rsidRDefault="00507A67">
      <w:pPr>
        <w:pStyle w:val="FootnoteText"/>
      </w:pPr>
      <w:r>
        <w:rPr>
          <w:rStyle w:val="FootnoteReference"/>
        </w:rPr>
        <w:footnoteRef/>
      </w:r>
      <w:r>
        <w:t xml:space="preserve"> The explanatory statement to the minister’s direction indicates it is the government’s aim for the digital dividend spectrum should be cleared within 12 months of the switch-off of analog television services on 31 December 2013.</w:t>
      </w:r>
    </w:p>
  </w:footnote>
  <w:footnote w:id="7">
    <w:p w:rsidR="00507A67" w:rsidRDefault="00507A67" w:rsidP="00705B65">
      <w:pPr>
        <w:pStyle w:val="FootnoteText"/>
      </w:pPr>
      <w:r>
        <w:rPr>
          <w:rStyle w:val="FootnoteReference"/>
        </w:rPr>
        <w:footnoteRef/>
      </w:r>
      <w:r>
        <w:t xml:space="preserve"> In the UHF band, all blocks have six contiguous channels. In the VHF band, the six channels are spread across the eight channels in VHF Band III.</w:t>
      </w:r>
    </w:p>
  </w:footnote>
  <w:footnote w:id="8">
    <w:p w:rsidR="00507A67" w:rsidRPr="00E30DA8" w:rsidRDefault="00507A67" w:rsidP="005D743B">
      <w:pPr>
        <w:pStyle w:val="FootnoteText"/>
      </w:pPr>
      <w:r w:rsidRPr="00E30DA8">
        <w:rPr>
          <w:rStyle w:val="FootnoteReference"/>
        </w:rPr>
        <w:footnoteRef/>
      </w:r>
      <w:r w:rsidRPr="00E30DA8">
        <w:t xml:space="preserve"> </w:t>
      </w:r>
      <w:hyperlink r:id="rId3" w:history="1">
        <w:r w:rsidRPr="00E30DA8">
          <w:rPr>
            <w:rStyle w:val="Hyperlink"/>
          </w:rPr>
          <w:t xml:space="preserve">Engineering report TPS2011/01: </w:t>
        </w:r>
        <w:r w:rsidRPr="00E30DA8">
          <w:rPr>
            <w:rStyle w:val="Hyperlink"/>
            <w:i/>
          </w:rPr>
          <w:t>Digital dividend: Comparison of two restack planning approaches</w:t>
        </w:r>
        <w:r w:rsidRPr="00E30DA8">
          <w:rPr>
            <w:rStyle w:val="Hyperlink"/>
          </w:rPr>
          <w:t>, February 2011</w:t>
        </w:r>
      </w:hyperlink>
    </w:p>
  </w:footnote>
  <w:footnote w:id="9">
    <w:p w:rsidR="00507A67" w:rsidRPr="00E30DA8" w:rsidRDefault="00507A67" w:rsidP="005D743B">
      <w:pPr>
        <w:pStyle w:val="FootnoteText"/>
      </w:pPr>
      <w:r w:rsidRPr="00E30DA8">
        <w:rPr>
          <w:rStyle w:val="FootnoteReference"/>
        </w:rPr>
        <w:footnoteRef/>
      </w:r>
      <w:r w:rsidRPr="00E30DA8">
        <w:t xml:space="preserve"> </w:t>
      </w:r>
      <w:hyperlink r:id="rId4" w:history="1">
        <w:r w:rsidRPr="00E30DA8">
          <w:rPr>
            <w:rStyle w:val="Hyperlink"/>
          </w:rPr>
          <w:t xml:space="preserve">Engineering report TPS2011/02: </w:t>
        </w:r>
        <w:r w:rsidRPr="00E30DA8">
          <w:rPr>
            <w:rStyle w:val="Hyperlink"/>
            <w:i/>
          </w:rPr>
          <w:t>Digital dividend: Comparison of the costs of implementing two restack planning approaches</w:t>
        </w:r>
        <w:r w:rsidRPr="00E30DA8">
          <w:rPr>
            <w:rStyle w:val="Hyperlink"/>
          </w:rPr>
          <w:t>, February 2011</w:t>
        </w:r>
      </w:hyperlink>
    </w:p>
  </w:footnote>
  <w:footnote w:id="10">
    <w:p w:rsidR="00507A67" w:rsidRPr="00E30DA8" w:rsidRDefault="00507A67" w:rsidP="005D743B">
      <w:pPr>
        <w:pStyle w:val="FootnoteText"/>
      </w:pPr>
      <w:r w:rsidRPr="00E30DA8">
        <w:rPr>
          <w:rStyle w:val="FootnoteReference"/>
        </w:rPr>
        <w:footnoteRef/>
      </w:r>
      <w:r w:rsidRPr="00E30DA8">
        <w:t xml:space="preserve"> </w:t>
      </w:r>
      <w:hyperlink r:id="rId5" w:history="1">
        <w:r w:rsidRPr="00E30DA8">
          <w:rPr>
            <w:rStyle w:val="Hyperlink"/>
          </w:rPr>
          <w:t xml:space="preserve">Consultants report: </w:t>
        </w:r>
        <w:r w:rsidRPr="00E30DA8">
          <w:rPr>
            <w:rStyle w:val="Hyperlink"/>
            <w:i/>
          </w:rPr>
          <w:t>Digital TV Restack Modular Costs</w:t>
        </w:r>
        <w:r w:rsidRPr="00E30DA8">
          <w:rPr>
            <w:rStyle w:val="Hyperlink"/>
          </w:rPr>
          <w:t xml:space="preserve"> – Kordia Solutions Pty Ltd, February 2011</w:t>
        </w:r>
      </w:hyperlink>
    </w:p>
  </w:footnote>
  <w:footnote w:id="11">
    <w:p w:rsidR="00507A67" w:rsidRDefault="00507A67" w:rsidP="005D743B">
      <w:pPr>
        <w:pStyle w:val="FootnoteText"/>
      </w:pPr>
      <w:r w:rsidRPr="00E30DA8">
        <w:rPr>
          <w:rStyle w:val="FootnoteReference"/>
        </w:rPr>
        <w:footnoteRef/>
      </w:r>
      <w:r w:rsidRPr="00E30DA8">
        <w:t xml:space="preserve"> </w:t>
      </w:r>
      <w:hyperlink r:id="rId6" w:history="1">
        <w:r w:rsidRPr="00E30DA8">
          <w:rPr>
            <w:rStyle w:val="Hyperlink"/>
          </w:rPr>
          <w:t xml:space="preserve">Engineering report TPS2011/03: </w:t>
        </w:r>
        <w:r w:rsidRPr="00E30DA8">
          <w:rPr>
            <w:rStyle w:val="Hyperlink"/>
            <w:i/>
          </w:rPr>
          <w:t>Digital dividend: Timing and sequencing analysis for implementation of Queensland indicative restack channel plans</w:t>
        </w:r>
        <w:r w:rsidRPr="00E30DA8">
          <w:rPr>
            <w:rStyle w:val="Hyperlink"/>
          </w:rPr>
          <w:t>, February 2011</w:t>
        </w:r>
      </w:hyperlink>
    </w:p>
  </w:footnote>
  <w:footnote w:id="12">
    <w:p w:rsidR="00507A67" w:rsidRDefault="00507A67" w:rsidP="00FC2F9D">
      <w:pPr>
        <w:pStyle w:val="FootnoteText"/>
      </w:pPr>
      <w:r>
        <w:rPr>
          <w:rStyle w:val="FootnoteReference"/>
        </w:rPr>
        <w:footnoteRef/>
      </w:r>
      <w:r>
        <w:t xml:space="preserve"> In licence area overlap regions, nine services per site would be planned at existing transmission sites.</w:t>
      </w:r>
    </w:p>
  </w:footnote>
  <w:footnote w:id="13">
    <w:p w:rsidR="00507A67" w:rsidRDefault="00507A67">
      <w:pPr>
        <w:pStyle w:val="FootnoteText"/>
      </w:pPr>
      <w:r>
        <w:rPr>
          <w:rStyle w:val="FootnoteReference"/>
        </w:rPr>
        <w:footnoteRef/>
      </w:r>
      <w:r>
        <w:t xml:space="preserve"> Adelaide, Melbourne and Sydney have the same switchover window and therefore they could switchover on the same date and then could also be restacked simultaneously. Due to the populations involved consideration should be given to whether it will be preferable to stagger the timing of these events.</w:t>
      </w:r>
    </w:p>
  </w:footnote>
  <w:footnote w:id="14">
    <w:p w:rsidR="00507A67" w:rsidRDefault="00507A67" w:rsidP="00084C46">
      <w:pPr>
        <w:pStyle w:val="FootnoteText"/>
      </w:pPr>
      <w:r>
        <w:rPr>
          <w:rStyle w:val="FootnoteReference"/>
        </w:rPr>
        <w:footnoteRef/>
      </w:r>
      <w:r>
        <w:t xml:space="preserve"> In licence area overlap regions, nine services per site would be planned at existing transmission sites.</w:t>
      </w:r>
    </w:p>
  </w:footnote>
  <w:footnote w:id="15">
    <w:p w:rsidR="00507A67" w:rsidRPr="002A4969" w:rsidRDefault="00507A67">
      <w:pPr>
        <w:pStyle w:val="FootnoteText"/>
      </w:pPr>
      <w:r>
        <w:rPr>
          <w:rStyle w:val="FootnoteReference"/>
        </w:rPr>
        <w:footnoteRef/>
      </w:r>
      <w:r>
        <w:t xml:space="preserve"> It should be noted that t</w:t>
      </w:r>
      <w:r w:rsidRPr="00537E4F">
        <w:t xml:space="preserve">he ACMA’s modelling of implementation methods has been only undertaken to allow a comparison between the planning approaches. The actual details of the restack implementation will be for </w:t>
      </w:r>
      <w:r>
        <w:t xml:space="preserve">those that are implementing the restack </w:t>
      </w:r>
      <w:r w:rsidRPr="00537E4F">
        <w:t xml:space="preserve">to determine. </w:t>
      </w:r>
    </w:p>
  </w:footnote>
  <w:footnote w:id="16">
    <w:p w:rsidR="00507A67" w:rsidRDefault="00507A67">
      <w:pPr>
        <w:pStyle w:val="FootnoteText"/>
      </w:pPr>
      <w:r>
        <w:rPr>
          <w:rStyle w:val="FootnoteReference"/>
        </w:rPr>
        <w:footnoteRef/>
      </w:r>
      <w:r>
        <w:t xml:space="preserve"> The original ACMA timing analysis for the TRU method indicated that there would be practically no difference in implementation time between planning approaches.</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Header"/>
    </w:pPr>
    <w:r>
      <w:rPr>
        <w:noProof/>
      </w:rPr>
      <w:pict>
        <v:shape id="acma" o:spid="_x0000_s2063"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Header"/>
    </w:pPr>
  </w:p>
  <w:tbl>
    <w:tblPr>
      <w:tblW w:w="7685" w:type="dxa"/>
      <w:tblLayout w:type="fixed"/>
      <w:tblCellMar>
        <w:left w:w="0" w:type="dxa"/>
        <w:right w:w="0" w:type="dxa"/>
      </w:tblCellMar>
      <w:tblLook w:val="01E0"/>
    </w:tblPr>
    <w:tblGrid>
      <w:gridCol w:w="7685"/>
    </w:tblGrid>
    <w:tr w:rsidR="00507A67" w:rsidTr="00915B1C">
      <w:trPr>
        <w:trHeight w:hRule="exact" w:val="988"/>
      </w:trPr>
      <w:tc>
        <w:tcPr>
          <w:tcW w:w="7685" w:type="dxa"/>
          <w:shd w:val="clear" w:color="auto" w:fill="auto"/>
        </w:tcPr>
        <w:p w:rsidR="00507A67" w:rsidRPr="004450F4" w:rsidRDefault="00507A67">
          <w:pPr>
            <w:pStyle w:val="Header"/>
          </w:pPr>
        </w:p>
      </w:tc>
    </w:tr>
    <w:tr w:rsidR="00507A67" w:rsidTr="00915B1C">
      <w:tc>
        <w:tcPr>
          <w:tcW w:w="7685" w:type="dxa"/>
          <w:shd w:val="clear" w:color="auto" w:fill="auto"/>
        </w:tcPr>
        <w:p w:rsidR="00507A67" w:rsidRDefault="00507A67" w:rsidP="000A4A51">
          <w:pPr>
            <w:pStyle w:val="TOCHeading"/>
          </w:pPr>
          <w:r>
            <w:t>Contents</w:t>
          </w:r>
        </w:p>
      </w:tc>
    </w:tr>
  </w:tbl>
  <w:p w:rsidR="00507A67" w:rsidRDefault="00507A67">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Header"/>
    </w:pPr>
  </w:p>
  <w:p w:rsidR="00507A67" w:rsidRDefault="00507A67">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Header"/>
    </w:pPr>
  </w:p>
  <w:tbl>
    <w:tblPr>
      <w:tblW w:w="7678" w:type="dxa"/>
      <w:tblLayout w:type="fixed"/>
      <w:tblCellMar>
        <w:left w:w="0" w:type="dxa"/>
        <w:right w:w="0" w:type="dxa"/>
      </w:tblCellMar>
      <w:tblLook w:val="01E0"/>
    </w:tblPr>
    <w:tblGrid>
      <w:gridCol w:w="7678"/>
    </w:tblGrid>
    <w:tr w:rsidR="00507A67" w:rsidTr="00915B1C">
      <w:trPr>
        <w:trHeight w:hRule="exact" w:val="988"/>
      </w:trPr>
      <w:tc>
        <w:tcPr>
          <w:tcW w:w="7678" w:type="dxa"/>
          <w:shd w:val="clear" w:color="auto" w:fill="auto"/>
        </w:tcPr>
        <w:p w:rsidR="00507A67" w:rsidRPr="004450F4" w:rsidRDefault="00507A67" w:rsidP="005D2502">
          <w:pPr>
            <w:pStyle w:val="Header"/>
          </w:pPr>
        </w:p>
      </w:tc>
    </w:tr>
    <w:tr w:rsidR="00507A67" w:rsidTr="00915B1C">
      <w:tc>
        <w:tcPr>
          <w:tcW w:w="7678" w:type="dxa"/>
          <w:shd w:val="clear" w:color="auto" w:fill="auto"/>
        </w:tcPr>
        <w:p w:rsidR="00507A67" w:rsidRDefault="00507A67" w:rsidP="005D2502">
          <w:pPr>
            <w:pStyle w:val="TOCHeading"/>
          </w:pPr>
          <w:r>
            <w:t xml:space="preserve">Contents </w:t>
          </w:r>
          <w:r w:rsidRPr="00915B1C">
            <w:rPr>
              <w:b w:val="0"/>
              <w:spacing w:val="0"/>
              <w:sz w:val="28"/>
              <w:szCs w:val="28"/>
            </w:rPr>
            <w:t>(Continued)</w:t>
          </w:r>
        </w:p>
      </w:tc>
    </w:tr>
    <w:tr w:rsidR="00507A67" w:rsidTr="00D6507F">
      <w:trPr>
        <w:trHeight w:val="1220"/>
      </w:trPr>
      <w:tc>
        <w:tcPr>
          <w:tcW w:w="7678" w:type="dxa"/>
          <w:shd w:val="clear" w:color="auto" w:fill="auto"/>
        </w:tcPr>
        <w:p w:rsidR="00507A67" w:rsidRDefault="00507A67" w:rsidP="00D6507F"/>
      </w:tc>
    </w:tr>
  </w:tbl>
  <w:p w:rsidR="00507A67" w:rsidRDefault="00507A67">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Default="00507A67">
    <w:pPr>
      <w:pStyle w:val="Header"/>
    </w:pPr>
  </w:p>
  <w:tbl>
    <w:tblPr>
      <w:tblW w:w="0" w:type="auto"/>
      <w:tblLayout w:type="fixed"/>
      <w:tblCellMar>
        <w:left w:w="0" w:type="dxa"/>
        <w:right w:w="0" w:type="dxa"/>
      </w:tblCellMar>
      <w:tblLook w:val="01E0"/>
    </w:tblPr>
    <w:tblGrid>
      <w:gridCol w:w="7671"/>
    </w:tblGrid>
    <w:tr w:rsidR="00507A67" w:rsidTr="00915B1C">
      <w:trPr>
        <w:trHeight w:hRule="exact" w:val="988"/>
      </w:trPr>
      <w:tc>
        <w:tcPr>
          <w:tcW w:w="7671" w:type="dxa"/>
          <w:shd w:val="clear" w:color="auto" w:fill="auto"/>
        </w:tcPr>
        <w:p w:rsidR="00507A67" w:rsidRPr="004450F4" w:rsidRDefault="00507A67" w:rsidP="005D2502">
          <w:pPr>
            <w:pStyle w:val="Header"/>
          </w:pPr>
        </w:p>
      </w:tc>
    </w:tr>
    <w:tr w:rsidR="00507A67" w:rsidTr="00915B1C">
      <w:tc>
        <w:tcPr>
          <w:tcW w:w="7671" w:type="dxa"/>
          <w:shd w:val="clear" w:color="auto" w:fill="auto"/>
        </w:tcPr>
        <w:p w:rsidR="00507A67" w:rsidRDefault="00507A67" w:rsidP="005D2502">
          <w:pPr>
            <w:pStyle w:val="TOCHeading"/>
          </w:pPr>
          <w:r>
            <w:t xml:space="preserve">Contents </w:t>
          </w:r>
          <w:r w:rsidRPr="00915B1C">
            <w:rPr>
              <w:b w:val="0"/>
              <w:spacing w:val="0"/>
              <w:sz w:val="28"/>
              <w:szCs w:val="28"/>
            </w:rPr>
            <w:t>(Continued)</w:t>
          </w:r>
        </w:p>
      </w:tc>
    </w:tr>
  </w:tbl>
  <w:p w:rsidR="00507A67" w:rsidRDefault="00507A67">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Pr="00AC33E0" w:rsidRDefault="00507A67" w:rsidP="00AC33E0">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Pr="00AC33E0" w:rsidRDefault="00507A67" w:rsidP="00AC33E0">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Pr="00D06DC9" w:rsidRDefault="00507A67" w:rsidP="00D06DC9">
    <w:pPr>
      <w:pStyle w:val="Header"/>
      <w:rPr>
        <w:b/>
        <w:sz w:val="24"/>
      </w:rP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67" w:rsidRPr="00D06DC9" w:rsidRDefault="00507A67" w:rsidP="00D06DC9">
    <w:pPr>
      <w:pStyle w:val="Header"/>
      <w:jc w:val="right"/>
      <w:rPr>
        <w:b/>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E5E2A946"/>
    <w:lvl w:ilvl="0">
      <w:start w:val="1"/>
      <w:numFmt w:val="bullet"/>
      <w:lvlText w:val=""/>
      <w:lvlJc w:val="left"/>
      <w:pPr>
        <w:tabs>
          <w:tab w:val="num" w:pos="643"/>
        </w:tabs>
        <w:ind w:left="643" w:hanging="360"/>
      </w:pPr>
      <w:rPr>
        <w:rFonts w:ascii="Symbol" w:hAnsi="Symbol" w:hint="default"/>
      </w:rPr>
    </w:lvl>
  </w:abstractNum>
  <w:abstractNum w:abstractNumId="1">
    <w:nsid w:val="FFFFFF89"/>
    <w:multiLevelType w:val="singleLevel"/>
    <w:tmpl w:val="85D22FC4"/>
    <w:lvl w:ilvl="0">
      <w:start w:val="1"/>
      <w:numFmt w:val="bullet"/>
      <w:lvlText w:val=""/>
      <w:lvlJc w:val="left"/>
      <w:pPr>
        <w:tabs>
          <w:tab w:val="num" w:pos="360"/>
        </w:tabs>
        <w:ind w:left="360" w:hanging="360"/>
      </w:pPr>
      <w:rPr>
        <w:rFonts w:ascii="Symbol" w:hAnsi="Symbol" w:hint="default"/>
      </w:rPr>
    </w:lvl>
  </w:abstractNum>
  <w:abstractNum w:abstractNumId="2">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nsid w:val="059434D0"/>
    <w:multiLevelType w:val="hybridMultilevel"/>
    <w:tmpl w:val="770214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76B39F7"/>
    <w:multiLevelType w:val="hybridMultilevel"/>
    <w:tmpl w:val="DDA6CB54"/>
    <w:lvl w:ilvl="0" w:tplc="B9E07C1C">
      <w:start w:val="1"/>
      <w:numFmt w:val="bullet"/>
      <w:pStyle w:val="List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0AF45A1D"/>
    <w:multiLevelType w:val="hybridMultilevel"/>
    <w:tmpl w:val="8CEE10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4054010"/>
    <w:multiLevelType w:val="hybridMultilevel"/>
    <w:tmpl w:val="DDB4C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8BD3335"/>
    <w:multiLevelType w:val="hybridMultilevel"/>
    <w:tmpl w:val="8DE4EE5C"/>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1D40633F"/>
    <w:multiLevelType w:val="hybridMultilevel"/>
    <w:tmpl w:val="84842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19057D2"/>
    <w:multiLevelType w:val="hybridMultilevel"/>
    <w:tmpl w:val="CAB4F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FA32BCD"/>
    <w:multiLevelType w:val="hybridMultilevel"/>
    <w:tmpl w:val="06D4432E"/>
    <w:lvl w:ilvl="0" w:tplc="25CC7EF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451501E"/>
    <w:multiLevelType w:val="hybridMultilevel"/>
    <w:tmpl w:val="E7763936"/>
    <w:lvl w:ilvl="0" w:tplc="3B164484">
      <w:start w:val="1"/>
      <w:numFmt w:val="decimal"/>
      <w:pStyle w:val="ListNumber2"/>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371D1473"/>
    <w:multiLevelType w:val="hybridMultilevel"/>
    <w:tmpl w:val="72D6DB30"/>
    <w:lvl w:ilvl="0" w:tplc="2E7C91F8">
      <w:start w:val="1"/>
      <w:numFmt w:val="bullet"/>
      <w:pStyle w:val="ACMABulletLevel2"/>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37B307AE"/>
    <w:multiLevelType w:val="hybridMultilevel"/>
    <w:tmpl w:val="A0904A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41314916"/>
    <w:multiLevelType w:val="hybridMultilevel"/>
    <w:tmpl w:val="CF186F90"/>
    <w:lvl w:ilvl="0" w:tplc="7774FBFC">
      <w:start w:val="1"/>
      <w:numFmt w:val="decimal"/>
      <w:pStyle w:val="ListNumb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442050AF"/>
    <w:multiLevelType w:val="hybridMultilevel"/>
    <w:tmpl w:val="1B32BF5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44360FB1"/>
    <w:multiLevelType w:val="hybridMultilevel"/>
    <w:tmpl w:val="7124D4B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4610174C"/>
    <w:multiLevelType w:val="hybridMultilevel"/>
    <w:tmpl w:val="F4669F88"/>
    <w:lvl w:ilvl="0" w:tplc="B9E07C1C">
      <w:start w:val="1"/>
      <w:numFmt w:val="bullet"/>
      <w:lvlText w:val=""/>
      <w:lvlJc w:val="left"/>
      <w:pPr>
        <w:ind w:left="360" w:hanging="360"/>
      </w:pPr>
      <w:rPr>
        <w:rFonts w:ascii="Symbol" w:hAnsi="Symbol" w:hint="default"/>
      </w:rPr>
    </w:lvl>
    <w:lvl w:ilvl="1" w:tplc="977623CC">
      <w:start w:val="1"/>
      <w:numFmt w:val="bullet"/>
      <w:lvlText w:val="&gt;"/>
      <w:lvlJc w:val="left"/>
      <w:pPr>
        <w:ind w:left="1080" w:hanging="360"/>
      </w:pPr>
      <w:rPr>
        <w:rFonts w:ascii="Arial" w:hAnsi="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46A03D72"/>
    <w:multiLevelType w:val="multilevel"/>
    <w:tmpl w:val="E6BE9A76"/>
    <w:lvl w:ilvl="0">
      <w:start w:val="1"/>
      <w:numFmt w:val="decimal"/>
      <w:lvlText w:val="%1)"/>
      <w:lvlJc w:val="left"/>
      <w:pPr>
        <w:ind w:left="360" w:hanging="360"/>
      </w:pPr>
      <w:rPr>
        <w:rFonts w:hint="default"/>
      </w:rPr>
    </w:lvl>
    <w:lvl w:ilvl="1">
      <w:start w:val="1"/>
      <w:numFmt w:val="lowerLetter"/>
      <w:pStyle w:val="ListBullet2"/>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7890FF0"/>
    <w:multiLevelType w:val="hybridMultilevel"/>
    <w:tmpl w:val="4D948D98"/>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20">
    <w:nsid w:val="48DC516F"/>
    <w:multiLevelType w:val="hybridMultilevel"/>
    <w:tmpl w:val="935821F8"/>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502309B6"/>
    <w:multiLevelType w:val="hybridMultilevel"/>
    <w:tmpl w:val="7EAE4260"/>
    <w:lvl w:ilvl="0" w:tplc="25CC7EF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38F68A5"/>
    <w:multiLevelType w:val="hybridMultilevel"/>
    <w:tmpl w:val="A7585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63047E9"/>
    <w:multiLevelType w:val="hybridMultilevel"/>
    <w:tmpl w:val="EB76A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7CA299E"/>
    <w:multiLevelType w:val="multilevel"/>
    <w:tmpl w:val="2668E61A"/>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5">
    <w:nsid w:val="615422D3"/>
    <w:multiLevelType w:val="multilevel"/>
    <w:tmpl w:val="91BA2B54"/>
    <w:lvl w:ilvl="0">
      <w:start w:val="1"/>
      <w:numFmt w:val="decimal"/>
      <w:pStyle w:val="FinalPrinciple"/>
      <w:lvlText w:val="Principle %1:"/>
      <w:lvlJc w:val="left"/>
      <w:pPr>
        <w:ind w:left="0" w:firstLine="0"/>
      </w:pPr>
      <w:rPr>
        <w:rFonts w:hint="default"/>
        <w:b/>
        <w:i/>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6">
    <w:nsid w:val="62C904F9"/>
    <w:multiLevelType w:val="hybridMultilevel"/>
    <w:tmpl w:val="FA44AF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B8A51C9"/>
    <w:multiLevelType w:val="hybridMultilevel"/>
    <w:tmpl w:val="ABEAA1DA"/>
    <w:lvl w:ilvl="0" w:tplc="DDBAC6B6">
      <w:start w:val="1"/>
      <w:numFmt w:val="bullet"/>
      <w:pStyle w:val="ACMABulletLevel3"/>
      <w:lvlText w:val="o"/>
      <w:lvlJc w:val="left"/>
      <w:pPr>
        <w:ind w:left="1287" w:hanging="360"/>
      </w:pPr>
      <w:rPr>
        <w:rFonts w:ascii="Courier New" w:hAnsi="Courier New" w:cs="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8">
    <w:nsid w:val="6D3B526B"/>
    <w:multiLevelType w:val="hybridMultilevel"/>
    <w:tmpl w:val="6C5A54DE"/>
    <w:lvl w:ilvl="0" w:tplc="1DA0F5C8">
      <w:start w:val="1"/>
      <w:numFmt w:val="decimal"/>
      <w:pStyle w:val="ACMANumberedList"/>
      <w:lvlText w:val="%1."/>
      <w:lvlJc w:val="left"/>
      <w:pPr>
        <w:tabs>
          <w:tab w:val="num" w:pos="540"/>
        </w:tabs>
        <w:ind w:left="540" w:hanging="360"/>
      </w:pPr>
      <w:rPr>
        <w:rFonts w:ascii="Arial" w:hAnsi="Arial" w:cs="Arial" w:hint="default"/>
      </w:rPr>
    </w:lvl>
    <w:lvl w:ilvl="1" w:tplc="8B54880C">
      <w:start w:val="6"/>
      <w:numFmt w:val="decimal"/>
      <w:lvlText w:val="%2"/>
      <w:lvlJc w:val="left"/>
      <w:pPr>
        <w:tabs>
          <w:tab w:val="num" w:pos="1080"/>
        </w:tabs>
        <w:ind w:left="1080" w:hanging="360"/>
      </w:pPr>
      <w:rPr>
        <w:rFonts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9">
    <w:nsid w:val="794D56F0"/>
    <w:multiLevelType w:val="hybridMultilevel"/>
    <w:tmpl w:val="21C4E1C8"/>
    <w:lvl w:ilvl="0" w:tplc="A378E418">
      <w:start w:val="1"/>
      <w:numFmt w:val="decimal"/>
      <w:pStyle w:val="numberedlist"/>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7A502B73"/>
    <w:multiLevelType w:val="hybridMultilevel"/>
    <w:tmpl w:val="D0863CFE"/>
    <w:lvl w:ilvl="0" w:tplc="7F9CF1C8">
      <w:start w:val="1"/>
      <w:numFmt w:val="decimal"/>
      <w:lvlText w:val="%1."/>
      <w:lvlJc w:val="left"/>
      <w:pPr>
        <w:tabs>
          <w:tab w:val="num" w:pos="540"/>
        </w:tabs>
        <w:ind w:left="540" w:hanging="360"/>
      </w:pPr>
      <w:rPr>
        <w:rFonts w:ascii="Arial" w:hAnsi="Arial" w:cs="Arial" w:hint="default"/>
      </w:rPr>
    </w:lvl>
    <w:lvl w:ilvl="1" w:tplc="0C090001">
      <w:start w:val="1"/>
      <w:numFmt w:val="bullet"/>
      <w:lvlText w:val=""/>
      <w:lvlJc w:val="left"/>
      <w:pPr>
        <w:tabs>
          <w:tab w:val="num" w:pos="1080"/>
        </w:tabs>
        <w:ind w:left="1080" w:hanging="360"/>
      </w:pPr>
      <w:rPr>
        <w:rFonts w:ascii="Symbol" w:hAnsi="Symbol"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1">
    <w:nsid w:val="7DC135DA"/>
    <w:multiLevelType w:val="hybridMultilevel"/>
    <w:tmpl w:val="76FC41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4"/>
  </w:num>
  <w:num w:numId="2">
    <w:abstractNumId w:val="11"/>
  </w:num>
  <w:num w:numId="3">
    <w:abstractNumId w:val="18"/>
  </w:num>
  <w:num w:numId="4">
    <w:abstractNumId w:val="29"/>
  </w:num>
  <w:num w:numId="5">
    <w:abstractNumId w:val="28"/>
  </w:num>
  <w:num w:numId="6">
    <w:abstractNumId w:val="30"/>
  </w:num>
  <w:num w:numId="7">
    <w:abstractNumId w:val="25"/>
  </w:num>
  <w:num w:numId="8">
    <w:abstractNumId w:val="12"/>
  </w:num>
  <w:num w:numId="9">
    <w:abstractNumId w:val="27"/>
  </w:num>
  <w:num w:numId="10">
    <w:abstractNumId w:val="14"/>
  </w:num>
  <w:num w:numId="11">
    <w:abstractNumId w:val="4"/>
  </w:num>
  <w:num w:numId="12">
    <w:abstractNumId w:val="15"/>
  </w:num>
  <w:num w:numId="13">
    <w:abstractNumId w:val="26"/>
  </w:num>
  <w:num w:numId="14">
    <w:abstractNumId w:val="13"/>
  </w:num>
  <w:num w:numId="15">
    <w:abstractNumId w:val="9"/>
  </w:num>
  <w:num w:numId="16">
    <w:abstractNumId w:val="3"/>
  </w:num>
  <w:num w:numId="17">
    <w:abstractNumId w:val="6"/>
  </w:num>
  <w:num w:numId="18">
    <w:abstractNumId w:val="23"/>
  </w:num>
  <w:num w:numId="19">
    <w:abstractNumId w:val="31"/>
  </w:num>
  <w:num w:numId="20">
    <w:abstractNumId w:val="22"/>
  </w:num>
  <w:num w:numId="21">
    <w:abstractNumId w:val="1"/>
  </w:num>
  <w:num w:numId="22">
    <w:abstractNumId w:val="0"/>
  </w:num>
  <w:num w:numId="23">
    <w:abstractNumId w:val="7"/>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2"/>
  </w:num>
  <w:num w:numId="31">
    <w:abstractNumId w:val="16"/>
  </w:num>
  <w:num w:numId="32">
    <w:abstractNumId w:val="8"/>
  </w:num>
  <w:num w:numId="33">
    <w:abstractNumId w:val="10"/>
  </w:num>
  <w:num w:numId="34">
    <w:abstractNumId w:val="21"/>
  </w:num>
  <w:num w:numId="35">
    <w:abstractNumId w:val="19"/>
  </w:num>
  <w:num w:numId="36">
    <w:abstractNumId w:val="5"/>
  </w:num>
  <w:num w:numId="37">
    <w:abstractNumId w:val="17"/>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evenAndOddHeaders/>
  <w:drawingGridHorizontalSpacing w:val="100"/>
  <w:displayHorizontalDrawingGridEvery w:val="2"/>
  <w:characterSpacingControl w:val="doNotCompress"/>
  <w:hdrShapeDefaults>
    <o:shapedefaults v:ext="edit" spidmax="2065">
      <o:colormru v:ext="edit" colors="red,#4d4d4f"/>
    </o:shapedefaults>
    <o:shapelayout v:ext="edit">
      <o:idmap v:ext="edit" data="2"/>
    </o:shapelayout>
  </w:hdrShapeDefaults>
  <w:footnotePr>
    <w:footnote w:id="-1"/>
    <w:footnote w:id="0"/>
  </w:footnotePr>
  <w:endnotePr>
    <w:endnote w:id="-1"/>
    <w:endnote w:id="0"/>
  </w:endnotePr>
  <w:compat/>
  <w:rsids>
    <w:rsidRoot w:val="007903D9"/>
    <w:rsid w:val="0000027C"/>
    <w:rsid w:val="00002309"/>
    <w:rsid w:val="000031C6"/>
    <w:rsid w:val="000037B2"/>
    <w:rsid w:val="00003913"/>
    <w:rsid w:val="00004AD7"/>
    <w:rsid w:val="000056A8"/>
    <w:rsid w:val="00006AEB"/>
    <w:rsid w:val="00006FCF"/>
    <w:rsid w:val="00010667"/>
    <w:rsid w:val="00013A77"/>
    <w:rsid w:val="00015AE7"/>
    <w:rsid w:val="00016584"/>
    <w:rsid w:val="00016E21"/>
    <w:rsid w:val="0001719C"/>
    <w:rsid w:val="000175B2"/>
    <w:rsid w:val="000227B3"/>
    <w:rsid w:val="00022E25"/>
    <w:rsid w:val="000234CA"/>
    <w:rsid w:val="0002387A"/>
    <w:rsid w:val="00026266"/>
    <w:rsid w:val="00026F91"/>
    <w:rsid w:val="00027035"/>
    <w:rsid w:val="00027439"/>
    <w:rsid w:val="00032859"/>
    <w:rsid w:val="00034AFD"/>
    <w:rsid w:val="000355DF"/>
    <w:rsid w:val="00036658"/>
    <w:rsid w:val="0003726A"/>
    <w:rsid w:val="000409C7"/>
    <w:rsid w:val="00040CF8"/>
    <w:rsid w:val="000450BA"/>
    <w:rsid w:val="000451DE"/>
    <w:rsid w:val="00047581"/>
    <w:rsid w:val="00047B12"/>
    <w:rsid w:val="0005045A"/>
    <w:rsid w:val="00051C1E"/>
    <w:rsid w:val="000535B5"/>
    <w:rsid w:val="000539F9"/>
    <w:rsid w:val="00054338"/>
    <w:rsid w:val="00054C27"/>
    <w:rsid w:val="00054FDC"/>
    <w:rsid w:val="000550AA"/>
    <w:rsid w:val="00055EC3"/>
    <w:rsid w:val="000563CE"/>
    <w:rsid w:val="000565AC"/>
    <w:rsid w:val="00056717"/>
    <w:rsid w:val="00057E47"/>
    <w:rsid w:val="00060324"/>
    <w:rsid w:val="0006032A"/>
    <w:rsid w:val="0006156F"/>
    <w:rsid w:val="00064AF8"/>
    <w:rsid w:val="000659B6"/>
    <w:rsid w:val="000669C1"/>
    <w:rsid w:val="000738DF"/>
    <w:rsid w:val="00073A61"/>
    <w:rsid w:val="000741DD"/>
    <w:rsid w:val="00074CCB"/>
    <w:rsid w:val="00074FAF"/>
    <w:rsid w:val="0007527B"/>
    <w:rsid w:val="000754E0"/>
    <w:rsid w:val="000758B8"/>
    <w:rsid w:val="00075B96"/>
    <w:rsid w:val="000776C5"/>
    <w:rsid w:val="0007791E"/>
    <w:rsid w:val="0008196A"/>
    <w:rsid w:val="00084405"/>
    <w:rsid w:val="000849A2"/>
    <w:rsid w:val="00084C46"/>
    <w:rsid w:val="00086386"/>
    <w:rsid w:val="000870BD"/>
    <w:rsid w:val="0009209D"/>
    <w:rsid w:val="0009362E"/>
    <w:rsid w:val="00095781"/>
    <w:rsid w:val="000957AC"/>
    <w:rsid w:val="000959F0"/>
    <w:rsid w:val="000969BD"/>
    <w:rsid w:val="000969BF"/>
    <w:rsid w:val="000A077E"/>
    <w:rsid w:val="000A0940"/>
    <w:rsid w:val="000A0C22"/>
    <w:rsid w:val="000A123F"/>
    <w:rsid w:val="000A2972"/>
    <w:rsid w:val="000A2E55"/>
    <w:rsid w:val="000A3BFD"/>
    <w:rsid w:val="000A3C43"/>
    <w:rsid w:val="000A4344"/>
    <w:rsid w:val="000A4A51"/>
    <w:rsid w:val="000A5A3D"/>
    <w:rsid w:val="000A5D2B"/>
    <w:rsid w:val="000A7AD4"/>
    <w:rsid w:val="000A7EC3"/>
    <w:rsid w:val="000B1F18"/>
    <w:rsid w:val="000B4ECD"/>
    <w:rsid w:val="000B4F8F"/>
    <w:rsid w:val="000B5667"/>
    <w:rsid w:val="000B5DE3"/>
    <w:rsid w:val="000C0E8F"/>
    <w:rsid w:val="000C230C"/>
    <w:rsid w:val="000C4E02"/>
    <w:rsid w:val="000C6E62"/>
    <w:rsid w:val="000D05CB"/>
    <w:rsid w:val="000D08FE"/>
    <w:rsid w:val="000D0FDA"/>
    <w:rsid w:val="000D4174"/>
    <w:rsid w:val="000D5601"/>
    <w:rsid w:val="000D5AEB"/>
    <w:rsid w:val="000D71D9"/>
    <w:rsid w:val="000D7E8B"/>
    <w:rsid w:val="000E0129"/>
    <w:rsid w:val="000E01BE"/>
    <w:rsid w:val="000E0518"/>
    <w:rsid w:val="000E19AD"/>
    <w:rsid w:val="000E3C16"/>
    <w:rsid w:val="000E4449"/>
    <w:rsid w:val="000E55D9"/>
    <w:rsid w:val="000E6097"/>
    <w:rsid w:val="000E60CC"/>
    <w:rsid w:val="000E6A9A"/>
    <w:rsid w:val="000E6AE1"/>
    <w:rsid w:val="000E71BD"/>
    <w:rsid w:val="000E7500"/>
    <w:rsid w:val="000E7D14"/>
    <w:rsid w:val="000F403F"/>
    <w:rsid w:val="000F4D77"/>
    <w:rsid w:val="000F5C63"/>
    <w:rsid w:val="000F64ED"/>
    <w:rsid w:val="00101D5A"/>
    <w:rsid w:val="00103793"/>
    <w:rsid w:val="00105232"/>
    <w:rsid w:val="00105560"/>
    <w:rsid w:val="001101EF"/>
    <w:rsid w:val="00111FCE"/>
    <w:rsid w:val="00112DDC"/>
    <w:rsid w:val="001130D1"/>
    <w:rsid w:val="00113CDC"/>
    <w:rsid w:val="001145DB"/>
    <w:rsid w:val="00115204"/>
    <w:rsid w:val="00115496"/>
    <w:rsid w:val="001161E9"/>
    <w:rsid w:val="00116BDC"/>
    <w:rsid w:val="00116D85"/>
    <w:rsid w:val="00116D9F"/>
    <w:rsid w:val="00117512"/>
    <w:rsid w:val="00117C6C"/>
    <w:rsid w:val="0012075A"/>
    <w:rsid w:val="001216E2"/>
    <w:rsid w:val="00121F03"/>
    <w:rsid w:val="0012489B"/>
    <w:rsid w:val="0012598C"/>
    <w:rsid w:val="00126108"/>
    <w:rsid w:val="00126B27"/>
    <w:rsid w:val="00126E63"/>
    <w:rsid w:val="00130017"/>
    <w:rsid w:val="00130F91"/>
    <w:rsid w:val="00134E35"/>
    <w:rsid w:val="00134F55"/>
    <w:rsid w:val="00137145"/>
    <w:rsid w:val="00137424"/>
    <w:rsid w:val="0013756C"/>
    <w:rsid w:val="00140DEB"/>
    <w:rsid w:val="00141AD9"/>
    <w:rsid w:val="00141F26"/>
    <w:rsid w:val="00142828"/>
    <w:rsid w:val="00142C63"/>
    <w:rsid w:val="00143494"/>
    <w:rsid w:val="00143FD5"/>
    <w:rsid w:val="00144155"/>
    <w:rsid w:val="00144899"/>
    <w:rsid w:val="00144BCF"/>
    <w:rsid w:val="001450F9"/>
    <w:rsid w:val="00146147"/>
    <w:rsid w:val="00147330"/>
    <w:rsid w:val="00151FC5"/>
    <w:rsid w:val="00152462"/>
    <w:rsid w:val="0015269F"/>
    <w:rsid w:val="00152903"/>
    <w:rsid w:val="00152AE5"/>
    <w:rsid w:val="001531E2"/>
    <w:rsid w:val="00153A52"/>
    <w:rsid w:val="00154262"/>
    <w:rsid w:val="001551BA"/>
    <w:rsid w:val="0015535B"/>
    <w:rsid w:val="00155F69"/>
    <w:rsid w:val="0015614F"/>
    <w:rsid w:val="00156AE5"/>
    <w:rsid w:val="00156CC5"/>
    <w:rsid w:val="00157463"/>
    <w:rsid w:val="001577C2"/>
    <w:rsid w:val="001600DE"/>
    <w:rsid w:val="00160964"/>
    <w:rsid w:val="00161C99"/>
    <w:rsid w:val="00162986"/>
    <w:rsid w:val="001633C4"/>
    <w:rsid w:val="00164F4C"/>
    <w:rsid w:val="00165A84"/>
    <w:rsid w:val="001663E8"/>
    <w:rsid w:val="00166E38"/>
    <w:rsid w:val="00170F3D"/>
    <w:rsid w:val="00171591"/>
    <w:rsid w:val="00171772"/>
    <w:rsid w:val="00171E59"/>
    <w:rsid w:val="00171F35"/>
    <w:rsid w:val="00173616"/>
    <w:rsid w:val="0017370A"/>
    <w:rsid w:val="00173981"/>
    <w:rsid w:val="00174130"/>
    <w:rsid w:val="00175D4E"/>
    <w:rsid w:val="0017719D"/>
    <w:rsid w:val="0017746C"/>
    <w:rsid w:val="00177AB4"/>
    <w:rsid w:val="00177FBF"/>
    <w:rsid w:val="001802E5"/>
    <w:rsid w:val="001805C1"/>
    <w:rsid w:val="001820CF"/>
    <w:rsid w:val="00184784"/>
    <w:rsid w:val="001850C8"/>
    <w:rsid w:val="001853A3"/>
    <w:rsid w:val="001871A6"/>
    <w:rsid w:val="001875B7"/>
    <w:rsid w:val="00187CB3"/>
    <w:rsid w:val="00190490"/>
    <w:rsid w:val="00190A56"/>
    <w:rsid w:val="00192674"/>
    <w:rsid w:val="00195436"/>
    <w:rsid w:val="0019546A"/>
    <w:rsid w:val="001976E3"/>
    <w:rsid w:val="001A02AF"/>
    <w:rsid w:val="001A0841"/>
    <w:rsid w:val="001A2F5D"/>
    <w:rsid w:val="001A3605"/>
    <w:rsid w:val="001A3A56"/>
    <w:rsid w:val="001A3D1E"/>
    <w:rsid w:val="001A6570"/>
    <w:rsid w:val="001A6747"/>
    <w:rsid w:val="001B0045"/>
    <w:rsid w:val="001B493C"/>
    <w:rsid w:val="001B4F7C"/>
    <w:rsid w:val="001B58AA"/>
    <w:rsid w:val="001B72D2"/>
    <w:rsid w:val="001B7E48"/>
    <w:rsid w:val="001C17CE"/>
    <w:rsid w:val="001C2542"/>
    <w:rsid w:val="001C2E55"/>
    <w:rsid w:val="001C2E99"/>
    <w:rsid w:val="001C36CA"/>
    <w:rsid w:val="001C3CC1"/>
    <w:rsid w:val="001C44D1"/>
    <w:rsid w:val="001C4C68"/>
    <w:rsid w:val="001C681A"/>
    <w:rsid w:val="001C6AEE"/>
    <w:rsid w:val="001C7630"/>
    <w:rsid w:val="001D0B5E"/>
    <w:rsid w:val="001D0F3F"/>
    <w:rsid w:val="001D41AF"/>
    <w:rsid w:val="001D4D89"/>
    <w:rsid w:val="001D5ED1"/>
    <w:rsid w:val="001D6607"/>
    <w:rsid w:val="001D6BC4"/>
    <w:rsid w:val="001D6D15"/>
    <w:rsid w:val="001D7133"/>
    <w:rsid w:val="001E0AFD"/>
    <w:rsid w:val="001E28C1"/>
    <w:rsid w:val="001E3DF3"/>
    <w:rsid w:val="001E3EAD"/>
    <w:rsid w:val="001E4531"/>
    <w:rsid w:val="001E511B"/>
    <w:rsid w:val="001E7FCA"/>
    <w:rsid w:val="001F12E4"/>
    <w:rsid w:val="001F1F08"/>
    <w:rsid w:val="001F2D9B"/>
    <w:rsid w:val="001F4D11"/>
    <w:rsid w:val="001F66B2"/>
    <w:rsid w:val="001F7380"/>
    <w:rsid w:val="001F7558"/>
    <w:rsid w:val="001F7DA6"/>
    <w:rsid w:val="00202A15"/>
    <w:rsid w:val="00202CC4"/>
    <w:rsid w:val="00203340"/>
    <w:rsid w:val="00205B57"/>
    <w:rsid w:val="002075C2"/>
    <w:rsid w:val="00210A1E"/>
    <w:rsid w:val="00212996"/>
    <w:rsid w:val="00213758"/>
    <w:rsid w:val="002157E0"/>
    <w:rsid w:val="0022296F"/>
    <w:rsid w:val="0022334F"/>
    <w:rsid w:val="00224D08"/>
    <w:rsid w:val="0022625D"/>
    <w:rsid w:val="00226819"/>
    <w:rsid w:val="00226FDA"/>
    <w:rsid w:val="0022718F"/>
    <w:rsid w:val="00227A57"/>
    <w:rsid w:val="002320F3"/>
    <w:rsid w:val="00232E37"/>
    <w:rsid w:val="00233817"/>
    <w:rsid w:val="00233870"/>
    <w:rsid w:val="00233DC4"/>
    <w:rsid w:val="00233F51"/>
    <w:rsid w:val="002367FF"/>
    <w:rsid w:val="00236B0A"/>
    <w:rsid w:val="00236C5D"/>
    <w:rsid w:val="00237EEE"/>
    <w:rsid w:val="00240CE9"/>
    <w:rsid w:val="002415EF"/>
    <w:rsid w:val="0024292D"/>
    <w:rsid w:val="002452E9"/>
    <w:rsid w:val="00246089"/>
    <w:rsid w:val="00246605"/>
    <w:rsid w:val="00246702"/>
    <w:rsid w:val="00246BF1"/>
    <w:rsid w:val="00247E63"/>
    <w:rsid w:val="00247F2E"/>
    <w:rsid w:val="0025077A"/>
    <w:rsid w:val="00250ADC"/>
    <w:rsid w:val="00251DD4"/>
    <w:rsid w:val="00252660"/>
    <w:rsid w:val="002547E9"/>
    <w:rsid w:val="00255B3F"/>
    <w:rsid w:val="00255CB4"/>
    <w:rsid w:val="00256112"/>
    <w:rsid w:val="00257553"/>
    <w:rsid w:val="0025787A"/>
    <w:rsid w:val="00257A99"/>
    <w:rsid w:val="00262128"/>
    <w:rsid w:val="0026240B"/>
    <w:rsid w:val="00262E72"/>
    <w:rsid w:val="002632C5"/>
    <w:rsid w:val="002633F2"/>
    <w:rsid w:val="00263931"/>
    <w:rsid w:val="00264CB4"/>
    <w:rsid w:val="002673C4"/>
    <w:rsid w:val="0027245F"/>
    <w:rsid w:val="00272A73"/>
    <w:rsid w:val="002736CD"/>
    <w:rsid w:val="002739B8"/>
    <w:rsid w:val="00273CEB"/>
    <w:rsid w:val="00274DDA"/>
    <w:rsid w:val="00276859"/>
    <w:rsid w:val="0027781E"/>
    <w:rsid w:val="00277E02"/>
    <w:rsid w:val="00280CBA"/>
    <w:rsid w:val="002817CD"/>
    <w:rsid w:val="00281C89"/>
    <w:rsid w:val="0028282F"/>
    <w:rsid w:val="002840D4"/>
    <w:rsid w:val="0028443C"/>
    <w:rsid w:val="00286872"/>
    <w:rsid w:val="00287634"/>
    <w:rsid w:val="00287EE0"/>
    <w:rsid w:val="00292286"/>
    <w:rsid w:val="002925B2"/>
    <w:rsid w:val="002966D1"/>
    <w:rsid w:val="00297DDD"/>
    <w:rsid w:val="00297FC5"/>
    <w:rsid w:val="002A0264"/>
    <w:rsid w:val="002A0417"/>
    <w:rsid w:val="002A16D8"/>
    <w:rsid w:val="002A1BC8"/>
    <w:rsid w:val="002A2444"/>
    <w:rsid w:val="002A2E9C"/>
    <w:rsid w:val="002A3093"/>
    <w:rsid w:val="002A3EF2"/>
    <w:rsid w:val="002A4969"/>
    <w:rsid w:val="002A51EF"/>
    <w:rsid w:val="002A5472"/>
    <w:rsid w:val="002A5E3C"/>
    <w:rsid w:val="002A6031"/>
    <w:rsid w:val="002A716E"/>
    <w:rsid w:val="002A7290"/>
    <w:rsid w:val="002B19A2"/>
    <w:rsid w:val="002B381A"/>
    <w:rsid w:val="002B4FCC"/>
    <w:rsid w:val="002B5ADE"/>
    <w:rsid w:val="002B66F9"/>
    <w:rsid w:val="002B78F4"/>
    <w:rsid w:val="002B7CFD"/>
    <w:rsid w:val="002C0877"/>
    <w:rsid w:val="002C0CE0"/>
    <w:rsid w:val="002C5803"/>
    <w:rsid w:val="002C695C"/>
    <w:rsid w:val="002C777B"/>
    <w:rsid w:val="002D1275"/>
    <w:rsid w:val="002D1959"/>
    <w:rsid w:val="002D26F2"/>
    <w:rsid w:val="002D28DE"/>
    <w:rsid w:val="002D34BE"/>
    <w:rsid w:val="002D3600"/>
    <w:rsid w:val="002D50ED"/>
    <w:rsid w:val="002E1B2F"/>
    <w:rsid w:val="002E2828"/>
    <w:rsid w:val="002E4118"/>
    <w:rsid w:val="002E4205"/>
    <w:rsid w:val="002E4C02"/>
    <w:rsid w:val="002E4DDC"/>
    <w:rsid w:val="002E6053"/>
    <w:rsid w:val="002F2E79"/>
    <w:rsid w:val="002F3680"/>
    <w:rsid w:val="002F385A"/>
    <w:rsid w:val="002F623C"/>
    <w:rsid w:val="002F63F9"/>
    <w:rsid w:val="00302480"/>
    <w:rsid w:val="003024AC"/>
    <w:rsid w:val="00304248"/>
    <w:rsid w:val="0030795C"/>
    <w:rsid w:val="00310593"/>
    <w:rsid w:val="003111A9"/>
    <w:rsid w:val="00311A4E"/>
    <w:rsid w:val="00311ADB"/>
    <w:rsid w:val="003120E7"/>
    <w:rsid w:val="003131D2"/>
    <w:rsid w:val="003135CB"/>
    <w:rsid w:val="00313AA5"/>
    <w:rsid w:val="0031562A"/>
    <w:rsid w:val="003165E6"/>
    <w:rsid w:val="003202D5"/>
    <w:rsid w:val="00323D60"/>
    <w:rsid w:val="00323F2D"/>
    <w:rsid w:val="003276A6"/>
    <w:rsid w:val="00327948"/>
    <w:rsid w:val="0033000F"/>
    <w:rsid w:val="00331D5A"/>
    <w:rsid w:val="00332011"/>
    <w:rsid w:val="00332518"/>
    <w:rsid w:val="003329F2"/>
    <w:rsid w:val="00332FC0"/>
    <w:rsid w:val="003332ED"/>
    <w:rsid w:val="0033357E"/>
    <w:rsid w:val="00333E70"/>
    <w:rsid w:val="003368DC"/>
    <w:rsid w:val="003418F7"/>
    <w:rsid w:val="003439AE"/>
    <w:rsid w:val="00344026"/>
    <w:rsid w:val="00344723"/>
    <w:rsid w:val="0034472A"/>
    <w:rsid w:val="0034507B"/>
    <w:rsid w:val="00345927"/>
    <w:rsid w:val="00347243"/>
    <w:rsid w:val="00350584"/>
    <w:rsid w:val="00351208"/>
    <w:rsid w:val="00351857"/>
    <w:rsid w:val="00353CAA"/>
    <w:rsid w:val="00355853"/>
    <w:rsid w:val="00360055"/>
    <w:rsid w:val="003610E1"/>
    <w:rsid w:val="00361499"/>
    <w:rsid w:val="00361FA2"/>
    <w:rsid w:val="003671BE"/>
    <w:rsid w:val="00367C35"/>
    <w:rsid w:val="00367F2C"/>
    <w:rsid w:val="00370267"/>
    <w:rsid w:val="003702C9"/>
    <w:rsid w:val="00370581"/>
    <w:rsid w:val="00370C2F"/>
    <w:rsid w:val="003710AB"/>
    <w:rsid w:val="00371287"/>
    <w:rsid w:val="00372485"/>
    <w:rsid w:val="0037294B"/>
    <w:rsid w:val="00373141"/>
    <w:rsid w:val="00373200"/>
    <w:rsid w:val="00374B98"/>
    <w:rsid w:val="00374C1E"/>
    <w:rsid w:val="003750F1"/>
    <w:rsid w:val="00375842"/>
    <w:rsid w:val="00375EF5"/>
    <w:rsid w:val="003767A5"/>
    <w:rsid w:val="003769BB"/>
    <w:rsid w:val="003777D0"/>
    <w:rsid w:val="00377875"/>
    <w:rsid w:val="00377C03"/>
    <w:rsid w:val="003805E1"/>
    <w:rsid w:val="00380926"/>
    <w:rsid w:val="00384EF8"/>
    <w:rsid w:val="00385254"/>
    <w:rsid w:val="003864CC"/>
    <w:rsid w:val="003879B0"/>
    <w:rsid w:val="00390E4F"/>
    <w:rsid w:val="00392D40"/>
    <w:rsid w:val="00393A3D"/>
    <w:rsid w:val="00395915"/>
    <w:rsid w:val="003959E5"/>
    <w:rsid w:val="00395C00"/>
    <w:rsid w:val="00397856"/>
    <w:rsid w:val="003A028F"/>
    <w:rsid w:val="003A05F4"/>
    <w:rsid w:val="003A285D"/>
    <w:rsid w:val="003A3923"/>
    <w:rsid w:val="003A4A73"/>
    <w:rsid w:val="003A52D3"/>
    <w:rsid w:val="003A5F5B"/>
    <w:rsid w:val="003A6132"/>
    <w:rsid w:val="003A65CE"/>
    <w:rsid w:val="003A789A"/>
    <w:rsid w:val="003A7D83"/>
    <w:rsid w:val="003B09E9"/>
    <w:rsid w:val="003B2307"/>
    <w:rsid w:val="003B5060"/>
    <w:rsid w:val="003B514F"/>
    <w:rsid w:val="003B70BE"/>
    <w:rsid w:val="003B7210"/>
    <w:rsid w:val="003C058F"/>
    <w:rsid w:val="003C0C4B"/>
    <w:rsid w:val="003C2DDA"/>
    <w:rsid w:val="003C3AFD"/>
    <w:rsid w:val="003C409A"/>
    <w:rsid w:val="003C5167"/>
    <w:rsid w:val="003C680F"/>
    <w:rsid w:val="003C77E0"/>
    <w:rsid w:val="003D0628"/>
    <w:rsid w:val="003D17D7"/>
    <w:rsid w:val="003D2678"/>
    <w:rsid w:val="003D45B1"/>
    <w:rsid w:val="003D54E1"/>
    <w:rsid w:val="003D6BA2"/>
    <w:rsid w:val="003D6CB9"/>
    <w:rsid w:val="003D71A3"/>
    <w:rsid w:val="003E1815"/>
    <w:rsid w:val="003E210C"/>
    <w:rsid w:val="003E37C9"/>
    <w:rsid w:val="003E3EA0"/>
    <w:rsid w:val="003E40C1"/>
    <w:rsid w:val="003E6B90"/>
    <w:rsid w:val="003F0DA1"/>
    <w:rsid w:val="003F13C6"/>
    <w:rsid w:val="003F16F6"/>
    <w:rsid w:val="003F1EFB"/>
    <w:rsid w:val="003F2C81"/>
    <w:rsid w:val="003F314E"/>
    <w:rsid w:val="003F40AA"/>
    <w:rsid w:val="003F4411"/>
    <w:rsid w:val="003F4DC7"/>
    <w:rsid w:val="003F5235"/>
    <w:rsid w:val="003F6AD3"/>
    <w:rsid w:val="004006BD"/>
    <w:rsid w:val="00401836"/>
    <w:rsid w:val="004027E4"/>
    <w:rsid w:val="004060DC"/>
    <w:rsid w:val="00406546"/>
    <w:rsid w:val="004066D0"/>
    <w:rsid w:val="00406A9B"/>
    <w:rsid w:val="00410456"/>
    <w:rsid w:val="0041071D"/>
    <w:rsid w:val="00410AE1"/>
    <w:rsid w:val="004125CB"/>
    <w:rsid w:val="004134F1"/>
    <w:rsid w:val="004135C0"/>
    <w:rsid w:val="00414485"/>
    <w:rsid w:val="00414AFC"/>
    <w:rsid w:val="004151A7"/>
    <w:rsid w:val="00415310"/>
    <w:rsid w:val="00415326"/>
    <w:rsid w:val="00415603"/>
    <w:rsid w:val="004158A3"/>
    <w:rsid w:val="00415F60"/>
    <w:rsid w:val="004170B2"/>
    <w:rsid w:val="00420740"/>
    <w:rsid w:val="00421709"/>
    <w:rsid w:val="00423763"/>
    <w:rsid w:val="00423F26"/>
    <w:rsid w:val="00425230"/>
    <w:rsid w:val="00425C05"/>
    <w:rsid w:val="00425E7C"/>
    <w:rsid w:val="00427755"/>
    <w:rsid w:val="00427DC7"/>
    <w:rsid w:val="004312B9"/>
    <w:rsid w:val="00431613"/>
    <w:rsid w:val="0043297A"/>
    <w:rsid w:val="00432EB2"/>
    <w:rsid w:val="00433A0C"/>
    <w:rsid w:val="00433D7A"/>
    <w:rsid w:val="0043714F"/>
    <w:rsid w:val="00437BAB"/>
    <w:rsid w:val="0044037B"/>
    <w:rsid w:val="00441D1C"/>
    <w:rsid w:val="00442235"/>
    <w:rsid w:val="004438B5"/>
    <w:rsid w:val="004450F4"/>
    <w:rsid w:val="00447854"/>
    <w:rsid w:val="00451E2A"/>
    <w:rsid w:val="00452623"/>
    <w:rsid w:val="00453746"/>
    <w:rsid w:val="00454596"/>
    <w:rsid w:val="00454839"/>
    <w:rsid w:val="00455D95"/>
    <w:rsid w:val="0045605D"/>
    <w:rsid w:val="004568B6"/>
    <w:rsid w:val="004576F1"/>
    <w:rsid w:val="0045778E"/>
    <w:rsid w:val="00460504"/>
    <w:rsid w:val="00462362"/>
    <w:rsid w:val="00462BA8"/>
    <w:rsid w:val="00462BD7"/>
    <w:rsid w:val="00462D8D"/>
    <w:rsid w:val="004639DD"/>
    <w:rsid w:val="004674D7"/>
    <w:rsid w:val="00467BC5"/>
    <w:rsid w:val="00470920"/>
    <w:rsid w:val="00471A88"/>
    <w:rsid w:val="0047243C"/>
    <w:rsid w:val="00474A2B"/>
    <w:rsid w:val="00475352"/>
    <w:rsid w:val="00475F22"/>
    <w:rsid w:val="00476F09"/>
    <w:rsid w:val="00477C6E"/>
    <w:rsid w:val="00477FFD"/>
    <w:rsid w:val="004845E9"/>
    <w:rsid w:val="00485E42"/>
    <w:rsid w:val="0048705B"/>
    <w:rsid w:val="00487948"/>
    <w:rsid w:val="00491FC1"/>
    <w:rsid w:val="00492090"/>
    <w:rsid w:val="0049226E"/>
    <w:rsid w:val="004936C9"/>
    <w:rsid w:val="00493D1A"/>
    <w:rsid w:val="00494037"/>
    <w:rsid w:val="00494269"/>
    <w:rsid w:val="00496564"/>
    <w:rsid w:val="00497C07"/>
    <w:rsid w:val="004A07A5"/>
    <w:rsid w:val="004A36D5"/>
    <w:rsid w:val="004A5268"/>
    <w:rsid w:val="004A56BB"/>
    <w:rsid w:val="004A596C"/>
    <w:rsid w:val="004A5A23"/>
    <w:rsid w:val="004A5A83"/>
    <w:rsid w:val="004A6F8B"/>
    <w:rsid w:val="004A7FB3"/>
    <w:rsid w:val="004B1751"/>
    <w:rsid w:val="004B5518"/>
    <w:rsid w:val="004B5B8C"/>
    <w:rsid w:val="004B6F64"/>
    <w:rsid w:val="004B7260"/>
    <w:rsid w:val="004B751A"/>
    <w:rsid w:val="004B78E6"/>
    <w:rsid w:val="004B7FF3"/>
    <w:rsid w:val="004C0BE1"/>
    <w:rsid w:val="004C0E36"/>
    <w:rsid w:val="004C1997"/>
    <w:rsid w:val="004C20DA"/>
    <w:rsid w:val="004C2BE2"/>
    <w:rsid w:val="004C332B"/>
    <w:rsid w:val="004C343E"/>
    <w:rsid w:val="004C7E82"/>
    <w:rsid w:val="004D132D"/>
    <w:rsid w:val="004D499F"/>
    <w:rsid w:val="004D4D45"/>
    <w:rsid w:val="004D4E44"/>
    <w:rsid w:val="004D56FF"/>
    <w:rsid w:val="004D6EFF"/>
    <w:rsid w:val="004D6F93"/>
    <w:rsid w:val="004D7005"/>
    <w:rsid w:val="004E0285"/>
    <w:rsid w:val="004E1B86"/>
    <w:rsid w:val="004E291C"/>
    <w:rsid w:val="004E3587"/>
    <w:rsid w:val="004E39D3"/>
    <w:rsid w:val="004E3B6B"/>
    <w:rsid w:val="004E3D8A"/>
    <w:rsid w:val="004E491C"/>
    <w:rsid w:val="004E508A"/>
    <w:rsid w:val="004E531F"/>
    <w:rsid w:val="004E539F"/>
    <w:rsid w:val="004E5543"/>
    <w:rsid w:val="004E573B"/>
    <w:rsid w:val="004E616D"/>
    <w:rsid w:val="004E7CAE"/>
    <w:rsid w:val="004E7DCB"/>
    <w:rsid w:val="004F16F8"/>
    <w:rsid w:val="004F1BDE"/>
    <w:rsid w:val="004F2916"/>
    <w:rsid w:val="004F4CBD"/>
    <w:rsid w:val="004F62AC"/>
    <w:rsid w:val="004F6DAB"/>
    <w:rsid w:val="004F7E3B"/>
    <w:rsid w:val="004F7F44"/>
    <w:rsid w:val="00500F6A"/>
    <w:rsid w:val="00501E69"/>
    <w:rsid w:val="00501EE0"/>
    <w:rsid w:val="00502205"/>
    <w:rsid w:val="00503DA6"/>
    <w:rsid w:val="005054C9"/>
    <w:rsid w:val="005079BF"/>
    <w:rsid w:val="00507A67"/>
    <w:rsid w:val="00507EF8"/>
    <w:rsid w:val="00512559"/>
    <w:rsid w:val="005137C4"/>
    <w:rsid w:val="0051380B"/>
    <w:rsid w:val="00514B25"/>
    <w:rsid w:val="0051536E"/>
    <w:rsid w:val="00515925"/>
    <w:rsid w:val="00515A97"/>
    <w:rsid w:val="00517B4F"/>
    <w:rsid w:val="005215B0"/>
    <w:rsid w:val="00521DEF"/>
    <w:rsid w:val="00521F20"/>
    <w:rsid w:val="00523570"/>
    <w:rsid w:val="005236F8"/>
    <w:rsid w:val="0052500C"/>
    <w:rsid w:val="00526407"/>
    <w:rsid w:val="00526B49"/>
    <w:rsid w:val="00530A51"/>
    <w:rsid w:val="00531B9A"/>
    <w:rsid w:val="00531D15"/>
    <w:rsid w:val="00533884"/>
    <w:rsid w:val="0053442F"/>
    <w:rsid w:val="00534C81"/>
    <w:rsid w:val="00537E4F"/>
    <w:rsid w:val="005402F7"/>
    <w:rsid w:val="00540709"/>
    <w:rsid w:val="00540A5C"/>
    <w:rsid w:val="00541414"/>
    <w:rsid w:val="00541899"/>
    <w:rsid w:val="00542377"/>
    <w:rsid w:val="00543365"/>
    <w:rsid w:val="00545E6D"/>
    <w:rsid w:val="00547660"/>
    <w:rsid w:val="0054784E"/>
    <w:rsid w:val="00552F1F"/>
    <w:rsid w:val="00557ACA"/>
    <w:rsid w:val="00560ECA"/>
    <w:rsid w:val="005612B0"/>
    <w:rsid w:val="00561448"/>
    <w:rsid w:val="00563E5E"/>
    <w:rsid w:val="00563EF1"/>
    <w:rsid w:val="005664F9"/>
    <w:rsid w:val="00566AB4"/>
    <w:rsid w:val="0057034E"/>
    <w:rsid w:val="0057183D"/>
    <w:rsid w:val="00572EB2"/>
    <w:rsid w:val="0057464C"/>
    <w:rsid w:val="005749E1"/>
    <w:rsid w:val="005756BF"/>
    <w:rsid w:val="00575AC5"/>
    <w:rsid w:val="0057605D"/>
    <w:rsid w:val="00580ABD"/>
    <w:rsid w:val="00581347"/>
    <w:rsid w:val="00581CFB"/>
    <w:rsid w:val="005826D0"/>
    <w:rsid w:val="00582E8B"/>
    <w:rsid w:val="005835C9"/>
    <w:rsid w:val="00583746"/>
    <w:rsid w:val="00584911"/>
    <w:rsid w:val="005849F8"/>
    <w:rsid w:val="00586AAE"/>
    <w:rsid w:val="00587FC0"/>
    <w:rsid w:val="0059023F"/>
    <w:rsid w:val="00590ED7"/>
    <w:rsid w:val="005938DF"/>
    <w:rsid w:val="0059413E"/>
    <w:rsid w:val="005969CD"/>
    <w:rsid w:val="005971EA"/>
    <w:rsid w:val="005A099B"/>
    <w:rsid w:val="005A1F65"/>
    <w:rsid w:val="005A24E6"/>
    <w:rsid w:val="005A26F9"/>
    <w:rsid w:val="005A2D9C"/>
    <w:rsid w:val="005A49C4"/>
    <w:rsid w:val="005A4D15"/>
    <w:rsid w:val="005A539A"/>
    <w:rsid w:val="005A605E"/>
    <w:rsid w:val="005A6328"/>
    <w:rsid w:val="005A66AB"/>
    <w:rsid w:val="005A6A11"/>
    <w:rsid w:val="005B29AA"/>
    <w:rsid w:val="005B5C29"/>
    <w:rsid w:val="005C1539"/>
    <w:rsid w:val="005C402B"/>
    <w:rsid w:val="005C61D5"/>
    <w:rsid w:val="005C6D59"/>
    <w:rsid w:val="005C6F2F"/>
    <w:rsid w:val="005C7A34"/>
    <w:rsid w:val="005D0718"/>
    <w:rsid w:val="005D2502"/>
    <w:rsid w:val="005D2688"/>
    <w:rsid w:val="005D3B41"/>
    <w:rsid w:val="005D49BF"/>
    <w:rsid w:val="005D501B"/>
    <w:rsid w:val="005D51CB"/>
    <w:rsid w:val="005D743B"/>
    <w:rsid w:val="005E0984"/>
    <w:rsid w:val="005E14DD"/>
    <w:rsid w:val="005E284B"/>
    <w:rsid w:val="005E32FB"/>
    <w:rsid w:val="005E3ACD"/>
    <w:rsid w:val="005E3F5B"/>
    <w:rsid w:val="005E64CF"/>
    <w:rsid w:val="005E7A57"/>
    <w:rsid w:val="005F0C3A"/>
    <w:rsid w:val="005F1C97"/>
    <w:rsid w:val="005F2234"/>
    <w:rsid w:val="005F23AB"/>
    <w:rsid w:val="005F24B0"/>
    <w:rsid w:val="005F63D1"/>
    <w:rsid w:val="00600CF3"/>
    <w:rsid w:val="00601766"/>
    <w:rsid w:val="00602B89"/>
    <w:rsid w:val="00602BC8"/>
    <w:rsid w:val="006046E1"/>
    <w:rsid w:val="006052CF"/>
    <w:rsid w:val="00606CC2"/>
    <w:rsid w:val="00606D60"/>
    <w:rsid w:val="00607B8D"/>
    <w:rsid w:val="00610363"/>
    <w:rsid w:val="006106DA"/>
    <w:rsid w:val="0061127A"/>
    <w:rsid w:val="0061159A"/>
    <w:rsid w:val="00611F5C"/>
    <w:rsid w:val="00613004"/>
    <w:rsid w:val="00614F2D"/>
    <w:rsid w:val="006153EE"/>
    <w:rsid w:val="006156CC"/>
    <w:rsid w:val="00616E09"/>
    <w:rsid w:val="006220F1"/>
    <w:rsid w:val="0062322B"/>
    <w:rsid w:val="006257DB"/>
    <w:rsid w:val="00627318"/>
    <w:rsid w:val="0062748B"/>
    <w:rsid w:val="0062778C"/>
    <w:rsid w:val="00627D4E"/>
    <w:rsid w:val="0063132B"/>
    <w:rsid w:val="006313BA"/>
    <w:rsid w:val="006313CF"/>
    <w:rsid w:val="00632FFF"/>
    <w:rsid w:val="00634478"/>
    <w:rsid w:val="006352F5"/>
    <w:rsid w:val="00640A4F"/>
    <w:rsid w:val="0064198C"/>
    <w:rsid w:val="00641EBA"/>
    <w:rsid w:val="00644373"/>
    <w:rsid w:val="00645915"/>
    <w:rsid w:val="006468E9"/>
    <w:rsid w:val="00647177"/>
    <w:rsid w:val="006479FE"/>
    <w:rsid w:val="00651541"/>
    <w:rsid w:val="006519C3"/>
    <w:rsid w:val="00652B30"/>
    <w:rsid w:val="0065554C"/>
    <w:rsid w:val="00656345"/>
    <w:rsid w:val="00656DC6"/>
    <w:rsid w:val="00657CFB"/>
    <w:rsid w:val="0066003B"/>
    <w:rsid w:val="00660422"/>
    <w:rsid w:val="0066277D"/>
    <w:rsid w:val="00663750"/>
    <w:rsid w:val="00664110"/>
    <w:rsid w:val="00664D17"/>
    <w:rsid w:val="00665E26"/>
    <w:rsid w:val="00666520"/>
    <w:rsid w:val="00666669"/>
    <w:rsid w:val="00666AE4"/>
    <w:rsid w:val="00666C2D"/>
    <w:rsid w:val="00666F14"/>
    <w:rsid w:val="00667857"/>
    <w:rsid w:val="00667C5B"/>
    <w:rsid w:val="006700FC"/>
    <w:rsid w:val="00670E37"/>
    <w:rsid w:val="00671D9E"/>
    <w:rsid w:val="0067226A"/>
    <w:rsid w:val="00672AEC"/>
    <w:rsid w:val="0067467C"/>
    <w:rsid w:val="006769D9"/>
    <w:rsid w:val="00676B2D"/>
    <w:rsid w:val="00676DE1"/>
    <w:rsid w:val="00677187"/>
    <w:rsid w:val="00677643"/>
    <w:rsid w:val="0067769B"/>
    <w:rsid w:val="00677788"/>
    <w:rsid w:val="0068199E"/>
    <w:rsid w:val="0068259B"/>
    <w:rsid w:val="00682D95"/>
    <w:rsid w:val="00683993"/>
    <w:rsid w:val="00683BA8"/>
    <w:rsid w:val="006849FA"/>
    <w:rsid w:val="0068640F"/>
    <w:rsid w:val="00690807"/>
    <w:rsid w:val="00690D3A"/>
    <w:rsid w:val="00692CDE"/>
    <w:rsid w:val="0069510E"/>
    <w:rsid w:val="00695E9E"/>
    <w:rsid w:val="00695F9C"/>
    <w:rsid w:val="006963F9"/>
    <w:rsid w:val="006977FF"/>
    <w:rsid w:val="006A01FA"/>
    <w:rsid w:val="006A044B"/>
    <w:rsid w:val="006A0A66"/>
    <w:rsid w:val="006A0E9E"/>
    <w:rsid w:val="006A25C7"/>
    <w:rsid w:val="006A2EC4"/>
    <w:rsid w:val="006A4AAD"/>
    <w:rsid w:val="006A4F3A"/>
    <w:rsid w:val="006A5AA5"/>
    <w:rsid w:val="006A6BA8"/>
    <w:rsid w:val="006A6DA2"/>
    <w:rsid w:val="006A76AC"/>
    <w:rsid w:val="006A7AB2"/>
    <w:rsid w:val="006B0D50"/>
    <w:rsid w:val="006B1289"/>
    <w:rsid w:val="006B12BB"/>
    <w:rsid w:val="006B22C0"/>
    <w:rsid w:val="006B23C3"/>
    <w:rsid w:val="006B244D"/>
    <w:rsid w:val="006B5717"/>
    <w:rsid w:val="006B5B88"/>
    <w:rsid w:val="006C0CEB"/>
    <w:rsid w:val="006C2060"/>
    <w:rsid w:val="006C3B1E"/>
    <w:rsid w:val="006C4381"/>
    <w:rsid w:val="006C45C0"/>
    <w:rsid w:val="006C47FD"/>
    <w:rsid w:val="006C6932"/>
    <w:rsid w:val="006C7CD5"/>
    <w:rsid w:val="006D27CB"/>
    <w:rsid w:val="006D2F08"/>
    <w:rsid w:val="006D39ED"/>
    <w:rsid w:val="006D438E"/>
    <w:rsid w:val="006D65C2"/>
    <w:rsid w:val="006D77A4"/>
    <w:rsid w:val="006E08D7"/>
    <w:rsid w:val="006E0C74"/>
    <w:rsid w:val="006E0CAB"/>
    <w:rsid w:val="006E4B1B"/>
    <w:rsid w:val="006E4C55"/>
    <w:rsid w:val="006E5445"/>
    <w:rsid w:val="006E610E"/>
    <w:rsid w:val="006E7729"/>
    <w:rsid w:val="006E7D1C"/>
    <w:rsid w:val="006E7D93"/>
    <w:rsid w:val="006F0FBC"/>
    <w:rsid w:val="006F116C"/>
    <w:rsid w:val="006F443E"/>
    <w:rsid w:val="00700058"/>
    <w:rsid w:val="00700B4B"/>
    <w:rsid w:val="00701D3A"/>
    <w:rsid w:val="00701F52"/>
    <w:rsid w:val="007021D9"/>
    <w:rsid w:val="007026F8"/>
    <w:rsid w:val="007029A3"/>
    <w:rsid w:val="00702A01"/>
    <w:rsid w:val="00702A7A"/>
    <w:rsid w:val="00705B65"/>
    <w:rsid w:val="007060F9"/>
    <w:rsid w:val="00706E4E"/>
    <w:rsid w:val="0070791C"/>
    <w:rsid w:val="00707BBE"/>
    <w:rsid w:val="00707D28"/>
    <w:rsid w:val="0071050D"/>
    <w:rsid w:val="0071170B"/>
    <w:rsid w:val="00711926"/>
    <w:rsid w:val="007121A2"/>
    <w:rsid w:val="00712AB6"/>
    <w:rsid w:val="00713217"/>
    <w:rsid w:val="007132C0"/>
    <w:rsid w:val="0071383C"/>
    <w:rsid w:val="007141A7"/>
    <w:rsid w:val="00720788"/>
    <w:rsid w:val="00721B55"/>
    <w:rsid w:val="00722639"/>
    <w:rsid w:val="00722D0F"/>
    <w:rsid w:val="007236F1"/>
    <w:rsid w:val="0072427B"/>
    <w:rsid w:val="00724733"/>
    <w:rsid w:val="007266B1"/>
    <w:rsid w:val="00726CE4"/>
    <w:rsid w:val="00730792"/>
    <w:rsid w:val="007308F2"/>
    <w:rsid w:val="00732C3B"/>
    <w:rsid w:val="00734143"/>
    <w:rsid w:val="00735155"/>
    <w:rsid w:val="00740C52"/>
    <w:rsid w:val="00740EAC"/>
    <w:rsid w:val="00742041"/>
    <w:rsid w:val="00742EF3"/>
    <w:rsid w:val="00744956"/>
    <w:rsid w:val="00745A5C"/>
    <w:rsid w:val="0074605F"/>
    <w:rsid w:val="00746B83"/>
    <w:rsid w:val="007473F0"/>
    <w:rsid w:val="00747474"/>
    <w:rsid w:val="007478BA"/>
    <w:rsid w:val="00747E94"/>
    <w:rsid w:val="0075537A"/>
    <w:rsid w:val="007565FE"/>
    <w:rsid w:val="00756E16"/>
    <w:rsid w:val="0076054B"/>
    <w:rsid w:val="00760FC6"/>
    <w:rsid w:val="00762E52"/>
    <w:rsid w:val="00766379"/>
    <w:rsid w:val="00767C1B"/>
    <w:rsid w:val="00770B73"/>
    <w:rsid w:val="007714A9"/>
    <w:rsid w:val="00772021"/>
    <w:rsid w:val="0077323C"/>
    <w:rsid w:val="0077397D"/>
    <w:rsid w:val="00774F88"/>
    <w:rsid w:val="00775EA3"/>
    <w:rsid w:val="00775F62"/>
    <w:rsid w:val="00777261"/>
    <w:rsid w:val="00777BA2"/>
    <w:rsid w:val="00780602"/>
    <w:rsid w:val="00781408"/>
    <w:rsid w:val="0078455E"/>
    <w:rsid w:val="00784F7F"/>
    <w:rsid w:val="007856F6"/>
    <w:rsid w:val="007903D9"/>
    <w:rsid w:val="007908E9"/>
    <w:rsid w:val="00790C30"/>
    <w:rsid w:val="00791EA7"/>
    <w:rsid w:val="00791FBD"/>
    <w:rsid w:val="00792749"/>
    <w:rsid w:val="0079337B"/>
    <w:rsid w:val="00794202"/>
    <w:rsid w:val="00796F25"/>
    <w:rsid w:val="00796F42"/>
    <w:rsid w:val="007A0624"/>
    <w:rsid w:val="007A07DA"/>
    <w:rsid w:val="007A1C1F"/>
    <w:rsid w:val="007A2090"/>
    <w:rsid w:val="007A2E98"/>
    <w:rsid w:val="007A3146"/>
    <w:rsid w:val="007A3BA3"/>
    <w:rsid w:val="007A4FDB"/>
    <w:rsid w:val="007A5563"/>
    <w:rsid w:val="007A63F3"/>
    <w:rsid w:val="007B0AF7"/>
    <w:rsid w:val="007B10B5"/>
    <w:rsid w:val="007B1499"/>
    <w:rsid w:val="007B1BBF"/>
    <w:rsid w:val="007B23D0"/>
    <w:rsid w:val="007B28FB"/>
    <w:rsid w:val="007B2960"/>
    <w:rsid w:val="007B355D"/>
    <w:rsid w:val="007B4985"/>
    <w:rsid w:val="007B5721"/>
    <w:rsid w:val="007B73F3"/>
    <w:rsid w:val="007B7980"/>
    <w:rsid w:val="007C23DA"/>
    <w:rsid w:val="007C2CA4"/>
    <w:rsid w:val="007C590B"/>
    <w:rsid w:val="007C5D5A"/>
    <w:rsid w:val="007C607F"/>
    <w:rsid w:val="007C63FB"/>
    <w:rsid w:val="007C6B3D"/>
    <w:rsid w:val="007C6FD0"/>
    <w:rsid w:val="007C79DD"/>
    <w:rsid w:val="007D1A97"/>
    <w:rsid w:val="007D3063"/>
    <w:rsid w:val="007D34F1"/>
    <w:rsid w:val="007D400E"/>
    <w:rsid w:val="007D5336"/>
    <w:rsid w:val="007D5E1B"/>
    <w:rsid w:val="007D6F0C"/>
    <w:rsid w:val="007E1A6E"/>
    <w:rsid w:val="007E258C"/>
    <w:rsid w:val="007E3E8B"/>
    <w:rsid w:val="007E43F2"/>
    <w:rsid w:val="007E46AC"/>
    <w:rsid w:val="007E687D"/>
    <w:rsid w:val="007E738C"/>
    <w:rsid w:val="007F369B"/>
    <w:rsid w:val="007F40C9"/>
    <w:rsid w:val="007F49FA"/>
    <w:rsid w:val="007F647A"/>
    <w:rsid w:val="007F6688"/>
    <w:rsid w:val="007F6E9A"/>
    <w:rsid w:val="007F7DC6"/>
    <w:rsid w:val="007F7F2F"/>
    <w:rsid w:val="00802E80"/>
    <w:rsid w:val="0080448E"/>
    <w:rsid w:val="008044D4"/>
    <w:rsid w:val="00805090"/>
    <w:rsid w:val="008059C6"/>
    <w:rsid w:val="00810AB4"/>
    <w:rsid w:val="008124D1"/>
    <w:rsid w:val="00813592"/>
    <w:rsid w:val="00813DC9"/>
    <w:rsid w:val="00816885"/>
    <w:rsid w:val="00816ECB"/>
    <w:rsid w:val="00817B56"/>
    <w:rsid w:val="00820A84"/>
    <w:rsid w:val="008213C1"/>
    <w:rsid w:val="00821A88"/>
    <w:rsid w:val="0082305B"/>
    <w:rsid w:val="008234A5"/>
    <w:rsid w:val="00823C10"/>
    <w:rsid w:val="0082495D"/>
    <w:rsid w:val="008252B1"/>
    <w:rsid w:val="00825EE8"/>
    <w:rsid w:val="00827E9F"/>
    <w:rsid w:val="0083007C"/>
    <w:rsid w:val="008323E1"/>
    <w:rsid w:val="0083280A"/>
    <w:rsid w:val="00832A85"/>
    <w:rsid w:val="00833D1F"/>
    <w:rsid w:val="0083453A"/>
    <w:rsid w:val="00836672"/>
    <w:rsid w:val="00837E10"/>
    <w:rsid w:val="0084036A"/>
    <w:rsid w:val="0084205B"/>
    <w:rsid w:val="00842293"/>
    <w:rsid w:val="0084381D"/>
    <w:rsid w:val="00845480"/>
    <w:rsid w:val="00850DFB"/>
    <w:rsid w:val="0085100B"/>
    <w:rsid w:val="00851F54"/>
    <w:rsid w:val="00854837"/>
    <w:rsid w:val="008562DB"/>
    <w:rsid w:val="008563AE"/>
    <w:rsid w:val="00861D2F"/>
    <w:rsid w:val="0086296B"/>
    <w:rsid w:val="008666D9"/>
    <w:rsid w:val="00867E84"/>
    <w:rsid w:val="008702A6"/>
    <w:rsid w:val="00872ABB"/>
    <w:rsid w:val="00873249"/>
    <w:rsid w:val="0087405D"/>
    <w:rsid w:val="00876AED"/>
    <w:rsid w:val="00876C3F"/>
    <w:rsid w:val="00880B38"/>
    <w:rsid w:val="00881029"/>
    <w:rsid w:val="00883628"/>
    <w:rsid w:val="00883AAA"/>
    <w:rsid w:val="00890C34"/>
    <w:rsid w:val="00891245"/>
    <w:rsid w:val="0089127F"/>
    <w:rsid w:val="00891E04"/>
    <w:rsid w:val="00892624"/>
    <w:rsid w:val="0089342C"/>
    <w:rsid w:val="00893AB8"/>
    <w:rsid w:val="00893AD2"/>
    <w:rsid w:val="00893B83"/>
    <w:rsid w:val="00894004"/>
    <w:rsid w:val="0089403B"/>
    <w:rsid w:val="00894664"/>
    <w:rsid w:val="008958B3"/>
    <w:rsid w:val="00896095"/>
    <w:rsid w:val="0089632B"/>
    <w:rsid w:val="00896ED0"/>
    <w:rsid w:val="008971FC"/>
    <w:rsid w:val="008A04C8"/>
    <w:rsid w:val="008A1BE5"/>
    <w:rsid w:val="008A1BFE"/>
    <w:rsid w:val="008A1FE7"/>
    <w:rsid w:val="008A26CE"/>
    <w:rsid w:val="008A4EFF"/>
    <w:rsid w:val="008A6D8B"/>
    <w:rsid w:val="008A731E"/>
    <w:rsid w:val="008A751F"/>
    <w:rsid w:val="008B0992"/>
    <w:rsid w:val="008B2E34"/>
    <w:rsid w:val="008B5F3A"/>
    <w:rsid w:val="008B6209"/>
    <w:rsid w:val="008B70F3"/>
    <w:rsid w:val="008B76DF"/>
    <w:rsid w:val="008C017D"/>
    <w:rsid w:val="008C01CA"/>
    <w:rsid w:val="008C1EFC"/>
    <w:rsid w:val="008C25D2"/>
    <w:rsid w:val="008C35AB"/>
    <w:rsid w:val="008C4DA6"/>
    <w:rsid w:val="008C765A"/>
    <w:rsid w:val="008D1488"/>
    <w:rsid w:val="008D4F13"/>
    <w:rsid w:val="008D52D1"/>
    <w:rsid w:val="008D5CE8"/>
    <w:rsid w:val="008D689C"/>
    <w:rsid w:val="008E0A30"/>
    <w:rsid w:val="008E4767"/>
    <w:rsid w:val="008E69E9"/>
    <w:rsid w:val="008F00DF"/>
    <w:rsid w:val="008F13C8"/>
    <w:rsid w:val="008F21AA"/>
    <w:rsid w:val="008F3B43"/>
    <w:rsid w:val="008F42CD"/>
    <w:rsid w:val="009019B2"/>
    <w:rsid w:val="00901C8A"/>
    <w:rsid w:val="00901CAD"/>
    <w:rsid w:val="00902EE3"/>
    <w:rsid w:val="00903285"/>
    <w:rsid w:val="009040E6"/>
    <w:rsid w:val="009054C0"/>
    <w:rsid w:val="00906F40"/>
    <w:rsid w:val="0090731E"/>
    <w:rsid w:val="0091098F"/>
    <w:rsid w:val="0091132D"/>
    <w:rsid w:val="00911808"/>
    <w:rsid w:val="00912AFF"/>
    <w:rsid w:val="00915B1C"/>
    <w:rsid w:val="00916AF6"/>
    <w:rsid w:val="0091797D"/>
    <w:rsid w:val="00923B0B"/>
    <w:rsid w:val="00923B1E"/>
    <w:rsid w:val="00923CBA"/>
    <w:rsid w:val="009245B9"/>
    <w:rsid w:val="00924A24"/>
    <w:rsid w:val="00926703"/>
    <w:rsid w:val="009269E2"/>
    <w:rsid w:val="00927691"/>
    <w:rsid w:val="0092791A"/>
    <w:rsid w:val="00927A5F"/>
    <w:rsid w:val="009308A6"/>
    <w:rsid w:val="009315F9"/>
    <w:rsid w:val="00934979"/>
    <w:rsid w:val="009359FA"/>
    <w:rsid w:val="00937EE8"/>
    <w:rsid w:val="009409E7"/>
    <w:rsid w:val="00940FE3"/>
    <w:rsid w:val="00941FB0"/>
    <w:rsid w:val="009426D4"/>
    <w:rsid w:val="00944135"/>
    <w:rsid w:val="00944977"/>
    <w:rsid w:val="00945B0A"/>
    <w:rsid w:val="00946C70"/>
    <w:rsid w:val="009471CA"/>
    <w:rsid w:val="00947321"/>
    <w:rsid w:val="009503B3"/>
    <w:rsid w:val="00950A6B"/>
    <w:rsid w:val="00950BFB"/>
    <w:rsid w:val="00952B82"/>
    <w:rsid w:val="0095490B"/>
    <w:rsid w:val="00954CEC"/>
    <w:rsid w:val="00955E05"/>
    <w:rsid w:val="009568CF"/>
    <w:rsid w:val="00956A78"/>
    <w:rsid w:val="0095776A"/>
    <w:rsid w:val="00957A4D"/>
    <w:rsid w:val="0096073D"/>
    <w:rsid w:val="009608E4"/>
    <w:rsid w:val="0096228D"/>
    <w:rsid w:val="0096672E"/>
    <w:rsid w:val="00970F5C"/>
    <w:rsid w:val="0097218A"/>
    <w:rsid w:val="009727A0"/>
    <w:rsid w:val="009740D4"/>
    <w:rsid w:val="00974363"/>
    <w:rsid w:val="0097449E"/>
    <w:rsid w:val="0098100C"/>
    <w:rsid w:val="009818FD"/>
    <w:rsid w:val="009832B7"/>
    <w:rsid w:val="00985296"/>
    <w:rsid w:val="00985E98"/>
    <w:rsid w:val="0098649E"/>
    <w:rsid w:val="0099061F"/>
    <w:rsid w:val="00992F30"/>
    <w:rsid w:val="0099358F"/>
    <w:rsid w:val="00995FD7"/>
    <w:rsid w:val="0099693B"/>
    <w:rsid w:val="0099781C"/>
    <w:rsid w:val="009A0873"/>
    <w:rsid w:val="009A2532"/>
    <w:rsid w:val="009A2717"/>
    <w:rsid w:val="009A4AF5"/>
    <w:rsid w:val="009B0913"/>
    <w:rsid w:val="009B1170"/>
    <w:rsid w:val="009B2226"/>
    <w:rsid w:val="009B36A8"/>
    <w:rsid w:val="009B396C"/>
    <w:rsid w:val="009B411B"/>
    <w:rsid w:val="009B47BA"/>
    <w:rsid w:val="009B4E9E"/>
    <w:rsid w:val="009B55B5"/>
    <w:rsid w:val="009B562E"/>
    <w:rsid w:val="009B62AD"/>
    <w:rsid w:val="009C1690"/>
    <w:rsid w:val="009C2B1D"/>
    <w:rsid w:val="009C40CE"/>
    <w:rsid w:val="009C5374"/>
    <w:rsid w:val="009C668C"/>
    <w:rsid w:val="009C6881"/>
    <w:rsid w:val="009C6AB1"/>
    <w:rsid w:val="009C6F1B"/>
    <w:rsid w:val="009C6FB5"/>
    <w:rsid w:val="009C7759"/>
    <w:rsid w:val="009C7F22"/>
    <w:rsid w:val="009D05CE"/>
    <w:rsid w:val="009D08A2"/>
    <w:rsid w:val="009D44DC"/>
    <w:rsid w:val="009D474E"/>
    <w:rsid w:val="009D6C71"/>
    <w:rsid w:val="009D7A66"/>
    <w:rsid w:val="009E16D0"/>
    <w:rsid w:val="009E2446"/>
    <w:rsid w:val="009E38C5"/>
    <w:rsid w:val="009E38FD"/>
    <w:rsid w:val="009E67EB"/>
    <w:rsid w:val="009E6D3F"/>
    <w:rsid w:val="009F09CC"/>
    <w:rsid w:val="009F0A79"/>
    <w:rsid w:val="009F13D6"/>
    <w:rsid w:val="009F4C6B"/>
    <w:rsid w:val="009F5036"/>
    <w:rsid w:val="009F78A8"/>
    <w:rsid w:val="00A005D3"/>
    <w:rsid w:val="00A01B59"/>
    <w:rsid w:val="00A04CD7"/>
    <w:rsid w:val="00A04E52"/>
    <w:rsid w:val="00A05468"/>
    <w:rsid w:val="00A05DA6"/>
    <w:rsid w:val="00A07318"/>
    <w:rsid w:val="00A11370"/>
    <w:rsid w:val="00A122CB"/>
    <w:rsid w:val="00A12904"/>
    <w:rsid w:val="00A135B5"/>
    <w:rsid w:val="00A142C8"/>
    <w:rsid w:val="00A143DA"/>
    <w:rsid w:val="00A1581B"/>
    <w:rsid w:val="00A1667B"/>
    <w:rsid w:val="00A17C62"/>
    <w:rsid w:val="00A2113A"/>
    <w:rsid w:val="00A220F0"/>
    <w:rsid w:val="00A22209"/>
    <w:rsid w:val="00A224CE"/>
    <w:rsid w:val="00A22522"/>
    <w:rsid w:val="00A231F9"/>
    <w:rsid w:val="00A234AD"/>
    <w:rsid w:val="00A23CDA"/>
    <w:rsid w:val="00A24F5C"/>
    <w:rsid w:val="00A30EEA"/>
    <w:rsid w:val="00A31432"/>
    <w:rsid w:val="00A32AED"/>
    <w:rsid w:val="00A33621"/>
    <w:rsid w:val="00A33AC2"/>
    <w:rsid w:val="00A34A18"/>
    <w:rsid w:val="00A40871"/>
    <w:rsid w:val="00A44039"/>
    <w:rsid w:val="00A440E0"/>
    <w:rsid w:val="00A450F5"/>
    <w:rsid w:val="00A501F5"/>
    <w:rsid w:val="00A509E0"/>
    <w:rsid w:val="00A50EA6"/>
    <w:rsid w:val="00A535F6"/>
    <w:rsid w:val="00A545F3"/>
    <w:rsid w:val="00A54ED5"/>
    <w:rsid w:val="00A54F98"/>
    <w:rsid w:val="00A55575"/>
    <w:rsid w:val="00A55723"/>
    <w:rsid w:val="00A5731F"/>
    <w:rsid w:val="00A578AF"/>
    <w:rsid w:val="00A61869"/>
    <w:rsid w:val="00A61885"/>
    <w:rsid w:val="00A636CF"/>
    <w:rsid w:val="00A647C3"/>
    <w:rsid w:val="00A649DD"/>
    <w:rsid w:val="00A64F59"/>
    <w:rsid w:val="00A64F91"/>
    <w:rsid w:val="00A64FDD"/>
    <w:rsid w:val="00A67E26"/>
    <w:rsid w:val="00A7014D"/>
    <w:rsid w:val="00A70ADF"/>
    <w:rsid w:val="00A71226"/>
    <w:rsid w:val="00A71466"/>
    <w:rsid w:val="00A71B7A"/>
    <w:rsid w:val="00A7267D"/>
    <w:rsid w:val="00A74B5E"/>
    <w:rsid w:val="00A779B5"/>
    <w:rsid w:val="00A81BED"/>
    <w:rsid w:val="00A81EC4"/>
    <w:rsid w:val="00A82243"/>
    <w:rsid w:val="00A844C5"/>
    <w:rsid w:val="00A8793F"/>
    <w:rsid w:val="00A91002"/>
    <w:rsid w:val="00A92367"/>
    <w:rsid w:val="00A96993"/>
    <w:rsid w:val="00A9708B"/>
    <w:rsid w:val="00AA0327"/>
    <w:rsid w:val="00AA0D0C"/>
    <w:rsid w:val="00AA2AE6"/>
    <w:rsid w:val="00AA2BF3"/>
    <w:rsid w:val="00AA40AF"/>
    <w:rsid w:val="00AA48E4"/>
    <w:rsid w:val="00AA4C52"/>
    <w:rsid w:val="00AA4FEF"/>
    <w:rsid w:val="00AA6972"/>
    <w:rsid w:val="00AA7A66"/>
    <w:rsid w:val="00AB0037"/>
    <w:rsid w:val="00AB0F5A"/>
    <w:rsid w:val="00AB10C9"/>
    <w:rsid w:val="00AB1170"/>
    <w:rsid w:val="00AB1486"/>
    <w:rsid w:val="00AB156C"/>
    <w:rsid w:val="00AB3118"/>
    <w:rsid w:val="00AB3E1E"/>
    <w:rsid w:val="00AB517D"/>
    <w:rsid w:val="00AC08CE"/>
    <w:rsid w:val="00AC33E0"/>
    <w:rsid w:val="00AC362C"/>
    <w:rsid w:val="00AC45DC"/>
    <w:rsid w:val="00AC4F6B"/>
    <w:rsid w:val="00AC5DD2"/>
    <w:rsid w:val="00AC62D7"/>
    <w:rsid w:val="00AC6881"/>
    <w:rsid w:val="00AC6A01"/>
    <w:rsid w:val="00AC6EC1"/>
    <w:rsid w:val="00AD03E6"/>
    <w:rsid w:val="00AD2643"/>
    <w:rsid w:val="00AD3082"/>
    <w:rsid w:val="00AD42D3"/>
    <w:rsid w:val="00AD4AD0"/>
    <w:rsid w:val="00AD52B5"/>
    <w:rsid w:val="00AD60CD"/>
    <w:rsid w:val="00AD6C8C"/>
    <w:rsid w:val="00AE05E1"/>
    <w:rsid w:val="00AE091D"/>
    <w:rsid w:val="00AE218E"/>
    <w:rsid w:val="00AE2297"/>
    <w:rsid w:val="00AE3CF5"/>
    <w:rsid w:val="00AE508C"/>
    <w:rsid w:val="00AE53A1"/>
    <w:rsid w:val="00AF0D80"/>
    <w:rsid w:val="00AF0F5D"/>
    <w:rsid w:val="00AF2484"/>
    <w:rsid w:val="00AF270E"/>
    <w:rsid w:val="00AF3CEE"/>
    <w:rsid w:val="00AF4BDD"/>
    <w:rsid w:val="00AF5BF9"/>
    <w:rsid w:val="00B005F6"/>
    <w:rsid w:val="00B006EA"/>
    <w:rsid w:val="00B00A23"/>
    <w:rsid w:val="00B0165D"/>
    <w:rsid w:val="00B023A2"/>
    <w:rsid w:val="00B02499"/>
    <w:rsid w:val="00B028A3"/>
    <w:rsid w:val="00B031F3"/>
    <w:rsid w:val="00B052A4"/>
    <w:rsid w:val="00B05EA6"/>
    <w:rsid w:val="00B0687D"/>
    <w:rsid w:val="00B11802"/>
    <w:rsid w:val="00B11AC0"/>
    <w:rsid w:val="00B125DE"/>
    <w:rsid w:val="00B1293D"/>
    <w:rsid w:val="00B13239"/>
    <w:rsid w:val="00B1371A"/>
    <w:rsid w:val="00B13FDD"/>
    <w:rsid w:val="00B15888"/>
    <w:rsid w:val="00B1677F"/>
    <w:rsid w:val="00B16A2A"/>
    <w:rsid w:val="00B176D0"/>
    <w:rsid w:val="00B17852"/>
    <w:rsid w:val="00B21250"/>
    <w:rsid w:val="00B21DD2"/>
    <w:rsid w:val="00B21E16"/>
    <w:rsid w:val="00B21F5B"/>
    <w:rsid w:val="00B22EB2"/>
    <w:rsid w:val="00B230EF"/>
    <w:rsid w:val="00B23669"/>
    <w:rsid w:val="00B24D3D"/>
    <w:rsid w:val="00B24FAA"/>
    <w:rsid w:val="00B25A47"/>
    <w:rsid w:val="00B25CF5"/>
    <w:rsid w:val="00B25FEE"/>
    <w:rsid w:val="00B26C87"/>
    <w:rsid w:val="00B27328"/>
    <w:rsid w:val="00B27442"/>
    <w:rsid w:val="00B27867"/>
    <w:rsid w:val="00B30F99"/>
    <w:rsid w:val="00B31167"/>
    <w:rsid w:val="00B329D8"/>
    <w:rsid w:val="00B32BB9"/>
    <w:rsid w:val="00B334E8"/>
    <w:rsid w:val="00B33726"/>
    <w:rsid w:val="00B33AE1"/>
    <w:rsid w:val="00B34844"/>
    <w:rsid w:val="00B368C8"/>
    <w:rsid w:val="00B370F5"/>
    <w:rsid w:val="00B3770D"/>
    <w:rsid w:val="00B37E2A"/>
    <w:rsid w:val="00B41B3F"/>
    <w:rsid w:val="00B41BCD"/>
    <w:rsid w:val="00B4288C"/>
    <w:rsid w:val="00B428B0"/>
    <w:rsid w:val="00B429E0"/>
    <w:rsid w:val="00B42F81"/>
    <w:rsid w:val="00B44100"/>
    <w:rsid w:val="00B44556"/>
    <w:rsid w:val="00B45FF0"/>
    <w:rsid w:val="00B46CBA"/>
    <w:rsid w:val="00B46F94"/>
    <w:rsid w:val="00B51FD5"/>
    <w:rsid w:val="00B533E9"/>
    <w:rsid w:val="00B56A3D"/>
    <w:rsid w:val="00B57AE3"/>
    <w:rsid w:val="00B57F26"/>
    <w:rsid w:val="00B57F53"/>
    <w:rsid w:val="00B605A3"/>
    <w:rsid w:val="00B61993"/>
    <w:rsid w:val="00B61E02"/>
    <w:rsid w:val="00B61F03"/>
    <w:rsid w:val="00B624D5"/>
    <w:rsid w:val="00B626E4"/>
    <w:rsid w:val="00B62EE0"/>
    <w:rsid w:val="00B65AFF"/>
    <w:rsid w:val="00B66964"/>
    <w:rsid w:val="00B7025D"/>
    <w:rsid w:val="00B719AE"/>
    <w:rsid w:val="00B72F4A"/>
    <w:rsid w:val="00B759C5"/>
    <w:rsid w:val="00B75D6C"/>
    <w:rsid w:val="00B7651F"/>
    <w:rsid w:val="00B765E5"/>
    <w:rsid w:val="00B77357"/>
    <w:rsid w:val="00B77746"/>
    <w:rsid w:val="00B80D35"/>
    <w:rsid w:val="00B83C27"/>
    <w:rsid w:val="00B84BC3"/>
    <w:rsid w:val="00B84BDD"/>
    <w:rsid w:val="00B84D53"/>
    <w:rsid w:val="00B84FA8"/>
    <w:rsid w:val="00B85BF4"/>
    <w:rsid w:val="00B8764C"/>
    <w:rsid w:val="00B91BB8"/>
    <w:rsid w:val="00B92812"/>
    <w:rsid w:val="00B93B9E"/>
    <w:rsid w:val="00B94042"/>
    <w:rsid w:val="00B94E42"/>
    <w:rsid w:val="00B9516B"/>
    <w:rsid w:val="00B9521E"/>
    <w:rsid w:val="00B97BC4"/>
    <w:rsid w:val="00BA1AC5"/>
    <w:rsid w:val="00BA70F0"/>
    <w:rsid w:val="00BB2005"/>
    <w:rsid w:val="00BB5840"/>
    <w:rsid w:val="00BB6F05"/>
    <w:rsid w:val="00BB7686"/>
    <w:rsid w:val="00BC0998"/>
    <w:rsid w:val="00BC1FF9"/>
    <w:rsid w:val="00BC23F9"/>
    <w:rsid w:val="00BC3421"/>
    <w:rsid w:val="00BC364D"/>
    <w:rsid w:val="00BC3D9C"/>
    <w:rsid w:val="00BC573E"/>
    <w:rsid w:val="00BC713B"/>
    <w:rsid w:val="00BD10F7"/>
    <w:rsid w:val="00BD4986"/>
    <w:rsid w:val="00BD5200"/>
    <w:rsid w:val="00BD5A1A"/>
    <w:rsid w:val="00BD6035"/>
    <w:rsid w:val="00BD65CE"/>
    <w:rsid w:val="00BD78E7"/>
    <w:rsid w:val="00BD7CB4"/>
    <w:rsid w:val="00BE0AA1"/>
    <w:rsid w:val="00BE2233"/>
    <w:rsid w:val="00BE2282"/>
    <w:rsid w:val="00BE2580"/>
    <w:rsid w:val="00BE266D"/>
    <w:rsid w:val="00BE32BE"/>
    <w:rsid w:val="00BE4C11"/>
    <w:rsid w:val="00BE5E97"/>
    <w:rsid w:val="00BE614D"/>
    <w:rsid w:val="00BE66CB"/>
    <w:rsid w:val="00BE71C0"/>
    <w:rsid w:val="00BE7A63"/>
    <w:rsid w:val="00BE7E67"/>
    <w:rsid w:val="00BE7EB1"/>
    <w:rsid w:val="00BF04EB"/>
    <w:rsid w:val="00BF14FE"/>
    <w:rsid w:val="00BF1F94"/>
    <w:rsid w:val="00BF2CDB"/>
    <w:rsid w:val="00BF3036"/>
    <w:rsid w:val="00BF3840"/>
    <w:rsid w:val="00C01DC9"/>
    <w:rsid w:val="00C0286E"/>
    <w:rsid w:val="00C03B68"/>
    <w:rsid w:val="00C03CEF"/>
    <w:rsid w:val="00C06A11"/>
    <w:rsid w:val="00C100A5"/>
    <w:rsid w:val="00C1053C"/>
    <w:rsid w:val="00C10C2E"/>
    <w:rsid w:val="00C11A9C"/>
    <w:rsid w:val="00C136BD"/>
    <w:rsid w:val="00C14F15"/>
    <w:rsid w:val="00C160EA"/>
    <w:rsid w:val="00C16B47"/>
    <w:rsid w:val="00C1765B"/>
    <w:rsid w:val="00C17BC9"/>
    <w:rsid w:val="00C20AD1"/>
    <w:rsid w:val="00C21289"/>
    <w:rsid w:val="00C22A08"/>
    <w:rsid w:val="00C2420B"/>
    <w:rsid w:val="00C24D9D"/>
    <w:rsid w:val="00C265F0"/>
    <w:rsid w:val="00C271F9"/>
    <w:rsid w:val="00C31B29"/>
    <w:rsid w:val="00C35ED6"/>
    <w:rsid w:val="00C3762C"/>
    <w:rsid w:val="00C41C6B"/>
    <w:rsid w:val="00C42AC4"/>
    <w:rsid w:val="00C442F8"/>
    <w:rsid w:val="00C44F84"/>
    <w:rsid w:val="00C45155"/>
    <w:rsid w:val="00C475DE"/>
    <w:rsid w:val="00C47A94"/>
    <w:rsid w:val="00C47CBA"/>
    <w:rsid w:val="00C505B1"/>
    <w:rsid w:val="00C52BF6"/>
    <w:rsid w:val="00C533D7"/>
    <w:rsid w:val="00C538D0"/>
    <w:rsid w:val="00C544B7"/>
    <w:rsid w:val="00C5498F"/>
    <w:rsid w:val="00C5509D"/>
    <w:rsid w:val="00C553C5"/>
    <w:rsid w:val="00C60A73"/>
    <w:rsid w:val="00C60B17"/>
    <w:rsid w:val="00C61F28"/>
    <w:rsid w:val="00C62B23"/>
    <w:rsid w:val="00C6363F"/>
    <w:rsid w:val="00C64268"/>
    <w:rsid w:val="00C64CD0"/>
    <w:rsid w:val="00C6684F"/>
    <w:rsid w:val="00C66ACF"/>
    <w:rsid w:val="00C66E1D"/>
    <w:rsid w:val="00C67961"/>
    <w:rsid w:val="00C708A8"/>
    <w:rsid w:val="00C70E70"/>
    <w:rsid w:val="00C75F8D"/>
    <w:rsid w:val="00C7741F"/>
    <w:rsid w:val="00C80413"/>
    <w:rsid w:val="00C8177C"/>
    <w:rsid w:val="00C819BB"/>
    <w:rsid w:val="00C85A7B"/>
    <w:rsid w:val="00C85C6A"/>
    <w:rsid w:val="00C8799E"/>
    <w:rsid w:val="00C87FF1"/>
    <w:rsid w:val="00C91518"/>
    <w:rsid w:val="00C92563"/>
    <w:rsid w:val="00C92740"/>
    <w:rsid w:val="00C93265"/>
    <w:rsid w:val="00C933A9"/>
    <w:rsid w:val="00C934FB"/>
    <w:rsid w:val="00C936C0"/>
    <w:rsid w:val="00CA2325"/>
    <w:rsid w:val="00CA2F40"/>
    <w:rsid w:val="00CA44BF"/>
    <w:rsid w:val="00CA5328"/>
    <w:rsid w:val="00CA5454"/>
    <w:rsid w:val="00CA6213"/>
    <w:rsid w:val="00CB16B2"/>
    <w:rsid w:val="00CB1E82"/>
    <w:rsid w:val="00CB2419"/>
    <w:rsid w:val="00CB4BA8"/>
    <w:rsid w:val="00CB52D7"/>
    <w:rsid w:val="00CB56E4"/>
    <w:rsid w:val="00CB5F6B"/>
    <w:rsid w:val="00CB659E"/>
    <w:rsid w:val="00CB7992"/>
    <w:rsid w:val="00CC0283"/>
    <w:rsid w:val="00CC0F14"/>
    <w:rsid w:val="00CD0139"/>
    <w:rsid w:val="00CD315F"/>
    <w:rsid w:val="00CD3AC9"/>
    <w:rsid w:val="00CD448F"/>
    <w:rsid w:val="00CD4A16"/>
    <w:rsid w:val="00CD62B7"/>
    <w:rsid w:val="00CD70F9"/>
    <w:rsid w:val="00CE2A4E"/>
    <w:rsid w:val="00CE2B15"/>
    <w:rsid w:val="00CE51A8"/>
    <w:rsid w:val="00CE567E"/>
    <w:rsid w:val="00CE5B4C"/>
    <w:rsid w:val="00CE5F6E"/>
    <w:rsid w:val="00CE6081"/>
    <w:rsid w:val="00CE741F"/>
    <w:rsid w:val="00CF17B2"/>
    <w:rsid w:val="00CF369B"/>
    <w:rsid w:val="00CF38CD"/>
    <w:rsid w:val="00CF40ED"/>
    <w:rsid w:val="00CF485C"/>
    <w:rsid w:val="00CF5838"/>
    <w:rsid w:val="00CF5F93"/>
    <w:rsid w:val="00CF7D0C"/>
    <w:rsid w:val="00D00E29"/>
    <w:rsid w:val="00D0107F"/>
    <w:rsid w:val="00D028AB"/>
    <w:rsid w:val="00D04CEB"/>
    <w:rsid w:val="00D05850"/>
    <w:rsid w:val="00D05CE0"/>
    <w:rsid w:val="00D06DC9"/>
    <w:rsid w:val="00D1033A"/>
    <w:rsid w:val="00D15284"/>
    <w:rsid w:val="00D15810"/>
    <w:rsid w:val="00D16D4E"/>
    <w:rsid w:val="00D17972"/>
    <w:rsid w:val="00D202F2"/>
    <w:rsid w:val="00D20DAE"/>
    <w:rsid w:val="00D21328"/>
    <w:rsid w:val="00D2191E"/>
    <w:rsid w:val="00D2319E"/>
    <w:rsid w:val="00D236F6"/>
    <w:rsid w:val="00D247AB"/>
    <w:rsid w:val="00D26732"/>
    <w:rsid w:val="00D27F41"/>
    <w:rsid w:val="00D31987"/>
    <w:rsid w:val="00D34A71"/>
    <w:rsid w:val="00D353C0"/>
    <w:rsid w:val="00D36441"/>
    <w:rsid w:val="00D37F79"/>
    <w:rsid w:val="00D4064E"/>
    <w:rsid w:val="00D445B5"/>
    <w:rsid w:val="00D44943"/>
    <w:rsid w:val="00D44E9B"/>
    <w:rsid w:val="00D454EF"/>
    <w:rsid w:val="00D46279"/>
    <w:rsid w:val="00D46974"/>
    <w:rsid w:val="00D46BC7"/>
    <w:rsid w:val="00D46D68"/>
    <w:rsid w:val="00D50DB9"/>
    <w:rsid w:val="00D52981"/>
    <w:rsid w:val="00D52C43"/>
    <w:rsid w:val="00D54F2B"/>
    <w:rsid w:val="00D55B4C"/>
    <w:rsid w:val="00D56E62"/>
    <w:rsid w:val="00D6227C"/>
    <w:rsid w:val="00D63F60"/>
    <w:rsid w:val="00D6505D"/>
    <w:rsid w:val="00D6507F"/>
    <w:rsid w:val="00D6621B"/>
    <w:rsid w:val="00D663D0"/>
    <w:rsid w:val="00D664E1"/>
    <w:rsid w:val="00D675BA"/>
    <w:rsid w:val="00D70395"/>
    <w:rsid w:val="00D7121A"/>
    <w:rsid w:val="00D71242"/>
    <w:rsid w:val="00D7385A"/>
    <w:rsid w:val="00D7412E"/>
    <w:rsid w:val="00D74BBA"/>
    <w:rsid w:val="00D75636"/>
    <w:rsid w:val="00D82CA2"/>
    <w:rsid w:val="00D8334B"/>
    <w:rsid w:val="00D847C2"/>
    <w:rsid w:val="00D853CE"/>
    <w:rsid w:val="00D85B24"/>
    <w:rsid w:val="00D870F4"/>
    <w:rsid w:val="00D87201"/>
    <w:rsid w:val="00D8724D"/>
    <w:rsid w:val="00D87B94"/>
    <w:rsid w:val="00D915D7"/>
    <w:rsid w:val="00D92D49"/>
    <w:rsid w:val="00D933C5"/>
    <w:rsid w:val="00D933FD"/>
    <w:rsid w:val="00D93E8C"/>
    <w:rsid w:val="00D9446B"/>
    <w:rsid w:val="00D96C8D"/>
    <w:rsid w:val="00DA0741"/>
    <w:rsid w:val="00DA1E94"/>
    <w:rsid w:val="00DA2CC3"/>
    <w:rsid w:val="00DA3811"/>
    <w:rsid w:val="00DA4D73"/>
    <w:rsid w:val="00DA4E41"/>
    <w:rsid w:val="00DA5DC5"/>
    <w:rsid w:val="00DA6775"/>
    <w:rsid w:val="00DA78DF"/>
    <w:rsid w:val="00DB117A"/>
    <w:rsid w:val="00DB1E09"/>
    <w:rsid w:val="00DB5173"/>
    <w:rsid w:val="00DB7409"/>
    <w:rsid w:val="00DB76ED"/>
    <w:rsid w:val="00DB7873"/>
    <w:rsid w:val="00DC03D7"/>
    <w:rsid w:val="00DC104F"/>
    <w:rsid w:val="00DC1724"/>
    <w:rsid w:val="00DC187B"/>
    <w:rsid w:val="00DC1C4B"/>
    <w:rsid w:val="00DC225E"/>
    <w:rsid w:val="00DC54AA"/>
    <w:rsid w:val="00DC6641"/>
    <w:rsid w:val="00DC7C93"/>
    <w:rsid w:val="00DD0121"/>
    <w:rsid w:val="00DD2B2C"/>
    <w:rsid w:val="00DD5485"/>
    <w:rsid w:val="00DD6235"/>
    <w:rsid w:val="00DD6C71"/>
    <w:rsid w:val="00DD709F"/>
    <w:rsid w:val="00DD73C2"/>
    <w:rsid w:val="00DE111D"/>
    <w:rsid w:val="00DE12FC"/>
    <w:rsid w:val="00DE24F4"/>
    <w:rsid w:val="00DE319B"/>
    <w:rsid w:val="00DE3703"/>
    <w:rsid w:val="00DE5480"/>
    <w:rsid w:val="00DE5726"/>
    <w:rsid w:val="00DE58E8"/>
    <w:rsid w:val="00DF08A3"/>
    <w:rsid w:val="00DF0CD3"/>
    <w:rsid w:val="00DF11A0"/>
    <w:rsid w:val="00DF1318"/>
    <w:rsid w:val="00DF2800"/>
    <w:rsid w:val="00DF34FE"/>
    <w:rsid w:val="00DF6561"/>
    <w:rsid w:val="00DF679C"/>
    <w:rsid w:val="00DF7577"/>
    <w:rsid w:val="00DF78E7"/>
    <w:rsid w:val="00E0144F"/>
    <w:rsid w:val="00E01960"/>
    <w:rsid w:val="00E0243D"/>
    <w:rsid w:val="00E03724"/>
    <w:rsid w:val="00E05790"/>
    <w:rsid w:val="00E0629A"/>
    <w:rsid w:val="00E06782"/>
    <w:rsid w:val="00E10465"/>
    <w:rsid w:val="00E10C0D"/>
    <w:rsid w:val="00E11347"/>
    <w:rsid w:val="00E11614"/>
    <w:rsid w:val="00E12677"/>
    <w:rsid w:val="00E15371"/>
    <w:rsid w:val="00E156DE"/>
    <w:rsid w:val="00E209D1"/>
    <w:rsid w:val="00E21C9E"/>
    <w:rsid w:val="00E23C19"/>
    <w:rsid w:val="00E24104"/>
    <w:rsid w:val="00E244BA"/>
    <w:rsid w:val="00E25CA6"/>
    <w:rsid w:val="00E26E5C"/>
    <w:rsid w:val="00E278FF"/>
    <w:rsid w:val="00E3057F"/>
    <w:rsid w:val="00E30DA8"/>
    <w:rsid w:val="00E32222"/>
    <w:rsid w:val="00E33357"/>
    <w:rsid w:val="00E338A9"/>
    <w:rsid w:val="00E3468A"/>
    <w:rsid w:val="00E34E3A"/>
    <w:rsid w:val="00E35192"/>
    <w:rsid w:val="00E36F2A"/>
    <w:rsid w:val="00E37D38"/>
    <w:rsid w:val="00E41ECB"/>
    <w:rsid w:val="00E42237"/>
    <w:rsid w:val="00E422C4"/>
    <w:rsid w:val="00E4354C"/>
    <w:rsid w:val="00E43E9F"/>
    <w:rsid w:val="00E44409"/>
    <w:rsid w:val="00E44E9F"/>
    <w:rsid w:val="00E500A2"/>
    <w:rsid w:val="00E54FDB"/>
    <w:rsid w:val="00E5584A"/>
    <w:rsid w:val="00E55E0E"/>
    <w:rsid w:val="00E563D7"/>
    <w:rsid w:val="00E61736"/>
    <w:rsid w:val="00E61A44"/>
    <w:rsid w:val="00E61A7B"/>
    <w:rsid w:val="00E624AD"/>
    <w:rsid w:val="00E64561"/>
    <w:rsid w:val="00E66174"/>
    <w:rsid w:val="00E663F4"/>
    <w:rsid w:val="00E666F2"/>
    <w:rsid w:val="00E67079"/>
    <w:rsid w:val="00E67353"/>
    <w:rsid w:val="00E70AFD"/>
    <w:rsid w:val="00E73009"/>
    <w:rsid w:val="00E737BE"/>
    <w:rsid w:val="00E748CC"/>
    <w:rsid w:val="00E752BD"/>
    <w:rsid w:val="00E75415"/>
    <w:rsid w:val="00E811E4"/>
    <w:rsid w:val="00E8137B"/>
    <w:rsid w:val="00E83469"/>
    <w:rsid w:val="00E84DB4"/>
    <w:rsid w:val="00E856E3"/>
    <w:rsid w:val="00E85C56"/>
    <w:rsid w:val="00E867F4"/>
    <w:rsid w:val="00E91897"/>
    <w:rsid w:val="00E91FE9"/>
    <w:rsid w:val="00E93629"/>
    <w:rsid w:val="00E94CEC"/>
    <w:rsid w:val="00E95E98"/>
    <w:rsid w:val="00E95F45"/>
    <w:rsid w:val="00E966AE"/>
    <w:rsid w:val="00E97439"/>
    <w:rsid w:val="00EA04EF"/>
    <w:rsid w:val="00EA34FA"/>
    <w:rsid w:val="00EA3813"/>
    <w:rsid w:val="00EA3CC2"/>
    <w:rsid w:val="00EA659A"/>
    <w:rsid w:val="00EA6AB6"/>
    <w:rsid w:val="00EA6F19"/>
    <w:rsid w:val="00EA720A"/>
    <w:rsid w:val="00EB009D"/>
    <w:rsid w:val="00EB02AE"/>
    <w:rsid w:val="00EB19C2"/>
    <w:rsid w:val="00EB2D1B"/>
    <w:rsid w:val="00EB33AB"/>
    <w:rsid w:val="00EB450B"/>
    <w:rsid w:val="00EB7090"/>
    <w:rsid w:val="00EB7E76"/>
    <w:rsid w:val="00EC3D86"/>
    <w:rsid w:val="00EC5367"/>
    <w:rsid w:val="00EC5CD7"/>
    <w:rsid w:val="00ED034F"/>
    <w:rsid w:val="00ED19A8"/>
    <w:rsid w:val="00ED3DBF"/>
    <w:rsid w:val="00ED5B48"/>
    <w:rsid w:val="00ED72C9"/>
    <w:rsid w:val="00EE5FB3"/>
    <w:rsid w:val="00EE6F41"/>
    <w:rsid w:val="00EF2713"/>
    <w:rsid w:val="00EF3F3F"/>
    <w:rsid w:val="00EF506F"/>
    <w:rsid w:val="00EF56C8"/>
    <w:rsid w:val="00EF57EC"/>
    <w:rsid w:val="00EF6B07"/>
    <w:rsid w:val="00F029FE"/>
    <w:rsid w:val="00F03751"/>
    <w:rsid w:val="00F0401C"/>
    <w:rsid w:val="00F055C5"/>
    <w:rsid w:val="00F06BB5"/>
    <w:rsid w:val="00F07744"/>
    <w:rsid w:val="00F10002"/>
    <w:rsid w:val="00F10D2B"/>
    <w:rsid w:val="00F111C8"/>
    <w:rsid w:val="00F11B9A"/>
    <w:rsid w:val="00F144A4"/>
    <w:rsid w:val="00F14AD0"/>
    <w:rsid w:val="00F16314"/>
    <w:rsid w:val="00F170B8"/>
    <w:rsid w:val="00F179D4"/>
    <w:rsid w:val="00F20860"/>
    <w:rsid w:val="00F2219E"/>
    <w:rsid w:val="00F22977"/>
    <w:rsid w:val="00F23217"/>
    <w:rsid w:val="00F234CF"/>
    <w:rsid w:val="00F23C39"/>
    <w:rsid w:val="00F26C92"/>
    <w:rsid w:val="00F30CD5"/>
    <w:rsid w:val="00F33C56"/>
    <w:rsid w:val="00F3424D"/>
    <w:rsid w:val="00F347C7"/>
    <w:rsid w:val="00F34848"/>
    <w:rsid w:val="00F364B9"/>
    <w:rsid w:val="00F37AE5"/>
    <w:rsid w:val="00F40210"/>
    <w:rsid w:val="00F41417"/>
    <w:rsid w:val="00F41637"/>
    <w:rsid w:val="00F41ABD"/>
    <w:rsid w:val="00F41F51"/>
    <w:rsid w:val="00F42967"/>
    <w:rsid w:val="00F42D46"/>
    <w:rsid w:val="00F4496C"/>
    <w:rsid w:val="00F454EB"/>
    <w:rsid w:val="00F46C60"/>
    <w:rsid w:val="00F52839"/>
    <w:rsid w:val="00F53D78"/>
    <w:rsid w:val="00F55AA8"/>
    <w:rsid w:val="00F56E22"/>
    <w:rsid w:val="00F57310"/>
    <w:rsid w:val="00F601FF"/>
    <w:rsid w:val="00F614C0"/>
    <w:rsid w:val="00F632DF"/>
    <w:rsid w:val="00F640F6"/>
    <w:rsid w:val="00F66928"/>
    <w:rsid w:val="00F6700A"/>
    <w:rsid w:val="00F70229"/>
    <w:rsid w:val="00F70DA7"/>
    <w:rsid w:val="00F73F53"/>
    <w:rsid w:val="00F7436A"/>
    <w:rsid w:val="00F7480F"/>
    <w:rsid w:val="00F76745"/>
    <w:rsid w:val="00F77309"/>
    <w:rsid w:val="00F77492"/>
    <w:rsid w:val="00F80300"/>
    <w:rsid w:val="00F81B2F"/>
    <w:rsid w:val="00F82F48"/>
    <w:rsid w:val="00F8302C"/>
    <w:rsid w:val="00F830B5"/>
    <w:rsid w:val="00F8336F"/>
    <w:rsid w:val="00F83848"/>
    <w:rsid w:val="00F83CC5"/>
    <w:rsid w:val="00F858D7"/>
    <w:rsid w:val="00F86DFE"/>
    <w:rsid w:val="00F91CDC"/>
    <w:rsid w:val="00F92255"/>
    <w:rsid w:val="00F945C2"/>
    <w:rsid w:val="00F95D6E"/>
    <w:rsid w:val="00FA1B7D"/>
    <w:rsid w:val="00FA1BCB"/>
    <w:rsid w:val="00FA2A48"/>
    <w:rsid w:val="00FA2E0D"/>
    <w:rsid w:val="00FA3E98"/>
    <w:rsid w:val="00FA3F52"/>
    <w:rsid w:val="00FA47C6"/>
    <w:rsid w:val="00FA5A3F"/>
    <w:rsid w:val="00FA5CDB"/>
    <w:rsid w:val="00FA5D8F"/>
    <w:rsid w:val="00FA6ACB"/>
    <w:rsid w:val="00FA791F"/>
    <w:rsid w:val="00FB15CC"/>
    <w:rsid w:val="00FC1277"/>
    <w:rsid w:val="00FC2E53"/>
    <w:rsid w:val="00FC2F9D"/>
    <w:rsid w:val="00FC31E0"/>
    <w:rsid w:val="00FC38D2"/>
    <w:rsid w:val="00FC3BEF"/>
    <w:rsid w:val="00FC4E21"/>
    <w:rsid w:val="00FC5870"/>
    <w:rsid w:val="00FC5F6D"/>
    <w:rsid w:val="00FC7ACF"/>
    <w:rsid w:val="00FD0290"/>
    <w:rsid w:val="00FD27BF"/>
    <w:rsid w:val="00FD2C2F"/>
    <w:rsid w:val="00FD3B31"/>
    <w:rsid w:val="00FD3FE9"/>
    <w:rsid w:val="00FD5D8F"/>
    <w:rsid w:val="00FD63E5"/>
    <w:rsid w:val="00FE0984"/>
    <w:rsid w:val="00FE17B3"/>
    <w:rsid w:val="00FE1823"/>
    <w:rsid w:val="00FE3E45"/>
    <w:rsid w:val="00FE47DB"/>
    <w:rsid w:val="00FE487A"/>
    <w:rsid w:val="00FE6A0E"/>
    <w:rsid w:val="00FE6C56"/>
    <w:rsid w:val="00FE6C92"/>
    <w:rsid w:val="00FE739C"/>
    <w:rsid w:val="00FE77D6"/>
    <w:rsid w:val="00FF03CF"/>
    <w:rsid w:val="00FF0569"/>
    <w:rsid w:val="00FF2CE6"/>
    <w:rsid w:val="00FF42C9"/>
    <w:rsid w:val="00FF464B"/>
    <w:rsid w:val="00FF52D5"/>
    <w:rsid w:val="00FF5353"/>
    <w:rsid w:val="00FF659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5">
      <o:colormru v:ext="edit" colors="red,#4d4d4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semiHidden="1"/>
    <w:lsdException w:name="toc 5" w:semiHidden="1"/>
    <w:lsdException w:name="toc 6" w:semiHidden="1"/>
    <w:lsdException w:name="toc 7" w:semiHidden="1"/>
    <w:lsdException w:name="toc 8" w:semiHidden="1"/>
    <w:lsdException w:name="toc 9" w:uiPriority="39"/>
    <w:lsdException w:name="Normal Indent" w:semiHidden="1"/>
    <w:lsdException w:name="footnote text" w:uiPriority="99"/>
    <w:lsdException w:name="annotation text" w:semiHidden="1" w:uiPriority="99"/>
    <w:lsdException w:name="index heading" w:semiHidden="1"/>
    <w:lsdException w:name="caption" w:qFormat="1"/>
    <w:lsdException w:name="envelope address" w:semiHidden="1"/>
    <w:lsdException w:name="envelope return" w:semiHidden="1"/>
    <w:lsdException w:name="footnote reference" w:uiPriority="99"/>
    <w:lsdException w:name="annotation reference" w:semiHidden="1" w:uiPriority="99"/>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Default Paragraph Font" w:uiPriority="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semiHidden="1"/>
    <w:lsdException w:name="Strong" w:semiHidden="1" w:uiPriority="99" w:qFormat="1"/>
    <w:lsdException w:name="Emphasis" w:semiHidden="1" w:uiPriority="20"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No List" w:uiPriority="99"/>
    <w:lsdException w:name="Table Grid" w:uiPriority="59"/>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qFormat="1"/>
  </w:latentStyles>
  <w:style w:type="paragraph" w:default="1" w:styleId="Normal">
    <w:name w:val="Normal"/>
    <w:qFormat/>
    <w:rsid w:val="00671D9E"/>
    <w:pPr>
      <w:spacing w:after="240" w:line="240" w:lineRule="atLeast"/>
    </w:pPr>
    <w:rPr>
      <w:rFonts w:ascii="Arial" w:hAnsi="Arial"/>
      <w:szCs w:val="24"/>
    </w:rPr>
  </w:style>
  <w:style w:type="paragraph" w:styleId="Heading1">
    <w:name w:val="heading 1"/>
    <w:basedOn w:val="Normal"/>
    <w:next w:val="Normal"/>
    <w:autoRedefine/>
    <w:qFormat/>
    <w:rsid w:val="003E40C1"/>
    <w:pPr>
      <w:keepNext/>
      <w:pageBreakBefore/>
      <w:widowControl w:val="0"/>
      <w:numPr>
        <w:numId w:val="1"/>
      </w:numPr>
      <w:spacing w:after="360" w:line="550" w:lineRule="exact"/>
      <w:outlineLvl w:val="0"/>
    </w:pPr>
    <w:rPr>
      <w:rFonts w:cs="Arial"/>
      <w:bCs/>
      <w:color w:val="4D4D4F"/>
      <w:kern w:val="32"/>
      <w:sz w:val="53"/>
      <w:szCs w:val="32"/>
    </w:rPr>
  </w:style>
  <w:style w:type="paragraph" w:styleId="Heading2">
    <w:name w:val="heading 2"/>
    <w:basedOn w:val="Normal"/>
    <w:next w:val="Normal"/>
    <w:qFormat/>
    <w:rsid w:val="00671D9E"/>
    <w:pPr>
      <w:keepNext/>
      <w:numPr>
        <w:ilvl w:val="1"/>
        <w:numId w:val="1"/>
      </w:numPr>
      <w:spacing w:before="60" w:after="60"/>
      <w:outlineLvl w:val="1"/>
    </w:pPr>
    <w:rPr>
      <w:rFonts w:cs="Arial"/>
      <w:b/>
      <w:bCs/>
      <w:iCs/>
      <w:color w:val="4D4D4F"/>
      <w:sz w:val="28"/>
      <w:szCs w:val="28"/>
    </w:rPr>
  </w:style>
  <w:style w:type="paragraph" w:styleId="Heading3">
    <w:name w:val="heading 3"/>
    <w:basedOn w:val="Normal"/>
    <w:next w:val="Normal"/>
    <w:link w:val="Heading3Char"/>
    <w:qFormat/>
    <w:rsid w:val="00671D9E"/>
    <w:pPr>
      <w:keepNext/>
      <w:numPr>
        <w:ilvl w:val="2"/>
        <w:numId w:val="1"/>
      </w:numPr>
      <w:spacing w:before="60" w:after="60"/>
      <w:outlineLvl w:val="2"/>
    </w:pPr>
    <w:rPr>
      <w:b/>
      <w:bCs/>
      <w:color w:val="4D4D4F"/>
      <w:szCs w:val="26"/>
    </w:rPr>
  </w:style>
  <w:style w:type="paragraph" w:styleId="Heading4">
    <w:name w:val="heading 4"/>
    <w:basedOn w:val="Normal"/>
    <w:next w:val="Normal"/>
    <w:semiHidden/>
    <w:qFormat/>
    <w:rsid w:val="00BE4C11"/>
    <w:pPr>
      <w:keepNext/>
      <w:numPr>
        <w:ilvl w:val="3"/>
        <w:numId w:val="1"/>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numPr>
        <w:ilvl w:val="4"/>
        <w:numId w:val="1"/>
      </w:numPr>
      <w:spacing w:before="240" w:after="60"/>
      <w:outlineLvl w:val="4"/>
    </w:pPr>
    <w:rPr>
      <w:b/>
      <w:bCs/>
      <w:i/>
      <w:iCs/>
      <w:sz w:val="26"/>
      <w:szCs w:val="26"/>
    </w:rPr>
  </w:style>
  <w:style w:type="paragraph" w:styleId="Heading6">
    <w:name w:val="heading 6"/>
    <w:basedOn w:val="Normal"/>
    <w:next w:val="Normal"/>
    <w:semiHidden/>
    <w:qFormat/>
    <w:rsid w:val="00BE4C11"/>
    <w:pPr>
      <w:numPr>
        <w:ilvl w:val="5"/>
        <w:numId w:val="1"/>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numPr>
        <w:ilvl w:val="6"/>
        <w:numId w:val="1"/>
      </w:numPr>
      <w:spacing w:before="240" w:after="60"/>
      <w:outlineLvl w:val="6"/>
    </w:pPr>
    <w:rPr>
      <w:rFonts w:ascii="Times New Roman" w:hAnsi="Times New Roman"/>
      <w:sz w:val="24"/>
    </w:rPr>
  </w:style>
  <w:style w:type="paragraph" w:styleId="Heading8">
    <w:name w:val="heading 8"/>
    <w:basedOn w:val="Normal"/>
    <w:next w:val="Normal"/>
    <w:semiHidden/>
    <w:qFormat/>
    <w:rsid w:val="00BE4C11"/>
    <w:pPr>
      <w:numPr>
        <w:ilvl w:val="7"/>
        <w:numId w:val="1"/>
      </w:num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semiHidden/>
    <w:rsid w:val="00CF5838"/>
    <w:pPr>
      <w:tabs>
        <w:tab w:val="center" w:pos="4153"/>
        <w:tab w:val="right" w:pos="8306"/>
      </w:tabs>
      <w:spacing w:after="0" w:line="240" w:lineRule="auto"/>
    </w:pPr>
    <w:rPr>
      <w:sz w:val="16"/>
    </w:rPr>
  </w:style>
  <w:style w:type="paragraph" w:customStyle="1" w:styleId="ReportTitle">
    <w:name w:val="Report Title"/>
    <w:basedOn w:val="Normal"/>
    <w:rsid w:val="004845E9"/>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7014D"/>
    <w:pPr>
      <w:spacing w:before="40" w:after="4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75352"/>
    <w:pPr>
      <w:spacing w:after="0" w:line="160" w:lineRule="exact"/>
    </w:pPr>
    <w:rPr>
      <w:color w:val="4D4D4F"/>
      <w:sz w:val="13"/>
    </w:rPr>
  </w:style>
  <w:style w:type="paragraph" w:customStyle="1" w:styleId="CorporateAddresses">
    <w:name w:val="Corporate Addresses"/>
    <w:basedOn w:val="Normal"/>
    <w:semiHidden/>
    <w:rsid w:val="00475352"/>
    <w:pPr>
      <w:spacing w:after="0" w:line="140" w:lineRule="exact"/>
    </w:pPr>
    <w:rPr>
      <w:color w:val="4D4D4F"/>
      <w:sz w:val="13"/>
    </w:rPr>
  </w:style>
  <w:style w:type="paragraph" w:styleId="TOCHeading">
    <w:name w:val="TOC Heading"/>
    <w:basedOn w:val="Normal"/>
    <w:qFormat/>
    <w:rsid w:val="004845E9"/>
    <w:pPr>
      <w:spacing w:line="240" w:lineRule="auto"/>
    </w:pPr>
    <w:rPr>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autoRedefine/>
    <w:qFormat/>
    <w:rsid w:val="006156CC"/>
    <w:pPr>
      <w:keepNext/>
      <w:spacing w:before="240" w:after="120"/>
      <w:outlineLvl w:val="1"/>
    </w:pPr>
    <w:rPr>
      <w:b/>
      <w:i/>
      <w:color w:val="4D4D4F"/>
    </w:rPr>
  </w:style>
  <w:style w:type="paragraph" w:styleId="ListBullet">
    <w:name w:val="List Bullet"/>
    <w:basedOn w:val="Normal"/>
    <w:link w:val="ListBulletChar"/>
    <w:autoRedefine/>
    <w:rsid w:val="000A7EC3"/>
    <w:pPr>
      <w:numPr>
        <w:numId w:val="11"/>
      </w:numPr>
      <w:spacing w:after="80"/>
    </w:pPr>
  </w:style>
  <w:style w:type="paragraph" w:styleId="ListBullet2">
    <w:name w:val="List Bullet 2"/>
    <w:basedOn w:val="Normal"/>
    <w:autoRedefine/>
    <w:rsid w:val="00084C46"/>
    <w:pPr>
      <w:numPr>
        <w:ilvl w:val="1"/>
        <w:numId w:val="3"/>
      </w:numPr>
      <w:spacing w:after="80"/>
    </w:pPr>
  </w:style>
  <w:style w:type="paragraph" w:styleId="ListNumber">
    <w:name w:val="List Number"/>
    <w:basedOn w:val="Normal"/>
    <w:autoRedefine/>
    <w:rsid w:val="00CF5838"/>
    <w:pPr>
      <w:numPr>
        <w:numId w:val="10"/>
      </w:numPr>
      <w:spacing w:after="80"/>
      <w:ind w:left="426" w:hanging="426"/>
    </w:pPr>
  </w:style>
  <w:style w:type="paragraph" w:styleId="ListNumber2">
    <w:name w:val="List Number 2"/>
    <w:basedOn w:val="Normal"/>
    <w:autoRedefine/>
    <w:rsid w:val="002A3093"/>
    <w:pPr>
      <w:numPr>
        <w:numId w:val="2"/>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9F4C6B"/>
    <w:pPr>
      <w:spacing w:line="240" w:lineRule="auto"/>
    </w:pPr>
    <w:rPr>
      <w:rFonts w:ascii="Tahoma" w:hAnsi="Tahoma"/>
      <w:sz w:val="16"/>
      <w:szCs w:val="16"/>
    </w:rPr>
  </w:style>
  <w:style w:type="paragraph" w:styleId="TOC1">
    <w:name w:val="toc 1"/>
    <w:basedOn w:val="Normal"/>
    <w:next w:val="Normal"/>
    <w:uiPriority w:val="39"/>
    <w:rsid w:val="00A231F9"/>
    <w:pPr>
      <w:tabs>
        <w:tab w:val="right" w:pos="7660"/>
      </w:tabs>
      <w:spacing w:before="120" w:after="120" w:line="280" w:lineRule="exact"/>
      <w:ind w:right="851"/>
    </w:pPr>
    <w:rPr>
      <w:b/>
      <w:noProof/>
      <w:color w:val="808285"/>
      <w:spacing w:val="-14"/>
      <w:sz w:val="28"/>
    </w:rPr>
  </w:style>
  <w:style w:type="paragraph" w:styleId="TOC2">
    <w:name w:val="toc 2"/>
    <w:basedOn w:val="Normal"/>
    <w:next w:val="Normal"/>
    <w:uiPriority w:val="39"/>
    <w:rsid w:val="00A231F9"/>
    <w:pPr>
      <w:tabs>
        <w:tab w:val="right" w:pos="7660"/>
      </w:tabs>
      <w:spacing w:before="120" w:after="120" w:line="26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A231F9"/>
    <w:pPr>
      <w:tabs>
        <w:tab w:val="right" w:pos="7661"/>
      </w:tabs>
      <w:spacing w:before="120" w:after="120" w:line="240" w:lineRule="auto"/>
    </w:pPr>
    <w:rPr>
      <w:noProof/>
      <w:color w:val="808285"/>
      <w:sz w:val="22"/>
      <w:szCs w:val="22"/>
    </w:rPr>
  </w:style>
  <w:style w:type="character" w:styleId="Hyperlink">
    <w:name w:val="Hyperlink"/>
    <w:uiPriority w:val="99"/>
    <w:rsid w:val="003A5F5B"/>
    <w:rPr>
      <w:color w:val="0000FF"/>
      <w:u w:val="single"/>
    </w:rPr>
  </w:style>
  <w:style w:type="character" w:styleId="FootnoteReference">
    <w:name w:val="footnote reference"/>
    <w:aliases w:val="Appel note de bas de p,Appel note de bas de p + 11 pt,Italic,Footnote"/>
    <w:uiPriority w:val="99"/>
    <w:rsid w:val="00F76745"/>
    <w:rPr>
      <w:rFonts w:ascii="Arial" w:hAnsi="Arial"/>
      <w:sz w:val="20"/>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
    <w:basedOn w:val="Normal"/>
    <w:link w:val="FootnoteTextChar"/>
    <w:uiPriority w:val="99"/>
    <w:rsid w:val="004E573B"/>
    <w:pPr>
      <w:spacing w:after="40"/>
    </w:pPr>
    <w:rPr>
      <w:rFonts w:ascii="HelveticaNeueLT Std Lt" w:hAnsi="HelveticaNeueLT Std Lt"/>
      <w:sz w:val="16"/>
      <w:szCs w:val="16"/>
    </w:rPr>
  </w:style>
  <w:style w:type="paragraph" w:customStyle="1" w:styleId="TableBody">
    <w:name w:val="Table Body"/>
    <w:basedOn w:val="Normal"/>
    <w:rsid w:val="00A7014D"/>
    <w:pPr>
      <w:spacing w:before="40" w:after="40"/>
      <w:jc w:val="center"/>
    </w:pPr>
  </w:style>
  <w:style w:type="paragraph" w:styleId="TOC9">
    <w:name w:val="toc 9"/>
    <w:basedOn w:val="Normal"/>
    <w:next w:val="Normal"/>
    <w:uiPriority w:val="39"/>
    <w:rsid w:val="004845E9"/>
    <w:pPr>
      <w:tabs>
        <w:tab w:val="right" w:pos="7660"/>
      </w:tabs>
      <w:spacing w:before="280" w:line="320" w:lineRule="exact"/>
    </w:pPr>
    <w:rPr>
      <w:b/>
      <w:noProof/>
      <w:color w:val="808285"/>
      <w:sz w:val="28"/>
      <w:szCs w:val="28"/>
    </w:rPr>
  </w:style>
  <w:style w:type="character" w:customStyle="1" w:styleId="BalloonTextChar">
    <w:name w:val="Balloon Text Char"/>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qFormat/>
    <w:rsid w:val="00702A7A"/>
    <w:pPr>
      <w:spacing w:line="240" w:lineRule="auto"/>
      <w:ind w:left="720"/>
      <w:contextualSpacing/>
    </w:pPr>
    <w:rPr>
      <w:rFonts w:ascii="Calibri" w:eastAsia="Calibri" w:hAnsi="Calibri"/>
      <w:sz w:val="22"/>
      <w:szCs w:val="22"/>
      <w:lang w:eastAsia="en-US"/>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 Char"/>
    <w:link w:val="FootnoteText"/>
    <w:uiPriority w:val="99"/>
    <w:rsid w:val="004E573B"/>
    <w:rPr>
      <w:rFonts w:ascii="HelveticaNeueLT Std Lt" w:hAnsi="HelveticaNeueLT Std Lt"/>
      <w:sz w:val="16"/>
      <w:szCs w:val="16"/>
    </w:rPr>
  </w:style>
  <w:style w:type="paragraph" w:customStyle="1" w:styleId="listexpansiontext">
    <w:name w:val="list expansion text"/>
    <w:basedOn w:val="Normal"/>
    <w:qFormat/>
    <w:rsid w:val="00D7412E"/>
    <w:pPr>
      <w:spacing w:before="80" w:after="120" w:line="240" w:lineRule="auto"/>
      <w:ind w:left="720"/>
    </w:pPr>
    <w:rPr>
      <w:rFonts w:ascii="Calibri" w:hAnsi="Calibri"/>
      <w:i/>
      <w:sz w:val="22"/>
      <w:szCs w:val="22"/>
      <w:lang w:eastAsia="en-US"/>
    </w:rPr>
  </w:style>
  <w:style w:type="paragraph" w:customStyle="1" w:styleId="numberedlist">
    <w:name w:val="numbered list"/>
    <w:basedOn w:val="ListParagraph"/>
    <w:next w:val="listexpansiontext"/>
    <w:qFormat/>
    <w:rsid w:val="0082305B"/>
    <w:pPr>
      <w:numPr>
        <w:numId w:val="4"/>
      </w:numPr>
      <w:spacing w:after="120" w:line="300" w:lineRule="atLeast"/>
    </w:pPr>
    <w:rPr>
      <w:rFonts w:ascii="Arial" w:eastAsia="Times New Roman" w:hAnsi="Arial"/>
      <w:sz w:val="20"/>
    </w:rPr>
  </w:style>
  <w:style w:type="character" w:styleId="Emphasis">
    <w:name w:val="Emphasis"/>
    <w:uiPriority w:val="20"/>
    <w:qFormat/>
    <w:rsid w:val="009D44DC"/>
    <w:rPr>
      <w:i/>
      <w:iCs/>
    </w:rPr>
  </w:style>
  <w:style w:type="character" w:styleId="Strong">
    <w:name w:val="Strong"/>
    <w:uiPriority w:val="99"/>
    <w:qFormat/>
    <w:rsid w:val="009D44DC"/>
    <w:rPr>
      <w:b/>
      <w:bCs/>
    </w:rPr>
  </w:style>
  <w:style w:type="paragraph" w:customStyle="1" w:styleId="ACMABodyText">
    <w:name w:val="ACMA Body Text"/>
    <w:link w:val="ACMABodyTextChar2"/>
    <w:rsid w:val="004125CB"/>
    <w:pPr>
      <w:suppressAutoHyphens/>
      <w:spacing w:before="80" w:after="120" w:line="280" w:lineRule="atLeast"/>
    </w:pPr>
    <w:rPr>
      <w:snapToGrid w:val="0"/>
      <w:sz w:val="24"/>
      <w:lang w:eastAsia="en-US"/>
    </w:rPr>
  </w:style>
  <w:style w:type="paragraph" w:customStyle="1" w:styleId="ACMAReportImprint">
    <w:name w:val="ACMA Report Imprint"/>
    <w:rsid w:val="004125CB"/>
    <w:pPr>
      <w:spacing w:after="80"/>
    </w:pPr>
    <w:rPr>
      <w:rFonts w:cs="Arial"/>
      <w:lang w:eastAsia="en-US"/>
    </w:rPr>
  </w:style>
  <w:style w:type="character" w:customStyle="1" w:styleId="ACMABodyTextChar2">
    <w:name w:val="ACMA Body Text Char2"/>
    <w:link w:val="ACMABodyText"/>
    <w:rsid w:val="004125CB"/>
    <w:rPr>
      <w:snapToGrid w:val="0"/>
      <w:sz w:val="24"/>
      <w:lang w:val="en-AU" w:eastAsia="en-US" w:bidi="ar-SA"/>
    </w:rPr>
  </w:style>
  <w:style w:type="paragraph" w:customStyle="1" w:styleId="FinalPrinciple">
    <w:name w:val="Final Principle"/>
    <w:basedOn w:val="Normal"/>
    <w:autoRedefine/>
    <w:qFormat/>
    <w:rsid w:val="00B85BF4"/>
    <w:pPr>
      <w:keepLines/>
      <w:numPr>
        <w:numId w:val="7"/>
      </w:numPr>
      <w:shd w:val="clear" w:color="auto" w:fill="EEECE1"/>
      <w:spacing w:line="300" w:lineRule="atLeast"/>
    </w:pPr>
    <w:rPr>
      <w:i/>
    </w:rPr>
  </w:style>
  <w:style w:type="character" w:styleId="FollowedHyperlink">
    <w:name w:val="FollowedHyperlink"/>
    <w:semiHidden/>
    <w:rsid w:val="006352F5"/>
    <w:rPr>
      <w:color w:val="800080"/>
      <w:u w:val="single"/>
    </w:rPr>
  </w:style>
  <w:style w:type="character" w:styleId="CommentReference">
    <w:name w:val="annotation reference"/>
    <w:uiPriority w:val="99"/>
    <w:semiHidden/>
    <w:unhideWhenUsed/>
    <w:rsid w:val="0089632B"/>
    <w:rPr>
      <w:sz w:val="16"/>
      <w:szCs w:val="16"/>
    </w:rPr>
  </w:style>
  <w:style w:type="paragraph" w:styleId="CommentText">
    <w:name w:val="annotation text"/>
    <w:basedOn w:val="Normal"/>
    <w:link w:val="CommentTextChar"/>
    <w:uiPriority w:val="99"/>
    <w:semiHidden/>
    <w:unhideWhenUsed/>
    <w:rsid w:val="0089632B"/>
    <w:pPr>
      <w:spacing w:after="200" w:line="240" w:lineRule="auto"/>
    </w:pPr>
    <w:rPr>
      <w:rFonts w:ascii="Calibri" w:eastAsia="Calibri" w:hAnsi="Calibri"/>
      <w:szCs w:val="20"/>
      <w:lang w:eastAsia="en-US"/>
    </w:rPr>
  </w:style>
  <w:style w:type="character" w:customStyle="1" w:styleId="CommentTextChar">
    <w:name w:val="Comment Text Char"/>
    <w:link w:val="CommentText"/>
    <w:uiPriority w:val="99"/>
    <w:semiHidden/>
    <w:rsid w:val="0089632B"/>
    <w:rPr>
      <w:rFonts w:ascii="Calibri" w:eastAsia="Calibri" w:hAnsi="Calibri" w:cs="Times New Roman"/>
      <w:lang w:eastAsia="en-US"/>
    </w:rPr>
  </w:style>
  <w:style w:type="paragraph" w:customStyle="1" w:styleId="ACMABulletLevel2">
    <w:name w:val="ACMA Bullet Level 2"/>
    <w:rsid w:val="006C7CD5"/>
    <w:pPr>
      <w:numPr>
        <w:numId w:val="8"/>
      </w:numPr>
      <w:spacing w:after="80"/>
      <w:ind w:left="357" w:hanging="357"/>
      <w:contextualSpacing/>
    </w:pPr>
    <w:rPr>
      <w:rFonts w:ascii="Arial" w:hAnsi="Arial"/>
      <w:lang w:eastAsia="en-US"/>
    </w:rPr>
  </w:style>
  <w:style w:type="paragraph" w:customStyle="1" w:styleId="ACMANumberedList">
    <w:name w:val="ACMA Numbered List"/>
    <w:autoRedefine/>
    <w:rsid w:val="006E7729"/>
    <w:pPr>
      <w:numPr>
        <w:numId w:val="5"/>
      </w:numPr>
      <w:tabs>
        <w:tab w:val="clear" w:pos="540"/>
        <w:tab w:val="left" w:pos="567"/>
      </w:tabs>
      <w:spacing w:before="20" w:after="120"/>
      <w:ind w:left="567" w:hanging="425"/>
    </w:pPr>
    <w:rPr>
      <w:rFonts w:ascii="Arial" w:hAnsi="Arial" w:cs="Arial"/>
      <w:sz w:val="22"/>
      <w:szCs w:val="22"/>
      <w:lang w:eastAsia="en-US"/>
    </w:rPr>
  </w:style>
  <w:style w:type="paragraph" w:customStyle="1" w:styleId="ACMABulletLevel3">
    <w:name w:val="ACMA Bullet Level 3"/>
    <w:basedOn w:val="ACMABulletLevel2"/>
    <w:qFormat/>
    <w:rsid w:val="00EA6AB6"/>
    <w:pPr>
      <w:numPr>
        <w:numId w:val="9"/>
      </w:numPr>
    </w:pPr>
  </w:style>
  <w:style w:type="character" w:customStyle="1" w:styleId="legtitle1">
    <w:name w:val="legtitle1"/>
    <w:rsid w:val="000550AA"/>
    <w:rPr>
      <w:rFonts w:ascii="Arial" w:hAnsi="Arial" w:cs="Arial" w:hint="default"/>
      <w:b/>
      <w:bCs/>
      <w:color w:val="10418E"/>
      <w:sz w:val="40"/>
      <w:szCs w:val="40"/>
    </w:rPr>
  </w:style>
  <w:style w:type="paragraph" w:styleId="CommentSubject">
    <w:name w:val="annotation subject"/>
    <w:basedOn w:val="CommentText"/>
    <w:next w:val="CommentText"/>
    <w:link w:val="CommentSubjectChar"/>
    <w:semiHidden/>
    <w:rsid w:val="00B57AE3"/>
    <w:pPr>
      <w:spacing w:after="240"/>
    </w:pPr>
    <w:rPr>
      <w:rFonts w:ascii="HelveticaNeueLT Std Lt" w:hAnsi="HelveticaNeueLT Std Lt"/>
      <w:b/>
      <w:bCs/>
    </w:rPr>
  </w:style>
  <w:style w:type="character" w:customStyle="1" w:styleId="CommentSubjectChar">
    <w:name w:val="Comment Subject Char"/>
    <w:link w:val="CommentSubject"/>
    <w:semiHidden/>
    <w:rsid w:val="00B57AE3"/>
    <w:rPr>
      <w:rFonts w:ascii="HelveticaNeueLT Std Lt" w:eastAsia="Calibri" w:hAnsi="HelveticaNeueLT Std Lt" w:cs="Times New Roman"/>
      <w:b/>
      <w:bCs/>
      <w:lang w:eastAsia="en-US"/>
    </w:rPr>
  </w:style>
  <w:style w:type="paragraph" w:styleId="Revision">
    <w:name w:val="Revision"/>
    <w:hidden/>
    <w:uiPriority w:val="99"/>
    <w:semiHidden/>
    <w:rsid w:val="008D1488"/>
    <w:rPr>
      <w:rFonts w:ascii="Arial" w:hAnsi="Arial"/>
      <w:szCs w:val="24"/>
    </w:rPr>
  </w:style>
  <w:style w:type="paragraph" w:customStyle="1" w:styleId="p1">
    <w:name w:val="p1"/>
    <w:basedOn w:val="Normal"/>
    <w:rsid w:val="00D06DC9"/>
    <w:pPr>
      <w:spacing w:before="40" w:after="0" w:line="260" w:lineRule="atLeast"/>
      <w:ind w:left="1276" w:hanging="1280"/>
      <w:jc w:val="both"/>
    </w:pPr>
    <w:rPr>
      <w:rFonts w:ascii="Times" w:hAnsi="Times"/>
      <w:sz w:val="26"/>
      <w:szCs w:val="26"/>
    </w:rPr>
  </w:style>
  <w:style w:type="character" w:customStyle="1" w:styleId="HeaderChar">
    <w:name w:val="Header Char"/>
    <w:link w:val="Header"/>
    <w:rsid w:val="00D06DC9"/>
    <w:rPr>
      <w:rFonts w:ascii="Arial" w:hAnsi="Arial"/>
      <w:sz w:val="16"/>
      <w:szCs w:val="24"/>
    </w:rPr>
  </w:style>
  <w:style w:type="paragraph" w:customStyle="1" w:styleId="ExplanatoryStatement">
    <w:name w:val="Explanatory Statement"/>
    <w:basedOn w:val="ACMABodyText"/>
    <w:qFormat/>
    <w:rsid w:val="00D06DC9"/>
    <w:pPr>
      <w:spacing w:before="0" w:after="0"/>
    </w:pPr>
  </w:style>
  <w:style w:type="paragraph" w:customStyle="1" w:styleId="Directionheading">
    <w:name w:val="Direction heading"/>
    <w:basedOn w:val="ExplanatoryStatement"/>
    <w:qFormat/>
    <w:rsid w:val="00D06DC9"/>
    <w:rPr>
      <w:b/>
    </w:rPr>
  </w:style>
  <w:style w:type="paragraph" w:customStyle="1" w:styleId="Directionsubclause">
    <w:name w:val="Direction subclause"/>
    <w:basedOn w:val="Heading2"/>
    <w:autoRedefine/>
    <w:qFormat/>
    <w:rsid w:val="00D06DC9"/>
    <w:pPr>
      <w:numPr>
        <w:ilvl w:val="0"/>
        <w:numId w:val="0"/>
      </w:numPr>
      <w:spacing w:before="0" w:after="0"/>
      <w:ind w:left="567" w:hanging="567"/>
    </w:pPr>
    <w:rPr>
      <w:rFonts w:ascii="Times New Roman" w:hAnsi="Times New Roman" w:cs="Times New Roman"/>
      <w:b w:val="0"/>
      <w:color w:val="auto"/>
      <w:sz w:val="24"/>
      <w:szCs w:val="24"/>
    </w:rPr>
  </w:style>
  <w:style w:type="paragraph" w:customStyle="1" w:styleId="principlebody">
    <w:name w:val="principle body"/>
    <w:basedOn w:val="FinalPrinciple"/>
    <w:qFormat/>
    <w:rsid w:val="004158A3"/>
    <w:pPr>
      <w:numPr>
        <w:numId w:val="0"/>
      </w:numPr>
    </w:pPr>
  </w:style>
  <w:style w:type="paragraph" w:customStyle="1" w:styleId="Principleunnumbered">
    <w:name w:val="Principle unnumbered"/>
    <w:basedOn w:val="FinalPrinciple"/>
    <w:qFormat/>
    <w:rsid w:val="00DF1318"/>
    <w:pPr>
      <w:numPr>
        <w:numId w:val="0"/>
      </w:numPr>
    </w:pPr>
    <w:rPr>
      <w:b/>
    </w:rPr>
  </w:style>
  <w:style w:type="character" w:customStyle="1" w:styleId="Heading3Char">
    <w:name w:val="Heading 3 Char"/>
    <w:link w:val="Heading3"/>
    <w:rsid w:val="004E3D8A"/>
    <w:rPr>
      <w:rFonts w:ascii="Arial" w:hAnsi="Arial" w:cs="Arial"/>
      <w:b/>
      <w:bCs/>
      <w:color w:val="4D4D4F"/>
      <w:szCs w:val="26"/>
    </w:rPr>
  </w:style>
  <w:style w:type="paragraph" w:customStyle="1" w:styleId="principlesubpoint">
    <w:name w:val="principle sub point"/>
    <w:basedOn w:val="ListBullet"/>
    <w:link w:val="principlesubpointChar"/>
    <w:qFormat/>
    <w:rsid w:val="000870BD"/>
    <w:pPr>
      <w:shd w:val="clear" w:color="auto" w:fill="EEECE1"/>
    </w:pPr>
    <w:rPr>
      <w:i/>
    </w:rPr>
  </w:style>
  <w:style w:type="character" w:customStyle="1" w:styleId="ListBulletChar">
    <w:name w:val="List Bullet Char"/>
    <w:link w:val="ListBullet"/>
    <w:rsid w:val="000A7EC3"/>
    <w:rPr>
      <w:rFonts w:ascii="Arial" w:hAnsi="Arial"/>
      <w:szCs w:val="24"/>
    </w:rPr>
  </w:style>
  <w:style w:type="character" w:customStyle="1" w:styleId="principlesubpointChar">
    <w:name w:val="principle sub point Char"/>
    <w:basedOn w:val="ListBulletChar"/>
    <w:link w:val="principlesubpoint"/>
    <w:rsid w:val="000870BD"/>
  </w:style>
  <w:style w:type="paragraph" w:customStyle="1" w:styleId="Principle">
    <w:name w:val="Principle"/>
    <w:basedOn w:val="Normal"/>
    <w:next w:val="Normal"/>
    <w:autoRedefine/>
    <w:qFormat/>
    <w:rsid w:val="001D0B5E"/>
    <w:pPr>
      <w:keepNext/>
      <w:keepLines/>
      <w:shd w:val="clear" w:color="auto" w:fill="EEECE1"/>
      <w:spacing w:line="300" w:lineRule="atLeast"/>
    </w:pPr>
    <w:rPr>
      <w:b/>
      <w:i/>
    </w:rPr>
  </w:style>
</w:styles>
</file>

<file path=word/webSettings.xml><?xml version="1.0" encoding="utf-8"?>
<w:webSettings xmlns:r="http://schemas.openxmlformats.org/officeDocument/2006/relationships" xmlns:w="http://schemas.openxmlformats.org/wordprocessingml/2006/main">
  <w:divs>
    <w:div w:id="69084865">
      <w:bodyDiv w:val="1"/>
      <w:marLeft w:val="0"/>
      <w:marRight w:val="0"/>
      <w:marTop w:val="0"/>
      <w:marBottom w:val="0"/>
      <w:divBdr>
        <w:top w:val="none" w:sz="0" w:space="0" w:color="auto"/>
        <w:left w:val="none" w:sz="0" w:space="0" w:color="auto"/>
        <w:bottom w:val="none" w:sz="0" w:space="0" w:color="auto"/>
        <w:right w:val="none" w:sz="0" w:space="0" w:color="auto"/>
      </w:divBdr>
      <w:divsChild>
        <w:div w:id="31150333">
          <w:marLeft w:val="547"/>
          <w:marRight w:val="0"/>
          <w:marTop w:val="96"/>
          <w:marBottom w:val="0"/>
          <w:divBdr>
            <w:top w:val="none" w:sz="0" w:space="0" w:color="auto"/>
            <w:left w:val="none" w:sz="0" w:space="0" w:color="auto"/>
            <w:bottom w:val="none" w:sz="0" w:space="0" w:color="auto"/>
            <w:right w:val="none" w:sz="0" w:space="0" w:color="auto"/>
          </w:divBdr>
        </w:div>
        <w:div w:id="140005571">
          <w:marLeft w:val="547"/>
          <w:marRight w:val="0"/>
          <w:marTop w:val="96"/>
          <w:marBottom w:val="0"/>
          <w:divBdr>
            <w:top w:val="none" w:sz="0" w:space="0" w:color="auto"/>
            <w:left w:val="none" w:sz="0" w:space="0" w:color="auto"/>
            <w:bottom w:val="none" w:sz="0" w:space="0" w:color="auto"/>
            <w:right w:val="none" w:sz="0" w:space="0" w:color="auto"/>
          </w:divBdr>
        </w:div>
        <w:div w:id="162862331">
          <w:marLeft w:val="547"/>
          <w:marRight w:val="0"/>
          <w:marTop w:val="96"/>
          <w:marBottom w:val="0"/>
          <w:divBdr>
            <w:top w:val="none" w:sz="0" w:space="0" w:color="auto"/>
            <w:left w:val="none" w:sz="0" w:space="0" w:color="auto"/>
            <w:bottom w:val="none" w:sz="0" w:space="0" w:color="auto"/>
            <w:right w:val="none" w:sz="0" w:space="0" w:color="auto"/>
          </w:divBdr>
        </w:div>
        <w:div w:id="1154376093">
          <w:marLeft w:val="547"/>
          <w:marRight w:val="0"/>
          <w:marTop w:val="96"/>
          <w:marBottom w:val="0"/>
          <w:divBdr>
            <w:top w:val="none" w:sz="0" w:space="0" w:color="auto"/>
            <w:left w:val="none" w:sz="0" w:space="0" w:color="auto"/>
            <w:bottom w:val="none" w:sz="0" w:space="0" w:color="auto"/>
            <w:right w:val="none" w:sz="0" w:space="0" w:color="auto"/>
          </w:divBdr>
        </w:div>
        <w:div w:id="1517960763">
          <w:marLeft w:val="547"/>
          <w:marRight w:val="0"/>
          <w:marTop w:val="96"/>
          <w:marBottom w:val="0"/>
          <w:divBdr>
            <w:top w:val="none" w:sz="0" w:space="0" w:color="auto"/>
            <w:left w:val="none" w:sz="0" w:space="0" w:color="auto"/>
            <w:bottom w:val="none" w:sz="0" w:space="0" w:color="auto"/>
            <w:right w:val="none" w:sz="0" w:space="0" w:color="auto"/>
          </w:divBdr>
        </w:div>
        <w:div w:id="1557427698">
          <w:marLeft w:val="547"/>
          <w:marRight w:val="0"/>
          <w:marTop w:val="96"/>
          <w:marBottom w:val="0"/>
          <w:divBdr>
            <w:top w:val="none" w:sz="0" w:space="0" w:color="auto"/>
            <w:left w:val="none" w:sz="0" w:space="0" w:color="auto"/>
            <w:bottom w:val="none" w:sz="0" w:space="0" w:color="auto"/>
            <w:right w:val="none" w:sz="0" w:space="0" w:color="auto"/>
          </w:divBdr>
        </w:div>
        <w:div w:id="1646546294">
          <w:marLeft w:val="547"/>
          <w:marRight w:val="0"/>
          <w:marTop w:val="96"/>
          <w:marBottom w:val="0"/>
          <w:divBdr>
            <w:top w:val="none" w:sz="0" w:space="0" w:color="auto"/>
            <w:left w:val="none" w:sz="0" w:space="0" w:color="auto"/>
            <w:bottom w:val="none" w:sz="0" w:space="0" w:color="auto"/>
            <w:right w:val="none" w:sz="0" w:space="0" w:color="auto"/>
          </w:divBdr>
        </w:div>
        <w:div w:id="1760443626">
          <w:marLeft w:val="547"/>
          <w:marRight w:val="0"/>
          <w:marTop w:val="96"/>
          <w:marBottom w:val="0"/>
          <w:divBdr>
            <w:top w:val="none" w:sz="0" w:space="0" w:color="auto"/>
            <w:left w:val="none" w:sz="0" w:space="0" w:color="auto"/>
            <w:bottom w:val="none" w:sz="0" w:space="0" w:color="auto"/>
            <w:right w:val="none" w:sz="0" w:space="0" w:color="auto"/>
          </w:divBdr>
        </w:div>
        <w:div w:id="1917083097">
          <w:marLeft w:val="547"/>
          <w:marRight w:val="0"/>
          <w:marTop w:val="96"/>
          <w:marBottom w:val="0"/>
          <w:divBdr>
            <w:top w:val="none" w:sz="0" w:space="0" w:color="auto"/>
            <w:left w:val="none" w:sz="0" w:space="0" w:color="auto"/>
            <w:bottom w:val="none" w:sz="0" w:space="0" w:color="auto"/>
            <w:right w:val="none" w:sz="0" w:space="0" w:color="auto"/>
          </w:divBdr>
        </w:div>
      </w:divsChild>
    </w:div>
    <w:div w:id="968973066">
      <w:bodyDiv w:val="1"/>
      <w:marLeft w:val="0"/>
      <w:marRight w:val="0"/>
      <w:marTop w:val="0"/>
      <w:marBottom w:val="0"/>
      <w:divBdr>
        <w:top w:val="none" w:sz="0" w:space="0" w:color="auto"/>
        <w:left w:val="none" w:sz="0" w:space="0" w:color="auto"/>
        <w:bottom w:val="none" w:sz="0" w:space="0" w:color="auto"/>
        <w:right w:val="none" w:sz="0" w:space="0" w:color="auto"/>
      </w:divBdr>
      <w:divsChild>
        <w:div w:id="370345165">
          <w:marLeft w:val="720"/>
          <w:marRight w:val="0"/>
          <w:marTop w:val="86"/>
          <w:marBottom w:val="0"/>
          <w:divBdr>
            <w:top w:val="none" w:sz="0" w:space="0" w:color="auto"/>
            <w:left w:val="none" w:sz="0" w:space="0" w:color="auto"/>
            <w:bottom w:val="none" w:sz="0" w:space="0" w:color="auto"/>
            <w:right w:val="none" w:sz="0" w:space="0" w:color="auto"/>
          </w:divBdr>
        </w:div>
      </w:divsChild>
    </w:div>
    <w:div w:id="1704750112">
      <w:bodyDiv w:val="1"/>
      <w:marLeft w:val="0"/>
      <w:marRight w:val="0"/>
      <w:marTop w:val="0"/>
      <w:marBottom w:val="0"/>
      <w:divBdr>
        <w:top w:val="none" w:sz="0" w:space="0" w:color="auto"/>
        <w:left w:val="none" w:sz="0" w:space="0" w:color="auto"/>
        <w:bottom w:val="none" w:sz="0" w:space="0" w:color="auto"/>
        <w:right w:val="none" w:sz="0" w:space="0" w:color="auto"/>
      </w:divBdr>
    </w:div>
    <w:div w:id="1761024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footer" Target="footer8.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eader" Target="header7.xml"/><Relationship Id="rId33"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http://www.comlaw.gov.au/Current/F2010L0199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media@acma.gov.au" TargetMode="External"/><Relationship Id="rId32" Type="http://schemas.openxmlformats.org/officeDocument/2006/relationships/header" Target="header10.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yperlink" Target="http://www.acma.gov.au/WEB/STANDARD/pc=PC_312460" TargetMode="External"/><Relationship Id="rId28" Type="http://schemas.openxmlformats.org/officeDocument/2006/relationships/hyperlink" Target="http://www.acma.gov.au/WEB/STANDARD/pc=PC_312460"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6.xml"/><Relationship Id="rId31"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www.acma.gov.au/WEB/STANDARD/pc=PC_312460" TargetMode="External"/><Relationship Id="rId30" Type="http://schemas.openxmlformats.org/officeDocument/2006/relationships/hyperlink" Target="http://www.acma.gov.au/WEB/STANDARD/pc=PC_312460" TargetMode="Externa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file:///\\act01srv03\dtb$\TV%20Planning\Restack%20Planning%20Principles\Decision%20Paper%20-%20May2011\%5d%20http:\www.acma.gov.au\webwr\_assets\main\lib312057\tps2011_01-qld_channel_plan_comparison_report.doc" TargetMode="External"/><Relationship Id="rId2" Type="http://schemas.openxmlformats.org/officeDocument/2006/relationships/hyperlink" Target="http://www.minister.dbcde.gov.au/media/media_releases/2010/062" TargetMode="External"/><Relationship Id="rId1" Type="http://schemas.openxmlformats.org/officeDocument/2006/relationships/hyperlink" Target="http://www.minister.dbcde.gov.au/media/media_releases/2010/062" TargetMode="External"/><Relationship Id="rId6" Type="http://schemas.openxmlformats.org/officeDocument/2006/relationships/hyperlink" Target="http://www.acma.gov.au/webwr/_assets/main/lib312057/tps2011_03-qld_restack_timing_report.doc" TargetMode="External"/><Relationship Id="rId5" Type="http://schemas.openxmlformats.org/officeDocument/2006/relationships/hyperlink" Target="http://www.acma.gov.au/webwr/_assets/main/lib312057/kordia_report-digital_tv_restack_costs.pdf" TargetMode="External"/><Relationship Id="rId4" Type="http://schemas.openxmlformats.org/officeDocument/2006/relationships/hyperlink" Target="http://www.acma.gov.au/webwr/_assets/main/lib312057/tps2011_02-costing_model_report.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E853CD-9E95-44F2-A97F-E029BDE1D416}">
  <ds:schemaRefs>
    <ds:schemaRef ds:uri="http://schemas.openxmlformats.org/officeDocument/2006/bibliography"/>
  </ds:schemaRefs>
</ds:datastoreItem>
</file>

<file path=customXml/itemProps2.xml><?xml version="1.0" encoding="utf-8"?>
<ds:datastoreItem xmlns:ds="http://schemas.openxmlformats.org/officeDocument/2006/customXml" ds:itemID="{58E8B276-E1FF-4F28-A739-4367DE824CDF}">
  <ds:schemaRefs>
    <ds:schemaRef ds:uri="http://schemas.openxmlformats.org/officeDocument/2006/bibliography"/>
  </ds:schemaRefs>
</ds:datastoreItem>
</file>

<file path=customXml/itemProps3.xml><?xml version="1.0" encoding="utf-8"?>
<ds:datastoreItem xmlns:ds="http://schemas.openxmlformats.org/officeDocument/2006/customXml" ds:itemID="{F45121FC-EEC6-496D-B86F-5D87C145EDD3}">
  <ds:schemaRefs>
    <ds:schemaRef ds:uri="http://schemas.openxmlformats.org/officeDocument/2006/bibliography"/>
  </ds:schemaRefs>
</ds:datastoreItem>
</file>

<file path=customXml/itemProps4.xml><?xml version="1.0" encoding="utf-8"?>
<ds:datastoreItem xmlns:ds="http://schemas.openxmlformats.org/officeDocument/2006/customXml" ds:itemID="{9D8B9F66-F371-4629-991D-29B5C3779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37</Pages>
  <Words>15573</Words>
  <Characters>85144</Characters>
  <Application>Microsoft Office Word</Application>
  <DocSecurity>0</DocSecurity>
  <Lines>709</Lines>
  <Paragraphs>201</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100516</CharactersWithSpaces>
  <SharedDoc>false</SharedDoc>
  <HLinks>
    <vt:vector size="72" baseType="variant">
      <vt:variant>
        <vt:i4>1441829</vt:i4>
      </vt:variant>
      <vt:variant>
        <vt:i4>69</vt:i4>
      </vt:variant>
      <vt:variant>
        <vt:i4>0</vt:i4>
      </vt:variant>
      <vt:variant>
        <vt:i4>5</vt:i4>
      </vt:variant>
      <vt:variant>
        <vt:lpwstr>http://www.acma.gov.au/WEB/STANDARD/pc=PC_312460</vt:lpwstr>
      </vt:variant>
      <vt:variant>
        <vt:lpwstr>submissions</vt:lpwstr>
      </vt:variant>
      <vt:variant>
        <vt:i4>65626</vt:i4>
      </vt:variant>
      <vt:variant>
        <vt:i4>66</vt:i4>
      </vt:variant>
      <vt:variant>
        <vt:i4>0</vt:i4>
      </vt:variant>
      <vt:variant>
        <vt:i4>5</vt:i4>
      </vt:variant>
      <vt:variant>
        <vt:lpwstr>http://www.comlaw.gov.au/Current/F2010L01990</vt:lpwstr>
      </vt:variant>
      <vt:variant>
        <vt:lpwstr/>
      </vt:variant>
      <vt:variant>
        <vt:i4>1441829</vt:i4>
      </vt:variant>
      <vt:variant>
        <vt:i4>63</vt:i4>
      </vt:variant>
      <vt:variant>
        <vt:i4>0</vt:i4>
      </vt:variant>
      <vt:variant>
        <vt:i4>5</vt:i4>
      </vt:variant>
      <vt:variant>
        <vt:lpwstr>http://www.acma.gov.au/WEB/STANDARD/pc=PC_312460</vt:lpwstr>
      </vt:variant>
      <vt:variant>
        <vt:lpwstr>submissions</vt:lpwstr>
      </vt:variant>
      <vt:variant>
        <vt:i4>1441829</vt:i4>
      </vt:variant>
      <vt:variant>
        <vt:i4>60</vt:i4>
      </vt:variant>
      <vt:variant>
        <vt:i4>0</vt:i4>
      </vt:variant>
      <vt:variant>
        <vt:i4>5</vt:i4>
      </vt:variant>
      <vt:variant>
        <vt:lpwstr>http://www.acma.gov.au/WEB/STANDARD/pc=PC_312460</vt:lpwstr>
      </vt:variant>
      <vt:variant>
        <vt:lpwstr>submissions</vt:lpwstr>
      </vt:variant>
      <vt:variant>
        <vt:i4>1835124</vt:i4>
      </vt:variant>
      <vt:variant>
        <vt:i4>57</vt:i4>
      </vt:variant>
      <vt:variant>
        <vt:i4>0</vt:i4>
      </vt:variant>
      <vt:variant>
        <vt:i4>5</vt:i4>
      </vt:variant>
      <vt:variant>
        <vt:lpwstr>mailto:media@acma.gov.au</vt:lpwstr>
      </vt:variant>
      <vt:variant>
        <vt:lpwstr/>
      </vt:variant>
      <vt:variant>
        <vt:i4>1441829</vt:i4>
      </vt:variant>
      <vt:variant>
        <vt:i4>54</vt:i4>
      </vt:variant>
      <vt:variant>
        <vt:i4>0</vt:i4>
      </vt:variant>
      <vt:variant>
        <vt:i4>5</vt:i4>
      </vt:variant>
      <vt:variant>
        <vt:lpwstr>http://www.acma.gov.au/WEB/STANDARD/pc=PC_312460</vt:lpwstr>
      </vt:variant>
      <vt:variant>
        <vt:lpwstr>submissions</vt:lpwstr>
      </vt:variant>
      <vt:variant>
        <vt:i4>6881309</vt:i4>
      </vt:variant>
      <vt:variant>
        <vt:i4>15</vt:i4>
      </vt:variant>
      <vt:variant>
        <vt:i4>0</vt:i4>
      </vt:variant>
      <vt:variant>
        <vt:i4>5</vt:i4>
      </vt:variant>
      <vt:variant>
        <vt:lpwstr>http://www.acma.gov.au/webwr/_assets/main/lib312057/tps2011_03-qld_restack_timing_report.doc</vt:lpwstr>
      </vt:variant>
      <vt:variant>
        <vt:lpwstr/>
      </vt:variant>
      <vt:variant>
        <vt:i4>3670099</vt:i4>
      </vt:variant>
      <vt:variant>
        <vt:i4>12</vt:i4>
      </vt:variant>
      <vt:variant>
        <vt:i4>0</vt:i4>
      </vt:variant>
      <vt:variant>
        <vt:i4>5</vt:i4>
      </vt:variant>
      <vt:variant>
        <vt:lpwstr>http://www.acma.gov.au/webwr/_assets/main/lib312057/kordia_report-digital_tv_restack_costs.pdf</vt:lpwstr>
      </vt:variant>
      <vt:variant>
        <vt:lpwstr/>
      </vt:variant>
      <vt:variant>
        <vt:i4>7143472</vt:i4>
      </vt:variant>
      <vt:variant>
        <vt:i4>9</vt:i4>
      </vt:variant>
      <vt:variant>
        <vt:i4>0</vt:i4>
      </vt:variant>
      <vt:variant>
        <vt:i4>5</vt:i4>
      </vt:variant>
      <vt:variant>
        <vt:lpwstr>http://www.acma.gov.au/webwr/_assets/main/lib312057/tps2011_02-costing_model_report.doc</vt:lpwstr>
      </vt:variant>
      <vt:variant>
        <vt:lpwstr/>
      </vt:variant>
      <vt:variant>
        <vt:i4>1704009</vt:i4>
      </vt:variant>
      <vt:variant>
        <vt:i4>6</vt:i4>
      </vt:variant>
      <vt:variant>
        <vt:i4>0</vt:i4>
      </vt:variant>
      <vt:variant>
        <vt:i4>5</vt:i4>
      </vt:variant>
      <vt:variant>
        <vt:lpwstr>\\act01srv03\dtb$\TV Planning\Restack Planning Principles\Decision Paper - May2011\] http:\www.acma.gov.au\webwr\_assets\main\lib312057\tps2011_01-qld_channel_plan_comparison_report.doc</vt:lpwstr>
      </vt:variant>
      <vt:variant>
        <vt:lpwstr/>
      </vt:variant>
      <vt:variant>
        <vt:i4>3866625</vt:i4>
      </vt:variant>
      <vt:variant>
        <vt:i4>3</vt:i4>
      </vt:variant>
      <vt:variant>
        <vt:i4>0</vt:i4>
      </vt:variant>
      <vt:variant>
        <vt:i4>5</vt:i4>
      </vt:variant>
      <vt:variant>
        <vt:lpwstr>http://www.minister.dbcde.gov.au/media/media_releases/2010/062</vt:lpwstr>
      </vt:variant>
      <vt:variant>
        <vt:lpwstr/>
      </vt:variant>
      <vt:variant>
        <vt:i4>3866625</vt:i4>
      </vt:variant>
      <vt:variant>
        <vt:i4>0</vt:i4>
      </vt:variant>
      <vt:variant>
        <vt:i4>0</vt:i4>
      </vt:variant>
      <vt:variant>
        <vt:i4>5</vt:i4>
      </vt:variant>
      <vt:variant>
        <vt:lpwstr>http://www.minister.dbcde.gov.au/media/media_releases/2010/062</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gellatlya</dc:creator>
  <cp:lastModifiedBy>Alastair Gellatly</cp:lastModifiedBy>
  <cp:revision>13</cp:revision>
  <cp:lastPrinted>2011-05-25T01:51:00Z</cp:lastPrinted>
  <dcterms:created xsi:type="dcterms:W3CDTF">2011-05-25T01:48:00Z</dcterms:created>
  <dcterms:modified xsi:type="dcterms:W3CDTF">2011-05-25T05:46:00Z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