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031263" w14:textId="77777777" w:rsidR="008C72D2" w:rsidRPr="00A85D75" w:rsidRDefault="00847C48" w:rsidP="00A51D1A">
      <w:pPr>
        <w:pStyle w:val="Reporttitle"/>
      </w:pPr>
      <w:r w:rsidRPr="00A85D75">
        <w:t>Replanning the 2 GHz band</w:t>
      </w:r>
      <w:r w:rsidR="00BB0057" w:rsidRPr="00A85D75">
        <w:t xml:space="preserve"> </w:t>
      </w:r>
    </w:p>
    <w:p w14:paraId="7C1C9FF4" w14:textId="7DE628A5" w:rsidR="00F06E14" w:rsidRPr="00A85D75" w:rsidRDefault="00BB0057" w:rsidP="00A51D1A">
      <w:pPr>
        <w:pStyle w:val="Reporttitle"/>
      </w:pPr>
      <w:r w:rsidRPr="00A85D75">
        <w:t>(1980</w:t>
      </w:r>
      <w:r w:rsidR="00553F17" w:rsidRPr="00A85D75">
        <w:t>–</w:t>
      </w:r>
      <w:r w:rsidRPr="00A85D75">
        <w:t>2010</w:t>
      </w:r>
      <w:r w:rsidR="00553F17" w:rsidRPr="00A85D75">
        <w:t xml:space="preserve"> and </w:t>
      </w:r>
      <w:r w:rsidRPr="00A85D75">
        <w:t>2170</w:t>
      </w:r>
      <w:r w:rsidR="00553F17" w:rsidRPr="00A85D75">
        <w:t>–</w:t>
      </w:r>
      <w:r w:rsidRPr="00A85D75">
        <w:t>2</w:t>
      </w:r>
      <w:r w:rsidR="00531306">
        <w:t>2</w:t>
      </w:r>
      <w:r w:rsidRPr="00A85D75">
        <w:t>00 MHz)</w:t>
      </w:r>
    </w:p>
    <w:p w14:paraId="71315ABC" w14:textId="64C16348" w:rsidR="00F06E14" w:rsidRPr="00A85D75" w:rsidRDefault="0051429E" w:rsidP="00F06E14">
      <w:pPr>
        <w:pStyle w:val="Reportsubtitle"/>
      </w:pPr>
      <w:r w:rsidRPr="00A85D75">
        <w:t>Outcomes paper</w:t>
      </w:r>
    </w:p>
    <w:p w14:paraId="0D72CB52" w14:textId="6E57DFB0" w:rsidR="00C97736" w:rsidRPr="00A85D75" w:rsidRDefault="00270F4D" w:rsidP="00EC2B68">
      <w:pPr>
        <w:pStyle w:val="Reportdate"/>
        <w:spacing w:after="720"/>
        <w:rPr>
          <w:rFonts w:cs="Arial"/>
        </w:rPr>
        <w:sectPr w:rsidR="00C97736" w:rsidRPr="00A85D75" w:rsidSect="0021426C">
          <w:headerReference w:type="even" r:id="rId8"/>
          <w:headerReference w:type="default" r:id="rId9"/>
          <w:footerReference w:type="even" r:id="rId10"/>
          <w:footerReference w:type="default" r:id="rId11"/>
          <w:headerReference w:type="first" r:id="rId12"/>
          <w:pgSz w:w="11906" w:h="16838" w:code="9"/>
          <w:pgMar w:top="3924" w:right="992" w:bottom="1440" w:left="1134" w:header="709" w:footer="454" w:gutter="0"/>
          <w:cols w:space="708"/>
          <w:docGrid w:linePitch="360"/>
        </w:sectPr>
      </w:pPr>
      <w:r>
        <w:t xml:space="preserve">january </w:t>
      </w:r>
      <w:r w:rsidR="00BD4421" w:rsidRPr="00A85D75">
        <w:t>20</w:t>
      </w:r>
      <w:r w:rsidR="008E0428" w:rsidRPr="00A85D75">
        <w:t>2</w:t>
      </w:r>
      <w:r w:rsidR="001A518C">
        <w:t>1</w:t>
      </w:r>
    </w:p>
    <w:p w14:paraId="07EEC75C" w14:textId="77777777" w:rsidR="0005011A" w:rsidRPr="00A85D75" w:rsidRDefault="0005011A" w:rsidP="00FC07B9">
      <w:pPr>
        <w:pStyle w:val="ACMACorporateAddressHeader"/>
      </w:pPr>
      <w:r w:rsidRPr="00A85D75">
        <w:lastRenderedPageBreak/>
        <w:t>Canberra</w:t>
      </w:r>
    </w:p>
    <w:p w14:paraId="6E62BB3B" w14:textId="77777777" w:rsidR="0005011A" w:rsidRPr="00A85D75" w:rsidRDefault="0005011A" w:rsidP="00FC07B9">
      <w:pPr>
        <w:pStyle w:val="ACMACorporateAddresses"/>
      </w:pPr>
      <w:r w:rsidRPr="00A85D75">
        <w:t xml:space="preserve">Red Building </w:t>
      </w:r>
      <w:r w:rsidRPr="00A85D75">
        <w:br/>
        <w:t>Benjamin Offices</w:t>
      </w:r>
      <w:r w:rsidRPr="00A85D75">
        <w:br/>
        <w:t xml:space="preserve">Chan Street </w:t>
      </w:r>
      <w:r w:rsidRPr="00A85D75">
        <w:br/>
        <w:t>Belconnen ACT</w:t>
      </w:r>
    </w:p>
    <w:p w14:paraId="5CB5CA15" w14:textId="77777777" w:rsidR="0005011A" w:rsidRPr="00A85D75" w:rsidRDefault="0005011A" w:rsidP="00FC07B9">
      <w:pPr>
        <w:pStyle w:val="ACMACorporateAddresses"/>
      </w:pPr>
      <w:r w:rsidRPr="00A85D75">
        <w:t>PO Box 78</w:t>
      </w:r>
      <w:r w:rsidRPr="00A85D75">
        <w:br/>
        <w:t>Belconnen ACT 2616</w:t>
      </w:r>
    </w:p>
    <w:p w14:paraId="45166703" w14:textId="77777777" w:rsidR="00FE1823" w:rsidRPr="00A85D75" w:rsidRDefault="0005011A" w:rsidP="00FC07B9">
      <w:pPr>
        <w:pStyle w:val="ACMACorporateAddresses"/>
      </w:pPr>
      <w:r w:rsidRPr="00A85D75">
        <w:t>T</w:t>
      </w:r>
      <w:r w:rsidR="00537604" w:rsidRPr="00A85D75">
        <w:tab/>
      </w:r>
      <w:r w:rsidRPr="00A85D75">
        <w:t>+61 2 6219 5555</w:t>
      </w:r>
      <w:r w:rsidRPr="00A85D75">
        <w:br/>
        <w:t>F</w:t>
      </w:r>
      <w:r w:rsidR="00537604" w:rsidRPr="00A85D75">
        <w:tab/>
      </w:r>
      <w:r w:rsidRPr="00A85D75">
        <w:t>+61 2 6219 5353</w:t>
      </w:r>
    </w:p>
    <w:p w14:paraId="077AC0B3" w14:textId="77777777" w:rsidR="0005011A" w:rsidRPr="00A85D75" w:rsidRDefault="0005011A" w:rsidP="00FC07B9">
      <w:pPr>
        <w:pStyle w:val="ACMACorporateAddressHeader"/>
      </w:pPr>
      <w:r w:rsidRPr="00A85D75">
        <w:t>Melbourne</w:t>
      </w:r>
    </w:p>
    <w:p w14:paraId="0B3F4801" w14:textId="77777777" w:rsidR="0005011A" w:rsidRPr="00A85D75" w:rsidRDefault="0005011A" w:rsidP="00FC07B9">
      <w:pPr>
        <w:pStyle w:val="ACMACorporateAddresses"/>
      </w:pPr>
      <w:r w:rsidRPr="00A85D75">
        <w:t xml:space="preserve">Level 32 </w:t>
      </w:r>
      <w:r w:rsidRPr="00A85D75">
        <w:br/>
        <w:t>Melbourne Central Tower</w:t>
      </w:r>
      <w:r w:rsidRPr="00A85D75">
        <w:br/>
        <w:t xml:space="preserve">360 Elizabeth Street </w:t>
      </w:r>
      <w:r w:rsidR="008C10F4" w:rsidRPr="00A85D75">
        <w:br/>
      </w:r>
      <w:r w:rsidRPr="00A85D75">
        <w:t>Melbourne VIC</w:t>
      </w:r>
    </w:p>
    <w:p w14:paraId="15BA11F4" w14:textId="77777777" w:rsidR="0005011A" w:rsidRPr="00A85D75" w:rsidRDefault="0005011A" w:rsidP="00FC07B9">
      <w:pPr>
        <w:pStyle w:val="ACMACorporateAddresses"/>
      </w:pPr>
      <w:r w:rsidRPr="00A85D75">
        <w:t>PO Box 13112</w:t>
      </w:r>
      <w:r w:rsidRPr="00A85D75">
        <w:br/>
        <w:t xml:space="preserve">Law Courts </w:t>
      </w:r>
      <w:r w:rsidRPr="00A85D75">
        <w:br/>
        <w:t>Melbourne VIC 8010</w:t>
      </w:r>
    </w:p>
    <w:p w14:paraId="1E4F6AFA" w14:textId="77777777" w:rsidR="0005011A" w:rsidRPr="00A85D75" w:rsidRDefault="0005011A" w:rsidP="00FC07B9">
      <w:pPr>
        <w:pStyle w:val="ACMACorporateAddresses"/>
      </w:pPr>
      <w:r w:rsidRPr="00A85D75">
        <w:t>T</w:t>
      </w:r>
      <w:r w:rsidR="00140318" w:rsidRPr="00A85D75">
        <w:tab/>
      </w:r>
      <w:r w:rsidRPr="00A85D75">
        <w:t>+61 3 9963 6800</w:t>
      </w:r>
      <w:r w:rsidRPr="00A85D75">
        <w:br/>
        <w:t>F</w:t>
      </w:r>
      <w:r w:rsidR="00140318" w:rsidRPr="00A85D75">
        <w:tab/>
      </w:r>
      <w:r w:rsidRPr="00A85D75">
        <w:t>+61 3 9963 6899</w:t>
      </w:r>
    </w:p>
    <w:p w14:paraId="67C7A82C" w14:textId="77777777" w:rsidR="0005011A" w:rsidRPr="00A85D75" w:rsidRDefault="0005011A" w:rsidP="00FC07B9">
      <w:pPr>
        <w:pStyle w:val="ACMACorporateAddressHeader"/>
      </w:pPr>
      <w:r w:rsidRPr="00A85D75">
        <w:t>Sydney</w:t>
      </w:r>
    </w:p>
    <w:p w14:paraId="718B9864" w14:textId="77777777" w:rsidR="0005011A" w:rsidRPr="00A85D75" w:rsidRDefault="0005011A" w:rsidP="00FC07B9">
      <w:pPr>
        <w:pStyle w:val="ACMACorporateAddresses"/>
      </w:pPr>
      <w:r w:rsidRPr="00A85D75">
        <w:t xml:space="preserve">Level 5 </w:t>
      </w:r>
      <w:r w:rsidRPr="00A85D75">
        <w:br/>
        <w:t>The Bay Centre</w:t>
      </w:r>
      <w:r w:rsidRPr="00A85D75">
        <w:br/>
        <w:t xml:space="preserve">65 Pirrama Road </w:t>
      </w:r>
      <w:r w:rsidRPr="00A85D75">
        <w:br/>
        <w:t>Pyrmont NSW</w:t>
      </w:r>
    </w:p>
    <w:p w14:paraId="13623090" w14:textId="77777777" w:rsidR="0005011A" w:rsidRPr="00A85D75" w:rsidRDefault="0005011A" w:rsidP="00FC07B9">
      <w:pPr>
        <w:pStyle w:val="ACMACorporateAddresses"/>
      </w:pPr>
      <w:r w:rsidRPr="00A85D75">
        <w:t>PO Box Q500</w:t>
      </w:r>
      <w:r w:rsidRPr="00A85D75">
        <w:br/>
        <w:t xml:space="preserve">Queen Victoria Building </w:t>
      </w:r>
      <w:r w:rsidRPr="00A85D75">
        <w:br/>
        <w:t>NSW 1230</w:t>
      </w:r>
    </w:p>
    <w:p w14:paraId="38EDBE15" w14:textId="77777777" w:rsidR="0005011A" w:rsidRPr="00A85D75" w:rsidRDefault="0005011A" w:rsidP="00FC07B9">
      <w:pPr>
        <w:pStyle w:val="ACMACorporateAddresses"/>
      </w:pPr>
      <w:r w:rsidRPr="00A85D75">
        <w:t>T</w:t>
      </w:r>
      <w:r w:rsidR="00140318" w:rsidRPr="00A85D75">
        <w:tab/>
      </w:r>
      <w:r w:rsidRPr="00A85D75">
        <w:t>+61 2 9334 7700</w:t>
      </w:r>
      <w:r w:rsidR="00140318" w:rsidRPr="00A85D75">
        <w:t xml:space="preserve"> or</w:t>
      </w:r>
      <w:r w:rsidRPr="00A85D75">
        <w:t xml:space="preserve"> 1800 226 667</w:t>
      </w:r>
      <w:r w:rsidRPr="00A85D75">
        <w:br/>
        <w:t>F</w:t>
      </w:r>
      <w:r w:rsidR="00140318" w:rsidRPr="00A85D75">
        <w:tab/>
      </w:r>
      <w:r w:rsidRPr="00A85D75">
        <w:t>+61 2 9334 7799</w:t>
      </w:r>
    </w:p>
    <w:p w14:paraId="13A20732" w14:textId="77777777" w:rsidR="00140318" w:rsidRPr="00A85D75" w:rsidRDefault="00140318" w:rsidP="00FC07B9">
      <w:pPr>
        <w:pStyle w:val="ACMACopyrightHeader"/>
      </w:pPr>
      <w:r w:rsidRPr="00A85D75">
        <w:t>Copyright notice</w:t>
      </w:r>
    </w:p>
    <w:p w14:paraId="49FABB4A" w14:textId="77777777" w:rsidR="00140318" w:rsidRPr="00A85D75" w:rsidRDefault="00623FF9" w:rsidP="00623FF9">
      <w:pPr>
        <w:pStyle w:val="ACMACClogo"/>
      </w:pPr>
      <w:r w:rsidRPr="00A85D75">
        <w:rPr>
          <w:noProof/>
        </w:rPr>
        <w:drawing>
          <wp:inline distT="0" distB="0" distL="0" distR="0" wp14:anchorId="0D5DAA8A" wp14:editId="3A0C3266">
            <wp:extent cx="838200" cy="295275"/>
            <wp:effectExtent l="0" t="0" r="0" b="0"/>
            <wp:docPr id="1" name="Picture 1" title="Creative Commons logo">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4">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32EFF394" w14:textId="77777777" w:rsidR="00AA2DE5" w:rsidRPr="00A85D75" w:rsidRDefault="00C71CF3" w:rsidP="00AA2DE5">
      <w:pPr>
        <w:pStyle w:val="ACMACorporateAddresses"/>
        <w:rPr>
          <w:rStyle w:val="Hyperlink"/>
        </w:rPr>
      </w:pPr>
      <w:hyperlink r:id="rId15" w:history="1">
        <w:r w:rsidR="00AA2DE5" w:rsidRPr="00A85D75">
          <w:rPr>
            <w:rStyle w:val="Hyperlink"/>
          </w:rPr>
          <w:t>https://creativecommons.org/licenses/by/4.0/</w:t>
        </w:r>
      </w:hyperlink>
    </w:p>
    <w:p w14:paraId="3A604B9C" w14:textId="77777777" w:rsidR="00AA2DE5" w:rsidRPr="00A85D75" w:rsidRDefault="00AA2DE5" w:rsidP="00AA2DE5">
      <w:pPr>
        <w:pStyle w:val="ACMACorporateAddresses"/>
      </w:pPr>
      <w:r w:rsidRPr="00A85D75">
        <w:t xml:space="preserve">With the exception of coats of arms, logos, emblems, images, other third-party material or devices protected by a trademark, this content is made available under the terms of the Creative Commons Attribution 4.0 International (CC BY 4.0) licence. </w:t>
      </w:r>
    </w:p>
    <w:p w14:paraId="1B416728" w14:textId="7D0ED407" w:rsidR="00AA2DE5" w:rsidRPr="00A85D75" w:rsidRDefault="00AA2DE5" w:rsidP="00AA2DE5">
      <w:pPr>
        <w:pStyle w:val="ACMACorporateAddresses"/>
      </w:pPr>
      <w:r w:rsidRPr="00A85D75">
        <w:t>We request attribution as © Commonwealth of Australia (Australian Communications and Media Authority) 20</w:t>
      </w:r>
      <w:r w:rsidR="00C41F21" w:rsidRPr="00A85D75">
        <w:t>2</w:t>
      </w:r>
      <w:r w:rsidR="007B6CFC">
        <w:t>1</w:t>
      </w:r>
    </w:p>
    <w:p w14:paraId="371F27F3" w14:textId="77777777" w:rsidR="00AA2DE5" w:rsidRPr="00A85D75" w:rsidRDefault="00AA2DE5" w:rsidP="00AA2DE5">
      <w:pPr>
        <w:pStyle w:val="ACMACorporateAddresses"/>
      </w:pPr>
      <w:r w:rsidRPr="00A85D75">
        <w:t>All other rights are reserved.</w:t>
      </w:r>
    </w:p>
    <w:p w14:paraId="414C5484" w14:textId="77777777" w:rsidR="00AA2DE5" w:rsidRPr="00A85D75" w:rsidRDefault="00AA2DE5" w:rsidP="00AA2DE5">
      <w:pPr>
        <w:pStyle w:val="ACMACorporateAddresses"/>
      </w:pPr>
      <w:r w:rsidRPr="00A85D7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853317C" w14:textId="77777777" w:rsidR="00AA2DE5" w:rsidRPr="00A85D75" w:rsidRDefault="00AA2DE5" w:rsidP="00AA2DE5">
      <w:pPr>
        <w:pStyle w:val="ACMACorporateAddresses"/>
      </w:pPr>
      <w:r w:rsidRPr="00A85D75">
        <w:t>Written enquiries may be sent to:</w:t>
      </w:r>
    </w:p>
    <w:p w14:paraId="1A9E1A3F" w14:textId="77777777" w:rsidR="00AA2DE5" w:rsidRPr="00A85D75" w:rsidRDefault="00AA2DE5" w:rsidP="00AA2DE5">
      <w:pPr>
        <w:pStyle w:val="ACMACorporateAddresses"/>
        <w:rPr>
          <w:rStyle w:val="Hyperlink"/>
        </w:rPr>
      </w:pPr>
      <w:r w:rsidRPr="00A85D75">
        <w:t xml:space="preserve">Manager, Editorial </w:t>
      </w:r>
      <w:r w:rsidR="000245E5" w:rsidRPr="00A85D75">
        <w:t>Services</w:t>
      </w:r>
      <w:r w:rsidRPr="00A85D75">
        <w:br/>
        <w:t>PO Box 13112</w:t>
      </w:r>
      <w:r w:rsidRPr="00A85D75">
        <w:br/>
        <w:t>Law Courts</w:t>
      </w:r>
      <w:r w:rsidRPr="00A85D75">
        <w:br/>
        <w:t>Melbourne VIC 8010</w:t>
      </w:r>
      <w:r w:rsidRPr="00A85D75">
        <w:br/>
        <w:t xml:space="preserve">Email: </w:t>
      </w:r>
      <w:hyperlink r:id="rId16" w:history="1">
        <w:r w:rsidRPr="00A85D75">
          <w:rPr>
            <w:rStyle w:val="Hyperlink"/>
          </w:rPr>
          <w:t>info@acma.gov.au</w:t>
        </w:r>
      </w:hyperlink>
    </w:p>
    <w:p w14:paraId="3E619F34" w14:textId="77777777" w:rsidR="00D16FE3" w:rsidRPr="00A85D75" w:rsidRDefault="00D16FE3" w:rsidP="00D16FE3">
      <w:pPr>
        <w:pStyle w:val="ACMACorporateAddresses"/>
        <w:rPr>
          <w:rStyle w:val="Hyperlink"/>
        </w:rPr>
      </w:pPr>
    </w:p>
    <w:p w14:paraId="42257032" w14:textId="77777777" w:rsidR="00D16FE3" w:rsidRPr="00A85D75" w:rsidRDefault="00D16FE3" w:rsidP="00D16FE3">
      <w:pPr>
        <w:pStyle w:val="ACMACorporateAddresses"/>
        <w:sectPr w:rsidR="00D16FE3" w:rsidRPr="00A85D75">
          <w:headerReference w:type="even" r:id="rId17"/>
          <w:headerReference w:type="default" r:id="rId18"/>
          <w:footerReference w:type="even" r:id="rId19"/>
          <w:footerReference w:type="default" r:id="rId20"/>
          <w:pgSz w:w="11906" w:h="16838" w:code="9"/>
          <w:pgMar w:top="3924" w:right="1797" w:bottom="697" w:left="1134" w:header="709" w:footer="119" w:gutter="0"/>
          <w:cols w:space="708"/>
          <w:docGrid w:linePitch="360"/>
        </w:sectPr>
      </w:pPr>
    </w:p>
    <w:p w14:paraId="6389C89B" w14:textId="4AC3D93F" w:rsidR="00A901CF" w:rsidRDefault="00A901CF">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61364819" w:history="1">
        <w:r w:rsidRPr="00426A4F">
          <w:rPr>
            <w:rStyle w:val="Hyperlink"/>
          </w:rPr>
          <w:t>Executive summary</w:t>
        </w:r>
        <w:r>
          <w:rPr>
            <w:webHidden/>
          </w:rPr>
          <w:tab/>
        </w:r>
        <w:r>
          <w:rPr>
            <w:webHidden/>
          </w:rPr>
          <w:fldChar w:fldCharType="begin"/>
        </w:r>
        <w:r>
          <w:rPr>
            <w:webHidden/>
          </w:rPr>
          <w:instrText xml:space="preserve"> PAGEREF _Toc61364819 \h </w:instrText>
        </w:r>
        <w:r>
          <w:rPr>
            <w:webHidden/>
          </w:rPr>
        </w:r>
        <w:r>
          <w:rPr>
            <w:webHidden/>
          </w:rPr>
          <w:fldChar w:fldCharType="separate"/>
        </w:r>
        <w:r w:rsidR="00DF3A4D">
          <w:rPr>
            <w:webHidden/>
          </w:rPr>
          <w:t>1</w:t>
        </w:r>
        <w:r>
          <w:rPr>
            <w:webHidden/>
          </w:rPr>
          <w:fldChar w:fldCharType="end"/>
        </w:r>
      </w:hyperlink>
    </w:p>
    <w:p w14:paraId="37E1C776" w14:textId="03AE55E3" w:rsidR="00A901CF" w:rsidRDefault="00C71CF3">
      <w:pPr>
        <w:pStyle w:val="TOC2"/>
        <w:rPr>
          <w:rFonts w:asciiTheme="minorHAnsi" w:eastAsiaTheme="minorEastAsia" w:hAnsiTheme="minorHAnsi" w:cstheme="minorBidi"/>
          <w:spacing w:val="0"/>
          <w:sz w:val="22"/>
          <w:szCs w:val="22"/>
        </w:rPr>
      </w:pPr>
      <w:hyperlink w:anchor="_Toc61364820" w:history="1">
        <w:r w:rsidR="00A901CF" w:rsidRPr="00426A4F">
          <w:rPr>
            <w:rStyle w:val="Hyperlink"/>
          </w:rPr>
          <w:t>Industry feedback and ACMA considerations</w:t>
        </w:r>
        <w:r w:rsidR="00A901CF">
          <w:rPr>
            <w:webHidden/>
          </w:rPr>
          <w:tab/>
        </w:r>
        <w:r w:rsidR="00A901CF">
          <w:rPr>
            <w:webHidden/>
          </w:rPr>
          <w:fldChar w:fldCharType="begin"/>
        </w:r>
        <w:r w:rsidR="00A901CF">
          <w:rPr>
            <w:webHidden/>
          </w:rPr>
          <w:instrText xml:space="preserve"> PAGEREF _Toc61364820 \h </w:instrText>
        </w:r>
        <w:r w:rsidR="00A901CF">
          <w:rPr>
            <w:webHidden/>
          </w:rPr>
        </w:r>
        <w:r w:rsidR="00A901CF">
          <w:rPr>
            <w:webHidden/>
          </w:rPr>
          <w:fldChar w:fldCharType="separate"/>
        </w:r>
        <w:r w:rsidR="00DF3A4D">
          <w:rPr>
            <w:webHidden/>
          </w:rPr>
          <w:t>2</w:t>
        </w:r>
        <w:r w:rsidR="00A901CF">
          <w:rPr>
            <w:webHidden/>
          </w:rPr>
          <w:fldChar w:fldCharType="end"/>
        </w:r>
      </w:hyperlink>
    </w:p>
    <w:p w14:paraId="6BADDBF2" w14:textId="55D1A1C6" w:rsidR="00A901CF" w:rsidRDefault="00C71CF3">
      <w:pPr>
        <w:pStyle w:val="TOC2"/>
        <w:rPr>
          <w:rFonts w:asciiTheme="minorHAnsi" w:eastAsiaTheme="minorEastAsia" w:hAnsiTheme="minorHAnsi" w:cstheme="minorBidi"/>
          <w:spacing w:val="0"/>
          <w:sz w:val="22"/>
          <w:szCs w:val="22"/>
        </w:rPr>
      </w:pPr>
      <w:hyperlink w:anchor="_Toc61364821" w:history="1">
        <w:r w:rsidR="00A901CF" w:rsidRPr="00426A4F">
          <w:rPr>
            <w:rStyle w:val="Hyperlink"/>
          </w:rPr>
          <w:t>Planning decisions and preliminary views</w:t>
        </w:r>
        <w:r w:rsidR="00A901CF">
          <w:rPr>
            <w:webHidden/>
          </w:rPr>
          <w:tab/>
        </w:r>
        <w:r w:rsidR="00A901CF">
          <w:rPr>
            <w:webHidden/>
          </w:rPr>
          <w:fldChar w:fldCharType="begin"/>
        </w:r>
        <w:r w:rsidR="00A901CF">
          <w:rPr>
            <w:webHidden/>
          </w:rPr>
          <w:instrText xml:space="preserve"> PAGEREF _Toc61364821 \h </w:instrText>
        </w:r>
        <w:r w:rsidR="00A901CF">
          <w:rPr>
            <w:webHidden/>
          </w:rPr>
        </w:r>
        <w:r w:rsidR="00A901CF">
          <w:rPr>
            <w:webHidden/>
          </w:rPr>
          <w:fldChar w:fldCharType="separate"/>
        </w:r>
        <w:r w:rsidR="00DF3A4D">
          <w:rPr>
            <w:webHidden/>
          </w:rPr>
          <w:t>2</w:t>
        </w:r>
        <w:r w:rsidR="00A901CF">
          <w:rPr>
            <w:webHidden/>
          </w:rPr>
          <w:fldChar w:fldCharType="end"/>
        </w:r>
      </w:hyperlink>
    </w:p>
    <w:p w14:paraId="07DBCA34" w14:textId="24642CD7" w:rsidR="00A901CF" w:rsidRDefault="00C71CF3">
      <w:pPr>
        <w:pStyle w:val="TOC2"/>
        <w:rPr>
          <w:rFonts w:asciiTheme="minorHAnsi" w:eastAsiaTheme="minorEastAsia" w:hAnsiTheme="minorHAnsi" w:cstheme="minorBidi"/>
          <w:spacing w:val="0"/>
          <w:sz w:val="22"/>
          <w:szCs w:val="22"/>
        </w:rPr>
      </w:pPr>
      <w:hyperlink w:anchor="_Toc61364822" w:history="1">
        <w:r w:rsidR="00A901CF" w:rsidRPr="00426A4F">
          <w:rPr>
            <w:rStyle w:val="Hyperlink"/>
          </w:rPr>
          <w:t>Next steps</w:t>
        </w:r>
        <w:r w:rsidR="00A901CF">
          <w:rPr>
            <w:webHidden/>
          </w:rPr>
          <w:tab/>
        </w:r>
        <w:r w:rsidR="00A901CF">
          <w:rPr>
            <w:webHidden/>
          </w:rPr>
          <w:fldChar w:fldCharType="begin"/>
        </w:r>
        <w:r w:rsidR="00A901CF">
          <w:rPr>
            <w:webHidden/>
          </w:rPr>
          <w:instrText xml:space="preserve"> PAGEREF _Toc61364822 \h </w:instrText>
        </w:r>
        <w:r w:rsidR="00A901CF">
          <w:rPr>
            <w:webHidden/>
          </w:rPr>
        </w:r>
        <w:r w:rsidR="00A901CF">
          <w:rPr>
            <w:webHidden/>
          </w:rPr>
          <w:fldChar w:fldCharType="separate"/>
        </w:r>
        <w:r w:rsidR="00DF3A4D">
          <w:rPr>
            <w:webHidden/>
          </w:rPr>
          <w:t>4</w:t>
        </w:r>
        <w:r w:rsidR="00A901CF">
          <w:rPr>
            <w:webHidden/>
          </w:rPr>
          <w:fldChar w:fldCharType="end"/>
        </w:r>
      </w:hyperlink>
    </w:p>
    <w:p w14:paraId="15E8E6F7" w14:textId="58DB883A" w:rsidR="00A901CF" w:rsidRDefault="00C71CF3">
      <w:pPr>
        <w:pStyle w:val="TOC1"/>
        <w:rPr>
          <w:rFonts w:asciiTheme="minorHAnsi" w:eastAsiaTheme="minorEastAsia" w:hAnsiTheme="minorHAnsi" w:cstheme="minorBidi"/>
          <w:b w:val="0"/>
          <w:spacing w:val="0"/>
          <w:sz w:val="22"/>
          <w:szCs w:val="22"/>
        </w:rPr>
      </w:pPr>
      <w:hyperlink w:anchor="_Toc61364823" w:history="1">
        <w:r w:rsidR="00A901CF" w:rsidRPr="00426A4F">
          <w:rPr>
            <w:rStyle w:val="Hyperlink"/>
          </w:rPr>
          <w:t>Introduction</w:t>
        </w:r>
        <w:r w:rsidR="00A901CF">
          <w:rPr>
            <w:webHidden/>
          </w:rPr>
          <w:tab/>
        </w:r>
        <w:r w:rsidR="00A901CF">
          <w:rPr>
            <w:webHidden/>
          </w:rPr>
          <w:fldChar w:fldCharType="begin"/>
        </w:r>
        <w:r w:rsidR="00A901CF">
          <w:rPr>
            <w:webHidden/>
          </w:rPr>
          <w:instrText xml:space="preserve"> PAGEREF _Toc61364823 \h </w:instrText>
        </w:r>
        <w:r w:rsidR="00A901CF">
          <w:rPr>
            <w:webHidden/>
          </w:rPr>
        </w:r>
        <w:r w:rsidR="00A901CF">
          <w:rPr>
            <w:webHidden/>
          </w:rPr>
          <w:fldChar w:fldCharType="separate"/>
        </w:r>
        <w:r w:rsidR="00DF3A4D">
          <w:rPr>
            <w:webHidden/>
          </w:rPr>
          <w:t>5</w:t>
        </w:r>
        <w:r w:rsidR="00A901CF">
          <w:rPr>
            <w:webHidden/>
          </w:rPr>
          <w:fldChar w:fldCharType="end"/>
        </w:r>
      </w:hyperlink>
    </w:p>
    <w:p w14:paraId="22F13C71" w14:textId="39539DF1" w:rsidR="00A901CF" w:rsidRDefault="00C71CF3">
      <w:pPr>
        <w:pStyle w:val="TOC2"/>
        <w:rPr>
          <w:rFonts w:asciiTheme="minorHAnsi" w:eastAsiaTheme="minorEastAsia" w:hAnsiTheme="minorHAnsi" w:cstheme="minorBidi"/>
          <w:spacing w:val="0"/>
          <w:sz w:val="22"/>
          <w:szCs w:val="22"/>
        </w:rPr>
      </w:pPr>
      <w:hyperlink w:anchor="_Toc61364824" w:history="1">
        <w:r w:rsidR="00A901CF" w:rsidRPr="00426A4F">
          <w:rPr>
            <w:rStyle w:val="Hyperlink"/>
          </w:rPr>
          <w:t>Legislative and policy environment</w:t>
        </w:r>
        <w:r w:rsidR="00A901CF">
          <w:rPr>
            <w:webHidden/>
          </w:rPr>
          <w:tab/>
        </w:r>
        <w:r w:rsidR="00A901CF">
          <w:rPr>
            <w:webHidden/>
          </w:rPr>
          <w:fldChar w:fldCharType="begin"/>
        </w:r>
        <w:r w:rsidR="00A901CF">
          <w:rPr>
            <w:webHidden/>
          </w:rPr>
          <w:instrText xml:space="preserve"> PAGEREF _Toc61364824 \h </w:instrText>
        </w:r>
        <w:r w:rsidR="00A901CF">
          <w:rPr>
            <w:webHidden/>
          </w:rPr>
        </w:r>
        <w:r w:rsidR="00A901CF">
          <w:rPr>
            <w:webHidden/>
          </w:rPr>
          <w:fldChar w:fldCharType="separate"/>
        </w:r>
        <w:r w:rsidR="00DF3A4D">
          <w:rPr>
            <w:webHidden/>
          </w:rPr>
          <w:t>5</w:t>
        </w:r>
        <w:r w:rsidR="00A901CF">
          <w:rPr>
            <w:webHidden/>
          </w:rPr>
          <w:fldChar w:fldCharType="end"/>
        </w:r>
      </w:hyperlink>
    </w:p>
    <w:p w14:paraId="1BA8830F" w14:textId="01407E9A" w:rsidR="00A901CF" w:rsidRDefault="00C71CF3">
      <w:pPr>
        <w:pStyle w:val="TOC3"/>
        <w:rPr>
          <w:rFonts w:asciiTheme="minorHAnsi" w:eastAsiaTheme="minorEastAsia" w:hAnsiTheme="minorHAnsi" w:cstheme="minorBidi"/>
        </w:rPr>
      </w:pPr>
      <w:hyperlink w:anchor="_Toc61364825" w:history="1">
        <w:r w:rsidR="00A901CF" w:rsidRPr="00426A4F">
          <w:rPr>
            <w:rStyle w:val="Hyperlink"/>
          </w:rPr>
          <w:t>Guiding legislation and policy</w:t>
        </w:r>
        <w:r w:rsidR="00A901CF">
          <w:rPr>
            <w:webHidden/>
          </w:rPr>
          <w:tab/>
        </w:r>
        <w:r w:rsidR="00A901CF">
          <w:rPr>
            <w:webHidden/>
          </w:rPr>
          <w:fldChar w:fldCharType="begin"/>
        </w:r>
        <w:r w:rsidR="00A901CF">
          <w:rPr>
            <w:webHidden/>
          </w:rPr>
          <w:instrText xml:space="preserve"> PAGEREF _Toc61364825 \h </w:instrText>
        </w:r>
        <w:r w:rsidR="00A901CF">
          <w:rPr>
            <w:webHidden/>
          </w:rPr>
        </w:r>
        <w:r w:rsidR="00A901CF">
          <w:rPr>
            <w:webHidden/>
          </w:rPr>
          <w:fldChar w:fldCharType="separate"/>
        </w:r>
        <w:r w:rsidR="00DF3A4D">
          <w:rPr>
            <w:webHidden/>
          </w:rPr>
          <w:t>5</w:t>
        </w:r>
        <w:r w:rsidR="00A901CF">
          <w:rPr>
            <w:webHidden/>
          </w:rPr>
          <w:fldChar w:fldCharType="end"/>
        </w:r>
      </w:hyperlink>
    </w:p>
    <w:p w14:paraId="2AB89F48" w14:textId="1270A537" w:rsidR="00A901CF" w:rsidRDefault="00C71CF3">
      <w:pPr>
        <w:pStyle w:val="TOC3"/>
        <w:rPr>
          <w:rFonts w:asciiTheme="minorHAnsi" w:eastAsiaTheme="minorEastAsia" w:hAnsiTheme="minorHAnsi" w:cstheme="minorBidi"/>
        </w:rPr>
      </w:pPr>
      <w:hyperlink w:anchor="_Toc61364826" w:history="1">
        <w:r w:rsidR="00A901CF" w:rsidRPr="00426A4F">
          <w:rPr>
            <w:rStyle w:val="Hyperlink"/>
          </w:rPr>
          <w:t>Other relevant advice</w:t>
        </w:r>
        <w:r w:rsidR="00A901CF">
          <w:rPr>
            <w:webHidden/>
          </w:rPr>
          <w:tab/>
        </w:r>
        <w:r w:rsidR="00A901CF">
          <w:rPr>
            <w:webHidden/>
          </w:rPr>
          <w:fldChar w:fldCharType="begin"/>
        </w:r>
        <w:r w:rsidR="00A901CF">
          <w:rPr>
            <w:webHidden/>
          </w:rPr>
          <w:instrText xml:space="preserve"> PAGEREF _Toc61364826 \h </w:instrText>
        </w:r>
        <w:r w:rsidR="00A901CF">
          <w:rPr>
            <w:webHidden/>
          </w:rPr>
        </w:r>
        <w:r w:rsidR="00A901CF">
          <w:rPr>
            <w:webHidden/>
          </w:rPr>
          <w:fldChar w:fldCharType="separate"/>
        </w:r>
        <w:r w:rsidR="00DF3A4D">
          <w:rPr>
            <w:webHidden/>
          </w:rPr>
          <w:t>6</w:t>
        </w:r>
        <w:r w:rsidR="00A901CF">
          <w:rPr>
            <w:webHidden/>
          </w:rPr>
          <w:fldChar w:fldCharType="end"/>
        </w:r>
      </w:hyperlink>
    </w:p>
    <w:p w14:paraId="07C355EA" w14:textId="76A83A97" w:rsidR="00A901CF" w:rsidRDefault="00C71CF3">
      <w:pPr>
        <w:pStyle w:val="TOC2"/>
        <w:rPr>
          <w:rFonts w:asciiTheme="minorHAnsi" w:eastAsiaTheme="minorEastAsia" w:hAnsiTheme="minorHAnsi" w:cstheme="minorBidi"/>
          <w:spacing w:val="0"/>
          <w:sz w:val="22"/>
          <w:szCs w:val="22"/>
        </w:rPr>
      </w:pPr>
      <w:hyperlink w:anchor="_Toc61364827" w:history="1">
        <w:r w:rsidR="00A901CF" w:rsidRPr="00426A4F">
          <w:rPr>
            <w:rStyle w:val="Hyperlink"/>
          </w:rPr>
          <w:t>Licensing arrangements</w:t>
        </w:r>
        <w:r w:rsidR="00A901CF">
          <w:rPr>
            <w:webHidden/>
          </w:rPr>
          <w:tab/>
        </w:r>
        <w:r w:rsidR="00A901CF">
          <w:rPr>
            <w:webHidden/>
          </w:rPr>
          <w:fldChar w:fldCharType="begin"/>
        </w:r>
        <w:r w:rsidR="00A901CF">
          <w:rPr>
            <w:webHidden/>
          </w:rPr>
          <w:instrText xml:space="preserve"> PAGEREF _Toc61364827 \h </w:instrText>
        </w:r>
        <w:r w:rsidR="00A901CF">
          <w:rPr>
            <w:webHidden/>
          </w:rPr>
        </w:r>
        <w:r w:rsidR="00A901CF">
          <w:rPr>
            <w:webHidden/>
          </w:rPr>
          <w:fldChar w:fldCharType="separate"/>
        </w:r>
        <w:r w:rsidR="00DF3A4D">
          <w:rPr>
            <w:webHidden/>
          </w:rPr>
          <w:t>6</w:t>
        </w:r>
        <w:r w:rsidR="00A901CF">
          <w:rPr>
            <w:webHidden/>
          </w:rPr>
          <w:fldChar w:fldCharType="end"/>
        </w:r>
      </w:hyperlink>
    </w:p>
    <w:p w14:paraId="6BC3B3CB" w14:textId="474F3BC5" w:rsidR="00A901CF" w:rsidRDefault="00C71CF3">
      <w:pPr>
        <w:pStyle w:val="TOC3"/>
        <w:rPr>
          <w:rFonts w:asciiTheme="minorHAnsi" w:eastAsiaTheme="minorEastAsia" w:hAnsiTheme="minorHAnsi" w:cstheme="minorBidi"/>
        </w:rPr>
      </w:pPr>
      <w:hyperlink w:anchor="_Toc61364828" w:history="1">
        <w:r w:rsidR="00A901CF" w:rsidRPr="00426A4F">
          <w:rPr>
            <w:rStyle w:val="Hyperlink"/>
          </w:rPr>
          <w:t>Spectrum planning outcomes development</w:t>
        </w:r>
        <w:r w:rsidR="00A901CF">
          <w:rPr>
            <w:webHidden/>
          </w:rPr>
          <w:tab/>
        </w:r>
        <w:r w:rsidR="00A901CF">
          <w:rPr>
            <w:webHidden/>
          </w:rPr>
          <w:fldChar w:fldCharType="begin"/>
        </w:r>
        <w:r w:rsidR="00A901CF">
          <w:rPr>
            <w:webHidden/>
          </w:rPr>
          <w:instrText xml:space="preserve"> PAGEREF _Toc61364828 \h </w:instrText>
        </w:r>
        <w:r w:rsidR="00A901CF">
          <w:rPr>
            <w:webHidden/>
          </w:rPr>
        </w:r>
        <w:r w:rsidR="00A901CF">
          <w:rPr>
            <w:webHidden/>
          </w:rPr>
          <w:fldChar w:fldCharType="separate"/>
        </w:r>
        <w:r w:rsidR="00DF3A4D">
          <w:rPr>
            <w:webHidden/>
          </w:rPr>
          <w:t>7</w:t>
        </w:r>
        <w:r w:rsidR="00A901CF">
          <w:rPr>
            <w:webHidden/>
          </w:rPr>
          <w:fldChar w:fldCharType="end"/>
        </w:r>
      </w:hyperlink>
    </w:p>
    <w:p w14:paraId="4DD55F04" w14:textId="49D309C0" w:rsidR="00A901CF" w:rsidRDefault="00C71CF3">
      <w:pPr>
        <w:pStyle w:val="TOC2"/>
        <w:rPr>
          <w:rFonts w:asciiTheme="minorHAnsi" w:eastAsiaTheme="minorEastAsia" w:hAnsiTheme="minorHAnsi" w:cstheme="minorBidi"/>
          <w:spacing w:val="0"/>
          <w:sz w:val="22"/>
          <w:szCs w:val="22"/>
        </w:rPr>
      </w:pPr>
      <w:hyperlink w:anchor="_Toc61364829" w:history="1">
        <w:r w:rsidR="00A901CF" w:rsidRPr="00426A4F">
          <w:rPr>
            <w:rStyle w:val="Hyperlink"/>
          </w:rPr>
          <w:t>Issues not within the scope of this paper</w:t>
        </w:r>
        <w:r w:rsidR="00A901CF">
          <w:rPr>
            <w:webHidden/>
          </w:rPr>
          <w:tab/>
        </w:r>
        <w:r w:rsidR="00A901CF">
          <w:rPr>
            <w:webHidden/>
          </w:rPr>
          <w:fldChar w:fldCharType="begin"/>
        </w:r>
        <w:r w:rsidR="00A901CF">
          <w:rPr>
            <w:webHidden/>
          </w:rPr>
          <w:instrText xml:space="preserve"> PAGEREF _Toc61364829 \h </w:instrText>
        </w:r>
        <w:r w:rsidR="00A901CF">
          <w:rPr>
            <w:webHidden/>
          </w:rPr>
        </w:r>
        <w:r w:rsidR="00A901CF">
          <w:rPr>
            <w:webHidden/>
          </w:rPr>
          <w:fldChar w:fldCharType="separate"/>
        </w:r>
        <w:r w:rsidR="00DF3A4D">
          <w:rPr>
            <w:webHidden/>
          </w:rPr>
          <w:t>8</w:t>
        </w:r>
        <w:r w:rsidR="00A901CF">
          <w:rPr>
            <w:webHidden/>
          </w:rPr>
          <w:fldChar w:fldCharType="end"/>
        </w:r>
      </w:hyperlink>
    </w:p>
    <w:p w14:paraId="0DAB086E" w14:textId="68C79F7C" w:rsidR="00A901CF" w:rsidRDefault="00C71CF3">
      <w:pPr>
        <w:pStyle w:val="TOC3"/>
        <w:rPr>
          <w:rFonts w:asciiTheme="minorHAnsi" w:eastAsiaTheme="minorEastAsia" w:hAnsiTheme="minorHAnsi" w:cstheme="minorBidi"/>
        </w:rPr>
      </w:pPr>
      <w:hyperlink w:anchor="_Toc61364830" w:history="1">
        <w:r w:rsidR="00A901CF" w:rsidRPr="00426A4F">
          <w:rPr>
            <w:rStyle w:val="Hyperlink"/>
          </w:rPr>
          <w:t>Apparatus tax arrangements</w:t>
        </w:r>
        <w:r w:rsidR="00A901CF">
          <w:rPr>
            <w:webHidden/>
          </w:rPr>
          <w:tab/>
        </w:r>
        <w:r w:rsidR="00A901CF">
          <w:rPr>
            <w:webHidden/>
          </w:rPr>
          <w:fldChar w:fldCharType="begin"/>
        </w:r>
        <w:r w:rsidR="00A901CF">
          <w:rPr>
            <w:webHidden/>
          </w:rPr>
          <w:instrText xml:space="preserve"> PAGEREF _Toc61364830 \h </w:instrText>
        </w:r>
        <w:r w:rsidR="00A901CF">
          <w:rPr>
            <w:webHidden/>
          </w:rPr>
        </w:r>
        <w:r w:rsidR="00A901CF">
          <w:rPr>
            <w:webHidden/>
          </w:rPr>
          <w:fldChar w:fldCharType="separate"/>
        </w:r>
        <w:r w:rsidR="00DF3A4D">
          <w:rPr>
            <w:webHidden/>
          </w:rPr>
          <w:t>8</w:t>
        </w:r>
        <w:r w:rsidR="00A901CF">
          <w:rPr>
            <w:webHidden/>
          </w:rPr>
          <w:fldChar w:fldCharType="end"/>
        </w:r>
      </w:hyperlink>
    </w:p>
    <w:p w14:paraId="756F0D9E" w14:textId="138FFB4D" w:rsidR="00A901CF" w:rsidRDefault="00C71CF3">
      <w:pPr>
        <w:pStyle w:val="TOC3"/>
        <w:rPr>
          <w:rFonts w:asciiTheme="minorHAnsi" w:eastAsiaTheme="minorEastAsia" w:hAnsiTheme="minorHAnsi" w:cstheme="minorBidi"/>
        </w:rPr>
      </w:pPr>
      <w:hyperlink w:anchor="_Toc61364831" w:history="1">
        <w:r w:rsidR="00A901CF" w:rsidRPr="00426A4F">
          <w:rPr>
            <w:rStyle w:val="Hyperlink"/>
          </w:rPr>
          <w:t>Engagement in international activities</w:t>
        </w:r>
        <w:r w:rsidR="00A901CF">
          <w:rPr>
            <w:webHidden/>
          </w:rPr>
          <w:tab/>
        </w:r>
        <w:r w:rsidR="00A901CF">
          <w:rPr>
            <w:webHidden/>
          </w:rPr>
          <w:fldChar w:fldCharType="begin"/>
        </w:r>
        <w:r w:rsidR="00A901CF">
          <w:rPr>
            <w:webHidden/>
          </w:rPr>
          <w:instrText xml:space="preserve"> PAGEREF _Toc61364831 \h </w:instrText>
        </w:r>
        <w:r w:rsidR="00A901CF">
          <w:rPr>
            <w:webHidden/>
          </w:rPr>
        </w:r>
        <w:r w:rsidR="00A901CF">
          <w:rPr>
            <w:webHidden/>
          </w:rPr>
          <w:fldChar w:fldCharType="separate"/>
        </w:r>
        <w:r w:rsidR="00DF3A4D">
          <w:rPr>
            <w:webHidden/>
          </w:rPr>
          <w:t>8</w:t>
        </w:r>
        <w:r w:rsidR="00A901CF">
          <w:rPr>
            <w:webHidden/>
          </w:rPr>
          <w:fldChar w:fldCharType="end"/>
        </w:r>
      </w:hyperlink>
    </w:p>
    <w:p w14:paraId="406A664D" w14:textId="2301120E" w:rsidR="00A901CF" w:rsidRDefault="00C71CF3">
      <w:pPr>
        <w:pStyle w:val="TOC3"/>
        <w:rPr>
          <w:rFonts w:asciiTheme="minorHAnsi" w:eastAsiaTheme="minorEastAsia" w:hAnsiTheme="minorHAnsi" w:cstheme="minorBidi"/>
        </w:rPr>
      </w:pPr>
      <w:hyperlink w:anchor="_Toc61364832" w:history="1">
        <w:r w:rsidR="00A901CF" w:rsidRPr="00426A4F">
          <w:rPr>
            <w:rStyle w:val="Hyperlink"/>
          </w:rPr>
          <w:t>Radiocommunications reform bill</w:t>
        </w:r>
        <w:r w:rsidR="00A901CF">
          <w:rPr>
            <w:webHidden/>
          </w:rPr>
          <w:tab/>
        </w:r>
        <w:r w:rsidR="00A901CF">
          <w:rPr>
            <w:webHidden/>
          </w:rPr>
          <w:fldChar w:fldCharType="begin"/>
        </w:r>
        <w:r w:rsidR="00A901CF">
          <w:rPr>
            <w:webHidden/>
          </w:rPr>
          <w:instrText xml:space="preserve"> PAGEREF _Toc61364832 \h </w:instrText>
        </w:r>
        <w:r w:rsidR="00A901CF">
          <w:rPr>
            <w:webHidden/>
          </w:rPr>
        </w:r>
        <w:r w:rsidR="00A901CF">
          <w:rPr>
            <w:webHidden/>
          </w:rPr>
          <w:fldChar w:fldCharType="separate"/>
        </w:r>
        <w:r w:rsidR="00DF3A4D">
          <w:rPr>
            <w:webHidden/>
          </w:rPr>
          <w:t>8</w:t>
        </w:r>
        <w:r w:rsidR="00A901CF">
          <w:rPr>
            <w:webHidden/>
          </w:rPr>
          <w:fldChar w:fldCharType="end"/>
        </w:r>
      </w:hyperlink>
    </w:p>
    <w:p w14:paraId="4CE37435" w14:textId="74E87248" w:rsidR="00A901CF" w:rsidRDefault="00C71CF3">
      <w:pPr>
        <w:pStyle w:val="TOC1"/>
        <w:rPr>
          <w:rFonts w:asciiTheme="minorHAnsi" w:eastAsiaTheme="minorEastAsia" w:hAnsiTheme="minorHAnsi" w:cstheme="minorBidi"/>
          <w:b w:val="0"/>
          <w:spacing w:val="0"/>
          <w:sz w:val="22"/>
          <w:szCs w:val="22"/>
        </w:rPr>
      </w:pPr>
      <w:hyperlink w:anchor="_Toc61364833" w:history="1">
        <w:r w:rsidR="00A901CF" w:rsidRPr="00426A4F">
          <w:rPr>
            <w:rStyle w:val="Hyperlink"/>
          </w:rPr>
          <w:t>The process to date</w:t>
        </w:r>
        <w:r w:rsidR="00A901CF">
          <w:rPr>
            <w:webHidden/>
          </w:rPr>
          <w:tab/>
        </w:r>
        <w:r w:rsidR="00A901CF">
          <w:rPr>
            <w:webHidden/>
          </w:rPr>
          <w:fldChar w:fldCharType="begin"/>
        </w:r>
        <w:r w:rsidR="00A901CF">
          <w:rPr>
            <w:webHidden/>
          </w:rPr>
          <w:instrText xml:space="preserve"> PAGEREF _Toc61364833 \h </w:instrText>
        </w:r>
        <w:r w:rsidR="00A901CF">
          <w:rPr>
            <w:webHidden/>
          </w:rPr>
        </w:r>
        <w:r w:rsidR="00A901CF">
          <w:rPr>
            <w:webHidden/>
          </w:rPr>
          <w:fldChar w:fldCharType="separate"/>
        </w:r>
        <w:r w:rsidR="00DF3A4D">
          <w:rPr>
            <w:webHidden/>
          </w:rPr>
          <w:t>9</w:t>
        </w:r>
        <w:r w:rsidR="00A901CF">
          <w:rPr>
            <w:webHidden/>
          </w:rPr>
          <w:fldChar w:fldCharType="end"/>
        </w:r>
      </w:hyperlink>
    </w:p>
    <w:p w14:paraId="4CEE0618" w14:textId="4AC7E662" w:rsidR="00A901CF" w:rsidRDefault="00C71CF3">
      <w:pPr>
        <w:pStyle w:val="TOC2"/>
        <w:rPr>
          <w:rFonts w:asciiTheme="minorHAnsi" w:eastAsiaTheme="minorEastAsia" w:hAnsiTheme="minorHAnsi" w:cstheme="minorBidi"/>
          <w:spacing w:val="0"/>
          <w:sz w:val="22"/>
          <w:szCs w:val="22"/>
        </w:rPr>
      </w:pPr>
      <w:hyperlink w:anchor="_Toc61364834" w:history="1">
        <w:r w:rsidR="00A901CF" w:rsidRPr="00426A4F">
          <w:rPr>
            <w:rStyle w:val="Hyperlink"/>
          </w:rPr>
          <w:t>Overall approach to replanning the band</w:t>
        </w:r>
        <w:r w:rsidR="00A901CF">
          <w:rPr>
            <w:webHidden/>
          </w:rPr>
          <w:tab/>
        </w:r>
        <w:r w:rsidR="00A901CF">
          <w:rPr>
            <w:webHidden/>
          </w:rPr>
          <w:fldChar w:fldCharType="begin"/>
        </w:r>
        <w:r w:rsidR="00A901CF">
          <w:rPr>
            <w:webHidden/>
          </w:rPr>
          <w:instrText xml:space="preserve"> PAGEREF _Toc61364834 \h </w:instrText>
        </w:r>
        <w:r w:rsidR="00A901CF">
          <w:rPr>
            <w:webHidden/>
          </w:rPr>
        </w:r>
        <w:r w:rsidR="00A901CF">
          <w:rPr>
            <w:webHidden/>
          </w:rPr>
          <w:fldChar w:fldCharType="separate"/>
        </w:r>
        <w:r w:rsidR="00DF3A4D">
          <w:rPr>
            <w:webHidden/>
          </w:rPr>
          <w:t>9</w:t>
        </w:r>
        <w:r w:rsidR="00A901CF">
          <w:rPr>
            <w:webHidden/>
          </w:rPr>
          <w:fldChar w:fldCharType="end"/>
        </w:r>
      </w:hyperlink>
    </w:p>
    <w:p w14:paraId="626CB5B0" w14:textId="52D49040" w:rsidR="00A901CF" w:rsidRDefault="00C71CF3">
      <w:pPr>
        <w:pStyle w:val="TOC2"/>
        <w:rPr>
          <w:rFonts w:asciiTheme="minorHAnsi" w:eastAsiaTheme="minorEastAsia" w:hAnsiTheme="minorHAnsi" w:cstheme="minorBidi"/>
          <w:spacing w:val="0"/>
          <w:sz w:val="22"/>
          <w:szCs w:val="22"/>
        </w:rPr>
      </w:pPr>
      <w:hyperlink w:anchor="_Toc61364835" w:history="1">
        <w:r w:rsidR="00A901CF" w:rsidRPr="00426A4F">
          <w:rPr>
            <w:rStyle w:val="Hyperlink"/>
          </w:rPr>
          <w:t>Discussion of submissions</w:t>
        </w:r>
        <w:r w:rsidR="00A901CF">
          <w:rPr>
            <w:webHidden/>
          </w:rPr>
          <w:tab/>
        </w:r>
        <w:r w:rsidR="00A901CF">
          <w:rPr>
            <w:webHidden/>
          </w:rPr>
          <w:fldChar w:fldCharType="begin"/>
        </w:r>
        <w:r w:rsidR="00A901CF">
          <w:rPr>
            <w:webHidden/>
          </w:rPr>
          <w:instrText xml:space="preserve"> PAGEREF _Toc61364835 \h </w:instrText>
        </w:r>
        <w:r w:rsidR="00A901CF">
          <w:rPr>
            <w:webHidden/>
          </w:rPr>
        </w:r>
        <w:r w:rsidR="00A901CF">
          <w:rPr>
            <w:webHidden/>
          </w:rPr>
          <w:fldChar w:fldCharType="separate"/>
        </w:r>
        <w:r w:rsidR="00DF3A4D">
          <w:rPr>
            <w:webHidden/>
          </w:rPr>
          <w:t>9</w:t>
        </w:r>
        <w:r w:rsidR="00A901CF">
          <w:rPr>
            <w:webHidden/>
          </w:rPr>
          <w:fldChar w:fldCharType="end"/>
        </w:r>
      </w:hyperlink>
    </w:p>
    <w:p w14:paraId="7F82FB26" w14:textId="35C57FF2" w:rsidR="00A901CF" w:rsidRDefault="00C71CF3">
      <w:pPr>
        <w:pStyle w:val="TOC3"/>
        <w:rPr>
          <w:rFonts w:asciiTheme="minorHAnsi" w:eastAsiaTheme="minorEastAsia" w:hAnsiTheme="minorHAnsi" w:cstheme="minorBidi"/>
        </w:rPr>
      </w:pPr>
      <w:hyperlink w:anchor="_Toc61364836" w:history="1">
        <w:r w:rsidR="00A901CF" w:rsidRPr="00426A4F">
          <w:rPr>
            <w:rStyle w:val="Hyperlink"/>
          </w:rPr>
          <w:t>Television outside broadcasting</w:t>
        </w:r>
        <w:r w:rsidR="00A901CF">
          <w:rPr>
            <w:webHidden/>
          </w:rPr>
          <w:tab/>
        </w:r>
        <w:r w:rsidR="00A901CF">
          <w:rPr>
            <w:webHidden/>
          </w:rPr>
          <w:fldChar w:fldCharType="begin"/>
        </w:r>
        <w:r w:rsidR="00A901CF">
          <w:rPr>
            <w:webHidden/>
          </w:rPr>
          <w:instrText xml:space="preserve"> PAGEREF _Toc61364836 \h </w:instrText>
        </w:r>
        <w:r w:rsidR="00A901CF">
          <w:rPr>
            <w:webHidden/>
          </w:rPr>
        </w:r>
        <w:r w:rsidR="00A901CF">
          <w:rPr>
            <w:webHidden/>
          </w:rPr>
          <w:fldChar w:fldCharType="separate"/>
        </w:r>
        <w:r w:rsidR="00DF3A4D">
          <w:rPr>
            <w:webHidden/>
          </w:rPr>
          <w:t>10</w:t>
        </w:r>
        <w:r w:rsidR="00A901CF">
          <w:rPr>
            <w:webHidden/>
          </w:rPr>
          <w:fldChar w:fldCharType="end"/>
        </w:r>
      </w:hyperlink>
    </w:p>
    <w:p w14:paraId="5EE9D551" w14:textId="3C673D6F" w:rsidR="00A901CF" w:rsidRDefault="00C71CF3">
      <w:pPr>
        <w:pStyle w:val="TOC3"/>
        <w:rPr>
          <w:rFonts w:asciiTheme="minorHAnsi" w:eastAsiaTheme="minorEastAsia" w:hAnsiTheme="minorHAnsi" w:cstheme="minorBidi"/>
        </w:rPr>
      </w:pPr>
      <w:hyperlink w:anchor="_Toc61364837" w:history="1">
        <w:r w:rsidR="00A901CF" w:rsidRPr="00426A4F">
          <w:rPr>
            <w:rStyle w:val="Hyperlink"/>
          </w:rPr>
          <w:t>Satellite</w:t>
        </w:r>
        <w:r w:rsidR="00A901CF">
          <w:rPr>
            <w:webHidden/>
          </w:rPr>
          <w:tab/>
        </w:r>
        <w:r w:rsidR="00A901CF">
          <w:rPr>
            <w:webHidden/>
          </w:rPr>
          <w:fldChar w:fldCharType="begin"/>
        </w:r>
        <w:r w:rsidR="00A901CF">
          <w:rPr>
            <w:webHidden/>
          </w:rPr>
          <w:instrText xml:space="preserve"> PAGEREF _Toc61364837 \h </w:instrText>
        </w:r>
        <w:r w:rsidR="00A901CF">
          <w:rPr>
            <w:webHidden/>
          </w:rPr>
        </w:r>
        <w:r w:rsidR="00A901CF">
          <w:rPr>
            <w:webHidden/>
          </w:rPr>
          <w:fldChar w:fldCharType="separate"/>
        </w:r>
        <w:r w:rsidR="00DF3A4D">
          <w:rPr>
            <w:webHidden/>
          </w:rPr>
          <w:t>10</w:t>
        </w:r>
        <w:r w:rsidR="00A901CF">
          <w:rPr>
            <w:webHidden/>
          </w:rPr>
          <w:fldChar w:fldCharType="end"/>
        </w:r>
      </w:hyperlink>
    </w:p>
    <w:p w14:paraId="4BA96FA6" w14:textId="4F482B65" w:rsidR="00A901CF" w:rsidRDefault="00C71CF3">
      <w:pPr>
        <w:pStyle w:val="TOC3"/>
        <w:rPr>
          <w:rFonts w:asciiTheme="minorHAnsi" w:eastAsiaTheme="minorEastAsia" w:hAnsiTheme="minorHAnsi" w:cstheme="minorBidi"/>
        </w:rPr>
      </w:pPr>
      <w:hyperlink w:anchor="_Toc61364838" w:history="1">
        <w:r w:rsidR="00A901CF" w:rsidRPr="00426A4F">
          <w:rPr>
            <w:rStyle w:val="Hyperlink"/>
          </w:rPr>
          <w:t>Direct air-to-ground communications</w:t>
        </w:r>
        <w:r w:rsidR="00A901CF">
          <w:rPr>
            <w:webHidden/>
          </w:rPr>
          <w:tab/>
        </w:r>
        <w:r w:rsidR="00A901CF">
          <w:rPr>
            <w:webHidden/>
          </w:rPr>
          <w:fldChar w:fldCharType="begin"/>
        </w:r>
        <w:r w:rsidR="00A901CF">
          <w:rPr>
            <w:webHidden/>
          </w:rPr>
          <w:instrText xml:space="preserve"> PAGEREF _Toc61364838 \h </w:instrText>
        </w:r>
        <w:r w:rsidR="00A901CF">
          <w:rPr>
            <w:webHidden/>
          </w:rPr>
        </w:r>
        <w:r w:rsidR="00A901CF">
          <w:rPr>
            <w:webHidden/>
          </w:rPr>
          <w:fldChar w:fldCharType="separate"/>
        </w:r>
        <w:r w:rsidR="00DF3A4D">
          <w:rPr>
            <w:webHidden/>
          </w:rPr>
          <w:t>11</w:t>
        </w:r>
        <w:r w:rsidR="00A901CF">
          <w:rPr>
            <w:webHidden/>
          </w:rPr>
          <w:fldChar w:fldCharType="end"/>
        </w:r>
      </w:hyperlink>
    </w:p>
    <w:p w14:paraId="3E2D0A5F" w14:textId="3C08665B" w:rsidR="00A901CF" w:rsidRDefault="00C71CF3">
      <w:pPr>
        <w:pStyle w:val="TOC3"/>
        <w:rPr>
          <w:rFonts w:asciiTheme="minorHAnsi" w:eastAsiaTheme="minorEastAsia" w:hAnsiTheme="minorHAnsi" w:cstheme="minorBidi"/>
        </w:rPr>
      </w:pPr>
      <w:hyperlink w:anchor="_Toc61364839" w:history="1">
        <w:r w:rsidR="00A901CF" w:rsidRPr="00426A4F">
          <w:rPr>
            <w:rStyle w:val="Hyperlink"/>
          </w:rPr>
          <w:t>Wireless broadband</w:t>
        </w:r>
        <w:r w:rsidR="00A901CF">
          <w:rPr>
            <w:webHidden/>
          </w:rPr>
          <w:tab/>
        </w:r>
        <w:r w:rsidR="00A901CF">
          <w:rPr>
            <w:webHidden/>
          </w:rPr>
          <w:fldChar w:fldCharType="begin"/>
        </w:r>
        <w:r w:rsidR="00A901CF">
          <w:rPr>
            <w:webHidden/>
          </w:rPr>
          <w:instrText xml:space="preserve"> PAGEREF _Toc61364839 \h </w:instrText>
        </w:r>
        <w:r w:rsidR="00A901CF">
          <w:rPr>
            <w:webHidden/>
          </w:rPr>
        </w:r>
        <w:r w:rsidR="00A901CF">
          <w:rPr>
            <w:webHidden/>
          </w:rPr>
          <w:fldChar w:fldCharType="separate"/>
        </w:r>
        <w:r w:rsidR="00DF3A4D">
          <w:rPr>
            <w:webHidden/>
          </w:rPr>
          <w:t>12</w:t>
        </w:r>
        <w:r w:rsidR="00A901CF">
          <w:rPr>
            <w:webHidden/>
          </w:rPr>
          <w:fldChar w:fldCharType="end"/>
        </w:r>
      </w:hyperlink>
    </w:p>
    <w:p w14:paraId="60F3BAE6" w14:textId="4CC396D9" w:rsidR="00A901CF" w:rsidRDefault="00C71CF3">
      <w:pPr>
        <w:pStyle w:val="TOC1"/>
        <w:rPr>
          <w:rFonts w:asciiTheme="minorHAnsi" w:eastAsiaTheme="minorEastAsia" w:hAnsiTheme="minorHAnsi" w:cstheme="minorBidi"/>
          <w:b w:val="0"/>
          <w:spacing w:val="0"/>
          <w:sz w:val="22"/>
          <w:szCs w:val="22"/>
        </w:rPr>
      </w:pPr>
      <w:hyperlink w:anchor="_Toc61364840" w:history="1">
        <w:r w:rsidR="00A901CF" w:rsidRPr="00426A4F">
          <w:rPr>
            <w:rStyle w:val="Hyperlink"/>
          </w:rPr>
          <w:t>Planning outcomes</w:t>
        </w:r>
        <w:r w:rsidR="00A901CF">
          <w:rPr>
            <w:webHidden/>
          </w:rPr>
          <w:tab/>
        </w:r>
        <w:r w:rsidR="00A901CF">
          <w:rPr>
            <w:webHidden/>
          </w:rPr>
          <w:fldChar w:fldCharType="begin"/>
        </w:r>
        <w:r w:rsidR="00A901CF">
          <w:rPr>
            <w:webHidden/>
          </w:rPr>
          <w:instrText xml:space="preserve"> PAGEREF _Toc61364840 \h </w:instrText>
        </w:r>
        <w:r w:rsidR="00A901CF">
          <w:rPr>
            <w:webHidden/>
          </w:rPr>
        </w:r>
        <w:r w:rsidR="00A901CF">
          <w:rPr>
            <w:webHidden/>
          </w:rPr>
          <w:fldChar w:fldCharType="separate"/>
        </w:r>
        <w:r w:rsidR="00DF3A4D">
          <w:rPr>
            <w:webHidden/>
          </w:rPr>
          <w:t>14</w:t>
        </w:r>
        <w:r w:rsidR="00A901CF">
          <w:rPr>
            <w:webHidden/>
          </w:rPr>
          <w:fldChar w:fldCharType="end"/>
        </w:r>
      </w:hyperlink>
    </w:p>
    <w:p w14:paraId="0155E1F9" w14:textId="1C3E59D6" w:rsidR="00A901CF" w:rsidRDefault="00C71CF3">
      <w:pPr>
        <w:pStyle w:val="TOC2"/>
        <w:rPr>
          <w:rFonts w:asciiTheme="minorHAnsi" w:eastAsiaTheme="minorEastAsia" w:hAnsiTheme="minorHAnsi" w:cstheme="minorBidi"/>
          <w:spacing w:val="0"/>
          <w:sz w:val="22"/>
          <w:szCs w:val="22"/>
        </w:rPr>
      </w:pPr>
      <w:hyperlink w:anchor="_Toc61364841" w:history="1">
        <w:r w:rsidR="00A901CF" w:rsidRPr="00426A4F">
          <w:rPr>
            <w:rStyle w:val="Hyperlink"/>
          </w:rPr>
          <w:t>Introduction</w:t>
        </w:r>
        <w:r w:rsidR="00A901CF">
          <w:rPr>
            <w:webHidden/>
          </w:rPr>
          <w:tab/>
        </w:r>
        <w:r w:rsidR="00A901CF">
          <w:rPr>
            <w:webHidden/>
          </w:rPr>
          <w:fldChar w:fldCharType="begin"/>
        </w:r>
        <w:r w:rsidR="00A901CF">
          <w:rPr>
            <w:webHidden/>
          </w:rPr>
          <w:instrText xml:space="preserve"> PAGEREF _Toc61364841 \h </w:instrText>
        </w:r>
        <w:r w:rsidR="00A901CF">
          <w:rPr>
            <w:webHidden/>
          </w:rPr>
        </w:r>
        <w:r w:rsidR="00A901CF">
          <w:rPr>
            <w:webHidden/>
          </w:rPr>
          <w:fldChar w:fldCharType="separate"/>
        </w:r>
        <w:r w:rsidR="00DF3A4D">
          <w:rPr>
            <w:webHidden/>
          </w:rPr>
          <w:t>14</w:t>
        </w:r>
        <w:r w:rsidR="00A901CF">
          <w:rPr>
            <w:webHidden/>
          </w:rPr>
          <w:fldChar w:fldCharType="end"/>
        </w:r>
      </w:hyperlink>
    </w:p>
    <w:p w14:paraId="56CACDD2" w14:textId="54755B57" w:rsidR="00A901CF" w:rsidRDefault="00C71CF3">
      <w:pPr>
        <w:pStyle w:val="TOC2"/>
        <w:rPr>
          <w:rFonts w:asciiTheme="minorHAnsi" w:eastAsiaTheme="minorEastAsia" w:hAnsiTheme="minorHAnsi" w:cstheme="minorBidi"/>
          <w:spacing w:val="0"/>
          <w:sz w:val="22"/>
          <w:szCs w:val="22"/>
        </w:rPr>
      </w:pPr>
      <w:hyperlink w:anchor="_Toc61364842" w:history="1">
        <w:r w:rsidR="00A901CF" w:rsidRPr="00426A4F">
          <w:rPr>
            <w:rStyle w:val="Hyperlink"/>
          </w:rPr>
          <w:t>Planning decisions</w:t>
        </w:r>
        <w:r w:rsidR="00A901CF">
          <w:rPr>
            <w:webHidden/>
          </w:rPr>
          <w:tab/>
        </w:r>
        <w:r w:rsidR="00A901CF">
          <w:rPr>
            <w:webHidden/>
          </w:rPr>
          <w:fldChar w:fldCharType="begin"/>
        </w:r>
        <w:r w:rsidR="00A901CF">
          <w:rPr>
            <w:webHidden/>
          </w:rPr>
          <w:instrText xml:space="preserve"> PAGEREF _Toc61364842 \h </w:instrText>
        </w:r>
        <w:r w:rsidR="00A901CF">
          <w:rPr>
            <w:webHidden/>
          </w:rPr>
        </w:r>
        <w:r w:rsidR="00A901CF">
          <w:rPr>
            <w:webHidden/>
          </w:rPr>
          <w:fldChar w:fldCharType="separate"/>
        </w:r>
        <w:r w:rsidR="00DF3A4D">
          <w:rPr>
            <w:webHidden/>
          </w:rPr>
          <w:t>14</w:t>
        </w:r>
        <w:r w:rsidR="00A901CF">
          <w:rPr>
            <w:webHidden/>
          </w:rPr>
          <w:fldChar w:fldCharType="end"/>
        </w:r>
      </w:hyperlink>
    </w:p>
    <w:p w14:paraId="3D46CC41" w14:textId="531DFFC2" w:rsidR="00A901CF" w:rsidRDefault="00C71CF3">
      <w:pPr>
        <w:pStyle w:val="TOC3"/>
        <w:rPr>
          <w:rFonts w:asciiTheme="minorHAnsi" w:eastAsiaTheme="minorEastAsia" w:hAnsiTheme="minorHAnsi" w:cstheme="minorBidi"/>
        </w:rPr>
      </w:pPr>
      <w:hyperlink w:anchor="_Toc61364843" w:history="1">
        <w:r w:rsidR="00A901CF" w:rsidRPr="00426A4F">
          <w:rPr>
            <w:rStyle w:val="Hyperlink"/>
          </w:rPr>
          <w:t>Mobile-satellite service with complementary ground component</w:t>
        </w:r>
        <w:r w:rsidR="00A901CF">
          <w:rPr>
            <w:webHidden/>
          </w:rPr>
          <w:tab/>
        </w:r>
        <w:r w:rsidR="00A901CF">
          <w:rPr>
            <w:webHidden/>
          </w:rPr>
          <w:fldChar w:fldCharType="begin"/>
        </w:r>
        <w:r w:rsidR="00A901CF">
          <w:rPr>
            <w:webHidden/>
          </w:rPr>
          <w:instrText xml:space="preserve"> PAGEREF _Toc61364843 \h </w:instrText>
        </w:r>
        <w:r w:rsidR="00A901CF">
          <w:rPr>
            <w:webHidden/>
          </w:rPr>
        </w:r>
        <w:r w:rsidR="00A901CF">
          <w:rPr>
            <w:webHidden/>
          </w:rPr>
          <w:fldChar w:fldCharType="separate"/>
        </w:r>
        <w:r w:rsidR="00DF3A4D">
          <w:rPr>
            <w:webHidden/>
          </w:rPr>
          <w:t>15</w:t>
        </w:r>
        <w:r w:rsidR="00A901CF">
          <w:rPr>
            <w:webHidden/>
          </w:rPr>
          <w:fldChar w:fldCharType="end"/>
        </w:r>
      </w:hyperlink>
    </w:p>
    <w:p w14:paraId="6016AC2F" w14:textId="2AD3664D" w:rsidR="00A901CF" w:rsidRDefault="00C71CF3">
      <w:pPr>
        <w:pStyle w:val="TOC3"/>
        <w:rPr>
          <w:rFonts w:asciiTheme="minorHAnsi" w:eastAsiaTheme="minorEastAsia" w:hAnsiTheme="minorHAnsi" w:cstheme="minorBidi"/>
        </w:rPr>
      </w:pPr>
      <w:hyperlink w:anchor="_Toc61364844" w:history="1">
        <w:r w:rsidR="00A901CF" w:rsidRPr="00426A4F">
          <w:rPr>
            <w:rStyle w:val="Hyperlink"/>
          </w:rPr>
          <w:t>Narrowband MSS applications</w:t>
        </w:r>
        <w:r w:rsidR="00A901CF">
          <w:rPr>
            <w:webHidden/>
          </w:rPr>
          <w:tab/>
        </w:r>
        <w:r w:rsidR="00A901CF">
          <w:rPr>
            <w:webHidden/>
          </w:rPr>
          <w:fldChar w:fldCharType="begin"/>
        </w:r>
        <w:r w:rsidR="00A901CF">
          <w:rPr>
            <w:webHidden/>
          </w:rPr>
          <w:instrText xml:space="preserve"> PAGEREF _Toc61364844 \h </w:instrText>
        </w:r>
        <w:r w:rsidR="00A901CF">
          <w:rPr>
            <w:webHidden/>
          </w:rPr>
        </w:r>
        <w:r w:rsidR="00A901CF">
          <w:rPr>
            <w:webHidden/>
          </w:rPr>
          <w:fldChar w:fldCharType="separate"/>
        </w:r>
        <w:r w:rsidR="00DF3A4D">
          <w:rPr>
            <w:webHidden/>
          </w:rPr>
          <w:t>15</w:t>
        </w:r>
        <w:r w:rsidR="00A901CF">
          <w:rPr>
            <w:webHidden/>
          </w:rPr>
          <w:fldChar w:fldCharType="end"/>
        </w:r>
      </w:hyperlink>
    </w:p>
    <w:p w14:paraId="60D8675B" w14:textId="0EE7F945" w:rsidR="00A901CF" w:rsidRDefault="00C71CF3">
      <w:pPr>
        <w:pStyle w:val="TOC3"/>
        <w:rPr>
          <w:rFonts w:asciiTheme="minorHAnsi" w:eastAsiaTheme="minorEastAsia" w:hAnsiTheme="minorHAnsi" w:cstheme="minorBidi"/>
        </w:rPr>
      </w:pPr>
      <w:hyperlink w:anchor="_Toc61364845" w:history="1">
        <w:r w:rsidR="00A901CF" w:rsidRPr="00426A4F">
          <w:rPr>
            <w:rStyle w:val="Hyperlink"/>
          </w:rPr>
          <w:t>TOB arrangements</w:t>
        </w:r>
        <w:r w:rsidR="00A901CF">
          <w:rPr>
            <w:webHidden/>
          </w:rPr>
          <w:tab/>
        </w:r>
        <w:r w:rsidR="00A901CF">
          <w:rPr>
            <w:webHidden/>
          </w:rPr>
          <w:fldChar w:fldCharType="begin"/>
        </w:r>
        <w:r w:rsidR="00A901CF">
          <w:rPr>
            <w:webHidden/>
          </w:rPr>
          <w:instrText xml:space="preserve"> PAGEREF _Toc61364845 \h </w:instrText>
        </w:r>
        <w:r w:rsidR="00A901CF">
          <w:rPr>
            <w:webHidden/>
          </w:rPr>
        </w:r>
        <w:r w:rsidR="00A901CF">
          <w:rPr>
            <w:webHidden/>
          </w:rPr>
          <w:fldChar w:fldCharType="separate"/>
        </w:r>
        <w:r w:rsidR="00DF3A4D">
          <w:rPr>
            <w:webHidden/>
          </w:rPr>
          <w:t>16</w:t>
        </w:r>
        <w:r w:rsidR="00A901CF">
          <w:rPr>
            <w:webHidden/>
          </w:rPr>
          <w:fldChar w:fldCharType="end"/>
        </w:r>
      </w:hyperlink>
    </w:p>
    <w:p w14:paraId="6901F78E" w14:textId="1F4FD385" w:rsidR="00A901CF" w:rsidRDefault="00C71CF3">
      <w:pPr>
        <w:pStyle w:val="TOC3"/>
        <w:rPr>
          <w:rFonts w:asciiTheme="minorHAnsi" w:eastAsiaTheme="minorEastAsia" w:hAnsiTheme="minorHAnsi" w:cstheme="minorBidi"/>
        </w:rPr>
      </w:pPr>
      <w:hyperlink w:anchor="_Toc61364846" w:history="1">
        <w:r w:rsidR="00A901CF" w:rsidRPr="00426A4F">
          <w:rPr>
            <w:rStyle w:val="Hyperlink"/>
          </w:rPr>
          <w:t>Fixed point-to-point links</w:t>
        </w:r>
        <w:r w:rsidR="00A901CF">
          <w:rPr>
            <w:webHidden/>
          </w:rPr>
          <w:tab/>
        </w:r>
        <w:r w:rsidR="00A901CF">
          <w:rPr>
            <w:webHidden/>
          </w:rPr>
          <w:fldChar w:fldCharType="begin"/>
        </w:r>
        <w:r w:rsidR="00A901CF">
          <w:rPr>
            <w:webHidden/>
          </w:rPr>
          <w:instrText xml:space="preserve"> PAGEREF _Toc61364846 \h </w:instrText>
        </w:r>
        <w:r w:rsidR="00A901CF">
          <w:rPr>
            <w:webHidden/>
          </w:rPr>
        </w:r>
        <w:r w:rsidR="00A901CF">
          <w:rPr>
            <w:webHidden/>
          </w:rPr>
          <w:fldChar w:fldCharType="separate"/>
        </w:r>
        <w:r w:rsidR="00DF3A4D">
          <w:rPr>
            <w:webHidden/>
          </w:rPr>
          <w:t>17</w:t>
        </w:r>
        <w:r w:rsidR="00A901CF">
          <w:rPr>
            <w:webHidden/>
          </w:rPr>
          <w:fldChar w:fldCharType="end"/>
        </w:r>
      </w:hyperlink>
    </w:p>
    <w:p w14:paraId="0B82F933" w14:textId="5B3DEF28" w:rsidR="00A901CF" w:rsidRDefault="00C71CF3">
      <w:pPr>
        <w:pStyle w:val="TOC2"/>
        <w:rPr>
          <w:rFonts w:asciiTheme="minorHAnsi" w:eastAsiaTheme="minorEastAsia" w:hAnsiTheme="minorHAnsi" w:cstheme="minorBidi"/>
          <w:spacing w:val="0"/>
          <w:sz w:val="22"/>
          <w:szCs w:val="22"/>
        </w:rPr>
      </w:pPr>
      <w:hyperlink w:anchor="_Toc61364847" w:history="1">
        <w:r w:rsidR="00A901CF" w:rsidRPr="00426A4F">
          <w:rPr>
            <w:rStyle w:val="Hyperlink"/>
          </w:rPr>
          <w:t>Preliminary views</w:t>
        </w:r>
        <w:r w:rsidR="00A901CF">
          <w:rPr>
            <w:webHidden/>
          </w:rPr>
          <w:tab/>
        </w:r>
        <w:r w:rsidR="00A901CF">
          <w:rPr>
            <w:webHidden/>
          </w:rPr>
          <w:fldChar w:fldCharType="begin"/>
        </w:r>
        <w:r w:rsidR="00A901CF">
          <w:rPr>
            <w:webHidden/>
          </w:rPr>
          <w:instrText xml:space="preserve"> PAGEREF _Toc61364847 \h </w:instrText>
        </w:r>
        <w:r w:rsidR="00A901CF">
          <w:rPr>
            <w:webHidden/>
          </w:rPr>
        </w:r>
        <w:r w:rsidR="00A901CF">
          <w:rPr>
            <w:webHidden/>
          </w:rPr>
          <w:fldChar w:fldCharType="separate"/>
        </w:r>
        <w:r w:rsidR="00DF3A4D">
          <w:rPr>
            <w:webHidden/>
          </w:rPr>
          <w:t>17</w:t>
        </w:r>
        <w:r w:rsidR="00A901CF">
          <w:rPr>
            <w:webHidden/>
          </w:rPr>
          <w:fldChar w:fldCharType="end"/>
        </w:r>
      </w:hyperlink>
    </w:p>
    <w:p w14:paraId="3A9EE19C" w14:textId="792023DE" w:rsidR="00A901CF" w:rsidRDefault="00C71CF3">
      <w:pPr>
        <w:pStyle w:val="TOC3"/>
        <w:rPr>
          <w:rFonts w:asciiTheme="minorHAnsi" w:eastAsiaTheme="minorEastAsia" w:hAnsiTheme="minorHAnsi" w:cstheme="minorBidi"/>
        </w:rPr>
      </w:pPr>
      <w:hyperlink w:anchor="_Toc61364848" w:history="1">
        <w:r w:rsidR="00A901CF" w:rsidRPr="00426A4F">
          <w:rPr>
            <w:rStyle w:val="Hyperlink"/>
          </w:rPr>
          <w:t>MSS technology considerations</w:t>
        </w:r>
        <w:r w:rsidR="00A901CF">
          <w:rPr>
            <w:webHidden/>
          </w:rPr>
          <w:tab/>
        </w:r>
        <w:r w:rsidR="00A901CF">
          <w:rPr>
            <w:webHidden/>
          </w:rPr>
          <w:fldChar w:fldCharType="begin"/>
        </w:r>
        <w:r w:rsidR="00A901CF">
          <w:rPr>
            <w:webHidden/>
          </w:rPr>
          <w:instrText xml:space="preserve"> PAGEREF _Toc61364848 \h </w:instrText>
        </w:r>
        <w:r w:rsidR="00A901CF">
          <w:rPr>
            <w:webHidden/>
          </w:rPr>
        </w:r>
        <w:r w:rsidR="00A901CF">
          <w:rPr>
            <w:webHidden/>
          </w:rPr>
          <w:fldChar w:fldCharType="separate"/>
        </w:r>
        <w:r w:rsidR="00DF3A4D">
          <w:rPr>
            <w:webHidden/>
          </w:rPr>
          <w:t>17</w:t>
        </w:r>
        <w:r w:rsidR="00A901CF">
          <w:rPr>
            <w:webHidden/>
          </w:rPr>
          <w:fldChar w:fldCharType="end"/>
        </w:r>
      </w:hyperlink>
    </w:p>
    <w:p w14:paraId="7C41ED78" w14:textId="1001E9C7" w:rsidR="00A901CF" w:rsidRDefault="00C71CF3">
      <w:pPr>
        <w:pStyle w:val="TOC3"/>
        <w:rPr>
          <w:rFonts w:asciiTheme="minorHAnsi" w:eastAsiaTheme="minorEastAsia" w:hAnsiTheme="minorHAnsi" w:cstheme="minorBidi"/>
        </w:rPr>
      </w:pPr>
      <w:hyperlink w:anchor="_Toc61364849" w:history="1">
        <w:r w:rsidR="00A901CF" w:rsidRPr="00426A4F">
          <w:rPr>
            <w:rStyle w:val="Hyperlink"/>
          </w:rPr>
          <w:t>MSS licensing considerations</w:t>
        </w:r>
        <w:r w:rsidR="00A901CF">
          <w:rPr>
            <w:webHidden/>
          </w:rPr>
          <w:tab/>
        </w:r>
        <w:r w:rsidR="00A901CF">
          <w:rPr>
            <w:webHidden/>
          </w:rPr>
          <w:fldChar w:fldCharType="begin"/>
        </w:r>
        <w:r w:rsidR="00A901CF">
          <w:rPr>
            <w:webHidden/>
          </w:rPr>
          <w:instrText xml:space="preserve"> PAGEREF _Toc61364849 \h </w:instrText>
        </w:r>
        <w:r w:rsidR="00A901CF">
          <w:rPr>
            <w:webHidden/>
          </w:rPr>
        </w:r>
        <w:r w:rsidR="00A901CF">
          <w:rPr>
            <w:webHidden/>
          </w:rPr>
          <w:fldChar w:fldCharType="separate"/>
        </w:r>
        <w:r w:rsidR="00DF3A4D">
          <w:rPr>
            <w:webHidden/>
          </w:rPr>
          <w:t>18</w:t>
        </w:r>
        <w:r w:rsidR="00A901CF">
          <w:rPr>
            <w:webHidden/>
          </w:rPr>
          <w:fldChar w:fldCharType="end"/>
        </w:r>
      </w:hyperlink>
    </w:p>
    <w:p w14:paraId="083FFF98" w14:textId="24AD0DE5" w:rsidR="00A901CF" w:rsidRDefault="00C71CF3">
      <w:pPr>
        <w:pStyle w:val="TOC3"/>
        <w:rPr>
          <w:rFonts w:asciiTheme="minorHAnsi" w:eastAsiaTheme="minorEastAsia" w:hAnsiTheme="minorHAnsi" w:cstheme="minorBidi"/>
        </w:rPr>
      </w:pPr>
      <w:hyperlink w:anchor="_Toc61364850" w:history="1">
        <w:r w:rsidR="00A901CF" w:rsidRPr="00426A4F">
          <w:rPr>
            <w:rStyle w:val="Hyperlink"/>
          </w:rPr>
          <w:t>International satellite regulation considerations</w:t>
        </w:r>
        <w:r w:rsidR="00A901CF">
          <w:rPr>
            <w:webHidden/>
          </w:rPr>
          <w:tab/>
        </w:r>
        <w:r w:rsidR="00A901CF">
          <w:rPr>
            <w:webHidden/>
          </w:rPr>
          <w:fldChar w:fldCharType="begin"/>
        </w:r>
        <w:r w:rsidR="00A901CF">
          <w:rPr>
            <w:webHidden/>
          </w:rPr>
          <w:instrText xml:space="preserve"> PAGEREF _Toc61364850 \h </w:instrText>
        </w:r>
        <w:r w:rsidR="00A901CF">
          <w:rPr>
            <w:webHidden/>
          </w:rPr>
        </w:r>
        <w:r w:rsidR="00A901CF">
          <w:rPr>
            <w:webHidden/>
          </w:rPr>
          <w:fldChar w:fldCharType="separate"/>
        </w:r>
        <w:r w:rsidR="00DF3A4D">
          <w:rPr>
            <w:webHidden/>
          </w:rPr>
          <w:t>19</w:t>
        </w:r>
        <w:r w:rsidR="00A901CF">
          <w:rPr>
            <w:webHidden/>
          </w:rPr>
          <w:fldChar w:fldCharType="end"/>
        </w:r>
      </w:hyperlink>
    </w:p>
    <w:p w14:paraId="1A3D2C62" w14:textId="0BC1CAD3" w:rsidR="00A901CF" w:rsidRDefault="00C71CF3">
      <w:pPr>
        <w:pStyle w:val="TOC3"/>
        <w:rPr>
          <w:rFonts w:asciiTheme="minorHAnsi" w:eastAsiaTheme="minorEastAsia" w:hAnsiTheme="minorHAnsi" w:cstheme="minorBidi"/>
        </w:rPr>
      </w:pPr>
      <w:hyperlink w:anchor="_Toc61364851" w:history="1">
        <w:r w:rsidR="00A901CF" w:rsidRPr="00426A4F">
          <w:rPr>
            <w:rStyle w:val="Hyperlink"/>
          </w:rPr>
          <w:t>Complementary ground component considerations</w:t>
        </w:r>
        <w:r w:rsidR="00A901CF">
          <w:rPr>
            <w:webHidden/>
          </w:rPr>
          <w:tab/>
        </w:r>
        <w:r w:rsidR="00A901CF">
          <w:rPr>
            <w:webHidden/>
          </w:rPr>
          <w:fldChar w:fldCharType="begin"/>
        </w:r>
        <w:r w:rsidR="00A901CF">
          <w:rPr>
            <w:webHidden/>
          </w:rPr>
          <w:instrText xml:space="preserve"> PAGEREF _Toc61364851 \h </w:instrText>
        </w:r>
        <w:r w:rsidR="00A901CF">
          <w:rPr>
            <w:webHidden/>
          </w:rPr>
        </w:r>
        <w:r w:rsidR="00A901CF">
          <w:rPr>
            <w:webHidden/>
          </w:rPr>
          <w:fldChar w:fldCharType="separate"/>
        </w:r>
        <w:r w:rsidR="00DF3A4D">
          <w:rPr>
            <w:webHidden/>
          </w:rPr>
          <w:t>20</w:t>
        </w:r>
        <w:r w:rsidR="00A901CF">
          <w:rPr>
            <w:webHidden/>
          </w:rPr>
          <w:fldChar w:fldCharType="end"/>
        </w:r>
      </w:hyperlink>
    </w:p>
    <w:p w14:paraId="37DC6DFD" w14:textId="0998451C" w:rsidR="00A901CF" w:rsidRDefault="00C71CF3">
      <w:pPr>
        <w:pStyle w:val="TOC3"/>
        <w:rPr>
          <w:rFonts w:asciiTheme="minorHAnsi" w:eastAsiaTheme="minorEastAsia" w:hAnsiTheme="minorHAnsi" w:cstheme="minorBidi"/>
        </w:rPr>
      </w:pPr>
      <w:hyperlink w:anchor="_Toc61364852" w:history="1">
        <w:r w:rsidR="00A901CF" w:rsidRPr="00426A4F">
          <w:rPr>
            <w:rStyle w:val="Hyperlink"/>
          </w:rPr>
          <w:t>Narrowband MSS considerations</w:t>
        </w:r>
        <w:r w:rsidR="00A901CF">
          <w:rPr>
            <w:webHidden/>
          </w:rPr>
          <w:tab/>
        </w:r>
        <w:r w:rsidR="00A901CF">
          <w:rPr>
            <w:webHidden/>
          </w:rPr>
          <w:fldChar w:fldCharType="begin"/>
        </w:r>
        <w:r w:rsidR="00A901CF">
          <w:rPr>
            <w:webHidden/>
          </w:rPr>
          <w:instrText xml:space="preserve"> PAGEREF _Toc61364852 \h </w:instrText>
        </w:r>
        <w:r w:rsidR="00A901CF">
          <w:rPr>
            <w:webHidden/>
          </w:rPr>
        </w:r>
        <w:r w:rsidR="00A901CF">
          <w:rPr>
            <w:webHidden/>
          </w:rPr>
          <w:fldChar w:fldCharType="separate"/>
        </w:r>
        <w:r w:rsidR="00DF3A4D">
          <w:rPr>
            <w:webHidden/>
          </w:rPr>
          <w:t>21</w:t>
        </w:r>
        <w:r w:rsidR="00A901CF">
          <w:rPr>
            <w:webHidden/>
          </w:rPr>
          <w:fldChar w:fldCharType="end"/>
        </w:r>
      </w:hyperlink>
    </w:p>
    <w:p w14:paraId="1E745A34" w14:textId="52A6B8BA" w:rsidR="00A901CF" w:rsidRDefault="00C71CF3">
      <w:pPr>
        <w:pStyle w:val="TOC3"/>
        <w:rPr>
          <w:rFonts w:asciiTheme="minorHAnsi" w:eastAsiaTheme="minorEastAsia" w:hAnsiTheme="minorHAnsi" w:cstheme="minorBidi"/>
        </w:rPr>
      </w:pPr>
      <w:hyperlink w:anchor="_Toc61364853" w:history="1">
        <w:r w:rsidR="00A901CF" w:rsidRPr="00426A4F">
          <w:rPr>
            <w:rStyle w:val="Hyperlink"/>
          </w:rPr>
          <w:t>TOB transitional issues</w:t>
        </w:r>
        <w:r w:rsidR="00A901CF">
          <w:rPr>
            <w:webHidden/>
          </w:rPr>
          <w:tab/>
        </w:r>
        <w:r w:rsidR="00A901CF">
          <w:rPr>
            <w:webHidden/>
          </w:rPr>
          <w:fldChar w:fldCharType="begin"/>
        </w:r>
        <w:r w:rsidR="00A901CF">
          <w:rPr>
            <w:webHidden/>
          </w:rPr>
          <w:instrText xml:space="preserve"> PAGEREF _Toc61364853 \h </w:instrText>
        </w:r>
        <w:r w:rsidR="00A901CF">
          <w:rPr>
            <w:webHidden/>
          </w:rPr>
        </w:r>
        <w:r w:rsidR="00A901CF">
          <w:rPr>
            <w:webHidden/>
          </w:rPr>
          <w:fldChar w:fldCharType="separate"/>
        </w:r>
        <w:r w:rsidR="00DF3A4D">
          <w:rPr>
            <w:webHidden/>
          </w:rPr>
          <w:t>21</w:t>
        </w:r>
        <w:r w:rsidR="00A901CF">
          <w:rPr>
            <w:webHidden/>
          </w:rPr>
          <w:fldChar w:fldCharType="end"/>
        </w:r>
      </w:hyperlink>
    </w:p>
    <w:p w14:paraId="70B547D1" w14:textId="2AC9EBDA" w:rsidR="00A901CF" w:rsidRDefault="00C71CF3">
      <w:pPr>
        <w:pStyle w:val="TOC3"/>
        <w:rPr>
          <w:rFonts w:asciiTheme="minorHAnsi" w:eastAsiaTheme="minorEastAsia" w:hAnsiTheme="minorHAnsi" w:cstheme="minorBidi"/>
        </w:rPr>
      </w:pPr>
      <w:hyperlink w:anchor="_Toc61364854" w:history="1">
        <w:r w:rsidR="00A901CF" w:rsidRPr="00426A4F">
          <w:rPr>
            <w:rStyle w:val="Hyperlink"/>
          </w:rPr>
          <w:t>Radio Quiet Zone protection</w:t>
        </w:r>
        <w:r w:rsidR="00A901CF">
          <w:rPr>
            <w:webHidden/>
          </w:rPr>
          <w:tab/>
        </w:r>
        <w:r w:rsidR="00A901CF">
          <w:rPr>
            <w:webHidden/>
          </w:rPr>
          <w:fldChar w:fldCharType="begin"/>
        </w:r>
        <w:r w:rsidR="00A901CF">
          <w:rPr>
            <w:webHidden/>
          </w:rPr>
          <w:instrText xml:space="preserve"> PAGEREF _Toc61364854 \h </w:instrText>
        </w:r>
        <w:r w:rsidR="00A901CF">
          <w:rPr>
            <w:webHidden/>
          </w:rPr>
        </w:r>
        <w:r w:rsidR="00A901CF">
          <w:rPr>
            <w:webHidden/>
          </w:rPr>
          <w:fldChar w:fldCharType="separate"/>
        </w:r>
        <w:r w:rsidR="00DF3A4D">
          <w:rPr>
            <w:webHidden/>
          </w:rPr>
          <w:t>22</w:t>
        </w:r>
        <w:r w:rsidR="00A901CF">
          <w:rPr>
            <w:webHidden/>
          </w:rPr>
          <w:fldChar w:fldCharType="end"/>
        </w:r>
      </w:hyperlink>
    </w:p>
    <w:p w14:paraId="75910F57" w14:textId="5C57C088" w:rsidR="00A901CF" w:rsidRDefault="00C71CF3">
      <w:pPr>
        <w:pStyle w:val="TOC3"/>
        <w:rPr>
          <w:rFonts w:asciiTheme="minorHAnsi" w:eastAsiaTheme="minorEastAsia" w:hAnsiTheme="minorHAnsi" w:cstheme="minorBidi"/>
        </w:rPr>
      </w:pPr>
      <w:hyperlink w:anchor="_Toc61364855" w:history="1">
        <w:r w:rsidR="00A901CF" w:rsidRPr="00426A4F">
          <w:rPr>
            <w:rStyle w:val="Hyperlink"/>
          </w:rPr>
          <w:t>Adjacent-band protection measures</w:t>
        </w:r>
        <w:r w:rsidR="00A901CF">
          <w:rPr>
            <w:webHidden/>
          </w:rPr>
          <w:tab/>
        </w:r>
        <w:r w:rsidR="00A901CF">
          <w:rPr>
            <w:webHidden/>
          </w:rPr>
          <w:fldChar w:fldCharType="begin"/>
        </w:r>
        <w:r w:rsidR="00A901CF">
          <w:rPr>
            <w:webHidden/>
          </w:rPr>
          <w:instrText xml:space="preserve"> PAGEREF _Toc61364855 \h </w:instrText>
        </w:r>
        <w:r w:rsidR="00A901CF">
          <w:rPr>
            <w:webHidden/>
          </w:rPr>
        </w:r>
        <w:r w:rsidR="00A901CF">
          <w:rPr>
            <w:webHidden/>
          </w:rPr>
          <w:fldChar w:fldCharType="separate"/>
        </w:r>
        <w:r w:rsidR="00DF3A4D">
          <w:rPr>
            <w:webHidden/>
          </w:rPr>
          <w:t>22</w:t>
        </w:r>
        <w:r w:rsidR="00A901CF">
          <w:rPr>
            <w:webHidden/>
          </w:rPr>
          <w:fldChar w:fldCharType="end"/>
        </w:r>
      </w:hyperlink>
    </w:p>
    <w:p w14:paraId="59066488" w14:textId="0E65B15B" w:rsidR="00A901CF" w:rsidRDefault="00C71CF3">
      <w:pPr>
        <w:pStyle w:val="TOC1"/>
        <w:rPr>
          <w:rFonts w:asciiTheme="minorHAnsi" w:eastAsiaTheme="minorEastAsia" w:hAnsiTheme="minorHAnsi" w:cstheme="minorBidi"/>
          <w:b w:val="0"/>
          <w:spacing w:val="0"/>
          <w:sz w:val="22"/>
          <w:szCs w:val="22"/>
        </w:rPr>
      </w:pPr>
      <w:hyperlink w:anchor="_Toc61364856" w:history="1">
        <w:r w:rsidR="00A901CF" w:rsidRPr="00426A4F">
          <w:rPr>
            <w:rStyle w:val="Hyperlink"/>
          </w:rPr>
          <w:t>Next steps</w:t>
        </w:r>
        <w:r w:rsidR="00A901CF">
          <w:rPr>
            <w:webHidden/>
          </w:rPr>
          <w:tab/>
        </w:r>
        <w:r w:rsidR="00A901CF">
          <w:rPr>
            <w:webHidden/>
          </w:rPr>
          <w:fldChar w:fldCharType="begin"/>
        </w:r>
        <w:r w:rsidR="00A901CF">
          <w:rPr>
            <w:webHidden/>
          </w:rPr>
          <w:instrText xml:space="preserve"> PAGEREF _Toc61364856 \h </w:instrText>
        </w:r>
        <w:r w:rsidR="00A901CF">
          <w:rPr>
            <w:webHidden/>
          </w:rPr>
        </w:r>
        <w:r w:rsidR="00A901CF">
          <w:rPr>
            <w:webHidden/>
          </w:rPr>
          <w:fldChar w:fldCharType="separate"/>
        </w:r>
        <w:r w:rsidR="00DF3A4D">
          <w:rPr>
            <w:webHidden/>
          </w:rPr>
          <w:t>24</w:t>
        </w:r>
        <w:r w:rsidR="00A901CF">
          <w:rPr>
            <w:webHidden/>
          </w:rPr>
          <w:fldChar w:fldCharType="end"/>
        </w:r>
      </w:hyperlink>
    </w:p>
    <w:p w14:paraId="654B8CD8" w14:textId="251FDE48" w:rsidR="00A901CF" w:rsidRDefault="00C71CF3">
      <w:pPr>
        <w:pStyle w:val="TOC1"/>
        <w:rPr>
          <w:rFonts w:asciiTheme="minorHAnsi" w:eastAsiaTheme="minorEastAsia" w:hAnsiTheme="minorHAnsi" w:cstheme="minorBidi"/>
          <w:b w:val="0"/>
          <w:spacing w:val="0"/>
          <w:sz w:val="22"/>
          <w:szCs w:val="22"/>
        </w:rPr>
      </w:pPr>
      <w:hyperlink w:anchor="_Toc61364857" w:history="1">
        <w:r w:rsidR="00A901CF" w:rsidRPr="00426A4F">
          <w:rPr>
            <w:rStyle w:val="Hyperlink"/>
          </w:rPr>
          <w:t>Appendix A: Responses to the options paper</w:t>
        </w:r>
        <w:r w:rsidR="00A901CF">
          <w:rPr>
            <w:webHidden/>
          </w:rPr>
          <w:tab/>
        </w:r>
        <w:r w:rsidR="00A901CF">
          <w:rPr>
            <w:webHidden/>
          </w:rPr>
          <w:fldChar w:fldCharType="begin"/>
        </w:r>
        <w:r w:rsidR="00A901CF">
          <w:rPr>
            <w:webHidden/>
          </w:rPr>
          <w:instrText xml:space="preserve"> PAGEREF _Toc61364857 \h </w:instrText>
        </w:r>
        <w:r w:rsidR="00A901CF">
          <w:rPr>
            <w:webHidden/>
          </w:rPr>
        </w:r>
        <w:r w:rsidR="00A901CF">
          <w:rPr>
            <w:webHidden/>
          </w:rPr>
          <w:fldChar w:fldCharType="separate"/>
        </w:r>
        <w:r w:rsidR="00DF3A4D">
          <w:rPr>
            <w:webHidden/>
          </w:rPr>
          <w:t>26</w:t>
        </w:r>
        <w:r w:rsidR="00A901CF">
          <w:rPr>
            <w:webHidden/>
          </w:rPr>
          <w:fldChar w:fldCharType="end"/>
        </w:r>
      </w:hyperlink>
    </w:p>
    <w:p w14:paraId="1E6739B3" w14:textId="6F337141" w:rsidR="00A901CF" w:rsidRDefault="00C71CF3">
      <w:pPr>
        <w:pStyle w:val="TOC2"/>
        <w:rPr>
          <w:rFonts w:asciiTheme="minorHAnsi" w:eastAsiaTheme="minorEastAsia" w:hAnsiTheme="minorHAnsi" w:cstheme="minorBidi"/>
          <w:spacing w:val="0"/>
          <w:sz w:val="22"/>
          <w:szCs w:val="22"/>
        </w:rPr>
      </w:pPr>
      <w:hyperlink w:anchor="_Toc61364858" w:history="1">
        <w:r w:rsidR="00A901CF" w:rsidRPr="00426A4F">
          <w:rPr>
            <w:rStyle w:val="Hyperlink"/>
          </w:rPr>
          <w:t>Overview</w:t>
        </w:r>
        <w:r w:rsidR="00A901CF">
          <w:rPr>
            <w:webHidden/>
          </w:rPr>
          <w:tab/>
        </w:r>
        <w:r w:rsidR="00A901CF">
          <w:rPr>
            <w:webHidden/>
          </w:rPr>
          <w:fldChar w:fldCharType="begin"/>
        </w:r>
        <w:r w:rsidR="00A901CF">
          <w:rPr>
            <w:webHidden/>
          </w:rPr>
          <w:instrText xml:space="preserve"> PAGEREF _Toc61364858 \h </w:instrText>
        </w:r>
        <w:r w:rsidR="00A901CF">
          <w:rPr>
            <w:webHidden/>
          </w:rPr>
        </w:r>
        <w:r w:rsidR="00A901CF">
          <w:rPr>
            <w:webHidden/>
          </w:rPr>
          <w:fldChar w:fldCharType="separate"/>
        </w:r>
        <w:r w:rsidR="00DF3A4D">
          <w:rPr>
            <w:webHidden/>
          </w:rPr>
          <w:t>26</w:t>
        </w:r>
        <w:r w:rsidR="00A901CF">
          <w:rPr>
            <w:webHidden/>
          </w:rPr>
          <w:fldChar w:fldCharType="end"/>
        </w:r>
      </w:hyperlink>
    </w:p>
    <w:p w14:paraId="791D4BD6" w14:textId="12594BA7" w:rsidR="00A901CF" w:rsidRDefault="00C71CF3">
      <w:pPr>
        <w:pStyle w:val="TOC2"/>
        <w:rPr>
          <w:rFonts w:asciiTheme="minorHAnsi" w:eastAsiaTheme="minorEastAsia" w:hAnsiTheme="minorHAnsi" w:cstheme="minorBidi"/>
          <w:spacing w:val="0"/>
          <w:sz w:val="22"/>
          <w:szCs w:val="22"/>
        </w:rPr>
      </w:pPr>
      <w:hyperlink w:anchor="_Toc61364859" w:history="1">
        <w:r w:rsidR="00A901CF" w:rsidRPr="00426A4F">
          <w:rPr>
            <w:rStyle w:val="Hyperlink"/>
          </w:rPr>
          <w:t>Consultation questions</w:t>
        </w:r>
        <w:r w:rsidR="00A901CF">
          <w:rPr>
            <w:webHidden/>
          </w:rPr>
          <w:tab/>
        </w:r>
        <w:r w:rsidR="00A901CF">
          <w:rPr>
            <w:webHidden/>
          </w:rPr>
          <w:fldChar w:fldCharType="begin"/>
        </w:r>
        <w:r w:rsidR="00A901CF">
          <w:rPr>
            <w:webHidden/>
          </w:rPr>
          <w:instrText xml:space="preserve"> PAGEREF _Toc61364859 \h </w:instrText>
        </w:r>
        <w:r w:rsidR="00A901CF">
          <w:rPr>
            <w:webHidden/>
          </w:rPr>
        </w:r>
        <w:r w:rsidR="00A901CF">
          <w:rPr>
            <w:webHidden/>
          </w:rPr>
          <w:fldChar w:fldCharType="separate"/>
        </w:r>
        <w:r w:rsidR="00DF3A4D">
          <w:rPr>
            <w:webHidden/>
          </w:rPr>
          <w:t>27</w:t>
        </w:r>
        <w:r w:rsidR="00A901CF">
          <w:rPr>
            <w:webHidden/>
          </w:rPr>
          <w:fldChar w:fldCharType="end"/>
        </w:r>
      </w:hyperlink>
    </w:p>
    <w:p w14:paraId="73F33957" w14:textId="122FD1F8" w:rsidR="00A901CF" w:rsidRDefault="00C71CF3">
      <w:pPr>
        <w:pStyle w:val="TOC2"/>
        <w:rPr>
          <w:rFonts w:asciiTheme="minorHAnsi" w:eastAsiaTheme="minorEastAsia" w:hAnsiTheme="minorHAnsi" w:cstheme="minorBidi"/>
          <w:spacing w:val="0"/>
          <w:sz w:val="22"/>
          <w:szCs w:val="22"/>
        </w:rPr>
      </w:pPr>
      <w:hyperlink w:anchor="_Toc61364860" w:history="1">
        <w:r w:rsidR="00A901CF" w:rsidRPr="00426A4F">
          <w:rPr>
            <w:rStyle w:val="Hyperlink"/>
          </w:rPr>
          <w:t>Summary of responses</w:t>
        </w:r>
        <w:r w:rsidR="00A901CF">
          <w:rPr>
            <w:webHidden/>
          </w:rPr>
          <w:tab/>
        </w:r>
        <w:r w:rsidR="00A901CF">
          <w:rPr>
            <w:webHidden/>
          </w:rPr>
          <w:fldChar w:fldCharType="begin"/>
        </w:r>
        <w:r w:rsidR="00A901CF">
          <w:rPr>
            <w:webHidden/>
          </w:rPr>
          <w:instrText xml:space="preserve"> PAGEREF _Toc61364860 \h </w:instrText>
        </w:r>
        <w:r w:rsidR="00A901CF">
          <w:rPr>
            <w:webHidden/>
          </w:rPr>
        </w:r>
        <w:r w:rsidR="00A901CF">
          <w:rPr>
            <w:webHidden/>
          </w:rPr>
          <w:fldChar w:fldCharType="separate"/>
        </w:r>
        <w:r w:rsidR="00DF3A4D">
          <w:rPr>
            <w:webHidden/>
          </w:rPr>
          <w:t>27</w:t>
        </w:r>
        <w:r w:rsidR="00A901CF">
          <w:rPr>
            <w:webHidden/>
          </w:rPr>
          <w:fldChar w:fldCharType="end"/>
        </w:r>
      </w:hyperlink>
    </w:p>
    <w:p w14:paraId="54EBAE53" w14:textId="6A3E649F" w:rsidR="00A901CF" w:rsidRDefault="00C71CF3">
      <w:pPr>
        <w:pStyle w:val="TOC3"/>
        <w:rPr>
          <w:rFonts w:asciiTheme="minorHAnsi" w:eastAsiaTheme="minorEastAsia" w:hAnsiTheme="minorHAnsi" w:cstheme="minorBidi"/>
        </w:rPr>
      </w:pPr>
      <w:hyperlink w:anchor="_Toc61364861" w:history="1">
        <w:r w:rsidR="00A901CF" w:rsidRPr="00426A4F">
          <w:rPr>
            <w:rStyle w:val="Hyperlink"/>
          </w:rPr>
          <w:t>Option 1: Television outside broadcasting</w:t>
        </w:r>
        <w:r w:rsidR="00A901CF">
          <w:rPr>
            <w:webHidden/>
          </w:rPr>
          <w:tab/>
        </w:r>
        <w:r w:rsidR="00A901CF">
          <w:rPr>
            <w:webHidden/>
          </w:rPr>
          <w:fldChar w:fldCharType="begin"/>
        </w:r>
        <w:r w:rsidR="00A901CF">
          <w:rPr>
            <w:webHidden/>
          </w:rPr>
          <w:instrText xml:space="preserve"> PAGEREF _Toc61364861 \h </w:instrText>
        </w:r>
        <w:r w:rsidR="00A901CF">
          <w:rPr>
            <w:webHidden/>
          </w:rPr>
        </w:r>
        <w:r w:rsidR="00A901CF">
          <w:rPr>
            <w:webHidden/>
          </w:rPr>
          <w:fldChar w:fldCharType="separate"/>
        </w:r>
        <w:r w:rsidR="00DF3A4D">
          <w:rPr>
            <w:webHidden/>
          </w:rPr>
          <w:t>27</w:t>
        </w:r>
        <w:r w:rsidR="00A901CF">
          <w:rPr>
            <w:webHidden/>
          </w:rPr>
          <w:fldChar w:fldCharType="end"/>
        </w:r>
      </w:hyperlink>
    </w:p>
    <w:p w14:paraId="708B7965" w14:textId="0E40A174" w:rsidR="00A901CF" w:rsidRDefault="00C71CF3">
      <w:pPr>
        <w:pStyle w:val="TOC3"/>
        <w:rPr>
          <w:rFonts w:asciiTheme="minorHAnsi" w:eastAsiaTheme="minorEastAsia" w:hAnsiTheme="minorHAnsi" w:cstheme="minorBidi"/>
        </w:rPr>
      </w:pPr>
      <w:hyperlink w:anchor="_Toc61364862" w:history="1">
        <w:r w:rsidR="00A901CF" w:rsidRPr="00426A4F">
          <w:rPr>
            <w:rStyle w:val="Hyperlink"/>
          </w:rPr>
          <w:t>Option 2: Wireless broadband</w:t>
        </w:r>
        <w:r w:rsidR="00A901CF">
          <w:rPr>
            <w:webHidden/>
          </w:rPr>
          <w:tab/>
        </w:r>
        <w:r w:rsidR="00A901CF">
          <w:rPr>
            <w:webHidden/>
          </w:rPr>
          <w:fldChar w:fldCharType="begin"/>
        </w:r>
        <w:r w:rsidR="00A901CF">
          <w:rPr>
            <w:webHidden/>
          </w:rPr>
          <w:instrText xml:space="preserve"> PAGEREF _Toc61364862 \h </w:instrText>
        </w:r>
        <w:r w:rsidR="00A901CF">
          <w:rPr>
            <w:webHidden/>
          </w:rPr>
        </w:r>
        <w:r w:rsidR="00A901CF">
          <w:rPr>
            <w:webHidden/>
          </w:rPr>
          <w:fldChar w:fldCharType="separate"/>
        </w:r>
        <w:r w:rsidR="00DF3A4D">
          <w:rPr>
            <w:webHidden/>
          </w:rPr>
          <w:t>28</w:t>
        </w:r>
        <w:r w:rsidR="00A901CF">
          <w:rPr>
            <w:webHidden/>
          </w:rPr>
          <w:fldChar w:fldCharType="end"/>
        </w:r>
      </w:hyperlink>
    </w:p>
    <w:p w14:paraId="31BD1054" w14:textId="08E7E656" w:rsidR="00A901CF" w:rsidRDefault="00C71CF3">
      <w:pPr>
        <w:pStyle w:val="TOC3"/>
        <w:rPr>
          <w:rFonts w:asciiTheme="minorHAnsi" w:eastAsiaTheme="minorEastAsia" w:hAnsiTheme="minorHAnsi" w:cstheme="minorBidi"/>
        </w:rPr>
      </w:pPr>
      <w:hyperlink w:anchor="_Toc61364863" w:history="1">
        <w:r w:rsidR="00A901CF" w:rsidRPr="00426A4F">
          <w:rPr>
            <w:rStyle w:val="Hyperlink"/>
          </w:rPr>
          <w:t>Option 3: Mobile satellite</w:t>
        </w:r>
        <w:r w:rsidR="00A901CF">
          <w:rPr>
            <w:webHidden/>
          </w:rPr>
          <w:tab/>
        </w:r>
        <w:r w:rsidR="00A901CF">
          <w:rPr>
            <w:webHidden/>
          </w:rPr>
          <w:fldChar w:fldCharType="begin"/>
        </w:r>
        <w:r w:rsidR="00A901CF">
          <w:rPr>
            <w:webHidden/>
          </w:rPr>
          <w:instrText xml:space="preserve"> PAGEREF _Toc61364863 \h </w:instrText>
        </w:r>
        <w:r w:rsidR="00A901CF">
          <w:rPr>
            <w:webHidden/>
          </w:rPr>
        </w:r>
        <w:r w:rsidR="00A901CF">
          <w:rPr>
            <w:webHidden/>
          </w:rPr>
          <w:fldChar w:fldCharType="separate"/>
        </w:r>
        <w:r w:rsidR="00DF3A4D">
          <w:rPr>
            <w:webHidden/>
          </w:rPr>
          <w:t>28</w:t>
        </w:r>
        <w:r w:rsidR="00A901CF">
          <w:rPr>
            <w:webHidden/>
          </w:rPr>
          <w:fldChar w:fldCharType="end"/>
        </w:r>
      </w:hyperlink>
    </w:p>
    <w:p w14:paraId="3D282B13" w14:textId="6ACB6C88" w:rsidR="00A901CF" w:rsidRDefault="00C71CF3">
      <w:pPr>
        <w:pStyle w:val="TOC3"/>
        <w:rPr>
          <w:rFonts w:asciiTheme="minorHAnsi" w:eastAsiaTheme="minorEastAsia" w:hAnsiTheme="minorHAnsi" w:cstheme="minorBidi"/>
        </w:rPr>
      </w:pPr>
      <w:hyperlink w:anchor="_Toc61364864" w:history="1">
        <w:r w:rsidR="00A901CF" w:rsidRPr="00426A4F">
          <w:rPr>
            <w:rStyle w:val="Hyperlink"/>
          </w:rPr>
          <w:t>Direct air-to-ground communications</w:t>
        </w:r>
        <w:r w:rsidR="00A901CF">
          <w:rPr>
            <w:webHidden/>
          </w:rPr>
          <w:tab/>
        </w:r>
        <w:r w:rsidR="00A901CF">
          <w:rPr>
            <w:webHidden/>
          </w:rPr>
          <w:fldChar w:fldCharType="begin"/>
        </w:r>
        <w:r w:rsidR="00A901CF">
          <w:rPr>
            <w:webHidden/>
          </w:rPr>
          <w:instrText xml:space="preserve"> PAGEREF _Toc61364864 \h </w:instrText>
        </w:r>
        <w:r w:rsidR="00A901CF">
          <w:rPr>
            <w:webHidden/>
          </w:rPr>
        </w:r>
        <w:r w:rsidR="00A901CF">
          <w:rPr>
            <w:webHidden/>
          </w:rPr>
          <w:fldChar w:fldCharType="separate"/>
        </w:r>
        <w:r w:rsidR="00DF3A4D">
          <w:rPr>
            <w:webHidden/>
          </w:rPr>
          <w:t>29</w:t>
        </w:r>
        <w:r w:rsidR="00A901CF">
          <w:rPr>
            <w:webHidden/>
          </w:rPr>
          <w:fldChar w:fldCharType="end"/>
        </w:r>
      </w:hyperlink>
    </w:p>
    <w:p w14:paraId="49095975" w14:textId="20E4933C" w:rsidR="00A901CF" w:rsidRDefault="00C71CF3">
      <w:pPr>
        <w:pStyle w:val="TOC3"/>
        <w:rPr>
          <w:rFonts w:asciiTheme="minorHAnsi" w:eastAsiaTheme="minorEastAsia" w:hAnsiTheme="minorHAnsi" w:cstheme="minorBidi"/>
        </w:rPr>
      </w:pPr>
      <w:hyperlink w:anchor="_Toc61364865" w:history="1">
        <w:r w:rsidR="00A901CF" w:rsidRPr="00426A4F">
          <w:rPr>
            <w:rStyle w:val="Hyperlink"/>
          </w:rPr>
          <w:t>Variations and hybrid approaches</w:t>
        </w:r>
        <w:r w:rsidR="00A901CF">
          <w:rPr>
            <w:webHidden/>
          </w:rPr>
          <w:tab/>
        </w:r>
        <w:r w:rsidR="00A901CF">
          <w:rPr>
            <w:webHidden/>
          </w:rPr>
          <w:fldChar w:fldCharType="begin"/>
        </w:r>
        <w:r w:rsidR="00A901CF">
          <w:rPr>
            <w:webHidden/>
          </w:rPr>
          <w:instrText xml:space="preserve"> PAGEREF _Toc61364865 \h </w:instrText>
        </w:r>
        <w:r w:rsidR="00A901CF">
          <w:rPr>
            <w:webHidden/>
          </w:rPr>
        </w:r>
        <w:r w:rsidR="00A901CF">
          <w:rPr>
            <w:webHidden/>
          </w:rPr>
          <w:fldChar w:fldCharType="separate"/>
        </w:r>
        <w:r w:rsidR="00DF3A4D">
          <w:rPr>
            <w:webHidden/>
          </w:rPr>
          <w:t>30</w:t>
        </w:r>
        <w:r w:rsidR="00A901CF">
          <w:rPr>
            <w:webHidden/>
          </w:rPr>
          <w:fldChar w:fldCharType="end"/>
        </w:r>
      </w:hyperlink>
    </w:p>
    <w:p w14:paraId="06B9CA61" w14:textId="5D7B139E" w:rsidR="00A901CF" w:rsidRDefault="00C71CF3">
      <w:pPr>
        <w:pStyle w:val="TOC1"/>
        <w:rPr>
          <w:rFonts w:asciiTheme="minorHAnsi" w:eastAsiaTheme="minorEastAsia" w:hAnsiTheme="minorHAnsi" w:cstheme="minorBidi"/>
          <w:b w:val="0"/>
          <w:spacing w:val="0"/>
          <w:sz w:val="22"/>
          <w:szCs w:val="22"/>
        </w:rPr>
      </w:pPr>
      <w:hyperlink w:anchor="_Toc61364866" w:history="1">
        <w:r w:rsidR="00A901CF" w:rsidRPr="00426A4F">
          <w:rPr>
            <w:rStyle w:val="Hyperlink"/>
          </w:rPr>
          <w:t>Appendix B: Desirable planning outcomes</w:t>
        </w:r>
        <w:r w:rsidR="00A901CF">
          <w:rPr>
            <w:webHidden/>
          </w:rPr>
          <w:tab/>
        </w:r>
        <w:r w:rsidR="00A901CF">
          <w:rPr>
            <w:webHidden/>
          </w:rPr>
          <w:fldChar w:fldCharType="begin"/>
        </w:r>
        <w:r w:rsidR="00A901CF">
          <w:rPr>
            <w:webHidden/>
          </w:rPr>
          <w:instrText xml:space="preserve"> PAGEREF _Toc61364866 \h </w:instrText>
        </w:r>
        <w:r w:rsidR="00A901CF">
          <w:rPr>
            <w:webHidden/>
          </w:rPr>
        </w:r>
        <w:r w:rsidR="00A901CF">
          <w:rPr>
            <w:webHidden/>
          </w:rPr>
          <w:fldChar w:fldCharType="separate"/>
        </w:r>
        <w:r w:rsidR="00DF3A4D">
          <w:rPr>
            <w:webHidden/>
          </w:rPr>
          <w:t>31</w:t>
        </w:r>
        <w:r w:rsidR="00A901CF">
          <w:rPr>
            <w:webHidden/>
          </w:rPr>
          <w:fldChar w:fldCharType="end"/>
        </w:r>
      </w:hyperlink>
    </w:p>
    <w:p w14:paraId="20959BCB" w14:textId="67544447" w:rsidR="00A901CF" w:rsidRDefault="00C71CF3">
      <w:pPr>
        <w:pStyle w:val="TOC1"/>
        <w:rPr>
          <w:rFonts w:asciiTheme="minorHAnsi" w:eastAsiaTheme="minorEastAsia" w:hAnsiTheme="minorHAnsi" w:cstheme="minorBidi"/>
          <w:b w:val="0"/>
          <w:spacing w:val="0"/>
          <w:sz w:val="22"/>
          <w:szCs w:val="22"/>
        </w:rPr>
      </w:pPr>
      <w:hyperlink w:anchor="_Toc61364867" w:history="1">
        <w:r w:rsidR="00A901CF" w:rsidRPr="00426A4F">
          <w:rPr>
            <w:rStyle w:val="Hyperlink"/>
          </w:rPr>
          <w:t>Appendix C: Geographical area descriptions</w:t>
        </w:r>
        <w:r w:rsidR="00A901CF">
          <w:rPr>
            <w:webHidden/>
          </w:rPr>
          <w:tab/>
        </w:r>
        <w:r w:rsidR="00A901CF">
          <w:rPr>
            <w:webHidden/>
          </w:rPr>
          <w:fldChar w:fldCharType="begin"/>
        </w:r>
        <w:r w:rsidR="00A901CF">
          <w:rPr>
            <w:webHidden/>
          </w:rPr>
          <w:instrText xml:space="preserve"> PAGEREF _Toc61364867 \h </w:instrText>
        </w:r>
        <w:r w:rsidR="00A901CF">
          <w:rPr>
            <w:webHidden/>
          </w:rPr>
        </w:r>
        <w:r w:rsidR="00A901CF">
          <w:rPr>
            <w:webHidden/>
          </w:rPr>
          <w:fldChar w:fldCharType="separate"/>
        </w:r>
        <w:r w:rsidR="00DF3A4D">
          <w:rPr>
            <w:webHidden/>
          </w:rPr>
          <w:t>32</w:t>
        </w:r>
        <w:r w:rsidR="00A901CF">
          <w:rPr>
            <w:webHidden/>
          </w:rPr>
          <w:fldChar w:fldCharType="end"/>
        </w:r>
      </w:hyperlink>
    </w:p>
    <w:p w14:paraId="04C310E0" w14:textId="26868933" w:rsidR="004D56FF" w:rsidRPr="00A85D75" w:rsidRDefault="00A901CF">
      <w:pPr>
        <w:rPr>
          <w:rFonts w:cs="Arial"/>
        </w:rPr>
        <w:sectPr w:rsidR="004D56FF" w:rsidRPr="00A85D75" w:rsidSect="00C77380">
          <w:headerReference w:type="even" r:id="rId21"/>
          <w:headerReference w:type="default" r:id="rId22"/>
          <w:footerReference w:type="even" r:id="rId23"/>
          <w:footerReference w:type="default" r:id="rId24"/>
          <w:footerReference w:type="first" r:id="rId25"/>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4A6B0304" w14:textId="77777777" w:rsidR="009D6C71" w:rsidRPr="00A85D75" w:rsidRDefault="009D6C71" w:rsidP="009174F3">
      <w:pPr>
        <w:pStyle w:val="Execsummaryheading"/>
      </w:pPr>
      <w:bookmarkStart w:id="0" w:name="_Toc56965672"/>
      <w:bookmarkStart w:id="1" w:name="_Toc61364819"/>
      <w:r w:rsidRPr="00A85D75">
        <w:lastRenderedPageBreak/>
        <w:t>Executive summary</w:t>
      </w:r>
      <w:bookmarkEnd w:id="0"/>
      <w:bookmarkEnd w:id="1"/>
    </w:p>
    <w:p w14:paraId="54406453" w14:textId="1D6AA723" w:rsidR="00077419" w:rsidRPr="00A85D75" w:rsidRDefault="009C67AE" w:rsidP="00C42CE4">
      <w:pPr>
        <w:pStyle w:val="Paragraph"/>
      </w:pPr>
      <w:r w:rsidRPr="00A85D75">
        <w:t xml:space="preserve">The </w:t>
      </w:r>
      <w:r w:rsidR="00023D92">
        <w:t>Australian Communications and Media Authority (</w:t>
      </w:r>
      <w:r w:rsidRPr="00A85D75">
        <w:t>ACMA</w:t>
      </w:r>
      <w:r w:rsidR="00023D92">
        <w:t>)</w:t>
      </w:r>
      <w:r w:rsidRPr="00A85D75">
        <w:t xml:space="preserve"> has observed increasing interest in the 2 GHz band </w:t>
      </w:r>
      <w:r w:rsidR="00E25277" w:rsidRPr="00A85D75">
        <w:t xml:space="preserve">(1980–2010 MHz and 2170–2200 MHz) </w:t>
      </w:r>
      <w:r w:rsidRPr="00A85D75">
        <w:t>for new applications</w:t>
      </w:r>
      <w:r w:rsidR="00023D92">
        <w:t>,</w:t>
      </w:r>
      <w:r w:rsidR="00D76957" w:rsidRPr="00A85D75">
        <w:t xml:space="preserve"> </w:t>
      </w:r>
      <w:r w:rsidRPr="00A85D75">
        <w:t>including mobile</w:t>
      </w:r>
      <w:r w:rsidR="00351D1B">
        <w:t>-</w:t>
      </w:r>
      <w:r w:rsidRPr="00A85D75">
        <w:t>satellite</w:t>
      </w:r>
      <w:r w:rsidR="00BE188D" w:rsidRPr="00A85D75">
        <w:t xml:space="preserve"> services (MSS)</w:t>
      </w:r>
      <w:r w:rsidRPr="00A85D75">
        <w:t>, wireless broadband and direct air-to-ground communications</w:t>
      </w:r>
      <w:r w:rsidR="00E25277" w:rsidRPr="00A85D75">
        <w:t>.</w:t>
      </w:r>
      <w:r w:rsidR="00553F17" w:rsidRPr="00A85D75">
        <w:t xml:space="preserve"> The</w:t>
      </w:r>
      <w:r w:rsidR="001B2355" w:rsidRPr="00A85D75">
        <w:t xml:space="preserve"> band is currently used for television outside broadcast (TOB) services on a shared and non-exclusive basis for short-term applications</w:t>
      </w:r>
      <w:r w:rsidR="00023D92">
        <w:t>,</w:t>
      </w:r>
      <w:r w:rsidR="001B2355" w:rsidRPr="00A85D75">
        <w:t xml:space="preserve"> such as covering special events. </w:t>
      </w:r>
    </w:p>
    <w:p w14:paraId="64698C5F" w14:textId="0CB70869" w:rsidR="00545576" w:rsidRPr="00A85D75" w:rsidRDefault="00077419" w:rsidP="00202537">
      <w:r w:rsidRPr="00A85D75">
        <w:t xml:space="preserve">As the current </w:t>
      </w:r>
      <w:r w:rsidR="00047D4D" w:rsidRPr="00A85D75">
        <w:t>spectrum management</w:t>
      </w:r>
      <w:r w:rsidRPr="00A85D75">
        <w:t xml:space="preserve"> framework </w:t>
      </w:r>
      <w:r w:rsidR="00047D4D" w:rsidRPr="00A85D75">
        <w:t xml:space="preserve">for </w:t>
      </w:r>
      <w:r w:rsidR="001742BF" w:rsidRPr="00A85D75">
        <w:t xml:space="preserve">the 2 GHz </w:t>
      </w:r>
      <w:r w:rsidR="00047D4D" w:rsidRPr="00A85D75">
        <w:t>band</w:t>
      </w:r>
      <w:r w:rsidR="001742BF" w:rsidRPr="00A85D75">
        <w:t xml:space="preserve"> does not support evolving </w:t>
      </w:r>
      <w:r w:rsidR="00545576" w:rsidRPr="00A85D75">
        <w:t>interest</w:t>
      </w:r>
      <w:r w:rsidR="001742BF" w:rsidRPr="00A85D75">
        <w:t xml:space="preserve"> for new </w:t>
      </w:r>
      <w:r w:rsidR="00545576" w:rsidRPr="00A85D75">
        <w:t>applications</w:t>
      </w:r>
      <w:r w:rsidR="001742BF" w:rsidRPr="00A85D75">
        <w:t xml:space="preserve"> such as mobile satellite</w:t>
      </w:r>
      <w:r w:rsidR="00545576" w:rsidRPr="00A85D75">
        <w:t xml:space="preserve"> in the band</w:t>
      </w:r>
      <w:r w:rsidR="001742BF" w:rsidRPr="00A85D75">
        <w:t>,</w:t>
      </w:r>
      <w:r w:rsidR="00545576" w:rsidRPr="00A85D75">
        <w:rPr>
          <w:rFonts w:cs="Arial"/>
        </w:rPr>
        <w:t xml:space="preserve"> the </w:t>
      </w:r>
      <w:r w:rsidR="00023D92">
        <w:rPr>
          <w:rFonts w:cs="Arial"/>
        </w:rPr>
        <w:t xml:space="preserve">ACMA’s </w:t>
      </w:r>
      <w:r w:rsidR="00545576" w:rsidRPr="00A85D75">
        <w:rPr>
          <w:rFonts w:cs="Arial"/>
        </w:rPr>
        <w:t>view</w:t>
      </w:r>
      <w:r w:rsidR="00023D92">
        <w:rPr>
          <w:rFonts w:cs="Arial"/>
        </w:rPr>
        <w:t>,</w:t>
      </w:r>
      <w:r w:rsidR="00545576" w:rsidRPr="00A85D75">
        <w:rPr>
          <w:rFonts w:cs="Arial"/>
        </w:rPr>
        <w:t xml:space="preserve"> expressed in </w:t>
      </w:r>
      <w:r w:rsidR="00AC4DAB">
        <w:rPr>
          <w:rFonts w:cs="Arial"/>
        </w:rPr>
        <w:t>the</w:t>
      </w:r>
      <w:r w:rsidR="00545576" w:rsidRPr="00A85D75">
        <w:rPr>
          <w:rFonts w:cs="Arial"/>
        </w:rPr>
        <w:t xml:space="preserve"> </w:t>
      </w:r>
      <w:hyperlink r:id="rId26" w:history="1">
        <w:r w:rsidR="00545576" w:rsidRPr="00A85D75">
          <w:rPr>
            <w:rStyle w:val="Hyperlink"/>
          </w:rPr>
          <w:t>options paper</w:t>
        </w:r>
      </w:hyperlink>
      <w:r w:rsidR="00545576" w:rsidRPr="00A85D75">
        <w:t xml:space="preserve"> </w:t>
      </w:r>
      <w:r w:rsidR="00545576" w:rsidRPr="00A85D75">
        <w:rPr>
          <w:szCs w:val="20"/>
        </w:rPr>
        <w:t>released in July 2020</w:t>
      </w:r>
      <w:r w:rsidR="00023D92">
        <w:rPr>
          <w:szCs w:val="20"/>
        </w:rPr>
        <w:t>,</w:t>
      </w:r>
      <w:r w:rsidR="00545576" w:rsidRPr="00A85D75">
        <w:t xml:space="preserve"> </w:t>
      </w:r>
      <w:r w:rsidR="00545576" w:rsidRPr="00A85D75">
        <w:rPr>
          <w:rFonts w:cs="Arial"/>
        </w:rPr>
        <w:t xml:space="preserve">was that a clear case existed for potentially changing the spectrum management framework in the band. </w:t>
      </w:r>
    </w:p>
    <w:p w14:paraId="4127861B" w14:textId="64CA591E" w:rsidR="006D178F" w:rsidRPr="00A85D75" w:rsidRDefault="00390640" w:rsidP="00F336E8">
      <w:pPr>
        <w:pStyle w:val="Paragraphbeforelist"/>
      </w:pPr>
      <w:r w:rsidRPr="00A85D75">
        <w:t xml:space="preserve">The </w:t>
      </w:r>
      <w:r w:rsidR="00047D4D" w:rsidRPr="00A85D75">
        <w:t>options</w:t>
      </w:r>
      <w:r w:rsidRPr="00A85D75">
        <w:t xml:space="preserve"> paper identified the case for change and proposed </w:t>
      </w:r>
      <w:r w:rsidR="00023D92">
        <w:t>3</w:t>
      </w:r>
      <w:r w:rsidR="00023D92" w:rsidRPr="00A85D75">
        <w:t xml:space="preserve"> </w:t>
      </w:r>
      <w:r w:rsidRPr="00A85D75">
        <w:t xml:space="preserve">preliminary planning options for consideration. We identified a set of desirable planning outcomes (see </w:t>
      </w:r>
      <w:hyperlink w:anchor="_Appendix_B:_Desirable" w:history="1">
        <w:r w:rsidR="00047D4D" w:rsidRPr="00A85D75">
          <w:rPr>
            <w:rStyle w:val="Hyperlink"/>
          </w:rPr>
          <w:t>Appendix B</w:t>
        </w:r>
      </w:hyperlink>
      <w:r w:rsidRPr="00A85D75">
        <w:t>) that considered the legislative and policy framework</w:t>
      </w:r>
      <w:r w:rsidR="00023D92">
        <w:t>,</w:t>
      </w:r>
      <w:r w:rsidRPr="00A85D75">
        <w:t xml:space="preserve"> as well as environmental factors. </w:t>
      </w:r>
      <w:r w:rsidR="006D178F" w:rsidRPr="00A85D75">
        <w:t>The planning outcomes included</w:t>
      </w:r>
      <w:r w:rsidR="00F336E8" w:rsidRPr="00A85D75">
        <w:t>:</w:t>
      </w:r>
      <w:r w:rsidR="006D178F" w:rsidRPr="00A85D75">
        <w:t xml:space="preserve"> </w:t>
      </w:r>
    </w:p>
    <w:p w14:paraId="3C1B56DF" w14:textId="63969287" w:rsidR="006D178F" w:rsidRPr="00A85D75" w:rsidRDefault="006D178F" w:rsidP="006D178F">
      <w:pPr>
        <w:pStyle w:val="ListNumber"/>
        <w:numPr>
          <w:ilvl w:val="0"/>
          <w:numId w:val="13"/>
        </w:numPr>
      </w:pPr>
      <w:r w:rsidRPr="00A85D75">
        <w:t>Support new uses of the band consistent with international harmonisation and domestic considerations which includes some mix of MSS uses (including for IoT) and possible wireless broadband uses, including MSS complementary ground component</w:t>
      </w:r>
      <w:r w:rsidR="003B2A41">
        <w:rPr>
          <w:rStyle w:val="FootnoteReference"/>
        </w:rPr>
        <w:footnoteReference w:id="2"/>
      </w:r>
      <w:r w:rsidRPr="00A85D75">
        <w:t xml:space="preserve"> usage.</w:t>
      </w:r>
    </w:p>
    <w:p w14:paraId="7FE078BB" w14:textId="77777777" w:rsidR="006D178F" w:rsidRPr="00A85D75" w:rsidRDefault="006D178F" w:rsidP="006D178F">
      <w:pPr>
        <w:pStyle w:val="ListNumber"/>
        <w:numPr>
          <w:ilvl w:val="0"/>
          <w:numId w:val="13"/>
        </w:numPr>
      </w:pPr>
      <w:r w:rsidRPr="00A85D75">
        <w:t xml:space="preserve">Resolve the interim nature of arrangements in the band to provide increased certainty for future uses of the band. </w:t>
      </w:r>
    </w:p>
    <w:p w14:paraId="6184A853" w14:textId="1F9AAA88" w:rsidR="006D178F" w:rsidRPr="00A85D75" w:rsidRDefault="006D178F" w:rsidP="006D178F">
      <w:pPr>
        <w:pStyle w:val="ListNumber"/>
        <w:numPr>
          <w:ilvl w:val="0"/>
          <w:numId w:val="13"/>
        </w:numPr>
        <w:spacing w:after="240"/>
        <w:ind w:left="357" w:hanging="357"/>
      </w:pPr>
      <w:r w:rsidRPr="00A85D75">
        <w:t>Ensure coexistence with adjacent</w:t>
      </w:r>
      <w:r w:rsidR="00351D1B">
        <w:t>-</w:t>
      </w:r>
      <w:r w:rsidRPr="00A85D75">
        <w:t>band services is addressed.</w:t>
      </w:r>
      <w:r w:rsidRPr="00A85D75" w:rsidDel="00BE188D">
        <w:t xml:space="preserve"> These include wireless broadband services operating below 1980 and 2170 MHz, and TOB</w:t>
      </w:r>
      <w:r w:rsidRPr="00A85D75">
        <w:t xml:space="preserve"> </w:t>
      </w:r>
      <w:r w:rsidRPr="00A85D75" w:rsidDel="00BE188D">
        <w:t>/</w:t>
      </w:r>
      <w:r w:rsidRPr="00A85D75">
        <w:t xml:space="preserve"> </w:t>
      </w:r>
      <w:r w:rsidRPr="00A85D75" w:rsidDel="00BE188D">
        <w:t>space research</w:t>
      </w:r>
      <w:r w:rsidRPr="00A85D75">
        <w:t xml:space="preserve"> </w:t>
      </w:r>
      <w:r w:rsidRPr="00A85D75" w:rsidDel="00BE188D">
        <w:t>/</w:t>
      </w:r>
      <w:r w:rsidRPr="00A85D75">
        <w:t xml:space="preserve"> </w:t>
      </w:r>
      <w:r w:rsidRPr="00A85D75" w:rsidDel="00BE188D">
        <w:t>space operations operating above 2010 and 2200 MHz</w:t>
      </w:r>
      <w:r w:rsidRPr="00A85D75">
        <w:t xml:space="preserve">. </w:t>
      </w:r>
    </w:p>
    <w:p w14:paraId="419AADFB" w14:textId="3D88BA41" w:rsidR="00390640" w:rsidRPr="00A85D75" w:rsidRDefault="00390640" w:rsidP="00390640">
      <w:r w:rsidRPr="00A85D75">
        <w:t xml:space="preserve">These </w:t>
      </w:r>
      <w:r w:rsidR="006D178F" w:rsidRPr="00A85D75">
        <w:t xml:space="preserve">planning outcomes </w:t>
      </w:r>
      <w:r w:rsidRPr="00A85D75">
        <w:t>guided the assessment of the options considering changes in the licensing</w:t>
      </w:r>
      <w:r w:rsidRPr="00A85D75">
        <w:rPr>
          <w:rFonts w:cs="Arial"/>
        </w:rPr>
        <w:t xml:space="preserve"> arrangements in the band. </w:t>
      </w:r>
      <w:r w:rsidRPr="00A85D75">
        <w:t>We sought information from stakeholders to inform the consideration of a preferred planning approach.</w:t>
      </w:r>
    </w:p>
    <w:p w14:paraId="0D612698" w14:textId="50986DC3" w:rsidR="00124BD0" w:rsidRPr="00A85D75" w:rsidRDefault="00124BD0" w:rsidP="00124BD0">
      <w:r w:rsidRPr="00A85D75">
        <w:t xml:space="preserve">Based on feedback to the options paper and consideration of ongoing domestic and international developments that may impact the potential future use of the band, </w:t>
      </w:r>
      <w:r w:rsidR="00047D4D" w:rsidRPr="00A85D75">
        <w:t xml:space="preserve">we </w:t>
      </w:r>
      <w:r w:rsidRPr="00A85D75">
        <w:t>concluded that arrangements in the band should be changed to better maximise the overall public benefits derived from its use</w:t>
      </w:r>
      <w:r w:rsidR="00047D4D" w:rsidRPr="00A85D75">
        <w:t>.</w:t>
      </w:r>
      <w:r w:rsidRPr="00A85D75">
        <w:t xml:space="preserve"> </w:t>
      </w:r>
      <w:r w:rsidR="00047D4D" w:rsidRPr="00A85D75">
        <w:t>C</w:t>
      </w:r>
      <w:r w:rsidRPr="00A85D75">
        <w:t xml:space="preserve">onsistent with the planning decisions and preliminary views expressed below, </w:t>
      </w:r>
      <w:r w:rsidR="00047D4D" w:rsidRPr="00A85D75">
        <w:t xml:space="preserve">we have also decided that </w:t>
      </w:r>
      <w:r w:rsidRPr="00A85D75">
        <w:t xml:space="preserve">the 2 GHz band should advance to the implementation stage of the band planning process to enable </w:t>
      </w:r>
      <w:r w:rsidR="00070109">
        <w:t xml:space="preserve">MSS </w:t>
      </w:r>
      <w:r w:rsidRPr="00A85D75">
        <w:t xml:space="preserve">uses (including complementary ground component) in the band. </w:t>
      </w:r>
    </w:p>
    <w:p w14:paraId="0B98360C" w14:textId="527D4D11" w:rsidR="004D657E" w:rsidRPr="00A85D75" w:rsidRDefault="00124BD0" w:rsidP="00A901CF">
      <w:r w:rsidRPr="00A85D75">
        <w:t>Outcomes proposed in this paper conclude the ACMA’s band planning activities by identifying planning outcomes</w:t>
      </w:r>
      <w:r w:rsidR="00047D4D" w:rsidRPr="00A85D75">
        <w:t xml:space="preserve"> in the 2 GHz band</w:t>
      </w:r>
      <w:r w:rsidRPr="00A85D75">
        <w:t>. The following implementation stage includes future development of detailed technical planning</w:t>
      </w:r>
      <w:r w:rsidR="007B6717">
        <w:t>, licensing and allocation</w:t>
      </w:r>
      <w:r w:rsidRPr="00A85D75">
        <w:t xml:space="preserve"> frameworks and pricing consideration</w:t>
      </w:r>
      <w:r w:rsidR="00371834">
        <w:t>s</w:t>
      </w:r>
      <w:r w:rsidR="00371834" w:rsidRPr="00A85D75">
        <w:t xml:space="preserve"> (including further consultation where necessary)</w:t>
      </w:r>
      <w:r w:rsidRPr="00A85D75">
        <w:t xml:space="preserve">. Planning outcomes identified at this stage include both ACMA planning </w:t>
      </w:r>
      <w:r w:rsidRPr="00A85D75">
        <w:lastRenderedPageBreak/>
        <w:t>decisions as well as preliminary views on future activities</w:t>
      </w:r>
      <w:r w:rsidR="00217D70">
        <w:t xml:space="preserve"> in the band</w:t>
      </w:r>
      <w:r w:rsidRPr="00A85D75">
        <w:t>, some of which may be subject to further legislative or consultative processes.</w:t>
      </w:r>
      <w:bookmarkStart w:id="2" w:name="_Hlk19196222"/>
    </w:p>
    <w:p w14:paraId="24EE2CF5" w14:textId="77777777" w:rsidR="00A02A91" w:rsidRPr="00A85D75" w:rsidRDefault="00A02A91" w:rsidP="00E2254B">
      <w:pPr>
        <w:pStyle w:val="Heading2"/>
      </w:pPr>
      <w:bookmarkStart w:id="3" w:name="_Toc56950051"/>
      <w:bookmarkStart w:id="4" w:name="_Toc56965673"/>
      <w:bookmarkStart w:id="5" w:name="_Toc61364820"/>
      <w:bookmarkStart w:id="6" w:name="_Toc56950052"/>
      <w:r w:rsidRPr="00A85D75">
        <w:t>Industry feedback and ACMA considerations</w:t>
      </w:r>
      <w:bookmarkEnd w:id="3"/>
      <w:bookmarkEnd w:id="4"/>
      <w:bookmarkEnd w:id="5"/>
    </w:p>
    <w:p w14:paraId="1D6BBD31" w14:textId="334D07EA" w:rsidR="00A004C7" w:rsidRPr="00A85D75" w:rsidRDefault="00F67C28" w:rsidP="00A004C7">
      <w:pPr>
        <w:pStyle w:val="Paragraph"/>
      </w:pPr>
      <w:r w:rsidRPr="00A85D75">
        <w:t>Strong support was provided for the ACMA’s preliminary preferred option (option 3), especially from satellite operators. Several other respondents acknowledged their support for some form of MSS to be accommodated in the band.</w:t>
      </w:r>
      <w:r w:rsidR="00A004C7" w:rsidRPr="00A85D75">
        <w:rPr>
          <w:lang w:eastAsia="en-US"/>
        </w:rPr>
        <w:t xml:space="preserve"> The Australian Space Agency submitted that developing satellite </w:t>
      </w:r>
      <w:r w:rsidR="00351D1B">
        <w:rPr>
          <w:lang w:eastAsia="en-US"/>
        </w:rPr>
        <w:t>internet-of-things</w:t>
      </w:r>
      <w:r w:rsidR="00A004C7" w:rsidRPr="00A85D75">
        <w:rPr>
          <w:lang w:eastAsia="en-US"/>
        </w:rPr>
        <w:t xml:space="preserve"> </w:t>
      </w:r>
      <w:r w:rsidR="00351D1B">
        <w:rPr>
          <w:lang w:eastAsia="en-US"/>
        </w:rPr>
        <w:t>(</w:t>
      </w:r>
      <w:r w:rsidR="00A004C7" w:rsidRPr="00A85D75">
        <w:rPr>
          <w:lang w:eastAsia="en-US"/>
        </w:rPr>
        <w:t>IoT</w:t>
      </w:r>
      <w:r w:rsidR="00351D1B">
        <w:rPr>
          <w:lang w:eastAsia="en-US"/>
        </w:rPr>
        <w:t>)</w:t>
      </w:r>
      <w:r w:rsidR="00A004C7" w:rsidRPr="00A85D75">
        <w:rPr>
          <w:lang w:eastAsia="en-US"/>
        </w:rPr>
        <w:t xml:space="preserve"> arrangements with a low barrier to entry would assist in growing the Australian space industry.</w:t>
      </w:r>
    </w:p>
    <w:p w14:paraId="62AA43BF" w14:textId="77777777" w:rsidR="00F67C28" w:rsidRPr="00A85D75" w:rsidRDefault="00F67C28" w:rsidP="00F67C28">
      <w:pPr>
        <w:pStyle w:val="Paragraphbeforelist"/>
      </w:pPr>
      <w:r w:rsidRPr="00A85D75">
        <w:t>Submissions conveyed themes similar to those submitted to the initial investigation consultation in 2019:</w:t>
      </w:r>
    </w:p>
    <w:p w14:paraId="38F5DD1D" w14:textId="6A7FFAF5" w:rsidR="00F67C28" w:rsidRPr="00A85D75" w:rsidRDefault="00F67C28" w:rsidP="00F67C28">
      <w:pPr>
        <w:pStyle w:val="ListBullet"/>
      </w:pPr>
      <w:r w:rsidRPr="00A85D75">
        <w:t>Divergent views between industry sectors</w:t>
      </w:r>
      <w:r w:rsidR="00070109">
        <w:t xml:space="preserve"> – </w:t>
      </w:r>
      <w:r w:rsidRPr="00A85D75">
        <w:t>organisations from TOB, satellite, wireless broadband and direct air-to-ground sectors mostly advocated their own interests in the band</w:t>
      </w:r>
      <w:r w:rsidR="00070109">
        <w:t>.</w:t>
      </w:r>
    </w:p>
    <w:p w14:paraId="4B307C7F" w14:textId="4ACB6E3B" w:rsidR="00F67C28" w:rsidRPr="00A85D75" w:rsidRDefault="00F67C28" w:rsidP="00F67C28">
      <w:pPr>
        <w:pStyle w:val="ListBulletLast"/>
      </w:pPr>
      <w:r w:rsidRPr="00A85D75">
        <w:t>Demand exceeds supply</w:t>
      </w:r>
      <w:r w:rsidR="00070109">
        <w:t xml:space="preserve"> – </w:t>
      </w:r>
      <w:r w:rsidRPr="00A85D75">
        <w:t xml:space="preserve">the combined quantity of spectrum desired by proponents seeking access to the band exceeds the available bandwidth. Many respondents want exclusive access to the band for a single type of service, arguing that spectral or geographical separation between services is not feasible. </w:t>
      </w:r>
    </w:p>
    <w:p w14:paraId="1E25019C" w14:textId="77777777" w:rsidR="00F67C28" w:rsidRPr="00A85D75" w:rsidRDefault="00F67C28" w:rsidP="00F67C28">
      <w:pPr>
        <w:pStyle w:val="Paragraphbeforelist"/>
      </w:pPr>
      <w:r w:rsidRPr="00A85D75">
        <w:t>A range of alternative proposals were also presented by some respondents who see opportunities for multi-use scenarios:</w:t>
      </w:r>
    </w:p>
    <w:p w14:paraId="0CBB7F9D" w14:textId="7950B67B" w:rsidR="00F67C28" w:rsidRPr="00A85D75" w:rsidRDefault="00F67C28" w:rsidP="00F67C28">
      <w:pPr>
        <w:pStyle w:val="ListBullet"/>
      </w:pPr>
      <w:r w:rsidRPr="00A85D75">
        <w:t>Some respondents with more limited claims on the band consider</w:t>
      </w:r>
      <w:r w:rsidR="006D178F" w:rsidRPr="00A85D75">
        <w:t>ed</w:t>
      </w:r>
      <w:r w:rsidRPr="00A85D75">
        <w:t xml:space="preserve"> division of the band between </w:t>
      </w:r>
      <w:r w:rsidR="00070109">
        <w:t>2</w:t>
      </w:r>
      <w:r w:rsidR="00070109" w:rsidRPr="00A85D75">
        <w:t xml:space="preserve"> </w:t>
      </w:r>
      <w:r w:rsidRPr="00A85D75">
        <w:t>types of services to be an optimal outcome. For example, most direct air-to-ground proponents are seeking access to the lower half of the band, leaving the upper half available for MSS or another service.</w:t>
      </w:r>
    </w:p>
    <w:p w14:paraId="101B5785" w14:textId="3F3AA2E4" w:rsidR="00F67C28" w:rsidRPr="00A85D75" w:rsidRDefault="00F67C28" w:rsidP="00F67C28">
      <w:pPr>
        <w:pStyle w:val="ListBulletLast"/>
      </w:pPr>
      <w:r w:rsidRPr="00A85D75">
        <w:t xml:space="preserve">Hybrid options were </w:t>
      </w:r>
      <w:r w:rsidR="006D178F" w:rsidRPr="00A85D75">
        <w:t xml:space="preserve">also </w:t>
      </w:r>
      <w:r w:rsidRPr="00A85D75">
        <w:t>proposed by some respondents with broader interests in the communications industry that are not narrowly focused on a single type of service. These respondents suggested various combinations of MSS, wireless broadband (both local-area and wide-area) and direct air-to-ground communications.</w:t>
      </w:r>
    </w:p>
    <w:p w14:paraId="32604CD8" w14:textId="300AF8B0" w:rsidR="007C2EC7" w:rsidRPr="00A85D75" w:rsidRDefault="007C2EC7" w:rsidP="00E2254B">
      <w:pPr>
        <w:pStyle w:val="Heading2"/>
      </w:pPr>
      <w:bookmarkStart w:id="7" w:name="_Toc56965674"/>
      <w:bookmarkStart w:id="8" w:name="_Toc61364821"/>
      <w:r w:rsidRPr="00A85D75">
        <w:t>Planning decisions and preliminary views</w:t>
      </w:r>
      <w:bookmarkEnd w:id="6"/>
      <w:bookmarkEnd w:id="7"/>
      <w:bookmarkEnd w:id="8"/>
    </w:p>
    <w:p w14:paraId="7A5CDEAE" w14:textId="19628251" w:rsidR="000851E5" w:rsidRPr="00A85D75" w:rsidRDefault="00A92907" w:rsidP="000851E5">
      <w:r w:rsidRPr="00A85D75">
        <w:t>T</w:t>
      </w:r>
      <w:r w:rsidR="000851E5" w:rsidRPr="00A85D75">
        <w:t xml:space="preserve">he ACMA </w:t>
      </w:r>
      <w:r w:rsidRPr="00A85D75">
        <w:t xml:space="preserve">has </w:t>
      </w:r>
      <w:r w:rsidR="000851E5" w:rsidRPr="00A85D75">
        <w:t>conclude</w:t>
      </w:r>
      <w:r w:rsidRPr="00A85D75">
        <w:t>d</w:t>
      </w:r>
      <w:r w:rsidR="000851E5" w:rsidRPr="00A85D75">
        <w:t xml:space="preserve"> that arrangements consistent </w:t>
      </w:r>
      <w:r w:rsidR="00862F7B" w:rsidRPr="00A85D75">
        <w:t xml:space="preserve">with </w:t>
      </w:r>
      <w:r w:rsidR="000851E5" w:rsidRPr="00A85D75">
        <w:t>its preliminary preferred option (</w:t>
      </w:r>
      <w:r w:rsidRPr="00A85D75">
        <w:t>o</w:t>
      </w:r>
      <w:r w:rsidR="000851E5" w:rsidRPr="00A85D75">
        <w:t>ption 3) that enable mobile satellite use of the band (including compl</w:t>
      </w:r>
      <w:r w:rsidRPr="00A85D75">
        <w:t>e</w:t>
      </w:r>
      <w:r w:rsidR="000851E5" w:rsidRPr="00A85D75">
        <w:t xml:space="preserve">mentary ground component) are expected to maximise the overall public benefit derived from use of the band. </w:t>
      </w:r>
    </w:p>
    <w:bookmarkEnd w:id="2"/>
    <w:p w14:paraId="283B7A29" w14:textId="532B6FE4" w:rsidR="004D657E" w:rsidRPr="00A85D75" w:rsidRDefault="00286B2F" w:rsidP="00E2254B">
      <w:pPr>
        <w:pStyle w:val="Paragraphbeforelist"/>
        <w:rPr>
          <w:szCs w:val="20"/>
        </w:rPr>
      </w:pPr>
      <w:r w:rsidRPr="00A85D75">
        <w:t xml:space="preserve">Key planning decisions identified for the 2 GHz band are </w:t>
      </w:r>
      <w:r w:rsidR="00291312" w:rsidRPr="00A85D75">
        <w:t>therefore</w:t>
      </w:r>
      <w:r w:rsidR="004D657E" w:rsidRPr="00A85D75">
        <w:t>:</w:t>
      </w:r>
    </w:p>
    <w:p w14:paraId="7A3B267B" w14:textId="14D68F62" w:rsidR="001601C8" w:rsidRDefault="00A1056A" w:rsidP="00E2254B">
      <w:pPr>
        <w:pStyle w:val="ListBullet"/>
      </w:pPr>
      <w:r w:rsidRPr="00A85D75">
        <w:t xml:space="preserve">Introduce </w:t>
      </w:r>
      <w:r w:rsidR="00EB3B13" w:rsidRPr="00A85D75">
        <w:t xml:space="preserve">apparatus licensing arrangements to support </w:t>
      </w:r>
      <w:r w:rsidR="004307A3" w:rsidRPr="00A85D75">
        <w:t xml:space="preserve">introduction </w:t>
      </w:r>
      <w:r w:rsidRPr="00A85D75">
        <w:t xml:space="preserve">of </w:t>
      </w:r>
      <w:r w:rsidR="00EB3B13" w:rsidRPr="00A85D75">
        <w:t>mobile</w:t>
      </w:r>
      <w:r w:rsidR="00351D1B">
        <w:t>-</w:t>
      </w:r>
      <w:r w:rsidR="00EB3B13" w:rsidRPr="00A85D75">
        <w:t xml:space="preserve">satellite services </w:t>
      </w:r>
      <w:r w:rsidRPr="00A85D75">
        <w:t>Australia</w:t>
      </w:r>
      <w:r w:rsidR="00351D1B">
        <w:t>-</w:t>
      </w:r>
      <w:r w:rsidRPr="00A85D75">
        <w:t xml:space="preserve">wide </w:t>
      </w:r>
      <w:r w:rsidR="00CA5F19" w:rsidRPr="00A85D75">
        <w:t xml:space="preserve">on an exclusive basis </w:t>
      </w:r>
      <w:r w:rsidR="00EB3B13" w:rsidRPr="00A85D75">
        <w:t>in the frequency ranges 1980–2005 MHz paired with 2170–2195 MHz, a total bandwidth of 2 x 25 MHz</w:t>
      </w:r>
      <w:r w:rsidR="00A733F9" w:rsidRPr="00A85D75">
        <w:t>.</w:t>
      </w:r>
      <w:r w:rsidR="00C4601A" w:rsidRPr="00A85D75">
        <w:t xml:space="preserve"> </w:t>
      </w:r>
    </w:p>
    <w:p w14:paraId="2FB94514" w14:textId="0F42D254" w:rsidR="00EB3B13" w:rsidRPr="00A85D75" w:rsidRDefault="00B31AA7" w:rsidP="00E2254B">
      <w:pPr>
        <w:pStyle w:val="ListBullet"/>
      </w:pPr>
      <w:r w:rsidRPr="00A85D75">
        <w:t>Our</w:t>
      </w:r>
      <w:r w:rsidR="00C4601A" w:rsidRPr="00A85D75">
        <w:t xml:space="preserve"> </w:t>
      </w:r>
      <w:r w:rsidR="00B96952" w:rsidRPr="00A85D75">
        <w:t>preliminary view</w:t>
      </w:r>
      <w:r w:rsidR="00310944">
        <w:t xml:space="preserve">, </w:t>
      </w:r>
      <w:r w:rsidR="005A7E63">
        <w:t xml:space="preserve">given demand </w:t>
      </w:r>
      <w:r w:rsidR="001333A4">
        <w:t>is likely to exceed supply</w:t>
      </w:r>
      <w:r w:rsidR="00372EAA">
        <w:t xml:space="preserve"> (as expressed in responses to the options paper)</w:t>
      </w:r>
      <w:r w:rsidR="00310944">
        <w:t>,</w:t>
      </w:r>
      <w:r w:rsidR="001333A4">
        <w:t xml:space="preserve"> is</w:t>
      </w:r>
      <w:r w:rsidR="00447A20">
        <w:t xml:space="preserve"> that the </w:t>
      </w:r>
      <w:r w:rsidR="00022E7C">
        <w:t xml:space="preserve">most </w:t>
      </w:r>
      <w:r w:rsidR="00732888">
        <w:t>appropriate mechanism</w:t>
      </w:r>
      <w:r w:rsidR="00022E7C">
        <w:t xml:space="preserve"> to </w:t>
      </w:r>
      <w:r w:rsidR="00732888">
        <w:t>resolve</w:t>
      </w:r>
      <w:r w:rsidR="00022E7C">
        <w:t xml:space="preserve"> competing </w:t>
      </w:r>
      <w:r w:rsidR="00C43849">
        <w:t xml:space="preserve">demand </w:t>
      </w:r>
      <w:r w:rsidR="000B5C86">
        <w:t xml:space="preserve">is </w:t>
      </w:r>
      <w:r w:rsidRPr="00A85D75">
        <w:t>a price-based allocation mechanism</w:t>
      </w:r>
      <w:r w:rsidR="000B5C86">
        <w:t xml:space="preserve"> via auction.</w:t>
      </w:r>
      <w:r w:rsidR="00ED0B51">
        <w:t xml:space="preserve"> </w:t>
      </w:r>
      <w:r w:rsidR="00AF5DF5">
        <w:t xml:space="preserve">With </w:t>
      </w:r>
      <w:r w:rsidR="00832705">
        <w:t>price</w:t>
      </w:r>
      <w:r w:rsidR="001601C8">
        <w:t>-</w:t>
      </w:r>
      <w:r w:rsidR="00832705">
        <w:t xml:space="preserve"> based </w:t>
      </w:r>
      <w:r w:rsidR="00DF2B39">
        <w:t xml:space="preserve">allocations under section </w:t>
      </w:r>
      <w:r w:rsidR="009D072F">
        <w:t xml:space="preserve">106 of the </w:t>
      </w:r>
      <w:r w:rsidR="00BA6431" w:rsidRPr="00351D1B">
        <w:rPr>
          <w:i/>
        </w:rPr>
        <w:t>Radiocommunications</w:t>
      </w:r>
      <w:r w:rsidR="009D072F" w:rsidRPr="00351D1B">
        <w:rPr>
          <w:i/>
        </w:rPr>
        <w:t xml:space="preserve"> </w:t>
      </w:r>
      <w:r w:rsidR="00BA6431" w:rsidRPr="00351D1B">
        <w:rPr>
          <w:i/>
        </w:rPr>
        <w:t xml:space="preserve">Act </w:t>
      </w:r>
      <w:r w:rsidR="00351D1B" w:rsidRPr="00351D1B">
        <w:rPr>
          <w:i/>
          <w:iCs/>
        </w:rPr>
        <w:t>1992</w:t>
      </w:r>
      <w:r w:rsidR="00351D1B">
        <w:t xml:space="preserve"> </w:t>
      </w:r>
      <w:r w:rsidR="00581501">
        <w:t xml:space="preserve">limited to the </w:t>
      </w:r>
      <w:r w:rsidR="007E199B">
        <w:t>allocation</w:t>
      </w:r>
      <w:r w:rsidR="00581501">
        <w:t xml:space="preserve"> of transmitter licences (in this case space </w:t>
      </w:r>
      <w:r w:rsidR="007E199B">
        <w:t>apparatus</w:t>
      </w:r>
      <w:r w:rsidR="00581501">
        <w:t xml:space="preserve"> </w:t>
      </w:r>
      <w:r w:rsidR="007E199B">
        <w:t>licences</w:t>
      </w:r>
      <w:r w:rsidR="00581501">
        <w:t xml:space="preserve"> in </w:t>
      </w:r>
      <w:r w:rsidR="007E199B">
        <w:t>2170</w:t>
      </w:r>
      <w:r w:rsidR="002D6853">
        <w:t>–</w:t>
      </w:r>
      <w:r w:rsidR="007E199B">
        <w:t>2195 MHz)</w:t>
      </w:r>
      <w:r w:rsidR="00BA66CF">
        <w:t xml:space="preserve">, the </w:t>
      </w:r>
      <w:r w:rsidR="00195D48">
        <w:t>AC</w:t>
      </w:r>
      <w:r w:rsidR="002D0FD0">
        <w:t>MA</w:t>
      </w:r>
      <w:r w:rsidR="00195D48">
        <w:t xml:space="preserve"> would </w:t>
      </w:r>
      <w:r w:rsidR="009A005A">
        <w:t xml:space="preserve">only issue </w:t>
      </w:r>
      <w:r w:rsidR="002309CF">
        <w:t>the associate</w:t>
      </w:r>
      <w:r w:rsidR="002D6853">
        <w:t>d</w:t>
      </w:r>
      <w:r w:rsidR="002309CF">
        <w:t xml:space="preserve"> space </w:t>
      </w:r>
      <w:r w:rsidR="00D47A1D">
        <w:t>receive</w:t>
      </w:r>
      <w:r w:rsidR="002309CF">
        <w:t xml:space="preserve"> apparatus</w:t>
      </w:r>
      <w:r w:rsidR="00D47A1D">
        <w:t xml:space="preserve"> licences </w:t>
      </w:r>
      <w:r w:rsidR="002D0FD0">
        <w:t xml:space="preserve">in </w:t>
      </w:r>
      <w:r w:rsidR="0051318D">
        <w:t xml:space="preserve">the paired band </w:t>
      </w:r>
      <w:r w:rsidR="00D47A1D">
        <w:t>1980</w:t>
      </w:r>
      <w:r w:rsidR="0051318D">
        <w:t>–</w:t>
      </w:r>
      <w:r w:rsidR="00D47A1D">
        <w:t>2005 MHz</w:t>
      </w:r>
      <w:r w:rsidR="00190086">
        <w:t xml:space="preserve"> to those successful in the priced-based allocation process.</w:t>
      </w:r>
    </w:p>
    <w:p w14:paraId="6BFA2BB3" w14:textId="615ABBD1" w:rsidR="00ED44B6" w:rsidRPr="00A85D75" w:rsidRDefault="00ED44B6" w:rsidP="00374186">
      <w:pPr>
        <w:pStyle w:val="ListBullet"/>
      </w:pPr>
      <w:r w:rsidRPr="00A85D75">
        <w:t xml:space="preserve">Develop apparatus licensing arrangements to facilitate deployment of a complementary ground component (including direct air-to-ground communications service) </w:t>
      </w:r>
      <w:r w:rsidR="00B31AA7" w:rsidRPr="00A85D75">
        <w:t>in the range 1980–2005 MHz paired with 2170–2195 MHz</w:t>
      </w:r>
      <w:r w:rsidRPr="00A85D75">
        <w:t xml:space="preserve"> where a mobile</w:t>
      </w:r>
      <w:r w:rsidR="00351D1B">
        <w:t>-</w:t>
      </w:r>
      <w:r w:rsidRPr="00A85D75">
        <w:lastRenderedPageBreak/>
        <w:t>satellite licensee wishes to supplement its mobile</w:t>
      </w:r>
      <w:r w:rsidR="00351D1B">
        <w:t>-</w:t>
      </w:r>
      <w:r w:rsidRPr="00A85D75">
        <w:t>satellite service</w:t>
      </w:r>
      <w:r w:rsidR="00A30B4E" w:rsidRPr="00A85D75">
        <w:t xml:space="preserve">. </w:t>
      </w:r>
      <w:r w:rsidR="00B31AA7" w:rsidRPr="00A85D75">
        <w:t>Our</w:t>
      </w:r>
      <w:r w:rsidR="00A30B4E" w:rsidRPr="00A85D75">
        <w:t xml:space="preserve"> preliminary view </w:t>
      </w:r>
      <w:r w:rsidR="00B31AA7" w:rsidRPr="00A85D75">
        <w:t xml:space="preserve">is </w:t>
      </w:r>
      <w:r w:rsidR="008E7F21" w:rsidRPr="00A85D75">
        <w:t>that these applications are more appropriately supported under</w:t>
      </w:r>
      <w:r w:rsidR="003A66D8">
        <w:t xml:space="preserve"> an</w:t>
      </w:r>
      <w:r w:rsidR="008E7F21" w:rsidRPr="00A85D75">
        <w:t xml:space="preserve"> area-wide apparatus licence. We also consider </w:t>
      </w:r>
      <w:r w:rsidR="00A30B4E" w:rsidRPr="00A85D75">
        <w:t>that</w:t>
      </w:r>
      <w:r w:rsidR="00ED0F50" w:rsidRPr="00ED0F50">
        <w:t xml:space="preserve"> some form of obligation</w:t>
      </w:r>
      <w:r w:rsidR="00DB6AF0">
        <w:t xml:space="preserve"> should be established</w:t>
      </w:r>
      <w:r w:rsidR="00ED0F50" w:rsidRPr="00ED0F50">
        <w:t xml:space="preserve"> to require licensees to deploy a mobile-satellite service before operation of a complementary ground component is permitted</w:t>
      </w:r>
      <w:r w:rsidR="00A30B4E" w:rsidRPr="00A85D75">
        <w:t>.</w:t>
      </w:r>
    </w:p>
    <w:p w14:paraId="3B86E06D" w14:textId="1A0BAEDB" w:rsidR="006B4163" w:rsidRPr="00A85D75" w:rsidRDefault="006B4163" w:rsidP="00890A2F">
      <w:pPr>
        <w:pStyle w:val="ListBullet"/>
      </w:pPr>
      <w:r w:rsidRPr="00A85D75">
        <w:t>That technical restrictions are required in the frequency range 2005–2010 MHz and 2195–2200 MHz to protect adjacent</w:t>
      </w:r>
      <w:r w:rsidR="00351D1B">
        <w:t>-</w:t>
      </w:r>
      <w:r w:rsidRPr="00A85D75">
        <w:t xml:space="preserve">band </w:t>
      </w:r>
      <w:r w:rsidR="00351D1B">
        <w:t>TOB</w:t>
      </w:r>
      <w:r w:rsidRPr="00A85D75">
        <w:t xml:space="preserve"> services</w:t>
      </w:r>
      <w:r w:rsidR="00070109">
        <w:t>.</w:t>
      </w:r>
    </w:p>
    <w:p w14:paraId="405C8792" w14:textId="28757FDA" w:rsidR="006B4163" w:rsidRPr="00A85D75" w:rsidRDefault="00050BB7" w:rsidP="00E2254B">
      <w:pPr>
        <w:pStyle w:val="ListBullet"/>
      </w:pPr>
      <w:r w:rsidRPr="00A85D75">
        <w:t xml:space="preserve">Introduce </w:t>
      </w:r>
      <w:r w:rsidR="00F87AED" w:rsidRPr="00A85D75">
        <w:t>arrangements</w:t>
      </w:r>
      <w:r w:rsidRPr="00A85D75">
        <w:t xml:space="preserve"> Australia</w:t>
      </w:r>
      <w:r w:rsidR="00FE22A7" w:rsidRPr="00A85D75">
        <w:t>-</w:t>
      </w:r>
      <w:r w:rsidRPr="00A85D75">
        <w:t xml:space="preserve">wide to </w:t>
      </w:r>
      <w:r w:rsidR="00D77465" w:rsidRPr="00A85D75">
        <w:t xml:space="preserve">support </w:t>
      </w:r>
      <w:r w:rsidR="00F87AED" w:rsidRPr="00A85D75">
        <w:t xml:space="preserve">on a shared basis amongst suitable satellite operators </w:t>
      </w:r>
      <w:r w:rsidR="00070109">
        <w:t xml:space="preserve">of </w:t>
      </w:r>
      <w:r w:rsidR="006B4163" w:rsidRPr="00A85D75">
        <w:t>narrowband mobile</w:t>
      </w:r>
      <w:r w:rsidR="00351D1B">
        <w:t>-</w:t>
      </w:r>
      <w:r w:rsidR="006B4163" w:rsidRPr="00A85D75">
        <w:t xml:space="preserve">satellite services </w:t>
      </w:r>
      <w:r w:rsidR="00D77465" w:rsidRPr="00A85D75">
        <w:t>in</w:t>
      </w:r>
      <w:r w:rsidR="006B4163" w:rsidRPr="00A85D75">
        <w:t xml:space="preserve"> 2005–</w:t>
      </w:r>
      <w:r w:rsidR="00070109" w:rsidRPr="00A85D75">
        <w:t>2010</w:t>
      </w:r>
      <w:r w:rsidR="00070109">
        <w:t> </w:t>
      </w:r>
      <w:r w:rsidR="006B4163" w:rsidRPr="00A85D75">
        <w:t xml:space="preserve">MHz and 2195–2200 MHz (a bandwidth of 2 x 5 MHz) for use </w:t>
      </w:r>
      <w:r w:rsidR="00F87AED" w:rsidRPr="00A85D75">
        <w:t xml:space="preserve">by </w:t>
      </w:r>
      <w:r w:rsidR="006B4163" w:rsidRPr="00A85D75">
        <w:t xml:space="preserve">services </w:t>
      </w:r>
      <w:r w:rsidR="00F87AED" w:rsidRPr="00A85D75">
        <w:t xml:space="preserve">such as </w:t>
      </w:r>
      <w:r w:rsidR="006B4163" w:rsidRPr="00A85D75">
        <w:rPr>
          <w:lang w:eastAsia="en-US"/>
        </w:rPr>
        <w:t xml:space="preserve">telemetry, short messaging, and low date rate services </w:t>
      </w:r>
      <w:r w:rsidR="00F87AED" w:rsidRPr="00A85D75">
        <w:rPr>
          <w:lang w:eastAsia="en-US"/>
        </w:rPr>
        <w:t>(for example</w:t>
      </w:r>
      <w:r w:rsidR="006B4163" w:rsidRPr="00A85D75">
        <w:rPr>
          <w:lang w:eastAsia="en-US"/>
        </w:rPr>
        <w:t xml:space="preserve"> satellite IoT applications</w:t>
      </w:r>
      <w:r w:rsidR="00F87AED" w:rsidRPr="00A85D75">
        <w:rPr>
          <w:lang w:eastAsia="en-US"/>
        </w:rPr>
        <w:t>)</w:t>
      </w:r>
      <w:r w:rsidR="006B4163" w:rsidRPr="00A85D75">
        <w:rPr>
          <w:lang w:eastAsia="en-US"/>
        </w:rPr>
        <w:t>.</w:t>
      </w:r>
    </w:p>
    <w:p w14:paraId="3D95C057" w14:textId="5C1254AD" w:rsidR="00EB3B13" w:rsidRPr="00A85D75" w:rsidRDefault="00EB3B13" w:rsidP="00EB3B13">
      <w:pPr>
        <w:pStyle w:val="ListBullet"/>
      </w:pPr>
      <w:r w:rsidRPr="00A85D75">
        <w:t xml:space="preserve">To support introduction of </w:t>
      </w:r>
      <w:r w:rsidR="00070109">
        <w:t>MSS</w:t>
      </w:r>
      <w:r w:rsidR="00260054" w:rsidRPr="00A85D75">
        <w:t>,</w:t>
      </w:r>
      <w:r w:rsidRPr="00A85D75">
        <w:t xml:space="preserve"> existing </w:t>
      </w:r>
      <w:r w:rsidR="00351D1B">
        <w:t>TOB</w:t>
      </w:r>
      <w:r w:rsidRPr="00A85D75">
        <w:t xml:space="preserve"> services will be required to cease operation. The ACMA</w:t>
      </w:r>
      <w:r w:rsidR="00070109">
        <w:t>’s</w:t>
      </w:r>
      <w:r w:rsidRPr="00A85D75">
        <w:t xml:space="preserve"> preliminary view is that </w:t>
      </w:r>
      <w:r w:rsidR="00F87AED" w:rsidRPr="00A85D75">
        <w:t>a</w:t>
      </w:r>
      <w:r w:rsidRPr="00A85D75">
        <w:t xml:space="preserve"> timeframe of </w:t>
      </w:r>
      <w:r w:rsidR="00070109">
        <w:t>5</w:t>
      </w:r>
      <w:r w:rsidR="00070109" w:rsidRPr="00A85D75">
        <w:t xml:space="preserve"> </w:t>
      </w:r>
      <w:r w:rsidRPr="00A85D75">
        <w:t xml:space="preserve">years is </w:t>
      </w:r>
      <w:r w:rsidR="00F87AED" w:rsidRPr="00A85D75">
        <w:t xml:space="preserve">appropriate </w:t>
      </w:r>
      <w:r w:rsidRPr="00A85D75">
        <w:t>in capital cities</w:t>
      </w:r>
      <w:r w:rsidR="00F3000D">
        <w:rPr>
          <w:rStyle w:val="FootnoteReference"/>
        </w:rPr>
        <w:footnoteReference w:id="3"/>
      </w:r>
      <w:r w:rsidRPr="00A85D75">
        <w:t xml:space="preserve"> and a short</w:t>
      </w:r>
      <w:r w:rsidR="007733AA" w:rsidRPr="00A85D75">
        <w:t>er</w:t>
      </w:r>
      <w:r w:rsidRPr="00A85D75">
        <w:t xml:space="preserve"> period of </w:t>
      </w:r>
      <w:r w:rsidR="00070109">
        <w:t>3</w:t>
      </w:r>
      <w:r w:rsidR="00070109" w:rsidRPr="00A85D75">
        <w:t xml:space="preserve"> </w:t>
      </w:r>
      <w:r w:rsidRPr="00A85D75">
        <w:t xml:space="preserve">years </w:t>
      </w:r>
      <w:r w:rsidR="00351D1B" w:rsidRPr="00A85D75">
        <w:t>is feasible</w:t>
      </w:r>
      <w:r w:rsidRPr="00A85D75">
        <w:t xml:space="preserve"> in regional areas where TOB usage i</w:t>
      </w:r>
      <w:r w:rsidR="006852F4">
        <w:t>s</w:t>
      </w:r>
      <w:r w:rsidRPr="00A85D75">
        <w:t xml:space="preserve"> minimal.</w:t>
      </w:r>
    </w:p>
    <w:p w14:paraId="08873FC8" w14:textId="77777777" w:rsidR="007733AA" w:rsidRPr="00A85D75" w:rsidRDefault="007733AA" w:rsidP="00260054">
      <w:pPr>
        <w:pStyle w:val="ListBullet"/>
      </w:pPr>
      <w:r w:rsidRPr="00A85D75">
        <w:t>Retain legacy fixed point-to-point links operating in remote parts of Australia.</w:t>
      </w:r>
    </w:p>
    <w:p w14:paraId="35009D74" w14:textId="1B30D548" w:rsidR="00EB3B13" w:rsidRPr="00A85D75" w:rsidRDefault="00EB3B13" w:rsidP="00EB3B13">
      <w:pPr>
        <w:pStyle w:val="ListBullet"/>
      </w:pPr>
      <w:r w:rsidRPr="00A85D75">
        <w:t>To support 2 GHz TOB service</w:t>
      </w:r>
      <w:r w:rsidR="006852F4">
        <w:t>s</w:t>
      </w:r>
      <w:r w:rsidRPr="00A85D75">
        <w:t xml:space="preserve"> looking to transition to other bands</w:t>
      </w:r>
      <w:r w:rsidR="006852F4">
        <w:t>,</w:t>
      </w:r>
      <w:r w:rsidRPr="00A85D75">
        <w:t xml:space="preserve"> the ACMA intends to review channel arrangements in the 7.2 GHz band to reflect current digital technologies used and continue to provide channels for shared non-exclusive usage similar to </w:t>
      </w:r>
      <w:r w:rsidR="000D7C23">
        <w:t>current</w:t>
      </w:r>
      <w:r w:rsidRPr="00A85D75">
        <w:t xml:space="preserve"> arrangements </w:t>
      </w:r>
      <w:r w:rsidR="000D7C23">
        <w:t>in</w:t>
      </w:r>
      <w:r w:rsidRPr="00A85D75">
        <w:t xml:space="preserve"> the 2 GHz band.</w:t>
      </w:r>
    </w:p>
    <w:p w14:paraId="73A5286E" w14:textId="16D4E856" w:rsidR="00EB3B13" w:rsidRPr="00A85D75" w:rsidRDefault="008837FB" w:rsidP="00260054">
      <w:pPr>
        <w:pStyle w:val="ListBulletLast"/>
      </w:pPr>
      <w:r w:rsidRPr="00A85D75">
        <w:t>To support implementation</w:t>
      </w:r>
      <w:r w:rsidR="00EB3B13" w:rsidRPr="00A85D75">
        <w:t xml:space="preserve"> of the</w:t>
      </w:r>
      <w:r w:rsidR="00862F7B" w:rsidRPr="00A85D75">
        <w:t>se</w:t>
      </w:r>
      <w:r w:rsidR="00EB3B13" w:rsidRPr="00A85D75">
        <w:t xml:space="preserve"> </w:t>
      </w:r>
      <w:r w:rsidRPr="00A85D75">
        <w:t>planning decisions</w:t>
      </w:r>
      <w:r w:rsidR="00862F7B" w:rsidRPr="00A85D75">
        <w:t>,</w:t>
      </w:r>
      <w:r w:rsidR="00D64C40">
        <w:t xml:space="preserve"> in the interim</w:t>
      </w:r>
      <w:r w:rsidR="00EB3B13" w:rsidRPr="00A85D75">
        <w:t xml:space="preserve"> the ACMA will implement a policy of restricting any new licences </w:t>
      </w:r>
      <w:r w:rsidR="00B202D4" w:rsidRPr="00A85D75">
        <w:t xml:space="preserve">in the </w:t>
      </w:r>
      <w:r w:rsidR="00862F7B" w:rsidRPr="00A85D75">
        <w:t>2 GHz</w:t>
      </w:r>
      <w:r w:rsidR="00B202D4" w:rsidRPr="00A85D75">
        <w:t xml:space="preserve"> band </w:t>
      </w:r>
      <w:r w:rsidR="00EB3B13" w:rsidRPr="00A85D75">
        <w:t xml:space="preserve">to </w:t>
      </w:r>
      <w:r w:rsidR="007240B0">
        <w:t xml:space="preserve">a </w:t>
      </w:r>
      <w:r w:rsidR="00EB3B13" w:rsidRPr="00A85D75">
        <w:t>maximum term of one year, with an option for renewal subject to progress of replanning activities</w:t>
      </w:r>
      <w:r w:rsidR="00260054" w:rsidRPr="00A85D75">
        <w:t>.</w:t>
      </w:r>
    </w:p>
    <w:p w14:paraId="27B13E8D" w14:textId="4B93C44E" w:rsidR="002E57E1" w:rsidRPr="00A85D75" w:rsidRDefault="002E57E1" w:rsidP="00FE22A7">
      <w:pPr>
        <w:pStyle w:val="Paragraph"/>
      </w:pPr>
      <w:r w:rsidRPr="00A85D75">
        <w:t>In addition to those mentioned above, preliminary views on additional implementation aspects of these planning</w:t>
      </w:r>
      <w:r w:rsidR="00582381">
        <w:t xml:space="preserve"> decisions</w:t>
      </w:r>
      <w:r w:rsidRPr="00A85D75">
        <w:t xml:space="preserve"> are discussed later in this paper. </w:t>
      </w:r>
    </w:p>
    <w:p w14:paraId="66A6BF6C" w14:textId="14436639" w:rsidR="0072523D" w:rsidRPr="00A85D75" w:rsidRDefault="00344D7D" w:rsidP="004D657E">
      <w:pPr>
        <w:pStyle w:val="Paragraph"/>
      </w:pPr>
      <w:r w:rsidRPr="00A85D75">
        <w:t xml:space="preserve">The ACMA </w:t>
      </w:r>
      <w:r w:rsidR="00A82BE7" w:rsidRPr="00A85D75">
        <w:t>considers</w:t>
      </w:r>
      <w:r w:rsidRPr="00A85D75">
        <w:t xml:space="preserve"> that this combination of measures will best maximise the overall public benefit derived from use of the </w:t>
      </w:r>
      <w:r w:rsidR="00A82BE7" w:rsidRPr="00A85D75">
        <w:t xml:space="preserve">2 GHz </w:t>
      </w:r>
      <w:r w:rsidRPr="00A85D75">
        <w:t>band in the medium term</w:t>
      </w:r>
      <w:r w:rsidR="00A82BE7" w:rsidRPr="00A85D75">
        <w:t xml:space="preserve">. </w:t>
      </w:r>
      <w:r w:rsidR="009A4043" w:rsidRPr="00A85D75">
        <w:t xml:space="preserve">These arrangements also take account of the impact on existing interim </w:t>
      </w:r>
      <w:r w:rsidR="002A2586" w:rsidRPr="00A85D75">
        <w:t xml:space="preserve">TOB </w:t>
      </w:r>
      <w:r w:rsidR="009A4043" w:rsidRPr="00A85D75">
        <w:t>services in the band</w:t>
      </w:r>
      <w:r w:rsidR="00535FF2" w:rsidRPr="00A85D75">
        <w:t xml:space="preserve"> by providing a pathway to alternative spectrum </w:t>
      </w:r>
      <w:r w:rsidR="00962029" w:rsidRPr="00A85D75">
        <w:t>with</w:t>
      </w:r>
      <w:r w:rsidR="00535FF2" w:rsidRPr="00A85D75">
        <w:t xml:space="preserve"> </w:t>
      </w:r>
      <w:r w:rsidR="0072523D" w:rsidRPr="00A85D75">
        <w:t>a</w:t>
      </w:r>
      <w:r w:rsidR="00C86944" w:rsidRPr="00A85D75">
        <w:t xml:space="preserve"> transition period that </w:t>
      </w:r>
      <w:r w:rsidR="00BD5268" w:rsidRPr="00A85D75">
        <w:t xml:space="preserve">aligns with equipment upgrade cycles. </w:t>
      </w:r>
    </w:p>
    <w:p w14:paraId="56C16AB3" w14:textId="46474C56" w:rsidR="006E7AB3" w:rsidRPr="00A85D75" w:rsidRDefault="00D84393" w:rsidP="002C7A1D">
      <w:pPr>
        <w:rPr>
          <w:lang w:eastAsia="en-US"/>
        </w:rPr>
      </w:pPr>
      <w:r w:rsidRPr="00A85D75">
        <w:t>The ACMA</w:t>
      </w:r>
      <w:r w:rsidR="00133019">
        <w:t>’s</w:t>
      </w:r>
      <w:r w:rsidRPr="00A85D75">
        <w:t xml:space="preserve"> view is that the shared narrowband segments (2005</w:t>
      </w:r>
      <w:r w:rsidR="00C82BD7" w:rsidRPr="00A85D75">
        <w:t>–</w:t>
      </w:r>
      <w:r w:rsidRPr="00A85D75">
        <w:t>2010</w:t>
      </w:r>
      <w:r w:rsidR="00C82BD7" w:rsidRPr="00A85D75">
        <w:t xml:space="preserve"> and </w:t>
      </w:r>
      <w:r w:rsidRPr="00A85D75">
        <w:t>2195</w:t>
      </w:r>
      <w:r w:rsidR="00161970">
        <w:t>‍</w:t>
      </w:r>
      <w:r w:rsidR="00C82BD7" w:rsidRPr="00A85D75">
        <w:t>–</w:t>
      </w:r>
      <w:r w:rsidR="00161970">
        <w:t>‍</w:t>
      </w:r>
      <w:r w:rsidRPr="00A85D75">
        <w:t xml:space="preserve">2200 MHz) will provide </w:t>
      </w:r>
      <w:r w:rsidR="006E7AB3" w:rsidRPr="00A85D75">
        <w:rPr>
          <w:lang w:eastAsia="en-US"/>
        </w:rPr>
        <w:t xml:space="preserve">a regulatory arrangement </w:t>
      </w:r>
      <w:r w:rsidR="00351D1B">
        <w:rPr>
          <w:lang w:eastAsia="en-US"/>
        </w:rPr>
        <w:t xml:space="preserve">with a </w:t>
      </w:r>
      <w:r w:rsidR="00351D1B" w:rsidRPr="00A85D75">
        <w:rPr>
          <w:lang w:eastAsia="en-US"/>
        </w:rPr>
        <w:t xml:space="preserve">low barrier to entry </w:t>
      </w:r>
      <w:r w:rsidR="006E7AB3" w:rsidRPr="00A85D75">
        <w:rPr>
          <w:lang w:eastAsia="en-US"/>
        </w:rPr>
        <w:t>that would support innovative satellite applications</w:t>
      </w:r>
      <w:r w:rsidR="00161970">
        <w:rPr>
          <w:lang w:eastAsia="en-US"/>
        </w:rPr>
        <w:t>,</w:t>
      </w:r>
      <w:r w:rsidR="006E7AB3" w:rsidRPr="00A85D75">
        <w:rPr>
          <w:lang w:eastAsia="en-US"/>
        </w:rPr>
        <w:t xml:space="preserve"> offering opportunities for new entrants and supporting growth in the Australia</w:t>
      </w:r>
      <w:r w:rsidR="00161970">
        <w:rPr>
          <w:lang w:eastAsia="en-US"/>
        </w:rPr>
        <w:t>n</w:t>
      </w:r>
      <w:r w:rsidR="006E7AB3" w:rsidRPr="00A85D75">
        <w:rPr>
          <w:lang w:eastAsia="en-US"/>
        </w:rPr>
        <w:t xml:space="preserve"> space industry.</w:t>
      </w:r>
      <w:r w:rsidR="00B71877" w:rsidRPr="00A85D75">
        <w:rPr>
          <w:lang w:eastAsia="en-US"/>
        </w:rPr>
        <w:t xml:space="preserve"> In discussions with the Australian Space Agency, the </w:t>
      </w:r>
      <w:r w:rsidR="00161970">
        <w:rPr>
          <w:lang w:eastAsia="en-US"/>
        </w:rPr>
        <w:t>a</w:t>
      </w:r>
      <w:r w:rsidR="00B71877" w:rsidRPr="00A85D75">
        <w:rPr>
          <w:lang w:eastAsia="en-US"/>
        </w:rPr>
        <w:t xml:space="preserve">gency </w:t>
      </w:r>
      <w:r w:rsidR="00F21CB1" w:rsidRPr="00A85D75">
        <w:rPr>
          <w:lang w:eastAsia="en-US"/>
        </w:rPr>
        <w:t xml:space="preserve">submitted </w:t>
      </w:r>
      <w:r w:rsidR="00B71877" w:rsidRPr="00A85D75">
        <w:rPr>
          <w:lang w:eastAsia="en-US"/>
        </w:rPr>
        <w:t xml:space="preserve">that developing satellite IoT arrangements with a low barrier </w:t>
      </w:r>
      <w:r w:rsidR="002B51BB" w:rsidRPr="00A85D75">
        <w:rPr>
          <w:lang w:eastAsia="en-US"/>
        </w:rPr>
        <w:t xml:space="preserve">to </w:t>
      </w:r>
      <w:r w:rsidR="00B71877" w:rsidRPr="00A85D75">
        <w:rPr>
          <w:lang w:eastAsia="en-US"/>
        </w:rPr>
        <w:t>entry would assist in growing the Australian space industry.</w:t>
      </w:r>
    </w:p>
    <w:p w14:paraId="577A7E9E" w14:textId="1DB14D46" w:rsidR="00203614" w:rsidRPr="00A85D75" w:rsidRDefault="0061012A" w:rsidP="00D84393">
      <w:pPr>
        <w:rPr>
          <w:rFonts w:cstheme="minorHAnsi"/>
        </w:rPr>
      </w:pPr>
      <w:r w:rsidRPr="00A85D75">
        <w:rPr>
          <w:rFonts w:cstheme="minorHAnsi"/>
        </w:rPr>
        <w:t xml:space="preserve">It should be noted that while the ACMA can develop a </w:t>
      </w:r>
      <w:r w:rsidR="007B1FA4" w:rsidRPr="00A85D75">
        <w:rPr>
          <w:rFonts w:cstheme="minorHAnsi"/>
        </w:rPr>
        <w:t xml:space="preserve">domestic </w:t>
      </w:r>
      <w:r w:rsidRPr="00A85D75">
        <w:rPr>
          <w:rFonts w:cstheme="minorHAnsi"/>
        </w:rPr>
        <w:t>framework to support licensing a mobile</w:t>
      </w:r>
      <w:r w:rsidR="00351D1B">
        <w:rPr>
          <w:rFonts w:cstheme="minorHAnsi"/>
        </w:rPr>
        <w:t>-</w:t>
      </w:r>
      <w:r w:rsidRPr="00A85D75">
        <w:rPr>
          <w:rFonts w:cstheme="minorHAnsi"/>
        </w:rPr>
        <w:t xml:space="preserve">satellite service, as with any satellite service its viability is in part dependent on the status of the satellite network in the </w:t>
      </w:r>
      <w:r w:rsidRPr="00A85D75">
        <w:t xml:space="preserve">ITU </w:t>
      </w:r>
      <w:r w:rsidRPr="00A85D75">
        <w:rPr>
          <w:rFonts w:cstheme="minorHAnsi"/>
        </w:rPr>
        <w:t>satellite coordination process</w:t>
      </w:r>
      <w:r w:rsidR="00024678">
        <w:rPr>
          <w:rFonts w:cstheme="minorHAnsi"/>
        </w:rPr>
        <w:t>,</w:t>
      </w:r>
      <w:r w:rsidR="00FB3A6F" w:rsidRPr="00A85D75">
        <w:rPr>
          <w:rFonts w:cstheme="minorHAnsi"/>
        </w:rPr>
        <w:t xml:space="preserve"> which is the responsibility of the satellite operator to </w:t>
      </w:r>
      <w:r w:rsidR="00477A5D">
        <w:rPr>
          <w:rFonts w:cstheme="minorHAnsi"/>
        </w:rPr>
        <w:t>manage</w:t>
      </w:r>
      <w:r w:rsidRPr="00A85D75">
        <w:rPr>
          <w:rFonts w:cstheme="minorHAnsi"/>
        </w:rPr>
        <w:t xml:space="preserve">. </w:t>
      </w:r>
      <w:r w:rsidR="005F1A03" w:rsidRPr="00A85D75">
        <w:rPr>
          <w:rFonts w:cstheme="minorHAnsi"/>
        </w:rPr>
        <w:t xml:space="preserve">As is normal practice when developing </w:t>
      </w:r>
      <w:r w:rsidR="000B3605" w:rsidRPr="00A85D75">
        <w:rPr>
          <w:rFonts w:cstheme="minorHAnsi"/>
        </w:rPr>
        <w:t>regulatory</w:t>
      </w:r>
      <w:r w:rsidR="005F1A03" w:rsidRPr="00A85D75">
        <w:rPr>
          <w:rFonts w:cstheme="minorHAnsi"/>
        </w:rPr>
        <w:t xml:space="preserve"> </w:t>
      </w:r>
      <w:r w:rsidR="000B3605" w:rsidRPr="00A85D75">
        <w:rPr>
          <w:rFonts w:cstheme="minorHAnsi"/>
        </w:rPr>
        <w:t>arrangements</w:t>
      </w:r>
      <w:r w:rsidR="005F1A03" w:rsidRPr="00A85D75">
        <w:rPr>
          <w:rFonts w:cstheme="minorHAnsi"/>
        </w:rPr>
        <w:t xml:space="preserve"> for satellite </w:t>
      </w:r>
      <w:r w:rsidR="000B3605" w:rsidRPr="00A85D75">
        <w:rPr>
          <w:rFonts w:cstheme="minorHAnsi"/>
        </w:rPr>
        <w:t>services</w:t>
      </w:r>
      <w:r w:rsidR="005F1A03" w:rsidRPr="00A85D75">
        <w:rPr>
          <w:rFonts w:cstheme="minorHAnsi"/>
        </w:rPr>
        <w:t xml:space="preserve">, </w:t>
      </w:r>
      <w:r w:rsidR="00333BD3" w:rsidRPr="00A85D75">
        <w:rPr>
          <w:rFonts w:cstheme="minorHAnsi"/>
        </w:rPr>
        <w:t xml:space="preserve">the </w:t>
      </w:r>
      <w:r w:rsidR="000B3605" w:rsidRPr="00A85D75">
        <w:rPr>
          <w:rFonts w:cstheme="minorHAnsi"/>
        </w:rPr>
        <w:t>framework</w:t>
      </w:r>
      <w:r w:rsidR="005F1A03" w:rsidRPr="00A85D75">
        <w:rPr>
          <w:rFonts w:cstheme="minorHAnsi"/>
        </w:rPr>
        <w:t xml:space="preserve"> for satellite use of the 2 GHz band will have regard to </w:t>
      </w:r>
      <w:r w:rsidR="000B3605" w:rsidRPr="00A85D75">
        <w:rPr>
          <w:rFonts w:cstheme="minorHAnsi"/>
        </w:rPr>
        <w:t xml:space="preserve">Australia’s international obligations and </w:t>
      </w:r>
      <w:r w:rsidR="002C7A1D" w:rsidRPr="00A85D75">
        <w:rPr>
          <w:rFonts w:cstheme="minorHAnsi"/>
        </w:rPr>
        <w:t>the</w:t>
      </w:r>
      <w:r w:rsidR="000B3605" w:rsidRPr="00A85D75">
        <w:rPr>
          <w:rFonts w:cstheme="minorHAnsi"/>
        </w:rPr>
        <w:t xml:space="preserve"> ITU satellite network coordination process. </w:t>
      </w:r>
      <w:r w:rsidRPr="00A85D75">
        <w:rPr>
          <w:rFonts w:cstheme="minorHAnsi"/>
        </w:rPr>
        <w:t xml:space="preserve">  </w:t>
      </w:r>
    </w:p>
    <w:p w14:paraId="68FF06F0" w14:textId="494F3AA8" w:rsidR="00E50646" w:rsidRPr="00A85D75" w:rsidRDefault="00E50646" w:rsidP="00202537">
      <w:pPr>
        <w:spacing w:before="240"/>
      </w:pPr>
      <w:r w:rsidRPr="00A85D75">
        <w:lastRenderedPageBreak/>
        <w:t xml:space="preserve">Based on the outcomes identified in this paper, a summary of the overall proposed configuration for the 2 GHz band is shown in </w:t>
      </w:r>
      <w:r w:rsidR="00333BD3" w:rsidRPr="00A85D75">
        <w:t xml:space="preserve">Figure </w:t>
      </w:r>
      <w:r w:rsidRPr="00A85D75">
        <w:t xml:space="preserve">1 of the </w:t>
      </w:r>
      <w:r w:rsidR="00024678">
        <w:t>‘</w:t>
      </w:r>
      <w:hyperlink w:anchor="_Planning_outcomes" w:history="1">
        <w:r w:rsidR="00024678" w:rsidRPr="00024678">
          <w:rPr>
            <w:rStyle w:val="Hyperlink"/>
          </w:rPr>
          <w:t>P</w:t>
        </w:r>
        <w:r w:rsidR="006310AA" w:rsidRPr="00024678">
          <w:rPr>
            <w:rStyle w:val="Hyperlink"/>
          </w:rPr>
          <w:t>lanning outcomes</w:t>
        </w:r>
      </w:hyperlink>
      <w:r w:rsidR="00024678">
        <w:t>’</w:t>
      </w:r>
      <w:r w:rsidRPr="00A85D75">
        <w:t xml:space="preserve"> </w:t>
      </w:r>
      <w:r w:rsidR="00024678">
        <w:t>section</w:t>
      </w:r>
      <w:r w:rsidRPr="00A85D75">
        <w:t xml:space="preserve">. </w:t>
      </w:r>
    </w:p>
    <w:p w14:paraId="443616D4" w14:textId="77777777" w:rsidR="00472540" w:rsidRPr="00A85D75" w:rsidRDefault="00472540" w:rsidP="00E2254B">
      <w:pPr>
        <w:pStyle w:val="Heading2"/>
      </w:pPr>
      <w:bookmarkStart w:id="9" w:name="_Toc18403199"/>
      <w:bookmarkStart w:id="10" w:name="_Toc21088506"/>
      <w:bookmarkStart w:id="11" w:name="_Toc56950053"/>
      <w:bookmarkStart w:id="12" w:name="_Toc56965675"/>
      <w:bookmarkStart w:id="13" w:name="_Toc61364822"/>
      <w:r w:rsidRPr="00A85D75">
        <w:t>Next steps</w:t>
      </w:r>
      <w:bookmarkEnd w:id="9"/>
      <w:bookmarkEnd w:id="10"/>
      <w:bookmarkEnd w:id="11"/>
      <w:bookmarkEnd w:id="12"/>
      <w:bookmarkEnd w:id="13"/>
    </w:p>
    <w:p w14:paraId="3F5EFD94" w14:textId="1C178A10" w:rsidR="00BD5268" w:rsidRPr="00A85D75" w:rsidRDefault="00C97CDF" w:rsidP="004D657E">
      <w:pPr>
        <w:pStyle w:val="Paragraph"/>
      </w:pPr>
      <w:r w:rsidRPr="00A85D75">
        <w:t xml:space="preserve">A </w:t>
      </w:r>
      <w:r w:rsidR="00E2254B" w:rsidRPr="00A85D75">
        <w:t>high-level</w:t>
      </w:r>
      <w:r w:rsidRPr="00A85D75">
        <w:t xml:space="preserve"> implementation plan has been developed and is outlined in Table 1 of the</w:t>
      </w:r>
      <w:r w:rsidR="00024678">
        <w:t xml:space="preserve"> ‘</w:t>
      </w:r>
      <w:hyperlink w:anchor="_Next_steps" w:history="1">
        <w:r w:rsidR="00024678" w:rsidRPr="00024678">
          <w:rPr>
            <w:rStyle w:val="Hyperlink"/>
          </w:rPr>
          <w:t>Next steps</w:t>
        </w:r>
      </w:hyperlink>
      <w:r w:rsidR="00024678">
        <w:t>’</w:t>
      </w:r>
      <w:r w:rsidR="00A65560" w:rsidRPr="00A85D75">
        <w:t xml:space="preserve"> </w:t>
      </w:r>
      <w:r w:rsidR="00024678">
        <w:t>section</w:t>
      </w:r>
      <w:r w:rsidRPr="00A85D75">
        <w:t>.</w:t>
      </w:r>
    </w:p>
    <w:p w14:paraId="37159CD4" w14:textId="77777777" w:rsidR="007B0932" w:rsidRPr="00A85D75" w:rsidRDefault="007B0932" w:rsidP="007B0932">
      <w:pPr>
        <w:pStyle w:val="Heading1"/>
      </w:pPr>
      <w:bookmarkStart w:id="14" w:name="_Toc46316352"/>
      <w:bookmarkStart w:id="15" w:name="_Toc56965676"/>
      <w:bookmarkStart w:id="16" w:name="_Toc61364823"/>
      <w:r w:rsidRPr="00A85D75">
        <w:lastRenderedPageBreak/>
        <w:t>Introduction</w:t>
      </w:r>
      <w:bookmarkEnd w:id="14"/>
      <w:bookmarkEnd w:id="15"/>
      <w:bookmarkEnd w:id="16"/>
    </w:p>
    <w:p w14:paraId="51F56C17" w14:textId="0317E849" w:rsidR="00673660" w:rsidRPr="00A85D75" w:rsidRDefault="00673660" w:rsidP="00673660">
      <w:pPr>
        <w:pStyle w:val="Paragraph"/>
      </w:pPr>
      <w:r w:rsidRPr="00A85D75">
        <w:t xml:space="preserve">The 2 GHz band is currently used for television outside broadcast (TOB) services on a shared and non-exclusive basis for short-term applications such as covering special events. There are currently </w:t>
      </w:r>
      <w:r w:rsidR="008B1BF1" w:rsidRPr="00A85D75">
        <w:t>2</w:t>
      </w:r>
      <w:r w:rsidR="00963939" w:rsidRPr="00A85D75">
        <w:t>1</w:t>
      </w:r>
      <w:r w:rsidRPr="00A85D75">
        <w:t xml:space="preserve"> active licences in the band, held by 10 organisations.</w:t>
      </w:r>
      <w:r w:rsidRPr="00A85D75">
        <w:rPr>
          <w:rStyle w:val="FootnoteReference"/>
        </w:rPr>
        <w:footnoteReference w:id="4"/>
      </w:r>
      <w:r w:rsidRPr="00A85D75">
        <w:t xml:space="preserve"> These comprise a mixture of area-wide and site-specific apparatus licences. The site-specific licences are located in Sydney, Melbourne, Adelaide and Perth.</w:t>
      </w:r>
    </w:p>
    <w:p w14:paraId="2EBEAA7A" w14:textId="6FD56AE4" w:rsidR="007B0932" w:rsidRPr="00A85D75" w:rsidRDefault="007B0932" w:rsidP="007B0932">
      <w:pPr>
        <w:pStyle w:val="ListBulletLast"/>
        <w:numPr>
          <w:ilvl w:val="0"/>
          <w:numId w:val="0"/>
        </w:numPr>
        <w:spacing w:line="240" w:lineRule="auto"/>
      </w:pPr>
      <w:r w:rsidRPr="00A85D75">
        <w:t xml:space="preserve">In </w:t>
      </w:r>
      <w:r w:rsidR="00E34510" w:rsidRPr="00A85D75">
        <w:t>July 2020</w:t>
      </w:r>
      <w:r w:rsidRPr="00A85D75">
        <w:t>, the ACMA released a</w:t>
      </w:r>
      <w:r w:rsidR="00E34510" w:rsidRPr="00A85D75">
        <w:t>n</w:t>
      </w:r>
      <w:r w:rsidRPr="00A85D75">
        <w:t xml:space="preserve"> </w:t>
      </w:r>
      <w:hyperlink r:id="rId27">
        <w:r w:rsidR="00E34510" w:rsidRPr="00A85D75">
          <w:rPr>
            <w:rStyle w:val="Hyperlink"/>
          </w:rPr>
          <w:t>options paper</w:t>
        </w:r>
      </w:hyperlink>
      <w:r w:rsidRPr="00A85D75">
        <w:t xml:space="preserve"> on the </w:t>
      </w:r>
      <w:r w:rsidR="00E34510" w:rsidRPr="00A85D75">
        <w:t>preliminary replanning</w:t>
      </w:r>
      <w:r w:rsidRPr="00A85D75">
        <w:rPr>
          <w:i/>
          <w:iCs/>
        </w:rPr>
        <w:t xml:space="preserve"> </w:t>
      </w:r>
      <w:r w:rsidRPr="00A85D75">
        <w:t xml:space="preserve">stage of the 2 GHz </w:t>
      </w:r>
      <w:r w:rsidR="00800460" w:rsidRPr="00A85D75">
        <w:t>band planning process</w:t>
      </w:r>
      <w:r w:rsidRPr="00A85D75">
        <w:t xml:space="preserve">. The paper identified </w:t>
      </w:r>
      <w:r w:rsidR="00E34510" w:rsidRPr="00A85D75">
        <w:t>a range of potential replanning options</w:t>
      </w:r>
      <w:r w:rsidRPr="00A85D75">
        <w:t xml:space="preserve"> and invited comment on possible changes to planning arrangements for the band.</w:t>
      </w:r>
      <w:r w:rsidRPr="00A85D75">
        <w:rPr>
          <w:iCs/>
        </w:rPr>
        <w:t xml:space="preserve"> </w:t>
      </w:r>
      <w:r w:rsidR="009642ED" w:rsidRPr="00A85D75">
        <w:rPr>
          <w:iCs/>
        </w:rPr>
        <w:t xml:space="preserve">We received </w:t>
      </w:r>
      <w:r w:rsidR="00841807" w:rsidRPr="00A85D75">
        <w:rPr>
          <w:iCs/>
        </w:rPr>
        <w:t>26</w:t>
      </w:r>
      <w:r w:rsidR="009642ED" w:rsidRPr="00A85D75">
        <w:rPr>
          <w:iCs/>
        </w:rPr>
        <w:t xml:space="preserve"> submissions to the options paper</w:t>
      </w:r>
      <w:r w:rsidRPr="00A85D75">
        <w:rPr>
          <w:iCs/>
        </w:rPr>
        <w:t xml:space="preserve"> consultation</w:t>
      </w:r>
      <w:r w:rsidR="009642ED" w:rsidRPr="00A85D75">
        <w:rPr>
          <w:iCs/>
        </w:rPr>
        <w:t>, which</w:t>
      </w:r>
      <w:r w:rsidRPr="00A85D75">
        <w:rPr>
          <w:iCs/>
        </w:rPr>
        <w:t xml:space="preserve"> closed on </w:t>
      </w:r>
      <w:r w:rsidR="00DD4313" w:rsidRPr="00A85D75">
        <w:rPr>
          <w:iCs/>
        </w:rPr>
        <w:t>2</w:t>
      </w:r>
      <w:r w:rsidRPr="00A85D75">
        <w:rPr>
          <w:iCs/>
        </w:rPr>
        <w:t xml:space="preserve"> September 20</w:t>
      </w:r>
      <w:r w:rsidR="00DD4313" w:rsidRPr="00A85D75">
        <w:rPr>
          <w:iCs/>
        </w:rPr>
        <w:t>20</w:t>
      </w:r>
      <w:r w:rsidR="009642ED" w:rsidRPr="00A85D75">
        <w:rPr>
          <w:iCs/>
        </w:rPr>
        <w:t>.</w:t>
      </w:r>
    </w:p>
    <w:p w14:paraId="6005C22D" w14:textId="0B60377E" w:rsidR="00673660" w:rsidRPr="00A85D75" w:rsidRDefault="007B0932" w:rsidP="00CC0116">
      <w:pPr>
        <w:pStyle w:val="Paragraphbeforelist"/>
      </w:pPr>
      <w:r w:rsidRPr="00A85D75">
        <w:t xml:space="preserve">Following </w:t>
      </w:r>
      <w:r w:rsidR="00975635">
        <w:t>consideration</w:t>
      </w:r>
      <w:r w:rsidR="00975635" w:rsidRPr="00A85D75">
        <w:t xml:space="preserve"> </w:t>
      </w:r>
      <w:r w:rsidRPr="00A85D75">
        <w:t xml:space="preserve">of </w:t>
      </w:r>
      <w:r w:rsidR="009642ED" w:rsidRPr="00A85D75">
        <w:t xml:space="preserve">these </w:t>
      </w:r>
      <w:r w:rsidRPr="00A85D75">
        <w:t xml:space="preserve">submissions, </w:t>
      </w:r>
      <w:r w:rsidR="009642ED" w:rsidRPr="00A85D75">
        <w:t>we have</w:t>
      </w:r>
      <w:r w:rsidR="00673660" w:rsidRPr="00A85D75">
        <w:t>:</w:t>
      </w:r>
    </w:p>
    <w:p w14:paraId="639EE14F" w14:textId="7DB39C2E" w:rsidR="007B0932" w:rsidRPr="00A85D75" w:rsidRDefault="007B0932" w:rsidP="00673660">
      <w:pPr>
        <w:pStyle w:val="ListBullet"/>
      </w:pPr>
      <w:r w:rsidRPr="00A85D75">
        <w:t>progress</w:t>
      </w:r>
      <w:r w:rsidR="00673660" w:rsidRPr="00A85D75">
        <w:t>ed</w:t>
      </w:r>
      <w:r w:rsidRPr="00A85D75">
        <w:t xml:space="preserve"> the </w:t>
      </w:r>
      <w:r w:rsidR="00673660" w:rsidRPr="00A85D75">
        <w:t xml:space="preserve">2 GHz </w:t>
      </w:r>
      <w:r w:rsidRPr="00A85D75">
        <w:t xml:space="preserve">band to the </w:t>
      </w:r>
      <w:r w:rsidR="00800460" w:rsidRPr="00A85D75">
        <w:t>implementation</w:t>
      </w:r>
      <w:r w:rsidRPr="00A85D75">
        <w:rPr>
          <w:i/>
          <w:iCs/>
        </w:rPr>
        <w:t xml:space="preserve"> </w:t>
      </w:r>
      <w:r w:rsidRPr="00A85D75">
        <w:t xml:space="preserve">stage of the ACMA’s </w:t>
      </w:r>
      <w:r w:rsidR="00800460" w:rsidRPr="00A85D75">
        <w:t>band</w:t>
      </w:r>
      <w:r w:rsidRPr="00A85D75">
        <w:t xml:space="preserve"> planning process</w:t>
      </w:r>
      <w:r w:rsidR="00800460" w:rsidRPr="00A85D75">
        <w:rPr>
          <w:rStyle w:val="FootnoteReference"/>
        </w:rPr>
        <w:footnoteReference w:id="5"/>
      </w:r>
      <w:r w:rsidRPr="00A85D75">
        <w:t xml:space="preserve"> </w:t>
      </w:r>
    </w:p>
    <w:p w14:paraId="15122BA8" w14:textId="375D1846" w:rsidR="00673660" w:rsidRPr="00A85D75" w:rsidRDefault="00673660" w:rsidP="00673660">
      <w:pPr>
        <w:pStyle w:val="ListBulletLast"/>
      </w:pPr>
      <w:r w:rsidRPr="00A85D75">
        <w:t>made replanning decisions in the band that will change the way the band may be used.</w:t>
      </w:r>
    </w:p>
    <w:p w14:paraId="61368F7B" w14:textId="0A6555C7" w:rsidR="007B0932" w:rsidRPr="00A85D75" w:rsidRDefault="007B0932" w:rsidP="007B0932">
      <w:r w:rsidRPr="00A85D75">
        <w:t xml:space="preserve">The purpose of this paper is to </w:t>
      </w:r>
      <w:r w:rsidR="006F1308" w:rsidRPr="00A85D75">
        <w:t>present</w:t>
      </w:r>
      <w:r w:rsidRPr="00A85D75">
        <w:t xml:space="preserve"> </w:t>
      </w:r>
      <w:r w:rsidR="00DE6B4F" w:rsidRPr="00A85D75">
        <w:t>the ACMA’s replanning decisions in the 2 GHz band</w:t>
      </w:r>
      <w:r w:rsidRPr="00A85D75">
        <w:t xml:space="preserve"> </w:t>
      </w:r>
      <w:r w:rsidR="00F81507" w:rsidRPr="00A85D75">
        <w:t>and</w:t>
      </w:r>
      <w:r w:rsidR="00EC1F1D" w:rsidRPr="00A85D75">
        <w:t xml:space="preserve"> </w:t>
      </w:r>
      <w:r w:rsidR="000A06F0" w:rsidRPr="00A85D75">
        <w:t xml:space="preserve">inform stakeholders about the future </w:t>
      </w:r>
      <w:r w:rsidR="00D8154D" w:rsidRPr="00A85D75">
        <w:t xml:space="preserve">use </w:t>
      </w:r>
      <w:r w:rsidR="000A06F0" w:rsidRPr="00A85D75">
        <w:t>of the band in broad terms. We also outline the steps required to implement these decisions</w:t>
      </w:r>
      <w:r w:rsidR="0061344C" w:rsidRPr="00A85D75">
        <w:t>. During some of these steps, we will</w:t>
      </w:r>
      <w:r w:rsidR="00EA7EF6" w:rsidRPr="00A85D75">
        <w:t xml:space="preserve"> </w:t>
      </w:r>
      <w:r w:rsidR="0061344C" w:rsidRPr="00A85D75">
        <w:t xml:space="preserve">seek feedback through </w:t>
      </w:r>
      <w:r w:rsidR="00647E6C" w:rsidRPr="00A85D75">
        <w:t xml:space="preserve">a </w:t>
      </w:r>
      <w:r w:rsidR="0061344C" w:rsidRPr="00A85D75">
        <w:t>public consultation proce</w:t>
      </w:r>
      <w:r w:rsidR="00647E6C" w:rsidRPr="00A85D75">
        <w:t xml:space="preserve">ss to </w:t>
      </w:r>
      <w:r w:rsidRPr="00A85D75">
        <w:t xml:space="preserve">inform </w:t>
      </w:r>
      <w:r w:rsidR="00863A94" w:rsidRPr="00A85D75">
        <w:t>licensing and technical planning arrangements in the band</w:t>
      </w:r>
      <w:r w:rsidR="009028E2" w:rsidRPr="00A85D75">
        <w:t>.</w:t>
      </w:r>
    </w:p>
    <w:p w14:paraId="40741D8A" w14:textId="50B9E1B2" w:rsidR="000C0D21" w:rsidRPr="00A85D75" w:rsidRDefault="000C0D21" w:rsidP="000C0D21">
      <w:pPr>
        <w:pStyle w:val="Heading2"/>
      </w:pPr>
      <w:bookmarkStart w:id="17" w:name="_Toc457809930"/>
      <w:bookmarkStart w:id="18" w:name="_Ref461109606"/>
      <w:bookmarkStart w:id="19" w:name="_Toc466017060"/>
      <w:bookmarkStart w:id="20" w:name="_Toc468438955"/>
      <w:bookmarkStart w:id="21" w:name="_Toc468705310"/>
      <w:bookmarkStart w:id="22" w:name="_Ref498078173"/>
      <w:bookmarkStart w:id="23" w:name="_Ref498436813"/>
      <w:bookmarkStart w:id="24" w:name="_Toc519765102"/>
      <w:bookmarkStart w:id="25" w:name="_Toc521585768"/>
      <w:bookmarkStart w:id="26" w:name="_Toc525132230"/>
      <w:bookmarkStart w:id="27" w:name="_Toc5000062"/>
      <w:bookmarkStart w:id="28" w:name="_Toc34727289"/>
      <w:bookmarkStart w:id="29" w:name="_Toc46316354"/>
      <w:bookmarkStart w:id="30" w:name="_Toc56965677"/>
      <w:bookmarkStart w:id="31" w:name="_Toc61364824"/>
      <w:r w:rsidRPr="00A85D75">
        <w:t>Legislative and policy environment</w:t>
      </w:r>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419DFEFD" w14:textId="77777777" w:rsidR="000C0D21" w:rsidRPr="00A85D75" w:rsidRDefault="000C0D21" w:rsidP="000C0D21">
      <w:r w:rsidRPr="00A85D75">
        <w:t>Managing spectrum efficiently and effectively for the benefit of all Australians is a key priority for the ACMA.</w:t>
      </w:r>
      <w:r w:rsidRPr="00A85D75">
        <w:rPr>
          <w:vertAlign w:val="superscript"/>
        </w:rPr>
        <w:footnoteReference w:id="6"/>
      </w:r>
      <w:r w:rsidRPr="00A85D75">
        <w:t xml:space="preserve"> The ACMA draws on a range of legislative and administrative tools and overarching guidance in executing these functions. </w:t>
      </w:r>
    </w:p>
    <w:p w14:paraId="654C112A" w14:textId="77777777" w:rsidR="000C0D21" w:rsidRPr="00A85D75" w:rsidRDefault="000C0D21" w:rsidP="000C0D21">
      <w:pPr>
        <w:pStyle w:val="Heading3"/>
        <w:tabs>
          <w:tab w:val="left" w:pos="6540"/>
        </w:tabs>
      </w:pPr>
      <w:bookmarkStart w:id="32" w:name="_Toc56965678"/>
      <w:bookmarkStart w:id="33" w:name="_Toc61364825"/>
      <w:r w:rsidRPr="00A85D75">
        <w:t>Guiding legislation and policy</w:t>
      </w:r>
      <w:bookmarkEnd w:id="32"/>
      <w:bookmarkEnd w:id="33"/>
      <w:r w:rsidRPr="00A85D75">
        <w:tab/>
      </w:r>
    </w:p>
    <w:p w14:paraId="323B6F9F" w14:textId="77777777" w:rsidR="000C0D21" w:rsidRPr="00A85D75" w:rsidRDefault="000C0D21" w:rsidP="000C0D21">
      <w:pPr>
        <w:pStyle w:val="Paragraphbeforelist"/>
      </w:pPr>
      <w:r w:rsidRPr="00A85D75">
        <w:t xml:space="preserve">The ACMA’s decisions are guided by the objects of the </w:t>
      </w:r>
      <w:hyperlink r:id="rId28">
        <w:r w:rsidRPr="00A85D75">
          <w:rPr>
            <w:rStyle w:val="Hyperlink"/>
            <w:i/>
            <w:iCs/>
          </w:rPr>
          <w:t>Radiocommunications Act 1992</w:t>
        </w:r>
      </w:hyperlink>
      <w:r w:rsidRPr="00A85D75">
        <w:t xml:space="preserve"> (the Act) to provide for management of the radiofrequency spectrum, in order to (among other goals):</w:t>
      </w:r>
    </w:p>
    <w:p w14:paraId="2D35E7CD" w14:textId="0777C3FE" w:rsidR="000C0D21" w:rsidRPr="00A85D75" w:rsidRDefault="000C0D21" w:rsidP="000C0D21">
      <w:pPr>
        <w:pStyle w:val="ListBullet"/>
        <w:tabs>
          <w:tab w:val="clear" w:pos="295"/>
          <w:tab w:val="num" w:pos="579"/>
        </w:tabs>
      </w:pPr>
      <w:r w:rsidRPr="00A85D75">
        <w:t>maximise</w:t>
      </w:r>
      <w:r w:rsidR="002A61CD">
        <w:t xml:space="preserve"> – </w:t>
      </w:r>
      <w:r w:rsidRPr="00A85D75">
        <w:t>by ensuring the efficient allocation and use of the spectrum</w:t>
      </w:r>
      <w:r w:rsidR="002A61CD">
        <w:t xml:space="preserve"> – </w:t>
      </w:r>
      <w:r w:rsidRPr="00A85D75">
        <w:t>the overall public benefit derived from using the radiofrequency spectrum</w:t>
      </w:r>
    </w:p>
    <w:p w14:paraId="080A706E" w14:textId="77777777" w:rsidR="000C0D21" w:rsidRPr="00A85D75" w:rsidRDefault="000C0D21" w:rsidP="000C0D21">
      <w:pPr>
        <w:pStyle w:val="ListBullet"/>
        <w:tabs>
          <w:tab w:val="clear" w:pos="295"/>
          <w:tab w:val="num" w:pos="579"/>
        </w:tabs>
      </w:pPr>
      <w:r w:rsidRPr="00A85D75">
        <w:t>make adequate provision of the spectrum:</w:t>
      </w:r>
    </w:p>
    <w:p w14:paraId="1387CDFB" w14:textId="77777777" w:rsidR="000C0D21" w:rsidRPr="00A85D75" w:rsidRDefault="000C0D21" w:rsidP="000C0D21">
      <w:pPr>
        <w:pStyle w:val="ListBullet"/>
        <w:numPr>
          <w:ilvl w:val="0"/>
          <w:numId w:val="17"/>
        </w:numPr>
      </w:pPr>
      <w:r w:rsidRPr="00A85D75">
        <w:t xml:space="preserve">for use by agencies involved in the defence or national security of Australia, law enforcement or the provision of emergency services </w:t>
      </w:r>
    </w:p>
    <w:p w14:paraId="5BF5DB7E" w14:textId="18A696A1" w:rsidR="000C0D21" w:rsidRPr="00A85D75" w:rsidRDefault="000C0D21" w:rsidP="000C0D21">
      <w:pPr>
        <w:pStyle w:val="ListBullet"/>
        <w:numPr>
          <w:ilvl w:val="0"/>
          <w:numId w:val="17"/>
        </w:numPr>
      </w:pPr>
      <w:r w:rsidRPr="00A85D75">
        <w:t>for use by other public or community services</w:t>
      </w:r>
    </w:p>
    <w:p w14:paraId="01F24B4A" w14:textId="77777777" w:rsidR="000C0D21" w:rsidRPr="00A85D75" w:rsidRDefault="000C0D21" w:rsidP="000C0D21">
      <w:pPr>
        <w:pStyle w:val="ListBullet"/>
        <w:tabs>
          <w:tab w:val="clear" w:pos="295"/>
          <w:tab w:val="num" w:pos="579"/>
        </w:tabs>
      </w:pPr>
      <w:r w:rsidRPr="00A85D75">
        <w:t>provide a responsive and flexible approach to meeting the needs of spectrum users</w:t>
      </w:r>
    </w:p>
    <w:p w14:paraId="473F198B" w14:textId="77777777" w:rsidR="000C0D21" w:rsidRPr="00A85D75" w:rsidRDefault="000C0D21" w:rsidP="000C0D21">
      <w:pPr>
        <w:pStyle w:val="ListBullet"/>
        <w:tabs>
          <w:tab w:val="clear" w:pos="295"/>
          <w:tab w:val="num" w:pos="579"/>
        </w:tabs>
      </w:pPr>
      <w:r w:rsidRPr="00A85D75">
        <w:lastRenderedPageBreak/>
        <w:t>encourage the use of efficient radiocommunication technologies so that a wide range of services of an adequate quality can be provided</w:t>
      </w:r>
    </w:p>
    <w:p w14:paraId="5AC3C429" w14:textId="77777777" w:rsidR="000C0D21" w:rsidRPr="00A85D75" w:rsidRDefault="000C0D21" w:rsidP="000C0D21">
      <w:pPr>
        <w:pStyle w:val="ListBullet"/>
        <w:tabs>
          <w:tab w:val="clear" w:pos="295"/>
          <w:tab w:val="num" w:pos="579"/>
        </w:tabs>
      </w:pPr>
      <w:r w:rsidRPr="00A85D75">
        <w:t>support the communications policy objectives of the Australian Government.</w:t>
      </w:r>
    </w:p>
    <w:p w14:paraId="2349417F" w14:textId="7D8DE98B" w:rsidR="000C0D21" w:rsidRPr="00A85D75" w:rsidRDefault="000C0D21" w:rsidP="000C0D21">
      <w:pPr>
        <w:pStyle w:val="ListBullet"/>
        <w:numPr>
          <w:ilvl w:val="0"/>
          <w:numId w:val="0"/>
        </w:numPr>
        <w:spacing w:before="240"/>
      </w:pPr>
      <w:r w:rsidRPr="00A85D75">
        <w:t xml:space="preserve">Several communications policy objectives relevant to the replanning considerations in this band have been identified. </w:t>
      </w:r>
    </w:p>
    <w:p w14:paraId="4C626E7E" w14:textId="49ED7089" w:rsidR="000C0D21" w:rsidRPr="00A85D75" w:rsidRDefault="000C0D21" w:rsidP="000C0D21">
      <w:pPr>
        <w:pStyle w:val="ListBullet"/>
        <w:numPr>
          <w:ilvl w:val="0"/>
          <w:numId w:val="0"/>
        </w:numPr>
        <w:spacing w:before="240"/>
      </w:pPr>
      <w:r w:rsidRPr="00A85D75">
        <w:t xml:space="preserve">The </w:t>
      </w:r>
      <w:hyperlink r:id="rId29">
        <w:r w:rsidRPr="00A85D75">
          <w:rPr>
            <w:rStyle w:val="Hyperlink"/>
          </w:rPr>
          <w:t>5G</w:t>
        </w:r>
        <w:r w:rsidR="002A61CD">
          <w:rPr>
            <w:rStyle w:val="Hyperlink"/>
          </w:rPr>
          <w:t>—</w:t>
        </w:r>
        <w:r w:rsidRPr="00A85D75">
          <w:rPr>
            <w:rStyle w:val="Hyperlink"/>
          </w:rPr>
          <w:t>Enabling the future economy</w:t>
        </w:r>
      </w:hyperlink>
      <w:r w:rsidRPr="00A85D75">
        <w:t xml:space="preserve"> strategy, released in 2017, committed to government actions to support the timely rollout of 5G in Australia, including making spectrum available in a timely manner.</w:t>
      </w:r>
    </w:p>
    <w:p w14:paraId="7735AAF1" w14:textId="19A3C69B" w:rsidR="000C0D21" w:rsidRPr="00A85D75" w:rsidRDefault="00C71CF3" w:rsidP="000C0D21">
      <w:pPr>
        <w:pStyle w:val="ListBullet"/>
        <w:numPr>
          <w:ilvl w:val="0"/>
          <w:numId w:val="0"/>
        </w:numPr>
        <w:spacing w:before="240"/>
      </w:pPr>
      <w:hyperlink r:id="rId30">
        <w:r w:rsidR="000C0D21" w:rsidRPr="00A85D75">
          <w:rPr>
            <w:rStyle w:val="Hyperlink"/>
          </w:rPr>
          <w:t>Australia’s Tech Future</w:t>
        </w:r>
      </w:hyperlink>
      <w:r w:rsidR="000C0D21" w:rsidRPr="00A85D75">
        <w:t>, released in December 2018, sets out the Australian Government</w:t>
      </w:r>
      <w:r w:rsidR="00BD0E8E">
        <w:t>’s</w:t>
      </w:r>
      <w:r w:rsidR="000C0D21" w:rsidRPr="00A85D75">
        <w:t xml:space="preserve"> strategy for Australia’s tech future. The strategy presents a vision that Australians have access to world-class digital infrastructure in their personal and working lives with the following outcomes:</w:t>
      </w:r>
    </w:p>
    <w:p w14:paraId="60EBD137" w14:textId="77777777" w:rsidR="000C0D21" w:rsidRPr="00A85D75" w:rsidRDefault="000C0D21" w:rsidP="000C0D21">
      <w:pPr>
        <w:pStyle w:val="ListBullet"/>
        <w:tabs>
          <w:tab w:val="clear" w:pos="295"/>
          <w:tab w:val="num" w:pos="579"/>
        </w:tabs>
      </w:pPr>
      <w:r w:rsidRPr="00A85D75">
        <w:t>Australians have reliable, secure and affordable access to high-speed broadband and mobile communications.</w:t>
      </w:r>
    </w:p>
    <w:p w14:paraId="51C619F3" w14:textId="77777777" w:rsidR="000C0D21" w:rsidRPr="00A85D75" w:rsidRDefault="000C0D21" w:rsidP="000C0D21">
      <w:pPr>
        <w:pStyle w:val="ListBullet"/>
        <w:tabs>
          <w:tab w:val="clear" w:pos="295"/>
          <w:tab w:val="num" w:pos="579"/>
        </w:tabs>
      </w:pPr>
      <w:r w:rsidRPr="00A85D75">
        <w:t>Australia’s communications sector is sustainable and competitive.</w:t>
      </w:r>
    </w:p>
    <w:p w14:paraId="37DE597E" w14:textId="77777777" w:rsidR="000C0D21" w:rsidRPr="00A85D75" w:rsidRDefault="000C0D21" w:rsidP="000C0D21">
      <w:pPr>
        <w:pStyle w:val="ListBullet"/>
        <w:tabs>
          <w:tab w:val="clear" w:pos="295"/>
          <w:tab w:val="num" w:pos="579"/>
        </w:tabs>
      </w:pPr>
      <w:r w:rsidRPr="00A85D75">
        <w:t xml:space="preserve">Australia’s world-leading navigation and positioning infrastructure supports emerging technologies. </w:t>
      </w:r>
    </w:p>
    <w:p w14:paraId="681C04EC" w14:textId="77777777" w:rsidR="000C0D21" w:rsidRPr="00A85D75" w:rsidRDefault="000C0D21" w:rsidP="000C0D21">
      <w:pPr>
        <w:pStyle w:val="ListBulletLast"/>
        <w:tabs>
          <w:tab w:val="clear" w:pos="295"/>
          <w:tab w:val="num" w:pos="579"/>
        </w:tabs>
      </w:pPr>
      <w:r w:rsidRPr="00A85D75">
        <w:t>Australia’s researchers have the specialised high-performing computing and data infrastructure needed to stay ahead in everything from health to agriculture.</w:t>
      </w:r>
    </w:p>
    <w:p w14:paraId="15F5BCE2" w14:textId="77777777" w:rsidR="000C0D21" w:rsidRPr="00A85D75" w:rsidRDefault="000C0D21" w:rsidP="000C0D21">
      <w:pPr>
        <w:pStyle w:val="ListBulletLast"/>
        <w:numPr>
          <w:ilvl w:val="0"/>
          <w:numId w:val="0"/>
        </w:numPr>
      </w:pPr>
      <w:r w:rsidRPr="00A85D75">
        <w:rPr>
          <w:szCs w:val="20"/>
        </w:rPr>
        <w:t xml:space="preserve">The </w:t>
      </w:r>
      <w:hyperlink r:id="rId31" w:history="1">
        <w:r w:rsidRPr="00A85D75">
          <w:rPr>
            <w:rStyle w:val="Hyperlink"/>
            <w:szCs w:val="20"/>
          </w:rPr>
          <w:t>Australian Civil Space Strategy 2019–2028</w:t>
        </w:r>
      </w:hyperlink>
      <w:r w:rsidRPr="00A85D75">
        <w:rPr>
          <w:szCs w:val="20"/>
        </w:rPr>
        <w:t xml:space="preserve"> is an Australian Government strategy to deliver a globally responsible and respected space sector that lifts the broader economy, and inspires and improves the lives of Australians. </w:t>
      </w:r>
      <w:r w:rsidRPr="00A85D75">
        <w:t xml:space="preserve">It contains a number of </w:t>
      </w:r>
      <w:hyperlink r:id="rId32" w:history="1">
        <w:r w:rsidRPr="00A85D75">
          <w:rPr>
            <w:rStyle w:val="Hyperlink"/>
            <w:rFonts w:cs="Times New Roman"/>
          </w:rPr>
          <w:t>priority areas</w:t>
        </w:r>
      </w:hyperlink>
      <w:r w:rsidRPr="00A85D75">
        <w:t xml:space="preserve"> that may influence development and deployment of satellite services in the 2 GHz band.</w:t>
      </w:r>
    </w:p>
    <w:p w14:paraId="0F5BFA34" w14:textId="77777777" w:rsidR="000C0D21" w:rsidRPr="00A85D75" w:rsidRDefault="000C0D21" w:rsidP="007F36D5">
      <w:pPr>
        <w:pStyle w:val="Heading3"/>
      </w:pPr>
      <w:bookmarkStart w:id="34" w:name="_Toc56965679"/>
      <w:bookmarkStart w:id="35" w:name="_Toc61364826"/>
      <w:r w:rsidRPr="00A85D75">
        <w:t>Other relevant advice</w:t>
      </w:r>
      <w:bookmarkEnd w:id="34"/>
      <w:bookmarkEnd w:id="35"/>
    </w:p>
    <w:p w14:paraId="569A5709" w14:textId="3232929A" w:rsidR="000C0D21" w:rsidRPr="00A85D75" w:rsidRDefault="00D34448" w:rsidP="000C0D21">
      <w:pPr>
        <w:pStyle w:val="Paragraph"/>
      </w:pPr>
      <w:r w:rsidRPr="00A85D75">
        <w:t>T</w:t>
      </w:r>
      <w:r w:rsidR="000C0D21" w:rsidRPr="00A85D75">
        <w:t>he ACMA notes the</w:t>
      </w:r>
      <w:r w:rsidRPr="00A85D75">
        <w:t xml:space="preserve"> </w:t>
      </w:r>
      <w:hyperlink r:id="rId33" w:history="1">
        <w:r w:rsidR="00375790" w:rsidRPr="00A85D75">
          <w:rPr>
            <w:rStyle w:val="Hyperlink"/>
          </w:rPr>
          <w:t>Australian Government</w:t>
        </w:r>
        <w:r w:rsidR="00BD0E8E">
          <w:rPr>
            <w:rStyle w:val="Hyperlink"/>
          </w:rPr>
          <w:t>’s</w:t>
        </w:r>
        <w:r w:rsidR="00375790" w:rsidRPr="00A85D75">
          <w:rPr>
            <w:rStyle w:val="Hyperlink"/>
          </w:rPr>
          <w:t xml:space="preserve"> response</w:t>
        </w:r>
      </w:hyperlink>
      <w:r w:rsidR="003B1A75" w:rsidRPr="00A85D75">
        <w:t xml:space="preserve"> </w:t>
      </w:r>
      <w:r w:rsidR="00F67EA0" w:rsidRPr="00A85D75">
        <w:t>of</w:t>
      </w:r>
      <w:r w:rsidR="003B1A75" w:rsidRPr="00A85D75">
        <w:t xml:space="preserve"> November 2020</w:t>
      </w:r>
      <w:r w:rsidRPr="00A85D75">
        <w:t xml:space="preserve"> to the</w:t>
      </w:r>
      <w:r w:rsidR="000C0D21" w:rsidRPr="00A85D75">
        <w:t xml:space="preserve"> parliamentary report </w:t>
      </w:r>
      <w:hyperlink r:id="rId34" w:history="1">
        <w:r w:rsidR="000C0D21" w:rsidRPr="007F36D5">
          <w:rPr>
            <w:rStyle w:val="Hyperlink"/>
            <w:i/>
            <w:iCs/>
          </w:rPr>
          <w:t>Next Gen Future: Inquiry into the deployment, adoption and application of 5G in Australia</w:t>
        </w:r>
      </w:hyperlink>
      <w:r w:rsidR="000C0D21" w:rsidRPr="00A85D75">
        <w:t xml:space="preserve">. </w:t>
      </w:r>
      <w:r w:rsidR="003B1A75" w:rsidRPr="00A85D75">
        <w:t>In par</w:t>
      </w:r>
      <w:r w:rsidR="00375790" w:rsidRPr="00A85D75">
        <w:t>ticular, the</w:t>
      </w:r>
      <w:r w:rsidR="003C1D53" w:rsidRPr="00A85D75">
        <w:t xml:space="preserve"> ACMA acknowledges the</w:t>
      </w:r>
      <w:r w:rsidR="00375790" w:rsidRPr="00A85D75">
        <w:t xml:space="preserve"> government</w:t>
      </w:r>
      <w:r w:rsidR="003C1D53" w:rsidRPr="00A85D75">
        <w:t>’s</w:t>
      </w:r>
      <w:r w:rsidR="00375790" w:rsidRPr="00A85D75">
        <w:t xml:space="preserve"> support </w:t>
      </w:r>
      <w:r w:rsidR="003C1D53" w:rsidRPr="00A85D75">
        <w:t>for r</w:t>
      </w:r>
      <w:r w:rsidR="000C0D21" w:rsidRPr="00A85D75">
        <w:t>ecommendation</w:t>
      </w:r>
      <w:r w:rsidR="00B64F73" w:rsidRPr="00A85D75">
        <w:t xml:space="preserve"> </w:t>
      </w:r>
      <w:r w:rsidR="000C0D21" w:rsidRPr="00A85D75">
        <w:t xml:space="preserve">1 of </w:t>
      </w:r>
      <w:r w:rsidR="006D25EA" w:rsidRPr="00A85D75">
        <w:t>the</w:t>
      </w:r>
      <w:r w:rsidR="000C0D21" w:rsidRPr="00A85D75">
        <w:t xml:space="preserve"> report</w:t>
      </w:r>
      <w:r w:rsidR="00F67EA0" w:rsidRPr="00A85D75">
        <w:t>, which</w:t>
      </w:r>
      <w:r w:rsidR="000C0D21" w:rsidRPr="00A85D75">
        <w:t xml:space="preserve"> recommended the ACMA finalise spectrum allocations expeditiously and investigate how future spectrum auctions can promote improved market competition for the benefit of consumers. </w:t>
      </w:r>
    </w:p>
    <w:p w14:paraId="7A09CC4F" w14:textId="77777777" w:rsidR="000C0D21" w:rsidRPr="00A85D75" w:rsidRDefault="000C0D21" w:rsidP="007F36D5">
      <w:pPr>
        <w:pStyle w:val="Heading2"/>
      </w:pPr>
      <w:bookmarkStart w:id="36" w:name="_Toc56965680"/>
      <w:bookmarkStart w:id="37" w:name="_Toc61364827"/>
      <w:r w:rsidRPr="00A85D75">
        <w:t>Licensing arrangements</w:t>
      </w:r>
      <w:bookmarkEnd w:id="36"/>
      <w:bookmarkEnd w:id="37"/>
    </w:p>
    <w:p w14:paraId="64EFDCF2" w14:textId="35030DA3" w:rsidR="000C0D21" w:rsidRPr="00A85D75" w:rsidRDefault="000C0D21" w:rsidP="000C0D21">
      <w:r w:rsidRPr="00A85D75">
        <w:t xml:space="preserve">There are </w:t>
      </w:r>
      <w:r w:rsidR="00E97D40">
        <w:t>3</w:t>
      </w:r>
      <w:r w:rsidR="00E97D40" w:rsidRPr="00A85D75">
        <w:t xml:space="preserve"> </w:t>
      </w:r>
      <w:r w:rsidRPr="00A85D75">
        <w:t xml:space="preserve">licensing approaches available to the ACMA for authorising access to spectrum: spectrum, apparatus and class licences. These approaches influence how spectrum replanning options can be developed and implemented. </w:t>
      </w:r>
    </w:p>
    <w:p w14:paraId="60FC1FA1" w14:textId="1D65F7D3" w:rsidR="000C0D21" w:rsidRPr="00A85D75" w:rsidRDefault="000C0D21" w:rsidP="000C0D21">
      <w:r w:rsidRPr="00A85D75">
        <w:t xml:space="preserve">A spectrum licence authorises the operation of devices within a defined frequency range and geographic area, with a high degree of exclusivity. The geographic area can vary in size and can comprise the entire country. Spectrum licences are usually allocated by an auction and have </w:t>
      </w:r>
      <w:r w:rsidR="00EB73CA" w:rsidRPr="00A85D75">
        <w:t>typically</w:t>
      </w:r>
      <w:r w:rsidRPr="00A85D75">
        <w:t xml:space="preserve"> been utilised </w:t>
      </w:r>
      <w:r w:rsidR="00EB73CA" w:rsidRPr="00A85D75">
        <w:t xml:space="preserve">in </w:t>
      </w:r>
      <w:r w:rsidRPr="00A85D75">
        <w:t>bands used to deploy commercial mobile broadband networks</w:t>
      </w:r>
      <w:r w:rsidR="00EB73CA" w:rsidRPr="00A85D75">
        <w:t>.</w:t>
      </w:r>
      <w:r w:rsidRPr="00A85D75">
        <w:t xml:space="preserve"> Spectrum licences may be allocated for up to 15 years.</w:t>
      </w:r>
    </w:p>
    <w:p w14:paraId="43565D06" w14:textId="631E5DCF" w:rsidR="000C0D21" w:rsidRPr="00A85D75" w:rsidRDefault="000C0D21" w:rsidP="007F36D5">
      <w:r w:rsidRPr="00A85D75">
        <w:t>An inherent feature of spectrum licensing is technological flexibility</w:t>
      </w:r>
      <w:r w:rsidR="00E97D40">
        <w:t xml:space="preserve"> – </w:t>
      </w:r>
      <w:r w:rsidRPr="00A85D75">
        <w:t xml:space="preserve">that is, the licence conditions and associated technical framework, while usually optimised for an </w:t>
      </w:r>
      <w:r w:rsidRPr="00A85D75">
        <w:lastRenderedPageBreak/>
        <w:t>expected technology, specify generic technical conditions</w:t>
      </w:r>
      <w:r w:rsidRPr="00A85D75">
        <w:rPr>
          <w:vertAlign w:val="superscript"/>
        </w:rPr>
        <w:footnoteReference w:id="7"/>
      </w:r>
      <w:r w:rsidRPr="00A85D75">
        <w:t xml:space="preserve"> and do not expressly mandate or limit specific technologies or services. This allows a licensee to deploy any technology that complies with the conditions of the licence. It is up to the licensee to manage interference between their devices (note that the adoption of international standards within the technical framework mitigates the potential for interference between devices). </w:t>
      </w:r>
    </w:p>
    <w:p w14:paraId="633B7A7B" w14:textId="77777777" w:rsidR="000C0D21" w:rsidRPr="00A85D75" w:rsidRDefault="000C0D21" w:rsidP="000C0D21">
      <w:r w:rsidRPr="00A85D75">
        <w:t>Spectrum licences are more conducive to secondary trading than apparatus licences, due to design features such as their longer tenure and their ability to be sub-divided.</w:t>
      </w:r>
    </w:p>
    <w:p w14:paraId="7BD6AF93" w14:textId="1F01BB4C" w:rsidR="000C0D21" w:rsidRPr="00A85D75" w:rsidRDefault="000C0D21" w:rsidP="000C0D21">
      <w:pPr>
        <w:pStyle w:val="Paragraph"/>
      </w:pPr>
      <w:r w:rsidRPr="00A85D75">
        <w:t>An apparatus licence authorises the use of a radiocommunications device (or group of devices) operating under a specific radiocommunications service type, in a specific frequency range, and traditionally at one or more specific geographic locations</w:t>
      </w:r>
      <w:r w:rsidRPr="00A85D75">
        <w:rPr>
          <w:szCs w:val="20"/>
        </w:rPr>
        <w:t xml:space="preserve"> </w:t>
      </w:r>
      <w:r w:rsidRPr="00A85D75">
        <w:t xml:space="preserve">for a period of up to </w:t>
      </w:r>
      <w:r w:rsidR="00E97D40">
        <w:t>5</w:t>
      </w:r>
      <w:r w:rsidR="00E97D40" w:rsidRPr="00A85D75">
        <w:t xml:space="preserve"> </w:t>
      </w:r>
      <w:r w:rsidRPr="00A85D75">
        <w:t>years. They are typically issued ‘over</w:t>
      </w:r>
      <w:r w:rsidR="00024C51">
        <w:t xml:space="preserve"> </w:t>
      </w:r>
      <w:r w:rsidRPr="00A85D75">
        <w:t>the</w:t>
      </w:r>
      <w:r w:rsidR="00024C51">
        <w:t xml:space="preserve"> </w:t>
      </w:r>
      <w:r w:rsidRPr="00A85D75">
        <w:t xml:space="preserve">counter’ in accordance with coordination rules developed by the ACMA. The ACMA </w:t>
      </w:r>
      <w:hyperlink r:id="rId35" w:history="1">
        <w:r w:rsidRPr="00A85D75">
          <w:rPr>
            <w:rStyle w:val="Hyperlink"/>
          </w:rPr>
          <w:t>charges fees</w:t>
        </w:r>
      </w:hyperlink>
      <w:r w:rsidRPr="00A85D75">
        <w:t xml:space="preserve"> for apparatus licences, which cover our costs and </w:t>
      </w:r>
      <w:r w:rsidR="008F386A">
        <w:t>incentivise licensees</w:t>
      </w:r>
      <w:r w:rsidRPr="00A85D75">
        <w:t xml:space="preserve"> to use spectrum efficiently.</w:t>
      </w:r>
    </w:p>
    <w:p w14:paraId="761A9402" w14:textId="3902BAB2" w:rsidR="000C0D21" w:rsidRPr="00A85D75" w:rsidRDefault="000C0D21" w:rsidP="000C0D21">
      <w:r w:rsidRPr="00A85D75">
        <w:t>The ACMA recently created a new apparatus licence type</w:t>
      </w:r>
      <w:r w:rsidR="00E97D40">
        <w:t xml:space="preserve"> – </w:t>
      </w:r>
      <w:r w:rsidRPr="00A85D75">
        <w:t xml:space="preserve">the </w:t>
      </w:r>
      <w:hyperlink r:id="rId36">
        <w:r w:rsidRPr="00A85D75">
          <w:rPr>
            <w:rStyle w:val="Hyperlink"/>
          </w:rPr>
          <w:t>area-wide apparatus licence</w:t>
        </w:r>
      </w:hyperlink>
      <w:r w:rsidRPr="00A85D75">
        <w:t>. This authorises the operation of one or more radiocommunications devices within a defined geographic area within frequencies specified in the licence, subject to the conditions included on the issued licence. The licence type is proposed to be scalable, enabling its use for authorising different</w:t>
      </w:r>
      <w:r w:rsidR="00E97D40">
        <w:t xml:space="preserve"> </w:t>
      </w:r>
      <w:r w:rsidRPr="00A85D75">
        <w:t>sized geographic areas and bandwidths. Unlike existing apparatus licence types</w:t>
      </w:r>
      <w:r w:rsidR="00E97D40">
        <w:t xml:space="preserve"> – </w:t>
      </w:r>
      <w:r w:rsidRPr="00A85D75">
        <w:t>which typically align with specific uses and purposes</w:t>
      </w:r>
      <w:r w:rsidR="00E97D40">
        <w:t xml:space="preserve"> – </w:t>
      </w:r>
      <w:r w:rsidRPr="00A85D75">
        <w:t xml:space="preserve">the area-wide apparatus licence will be capable of authorising a variety of services, uses, applications and technologies. </w:t>
      </w:r>
    </w:p>
    <w:p w14:paraId="74AD096F" w14:textId="77777777" w:rsidR="000C0D21" w:rsidRPr="00A85D75" w:rsidRDefault="000C0D21" w:rsidP="000C0D21">
      <w:r w:rsidRPr="00A85D75">
        <w:t xml:space="preserve">Class licences are a standing authorisation to access spectrum without the need to apply to the ACMA for an individual licence (hence no fees are paid), subject to the conditions of the relevant class licence. These conditions include technical and geographic matters and/or pertain to the type of use or class of user. </w:t>
      </w:r>
    </w:p>
    <w:p w14:paraId="2D4FD924" w14:textId="7B352AE8" w:rsidR="000C0D21" w:rsidRPr="00A85D75" w:rsidRDefault="000C0D21" w:rsidP="000C0D21">
      <w:pPr>
        <w:pStyle w:val="Heading3"/>
      </w:pPr>
      <w:bookmarkStart w:id="38" w:name="_Toc56965681"/>
      <w:bookmarkStart w:id="39" w:name="_Toc61364828"/>
      <w:r w:rsidRPr="00A85D75">
        <w:t xml:space="preserve">Spectrum planning </w:t>
      </w:r>
      <w:r w:rsidR="00A219A5" w:rsidRPr="00A85D75">
        <w:t xml:space="preserve">outcomes </w:t>
      </w:r>
      <w:r w:rsidRPr="00A85D75">
        <w:t>development</w:t>
      </w:r>
      <w:bookmarkEnd w:id="38"/>
      <w:bookmarkEnd w:id="39"/>
    </w:p>
    <w:p w14:paraId="6B4A109E" w14:textId="77777777" w:rsidR="000C0D21" w:rsidRPr="00A85D75" w:rsidRDefault="000C0D21" w:rsidP="00B60874">
      <w:pPr>
        <w:pStyle w:val="Paragraph"/>
      </w:pPr>
      <w:r w:rsidRPr="00A85D75">
        <w:t xml:space="preserve">We are guided in our spectrum management functions by </w:t>
      </w:r>
      <w:hyperlink r:id="rId37" w:history="1">
        <w:r w:rsidRPr="00A85D75">
          <w:rPr>
            <w:rStyle w:val="Hyperlink"/>
          </w:rPr>
          <w:t xml:space="preserve">the object of the </w:t>
        </w:r>
        <w:r w:rsidRPr="002956C5">
          <w:rPr>
            <w:rStyle w:val="Hyperlink"/>
            <w:i/>
            <w:iCs/>
          </w:rPr>
          <w:t>Radiocommunications Act 1992</w:t>
        </w:r>
      </w:hyperlink>
      <w:r w:rsidRPr="00A85D75">
        <w:t xml:space="preserve">, set out in section 3 of the Act. A balanced application of regulatory and market mechanisms is often necessary in order to achieve key elements of the object of the Act, in particular maximising the overall public benefit from the efficient allocation and use of the radiofrequency spectrum and meeting the government’s policy objectives. </w:t>
      </w:r>
    </w:p>
    <w:p w14:paraId="5F4EBC73" w14:textId="17469CCF" w:rsidR="00575771" w:rsidRPr="00A85D75" w:rsidRDefault="002F1BBD" w:rsidP="00B60874">
      <w:pPr>
        <w:pStyle w:val="Paragraph"/>
      </w:pPr>
      <w:r w:rsidRPr="00A85D75">
        <w:t xml:space="preserve">The options paper </w:t>
      </w:r>
      <w:r w:rsidR="00E35D47" w:rsidRPr="00A85D75">
        <w:t>explained</w:t>
      </w:r>
      <w:r w:rsidR="00901285" w:rsidRPr="00A85D75">
        <w:t xml:space="preserve"> the </w:t>
      </w:r>
      <w:r w:rsidR="000C0D21" w:rsidRPr="00A85D75">
        <w:t xml:space="preserve">approach the ACMA used </w:t>
      </w:r>
      <w:r w:rsidR="00B7112C" w:rsidRPr="00A85D75">
        <w:t xml:space="preserve">in developing and </w:t>
      </w:r>
      <w:proofErr w:type="spellStart"/>
      <w:r w:rsidR="00B7112C" w:rsidRPr="00A85D75">
        <w:t>assessing</w:t>
      </w:r>
      <w:proofErr w:type="spellEnd"/>
      <w:r w:rsidR="00B7112C" w:rsidRPr="00A85D75">
        <w:t xml:space="preserve"> preliminary replanning options for the 2 GHz band</w:t>
      </w:r>
      <w:r w:rsidR="00055331" w:rsidRPr="00A85D75">
        <w:t>.</w:t>
      </w:r>
      <w:r w:rsidR="000456F3" w:rsidRPr="00A85D75">
        <w:t xml:space="preserve"> </w:t>
      </w:r>
      <w:r w:rsidR="00055331" w:rsidRPr="00A85D75">
        <w:t>This led to</w:t>
      </w:r>
      <w:r w:rsidR="00E97D40">
        <w:t xml:space="preserve"> the</w:t>
      </w:r>
      <w:r w:rsidR="00055331" w:rsidRPr="00A85D75">
        <w:t xml:space="preserve"> formation of the </w:t>
      </w:r>
      <w:r w:rsidR="005D259D" w:rsidRPr="00A85D75">
        <w:t>ACMA’s preliminary preferred option</w:t>
      </w:r>
      <w:r w:rsidR="00055331" w:rsidRPr="00A85D75">
        <w:t xml:space="preserve"> for replanning the band</w:t>
      </w:r>
      <w:r w:rsidR="002439BE" w:rsidRPr="00A85D75">
        <w:t>.</w:t>
      </w:r>
      <w:r w:rsidR="005D259D" w:rsidRPr="00A85D75">
        <w:t xml:space="preserve"> </w:t>
      </w:r>
    </w:p>
    <w:p w14:paraId="42E705EA" w14:textId="6E5BB54C" w:rsidR="00447E19" w:rsidRPr="00A85D75" w:rsidRDefault="00D37C56" w:rsidP="00B60874">
      <w:pPr>
        <w:pStyle w:val="Paragraph"/>
      </w:pPr>
      <w:r w:rsidRPr="00A85D75">
        <w:t xml:space="preserve">In </w:t>
      </w:r>
      <w:r w:rsidR="007A2C91" w:rsidRPr="00A85D75">
        <w:t xml:space="preserve">determining the planning outcomes presented in this paper, the ACMA has </w:t>
      </w:r>
      <w:r w:rsidR="00625C9C" w:rsidRPr="00A85D75">
        <w:t>carefully considered responses to the options paper</w:t>
      </w:r>
      <w:r w:rsidR="00F33269" w:rsidRPr="00A85D75">
        <w:t xml:space="preserve">. We have also </w:t>
      </w:r>
      <w:proofErr w:type="gramStart"/>
      <w:r w:rsidR="00F33269" w:rsidRPr="00A85D75">
        <w:t>taken into account</w:t>
      </w:r>
      <w:proofErr w:type="gramEnd"/>
      <w:r w:rsidR="00F33269" w:rsidRPr="00A85D75">
        <w:t xml:space="preserve"> other</w:t>
      </w:r>
      <w:r w:rsidR="008541A8" w:rsidRPr="00A85D75">
        <w:t xml:space="preserve"> relevant developments</w:t>
      </w:r>
      <w:r w:rsidR="00BF341C" w:rsidRPr="00A85D75">
        <w:t xml:space="preserve">, both domestic and international, that </w:t>
      </w:r>
      <w:r w:rsidR="007E4EED" w:rsidRPr="00A85D75">
        <w:t>may</w:t>
      </w:r>
      <w:r w:rsidR="008541A8" w:rsidRPr="00A85D75">
        <w:t xml:space="preserve"> </w:t>
      </w:r>
      <w:r w:rsidR="00186B68" w:rsidRPr="00A85D75">
        <w:t xml:space="preserve">impact the potential future use of the band. </w:t>
      </w:r>
    </w:p>
    <w:p w14:paraId="6BC3AE65" w14:textId="608B78EA" w:rsidR="000E6ED1" w:rsidRPr="00A85D75" w:rsidRDefault="000E6ED1" w:rsidP="00B60874">
      <w:pPr>
        <w:pStyle w:val="Paragraph"/>
      </w:pPr>
      <w:r w:rsidRPr="00A85D75">
        <w:t xml:space="preserve">Following release of this paper, we will consult further </w:t>
      </w:r>
      <w:r w:rsidR="007E4EED" w:rsidRPr="00A85D75">
        <w:t xml:space="preserve">on </w:t>
      </w:r>
      <w:r w:rsidR="00D14BFA" w:rsidRPr="00A85D75">
        <w:t xml:space="preserve">proposed </w:t>
      </w:r>
      <w:r w:rsidR="007E4EED" w:rsidRPr="00A85D75">
        <w:t xml:space="preserve">licensing and technical planning arrangements as outlined in </w:t>
      </w:r>
      <w:r w:rsidR="00D14BFA" w:rsidRPr="00A85D75">
        <w:t xml:space="preserve">the </w:t>
      </w:r>
      <w:r w:rsidR="00E97D40">
        <w:t>‘</w:t>
      </w:r>
      <w:hyperlink w:anchor="_Next_steps" w:history="1">
        <w:r w:rsidR="00E97D40" w:rsidRPr="00E97D40">
          <w:rPr>
            <w:rStyle w:val="Hyperlink"/>
          </w:rPr>
          <w:t xml:space="preserve">Next </w:t>
        </w:r>
        <w:r w:rsidR="00D14BFA" w:rsidRPr="00E97D40">
          <w:rPr>
            <w:rStyle w:val="Hyperlink"/>
          </w:rPr>
          <w:t>steps</w:t>
        </w:r>
      </w:hyperlink>
      <w:r w:rsidR="00E97D40">
        <w:t>’</w:t>
      </w:r>
      <w:r w:rsidR="00D14BFA" w:rsidRPr="00A85D75">
        <w:t xml:space="preserve"> section</w:t>
      </w:r>
      <w:r w:rsidR="002439BE" w:rsidRPr="00A85D75">
        <w:t xml:space="preserve"> below.</w:t>
      </w:r>
    </w:p>
    <w:p w14:paraId="3999EE19" w14:textId="77777777" w:rsidR="000C0D21" w:rsidRPr="00A85D75" w:rsidRDefault="000C0D21" w:rsidP="000C0D21">
      <w:pPr>
        <w:pStyle w:val="Heading2"/>
      </w:pPr>
      <w:bookmarkStart w:id="40" w:name="_Toc43389514"/>
      <w:bookmarkStart w:id="41" w:name="_Toc46316355"/>
      <w:bookmarkStart w:id="42" w:name="_Toc56965682"/>
      <w:bookmarkStart w:id="43" w:name="_Toc61364829"/>
      <w:r w:rsidRPr="00A85D75">
        <w:lastRenderedPageBreak/>
        <w:t>Issues not within the scope of this paper</w:t>
      </w:r>
      <w:bookmarkEnd w:id="40"/>
      <w:bookmarkEnd w:id="41"/>
      <w:bookmarkEnd w:id="42"/>
      <w:bookmarkEnd w:id="43"/>
    </w:p>
    <w:p w14:paraId="61501A15" w14:textId="64B90D7C" w:rsidR="000C0D21" w:rsidRPr="00A85D75" w:rsidRDefault="000C0D21" w:rsidP="000C0D21">
      <w:r w:rsidRPr="00A85D75">
        <w:t>The following issues are not within the scope of this paper</w:t>
      </w:r>
      <w:r w:rsidR="009F25D8" w:rsidRPr="00A85D75">
        <w:t>:</w:t>
      </w:r>
    </w:p>
    <w:p w14:paraId="59059223" w14:textId="77777777" w:rsidR="000C0D21" w:rsidRPr="00A85D75" w:rsidRDefault="000C0D21" w:rsidP="00202537">
      <w:pPr>
        <w:pStyle w:val="Heading3"/>
      </w:pPr>
      <w:bookmarkStart w:id="44" w:name="_Toc56965683"/>
      <w:bookmarkStart w:id="45" w:name="_Toc61364830"/>
      <w:r w:rsidRPr="00A85D75">
        <w:t>Apparatus tax arrangements</w:t>
      </w:r>
      <w:bookmarkEnd w:id="44"/>
      <w:bookmarkEnd w:id="45"/>
    </w:p>
    <w:p w14:paraId="45C421E1" w14:textId="77777777" w:rsidR="000C0D21" w:rsidRPr="00A85D75" w:rsidRDefault="000C0D21" w:rsidP="000C0D21">
      <w:r w:rsidRPr="00A85D75">
        <w:t xml:space="preserve">A review of the apparatus licence tax arrangements that apply to different services is not within scope of this paper. The ACMA is seeking feedback from industry on its general review of apparatus licence taxes as part of the consultations on the implementation of the </w:t>
      </w:r>
      <w:hyperlink r:id="rId38">
        <w:r w:rsidRPr="00A85D75">
          <w:rPr>
            <w:rStyle w:val="Hyperlink"/>
          </w:rPr>
          <w:t>Spectrum Pricing Review</w:t>
        </w:r>
      </w:hyperlink>
      <w:r w:rsidRPr="00A85D75">
        <w:t xml:space="preserve"> and its annual work program, the </w:t>
      </w:r>
      <w:r w:rsidRPr="00A85D75">
        <w:br/>
      </w:r>
      <w:hyperlink r:id="rId39">
        <w:r w:rsidRPr="00A85D75">
          <w:rPr>
            <w:rStyle w:val="Hyperlink"/>
          </w:rPr>
          <w:t>Five-year spectrum outlook</w:t>
        </w:r>
      </w:hyperlink>
      <w:r w:rsidRPr="00A85D75">
        <w:t>. Interested parties are invited to provide their views on apparatus licence taxes in the 2 GHz band as part of those processes.</w:t>
      </w:r>
    </w:p>
    <w:p w14:paraId="735C068C" w14:textId="77777777" w:rsidR="000C0D21" w:rsidRPr="00A85D75" w:rsidRDefault="000C0D21" w:rsidP="00202537">
      <w:pPr>
        <w:pStyle w:val="Heading3"/>
      </w:pPr>
      <w:bookmarkStart w:id="46" w:name="_Toc56965684"/>
      <w:bookmarkStart w:id="47" w:name="_Toc61364831"/>
      <w:bookmarkStart w:id="48" w:name="_Toc459906714"/>
      <w:bookmarkStart w:id="49" w:name="_Toc464480508"/>
      <w:r w:rsidRPr="00A85D75">
        <w:t>Engagement in international activities</w:t>
      </w:r>
      <w:bookmarkEnd w:id="46"/>
      <w:bookmarkEnd w:id="47"/>
    </w:p>
    <w:bookmarkEnd w:id="48"/>
    <w:bookmarkEnd w:id="49"/>
    <w:p w14:paraId="2C74144F" w14:textId="7CF77533" w:rsidR="000C0D21" w:rsidRPr="00A85D75" w:rsidRDefault="000C0D21" w:rsidP="000C0D21">
      <w:r w:rsidRPr="00A85D75">
        <w:t>The scope of this paper does not extend to Australian strategies or positions on matters under consideration in international spectrum management forums, such as the International Telecommunication Union or Asia-Pacific Telecommunity. These matters are dealt with separately through relevant preparatory processes led by the ACMA and/or the Department of Infrastructure, Transport, Regional Development and Communications</w:t>
      </w:r>
      <w:r w:rsidR="00E97D40">
        <w:t xml:space="preserve"> (the department)</w:t>
      </w:r>
      <w:r w:rsidRPr="00A85D75">
        <w:t xml:space="preserve">. Stakeholders interested in these processes can find more information </w:t>
      </w:r>
      <w:r w:rsidR="00E97D40">
        <w:t>on</w:t>
      </w:r>
      <w:r w:rsidR="00E97D40" w:rsidRPr="00A85D75">
        <w:t xml:space="preserve"> </w:t>
      </w:r>
      <w:r w:rsidRPr="00A85D75">
        <w:t xml:space="preserve">the </w:t>
      </w:r>
      <w:hyperlink r:id="rId40" w:history="1">
        <w:r w:rsidRPr="00A85D75">
          <w:rPr>
            <w:rStyle w:val="Hyperlink"/>
            <w:rFonts w:cs="Arial"/>
          </w:rPr>
          <w:t>ACMA website</w:t>
        </w:r>
      </w:hyperlink>
      <w:r w:rsidRPr="00A85D75">
        <w:t xml:space="preserve"> or by contacting either the ACMA’s International Radiocommunications Section (</w:t>
      </w:r>
      <w:hyperlink r:id="rId41" w:history="1">
        <w:r w:rsidRPr="00A85D75">
          <w:rPr>
            <w:rStyle w:val="Hyperlink"/>
            <w:rFonts w:cs="Arial"/>
          </w:rPr>
          <w:t>irs@acma.gov.au</w:t>
        </w:r>
      </w:hyperlink>
      <w:r w:rsidRPr="00A85D75">
        <w:t xml:space="preserve">) or the </w:t>
      </w:r>
      <w:r w:rsidR="00E97D40">
        <w:t>d</w:t>
      </w:r>
      <w:r w:rsidRPr="00A85D75">
        <w:t>epartment’s International Radiocommunications Section (</w:t>
      </w:r>
      <w:hyperlink r:id="rId42" w:history="1">
        <w:r w:rsidRPr="00A85D75">
          <w:rPr>
            <w:rStyle w:val="Hyperlink"/>
          </w:rPr>
          <w:t>wrc@communications.gov.au</w:t>
        </w:r>
      </w:hyperlink>
      <w:r w:rsidRPr="00A85D75">
        <w:t>).</w:t>
      </w:r>
    </w:p>
    <w:p w14:paraId="4B0C9CDF" w14:textId="3E308081" w:rsidR="00AB4A79" w:rsidRPr="00A85D75" w:rsidRDefault="00AB4A79" w:rsidP="00202537">
      <w:pPr>
        <w:pStyle w:val="Heading3"/>
      </w:pPr>
      <w:bookmarkStart w:id="50" w:name="_Toc56965685"/>
      <w:bookmarkStart w:id="51" w:name="_Toc61364832"/>
      <w:r w:rsidRPr="00A85D75">
        <w:t>Radiocommunications reform bill</w:t>
      </w:r>
      <w:bookmarkEnd w:id="50"/>
      <w:bookmarkEnd w:id="51"/>
    </w:p>
    <w:p w14:paraId="3FE8871E" w14:textId="3C582821" w:rsidR="00173BDB" w:rsidRPr="00A85D75" w:rsidRDefault="00AB4A79" w:rsidP="009F25D8">
      <w:r w:rsidRPr="00A85D75">
        <w:t>During the 2 GHz replanning process</w:t>
      </w:r>
      <w:r w:rsidR="009F25D8" w:rsidRPr="00A85D75">
        <w:t xml:space="preserve">, the Radiocommunications Legislation Amendment (Reform and Modernisation) Bill 2020 (the Bill) and accompanying tax-related bills were introduced into the </w:t>
      </w:r>
      <w:r w:rsidR="000F288D">
        <w:t>p</w:t>
      </w:r>
      <w:r w:rsidR="009F25D8" w:rsidRPr="00A85D75">
        <w:t>arliament in August 2020. The Bill gives effect to several of the recommendations in the Spectrum Review conducted in 2015</w:t>
      </w:r>
      <w:r w:rsidR="00C7516D" w:rsidRPr="00A85D75">
        <w:t xml:space="preserve">, </w:t>
      </w:r>
      <w:r w:rsidR="00327804" w:rsidRPr="00A85D75">
        <w:t xml:space="preserve">including extending the maximum duration of </w:t>
      </w:r>
      <w:r w:rsidR="00173BDB" w:rsidRPr="00A85D75">
        <w:t>spectrum and apparatus licence</w:t>
      </w:r>
      <w:r w:rsidR="005F3F43" w:rsidRPr="00A85D75">
        <w:t xml:space="preserve"> terms.</w:t>
      </w:r>
      <w:r w:rsidR="00173BDB" w:rsidRPr="00A85D75">
        <w:t xml:space="preserve"> </w:t>
      </w:r>
    </w:p>
    <w:p w14:paraId="17BF0B2A" w14:textId="1D08448B" w:rsidR="009F25D8" w:rsidRPr="00A85D75" w:rsidRDefault="005D3DB3" w:rsidP="009F25D8">
      <w:r>
        <w:t>The</w:t>
      </w:r>
      <w:r w:rsidR="009F25D8" w:rsidRPr="00A85D75">
        <w:t xml:space="preserve"> </w:t>
      </w:r>
      <w:r w:rsidR="006A5A38" w:rsidRPr="00A85D75">
        <w:t xml:space="preserve">ACMA </w:t>
      </w:r>
      <w:r>
        <w:t xml:space="preserve">will consult further with stakeholders </w:t>
      </w:r>
      <w:r w:rsidR="001C6728">
        <w:t>on the</w:t>
      </w:r>
      <w:r w:rsidR="00916C3C" w:rsidRPr="00A85D75">
        <w:t xml:space="preserve"> impact of the Bill’s provisions on future planning and licensing arrangements in the 2 GHz band</w:t>
      </w:r>
      <w:r w:rsidR="001C6728">
        <w:t xml:space="preserve"> and</w:t>
      </w:r>
      <w:r w:rsidR="009F25D8" w:rsidRPr="00A85D75">
        <w:t xml:space="preserve"> will provide updated guidance </w:t>
      </w:r>
      <w:r w:rsidR="001C6728">
        <w:t>following its</w:t>
      </w:r>
      <w:r w:rsidR="009F25D8" w:rsidRPr="00A85D75">
        <w:t xml:space="preserve"> passage through </w:t>
      </w:r>
      <w:r w:rsidR="000F288D">
        <w:t>p</w:t>
      </w:r>
      <w:r w:rsidR="009F25D8" w:rsidRPr="00A85D75">
        <w:t>arliament.</w:t>
      </w:r>
    </w:p>
    <w:p w14:paraId="7C220704" w14:textId="77777777" w:rsidR="000C0D21" w:rsidRPr="00A85D75" w:rsidRDefault="000C0D21" w:rsidP="007B0932">
      <w:pPr>
        <w:pStyle w:val="Paragraph"/>
      </w:pPr>
    </w:p>
    <w:p w14:paraId="5528495E" w14:textId="77777777" w:rsidR="00F66827" w:rsidRPr="00A85D75" w:rsidRDefault="00F66827" w:rsidP="00F66827">
      <w:pPr>
        <w:pStyle w:val="Heading1"/>
      </w:pPr>
      <w:bookmarkStart w:id="52" w:name="_Toc46316357"/>
      <w:bookmarkStart w:id="53" w:name="_Toc56965686"/>
      <w:bookmarkStart w:id="54" w:name="_Toc61364833"/>
      <w:r w:rsidRPr="00A85D75">
        <w:lastRenderedPageBreak/>
        <w:t>The process to date</w:t>
      </w:r>
      <w:bookmarkEnd w:id="52"/>
      <w:bookmarkEnd w:id="53"/>
      <w:bookmarkEnd w:id="54"/>
    </w:p>
    <w:p w14:paraId="2BEC8B60" w14:textId="1E3FA2CF" w:rsidR="00990DF6" w:rsidRPr="00A85D75" w:rsidRDefault="00990DF6" w:rsidP="00990DF6">
      <w:bookmarkStart w:id="55" w:name="_Toc519765108"/>
      <w:bookmarkStart w:id="56" w:name="_Toc521585774"/>
      <w:bookmarkStart w:id="57" w:name="_Toc5000066"/>
      <w:bookmarkStart w:id="58" w:name="_Toc33513244"/>
      <w:bookmarkStart w:id="59" w:name="_Toc46316358"/>
      <w:bookmarkStart w:id="60" w:name="_Ref499046185"/>
      <w:bookmarkStart w:id="61" w:name="_Ref499046197"/>
      <w:bookmarkStart w:id="62" w:name="_Ref499109539"/>
      <w:r w:rsidRPr="00A85D75">
        <w:t xml:space="preserve">This chapter recaps the options proposed in the </w:t>
      </w:r>
      <w:r w:rsidR="00333BD3" w:rsidRPr="00A85D75">
        <w:t>o</w:t>
      </w:r>
      <w:r w:rsidRPr="00A85D75">
        <w:t xml:space="preserve">ptions paper, identifies issues and themes raised in submissions to the </w:t>
      </w:r>
      <w:r w:rsidR="00333BD3" w:rsidRPr="00A85D75">
        <w:t>o</w:t>
      </w:r>
      <w:r w:rsidRPr="00A85D75">
        <w:t xml:space="preserve">ptions paper and outlines the ACMA’s view on them. </w:t>
      </w:r>
    </w:p>
    <w:p w14:paraId="541AAE98" w14:textId="77777777" w:rsidR="0067115B" w:rsidRPr="00A85D75" w:rsidRDefault="0067115B" w:rsidP="0067115B">
      <w:pPr>
        <w:pStyle w:val="Heading2"/>
      </w:pPr>
      <w:bookmarkStart w:id="63" w:name="_Toc21088510"/>
      <w:bookmarkStart w:id="64" w:name="_Toc56950065"/>
      <w:bookmarkStart w:id="65" w:name="_Toc56965687"/>
      <w:bookmarkStart w:id="66" w:name="_Toc61364834"/>
      <w:r w:rsidRPr="00A85D75">
        <w:t>Overall approach to replanning the band</w:t>
      </w:r>
      <w:bookmarkEnd w:id="63"/>
      <w:bookmarkEnd w:id="64"/>
      <w:bookmarkEnd w:id="65"/>
      <w:bookmarkEnd w:id="66"/>
    </w:p>
    <w:bookmarkEnd w:id="55"/>
    <w:bookmarkEnd w:id="56"/>
    <w:bookmarkEnd w:id="57"/>
    <w:bookmarkEnd w:id="58"/>
    <w:bookmarkEnd w:id="59"/>
    <w:bookmarkEnd w:id="60"/>
    <w:bookmarkEnd w:id="61"/>
    <w:bookmarkEnd w:id="62"/>
    <w:p w14:paraId="13DFC67B" w14:textId="6B852A58" w:rsidR="0077520A" w:rsidRPr="00A85D75" w:rsidRDefault="00FD67F6" w:rsidP="0077520A">
      <w:pPr>
        <w:rPr>
          <w:szCs w:val="20"/>
        </w:rPr>
      </w:pPr>
      <w:r w:rsidRPr="00A85D75">
        <w:t xml:space="preserve">As part of the initial investigation stage of the 2 GHz </w:t>
      </w:r>
      <w:r w:rsidR="00800460" w:rsidRPr="00A85D75">
        <w:t>band planning process</w:t>
      </w:r>
      <w:r w:rsidRPr="00A85D75">
        <w:t xml:space="preserve">, </w:t>
      </w:r>
      <w:r w:rsidR="0077520A" w:rsidRPr="00A85D75">
        <w:t xml:space="preserve">the ACMA released a </w:t>
      </w:r>
      <w:r w:rsidR="0077520A" w:rsidRPr="00A85D75">
        <w:rPr>
          <w:szCs w:val="20"/>
        </w:rPr>
        <w:t>discussion pa</w:t>
      </w:r>
      <w:r w:rsidR="0055432D" w:rsidRPr="00A85D75">
        <w:rPr>
          <w:szCs w:val="20"/>
        </w:rPr>
        <w:t>per</w:t>
      </w:r>
      <w:r w:rsidR="0077520A" w:rsidRPr="00A85D75">
        <w:rPr>
          <w:szCs w:val="20"/>
        </w:rPr>
        <w:t xml:space="preserve"> titled </w:t>
      </w:r>
      <w:hyperlink r:id="rId43" w:history="1">
        <w:r w:rsidR="0077520A" w:rsidRPr="00485EDB">
          <w:rPr>
            <w:rStyle w:val="Hyperlink"/>
            <w:i/>
            <w:iCs/>
            <w:szCs w:val="20"/>
          </w:rPr>
          <w:t>Planning of the 2 GHz band</w:t>
        </w:r>
      </w:hyperlink>
      <w:r w:rsidRPr="00A85D75">
        <w:rPr>
          <w:szCs w:val="20"/>
        </w:rPr>
        <w:t xml:space="preserve"> in August 2019.</w:t>
      </w:r>
      <w:r w:rsidR="0077520A" w:rsidRPr="00A85D75">
        <w:rPr>
          <w:szCs w:val="20"/>
        </w:rPr>
        <w:t xml:space="preserve"> The paper examined current use of the band, domestic demand </w:t>
      </w:r>
      <w:r w:rsidR="000269FB" w:rsidRPr="00A85D75">
        <w:rPr>
          <w:szCs w:val="20"/>
        </w:rPr>
        <w:t xml:space="preserve">for new services </w:t>
      </w:r>
      <w:r w:rsidR="0077520A" w:rsidRPr="00A85D75">
        <w:rPr>
          <w:szCs w:val="20"/>
        </w:rPr>
        <w:t xml:space="preserve">and international trends. It also sought industry views on potential future uses of the band. </w:t>
      </w:r>
    </w:p>
    <w:p w14:paraId="02CDFAAC" w14:textId="613A5811" w:rsidR="0077520A" w:rsidRPr="00A85D75" w:rsidRDefault="009D530E" w:rsidP="00485EDB">
      <w:pPr>
        <w:pStyle w:val="Paragraphbeforelist"/>
      </w:pPr>
      <w:r w:rsidRPr="00A85D75">
        <w:t>The ACMA subsequentl</w:t>
      </w:r>
      <w:r w:rsidR="00405924" w:rsidRPr="00A85D75">
        <w:t>y progressed the band to the preliminary replanning stag</w:t>
      </w:r>
      <w:r w:rsidR="003B72F1" w:rsidRPr="00A85D75">
        <w:t xml:space="preserve">e, which included release </w:t>
      </w:r>
      <w:r w:rsidR="0072114D" w:rsidRPr="00A85D75">
        <w:t xml:space="preserve">of an </w:t>
      </w:r>
      <w:hyperlink r:id="rId44" w:history="1">
        <w:r w:rsidR="0072114D" w:rsidRPr="00A85D75">
          <w:rPr>
            <w:rStyle w:val="Hyperlink"/>
          </w:rPr>
          <w:t>options paper</w:t>
        </w:r>
      </w:hyperlink>
      <w:r w:rsidR="0072114D" w:rsidRPr="00A85D75">
        <w:t xml:space="preserve"> </w:t>
      </w:r>
      <w:r w:rsidR="003B72F1" w:rsidRPr="00A85D75">
        <w:t>in July 2020</w:t>
      </w:r>
      <w:r w:rsidR="0072114D" w:rsidRPr="00A85D75">
        <w:t xml:space="preserve">. </w:t>
      </w:r>
      <w:r w:rsidR="004C2D32" w:rsidRPr="00A85D75">
        <w:t>This paper</w:t>
      </w:r>
      <w:r w:rsidR="004901B8" w:rsidRPr="00A85D75">
        <w:t xml:space="preserve"> analysed planning issues </w:t>
      </w:r>
      <w:r w:rsidR="003C0268" w:rsidRPr="00A85D75">
        <w:t xml:space="preserve">for each of the applications or services </w:t>
      </w:r>
      <w:r w:rsidR="005B464E">
        <w:t xml:space="preserve">provided by operators </w:t>
      </w:r>
      <w:r w:rsidR="003C0268" w:rsidRPr="00A85D75">
        <w:t xml:space="preserve">interested in using the band, as well as any sharing and coexistence issues. </w:t>
      </w:r>
      <w:r w:rsidR="004C2D32" w:rsidRPr="00A85D75">
        <w:t>The paper</w:t>
      </w:r>
      <w:r w:rsidR="003C0268" w:rsidRPr="00A85D75">
        <w:t xml:space="preserve"> identified </w:t>
      </w:r>
      <w:r w:rsidR="001F7A4F" w:rsidRPr="00A85D75">
        <w:t xml:space="preserve">and assessed </w:t>
      </w:r>
      <w:r w:rsidR="000F288D">
        <w:t>3</w:t>
      </w:r>
      <w:r w:rsidR="000F288D" w:rsidRPr="00A85D75">
        <w:t xml:space="preserve"> </w:t>
      </w:r>
      <w:r w:rsidR="003C0268" w:rsidRPr="00A85D75">
        <w:t>broad replanning options for the 2 GHz band</w:t>
      </w:r>
      <w:r w:rsidR="001A403E" w:rsidRPr="00A85D75">
        <w:t>:</w:t>
      </w:r>
    </w:p>
    <w:p w14:paraId="0E964C94" w14:textId="165180A2" w:rsidR="003E7EA2" w:rsidRPr="00A85D75" w:rsidRDefault="003E7EA2" w:rsidP="003E7EA2">
      <w:pPr>
        <w:pStyle w:val="Bulletlevel1"/>
        <w:keepNext/>
        <w:keepLines/>
        <w:tabs>
          <w:tab w:val="clear" w:pos="295"/>
          <w:tab w:val="num" w:pos="863"/>
        </w:tabs>
        <w:rPr>
          <w:b/>
          <w:bCs/>
        </w:rPr>
      </w:pPr>
      <w:r w:rsidRPr="00A85D75">
        <w:t>Option 1: Television outside broadcast</w:t>
      </w:r>
      <w:r w:rsidR="000F288D">
        <w:t xml:space="preserve"> – </w:t>
      </w:r>
      <w:r w:rsidRPr="00A85D75">
        <w:t xml:space="preserve">this option responds to industry feedback seeking continued incumbency and certainty for TOB services. It includes the possibility of unlocking the guard band between TOB and adjacent wireless broadband services for Australia-wide satellite internet-of-things (IoT) applications. </w:t>
      </w:r>
    </w:p>
    <w:p w14:paraId="3704711B" w14:textId="4FC09560" w:rsidR="003E7EA2" w:rsidRPr="00A85D75" w:rsidRDefault="003E7EA2" w:rsidP="003E7EA2">
      <w:pPr>
        <w:pStyle w:val="ListBullet"/>
        <w:tabs>
          <w:tab w:val="clear" w:pos="295"/>
          <w:tab w:val="num" w:pos="579"/>
        </w:tabs>
        <w:rPr>
          <w:b/>
          <w:bCs/>
        </w:rPr>
      </w:pPr>
      <w:r w:rsidRPr="00A85D75">
        <w:t>Option 2: Wireless broadband</w:t>
      </w:r>
      <w:r w:rsidR="000F288D">
        <w:t xml:space="preserve"> – </w:t>
      </w:r>
      <w:r w:rsidRPr="00A85D75">
        <w:t>this option provides for accommodation of new wireless broadband services, including both wide-area and local-area services, as well as direct air-to-ground services. It also provides spectrum for satellite IoT services Australia-wide in the restricted band (guard band) protecting adjacent</w:t>
      </w:r>
      <w:r w:rsidR="00351D1B">
        <w:t>-</w:t>
      </w:r>
      <w:r w:rsidRPr="00A85D75">
        <w:t xml:space="preserve">band TOB services. </w:t>
      </w:r>
    </w:p>
    <w:p w14:paraId="0D4546BD" w14:textId="2A2F6B81" w:rsidR="007E6C68" w:rsidRPr="00A85D75" w:rsidRDefault="003E7EA2" w:rsidP="00D81570">
      <w:pPr>
        <w:pStyle w:val="ListBulletLast"/>
        <w:tabs>
          <w:tab w:val="clear" w:pos="295"/>
          <w:tab w:val="num" w:pos="579"/>
        </w:tabs>
        <w:rPr>
          <w:b/>
          <w:bCs/>
        </w:rPr>
      </w:pPr>
      <w:r w:rsidRPr="00A85D75">
        <w:t xml:space="preserve">Option 3: Mobile-satellite </w:t>
      </w:r>
      <w:r w:rsidRPr="000F288D">
        <w:t>service</w:t>
      </w:r>
      <w:r w:rsidR="000F288D" w:rsidRPr="00485EDB">
        <w:t xml:space="preserve"> –</w:t>
      </w:r>
      <w:r w:rsidR="000F288D">
        <w:rPr>
          <w:b/>
        </w:rPr>
        <w:t xml:space="preserve"> </w:t>
      </w:r>
      <w:r w:rsidRPr="00A85D75">
        <w:t>this option responds to strong demand for additional spectrum for mobile-satellite services (MSS), including those that propose deployment of a complementary ground component (a terrestrial network used to augment satellite services generally in higher population areas) and/or the delivery of IoT services.</w:t>
      </w:r>
    </w:p>
    <w:p w14:paraId="779F1A48" w14:textId="45D91F8F" w:rsidR="006A3F82" w:rsidRPr="00A85D75" w:rsidRDefault="006A3F82" w:rsidP="006A3F82">
      <w:pPr>
        <w:pStyle w:val="Paragraph"/>
      </w:pPr>
      <w:r w:rsidRPr="00A85D75">
        <w:t>The paper presented a detailed assessment of each option, in which both qualitative and quantitative factors (through a cost-benefit analysis) were considered in an integrated manner. Options were also compared for the extent to which each met the desirable planning outcomes</w:t>
      </w:r>
      <w:r w:rsidR="00B61A8E" w:rsidRPr="00A85D75">
        <w:t xml:space="preserve"> for the band</w:t>
      </w:r>
      <w:r w:rsidR="00C174C4" w:rsidRPr="00A85D75">
        <w:t xml:space="preserve"> </w:t>
      </w:r>
      <w:r w:rsidR="00FD3A83" w:rsidRPr="00A85D75">
        <w:t xml:space="preserve">which are reproduced at </w:t>
      </w:r>
      <w:hyperlink w:anchor="_Appendix_B:_Desirable" w:history="1">
        <w:r w:rsidR="00C174C4" w:rsidRPr="00A85D75">
          <w:rPr>
            <w:rStyle w:val="Hyperlink"/>
          </w:rPr>
          <w:t>Appendix B: Desirable planning outcomes</w:t>
        </w:r>
      </w:hyperlink>
      <w:r w:rsidR="00C174C4" w:rsidRPr="00A85D75">
        <w:t>.</w:t>
      </w:r>
    </w:p>
    <w:p w14:paraId="0A7B8D1A" w14:textId="5EA2FDF2" w:rsidR="00742CF5" w:rsidRPr="00A85D75" w:rsidRDefault="006A3F82" w:rsidP="00742CF5">
      <w:pPr>
        <w:pStyle w:val="Paragraph"/>
      </w:pPr>
      <w:r w:rsidRPr="00A85D75">
        <w:t xml:space="preserve">As a result of this analysis, Option 3 was identified as most likely to maximise the public benefit from use of the 2 GHz </w:t>
      </w:r>
      <w:proofErr w:type="gramStart"/>
      <w:r w:rsidRPr="00A85D75">
        <w:t>band, and</w:t>
      </w:r>
      <w:proofErr w:type="gramEnd"/>
      <w:r w:rsidRPr="00A85D75">
        <w:t xml:space="preserve"> was therefore presented as the ACMA’s preliminary preferred option.</w:t>
      </w:r>
      <w:r w:rsidR="00742CF5" w:rsidRPr="00A85D75">
        <w:t xml:space="preserve"> This option provides for use by mobile-satellite services across the entire band (including a dedicated IoT segment) and contemplates support for a complementary ground component as a means of extending coverage of a satellite network with ground-based infrastructure where an operator considers this appropriate. This option would allow for new uses in the </w:t>
      </w:r>
      <w:proofErr w:type="gramStart"/>
      <w:r w:rsidR="00742CF5" w:rsidRPr="00A85D75">
        <w:t>band, but</w:t>
      </w:r>
      <w:proofErr w:type="gramEnd"/>
      <w:r w:rsidR="00742CF5" w:rsidRPr="00A85D75">
        <w:t xml:space="preserve"> would not support continued use by incumbent </w:t>
      </w:r>
      <w:r w:rsidR="00351D1B">
        <w:t>TOB</w:t>
      </w:r>
      <w:r w:rsidR="00063780">
        <w:t xml:space="preserve"> </w:t>
      </w:r>
      <w:r w:rsidR="00742CF5" w:rsidRPr="00A85D75">
        <w:t>operators.</w:t>
      </w:r>
    </w:p>
    <w:p w14:paraId="38FF0CA3" w14:textId="2CA1DB16" w:rsidR="0016325C" w:rsidRPr="00A85D75" w:rsidRDefault="00D906D1" w:rsidP="0016325C">
      <w:pPr>
        <w:pStyle w:val="Heading2"/>
      </w:pPr>
      <w:bookmarkStart w:id="67" w:name="_Toc46316359"/>
      <w:bookmarkStart w:id="68" w:name="_Toc56965688"/>
      <w:bookmarkStart w:id="69" w:name="_Toc61364835"/>
      <w:r w:rsidRPr="00A85D75">
        <w:t>Discussion</w:t>
      </w:r>
      <w:r w:rsidR="0016325C" w:rsidRPr="00A85D75">
        <w:t xml:space="preserve"> of submissions</w:t>
      </w:r>
      <w:bookmarkEnd w:id="67"/>
      <w:bookmarkEnd w:id="68"/>
      <w:bookmarkEnd w:id="69"/>
    </w:p>
    <w:p w14:paraId="2B949DE3" w14:textId="783BEF5A" w:rsidR="0016325C" w:rsidRPr="00A85D75" w:rsidRDefault="000B5A7F" w:rsidP="0016325C">
      <w:r w:rsidRPr="00A85D75">
        <w:rPr>
          <w:szCs w:val="20"/>
        </w:rPr>
        <w:t>We</w:t>
      </w:r>
      <w:r w:rsidR="0016325C" w:rsidRPr="00A85D75">
        <w:rPr>
          <w:szCs w:val="20"/>
        </w:rPr>
        <w:t xml:space="preserve"> received </w:t>
      </w:r>
      <w:r w:rsidR="006302EA" w:rsidRPr="00A85D75">
        <w:rPr>
          <w:szCs w:val="20"/>
        </w:rPr>
        <w:t xml:space="preserve">26 </w:t>
      </w:r>
      <w:r w:rsidR="0016325C" w:rsidRPr="00A85D75">
        <w:t>submissions to the options paper</w:t>
      </w:r>
      <w:r w:rsidR="000F288D">
        <w:t xml:space="preserve"> – </w:t>
      </w:r>
      <w:r w:rsidR="0016325C" w:rsidRPr="00A85D75">
        <w:t xml:space="preserve">these are available on the </w:t>
      </w:r>
      <w:hyperlink r:id="rId45" w:history="1">
        <w:r w:rsidR="0016325C" w:rsidRPr="00A85D75">
          <w:rPr>
            <w:rStyle w:val="Hyperlink"/>
          </w:rPr>
          <w:t>ACMA website</w:t>
        </w:r>
      </w:hyperlink>
      <w:r w:rsidR="0016325C" w:rsidRPr="00A85D75">
        <w:t xml:space="preserve">. </w:t>
      </w:r>
      <w:r w:rsidR="0016325C" w:rsidRPr="00A85D75">
        <w:rPr>
          <w:szCs w:val="20"/>
        </w:rPr>
        <w:t xml:space="preserve">This </w:t>
      </w:r>
      <w:r w:rsidR="000D279E" w:rsidRPr="00A85D75">
        <w:rPr>
          <w:szCs w:val="20"/>
        </w:rPr>
        <w:t>section</w:t>
      </w:r>
      <w:r w:rsidR="0016325C" w:rsidRPr="00A85D75">
        <w:rPr>
          <w:szCs w:val="20"/>
        </w:rPr>
        <w:t xml:space="preserve"> provides </w:t>
      </w:r>
      <w:r w:rsidR="00FD211E" w:rsidRPr="00A85D75">
        <w:rPr>
          <w:szCs w:val="20"/>
        </w:rPr>
        <w:t xml:space="preserve">commentary on </w:t>
      </w:r>
      <w:r w:rsidR="0016325C" w:rsidRPr="00A85D75">
        <w:rPr>
          <w:szCs w:val="20"/>
        </w:rPr>
        <w:t xml:space="preserve">the </w:t>
      </w:r>
      <w:r w:rsidR="00FD211E" w:rsidRPr="00A85D75">
        <w:rPr>
          <w:szCs w:val="20"/>
        </w:rPr>
        <w:t xml:space="preserve">general themes and </w:t>
      </w:r>
      <w:r w:rsidR="0016325C" w:rsidRPr="00A85D75">
        <w:rPr>
          <w:szCs w:val="20"/>
        </w:rPr>
        <w:t xml:space="preserve">issues raised in submissions. </w:t>
      </w:r>
      <w:r w:rsidR="00FD211E" w:rsidRPr="00A85D75">
        <w:rPr>
          <w:szCs w:val="20"/>
        </w:rPr>
        <w:t xml:space="preserve">A </w:t>
      </w:r>
      <w:r w:rsidR="005C3CB3" w:rsidRPr="00A85D75">
        <w:rPr>
          <w:szCs w:val="20"/>
        </w:rPr>
        <w:t>detailed summary of submissions i</w:t>
      </w:r>
      <w:r w:rsidR="0016325C" w:rsidRPr="00A85D75">
        <w:rPr>
          <w:szCs w:val="20"/>
        </w:rPr>
        <w:t xml:space="preserve">s at </w:t>
      </w:r>
      <w:hyperlink w:anchor="_Appendix_A:_Responses" w:history="1">
        <w:r w:rsidR="0016325C" w:rsidRPr="00A85D75">
          <w:rPr>
            <w:rStyle w:val="Hyperlink"/>
            <w:szCs w:val="20"/>
          </w:rPr>
          <w:t xml:space="preserve">Appendix A: Responses to the </w:t>
        </w:r>
        <w:r w:rsidR="000D279E" w:rsidRPr="00A85D75">
          <w:rPr>
            <w:rStyle w:val="Hyperlink"/>
            <w:szCs w:val="20"/>
          </w:rPr>
          <w:t>options</w:t>
        </w:r>
        <w:r w:rsidR="0016325C" w:rsidRPr="00A85D75">
          <w:rPr>
            <w:rStyle w:val="Hyperlink"/>
            <w:szCs w:val="20"/>
          </w:rPr>
          <w:t xml:space="preserve"> paper</w:t>
        </w:r>
      </w:hyperlink>
      <w:r w:rsidR="0016325C" w:rsidRPr="00A85D75">
        <w:t>.</w:t>
      </w:r>
    </w:p>
    <w:p w14:paraId="3727E300" w14:textId="77777777" w:rsidR="0068651E" w:rsidRPr="00A85D75" w:rsidRDefault="0068651E" w:rsidP="002451EE">
      <w:pPr>
        <w:pStyle w:val="Heading3"/>
      </w:pPr>
      <w:bookmarkStart w:id="70" w:name="_Toc56965690"/>
      <w:bookmarkStart w:id="71" w:name="_Toc61364836"/>
      <w:r w:rsidRPr="00A85D75">
        <w:lastRenderedPageBreak/>
        <w:t>Television outside broadcasting</w:t>
      </w:r>
      <w:bookmarkEnd w:id="70"/>
      <w:bookmarkEnd w:id="71"/>
    </w:p>
    <w:p w14:paraId="103C3FC2" w14:textId="5AFFAD8F" w:rsidR="0068651E" w:rsidRPr="00A85D75" w:rsidRDefault="0068651E" w:rsidP="002451EE">
      <w:pPr>
        <w:pStyle w:val="Paragraph"/>
      </w:pPr>
      <w:r w:rsidRPr="00A85D75">
        <w:t xml:space="preserve">Four respondents advocated retaining the band for TOB services. However, TOB operators generally recognised the possibility or likelihood of relocation to another band. If this eventuates, all advocated for some form of compensation to cover equipment replacement costs, with </w:t>
      </w:r>
      <w:r w:rsidR="000F288D">
        <w:t>2</w:t>
      </w:r>
      <w:r w:rsidR="000F288D" w:rsidRPr="00A85D75">
        <w:t xml:space="preserve"> </w:t>
      </w:r>
      <w:r w:rsidRPr="00A85D75">
        <w:t xml:space="preserve">suggesting the cost should be borne by incoming licensees. </w:t>
      </w:r>
    </w:p>
    <w:p w14:paraId="7266B743" w14:textId="1DB21DDE" w:rsidR="0068651E" w:rsidRPr="00A85D75" w:rsidRDefault="0068651E" w:rsidP="002451EE">
      <w:pPr>
        <w:pStyle w:val="Paragraph"/>
      </w:pPr>
      <w:r w:rsidRPr="00A85D75">
        <w:t>Two TOB operators highlighted the effect of the COVID</w:t>
      </w:r>
      <w:r w:rsidR="000F288D">
        <w:t>-19</w:t>
      </w:r>
      <w:r w:rsidRPr="00A85D75">
        <w:t xml:space="preserve"> pandemic on their businesses, which has substantially reduced their income. They advised that in this environment, a requirement to upgrade equipment for use in a new spectrum band would be detrimental to their operations and recommended a transition period of at least </w:t>
      </w:r>
      <w:r w:rsidR="000F288D">
        <w:t>5</w:t>
      </w:r>
      <w:r w:rsidR="000F288D" w:rsidRPr="00A85D75">
        <w:t xml:space="preserve"> </w:t>
      </w:r>
      <w:r w:rsidRPr="00A85D75">
        <w:t xml:space="preserve">years. </w:t>
      </w:r>
    </w:p>
    <w:p w14:paraId="29403BBC" w14:textId="711AA653" w:rsidR="00676AA9" w:rsidRPr="00A85D75" w:rsidRDefault="00BD005D" w:rsidP="002451EE">
      <w:pPr>
        <w:pStyle w:val="Paragraph"/>
      </w:pPr>
      <w:r w:rsidRPr="00A85D75">
        <w:t xml:space="preserve">We </w:t>
      </w:r>
      <w:r w:rsidR="00AF247A" w:rsidRPr="00A85D75">
        <w:t xml:space="preserve">noted in the options paper that if </w:t>
      </w:r>
      <w:r w:rsidR="00BE46FA" w:rsidRPr="00A85D75">
        <w:t>a replanning decision</w:t>
      </w:r>
      <w:r w:rsidR="00AF247A" w:rsidRPr="00A85D75">
        <w:t xml:space="preserve"> involves loss of spectrum access for incumbent licensees, the ACMA typically considers an appropriate transition period to allow sufficient time for affected licensees to adjust to the new arrangements.</w:t>
      </w:r>
      <w:r w:rsidR="00874020" w:rsidRPr="00A85D75">
        <w:rPr>
          <w:rStyle w:val="FootnoteReference"/>
        </w:rPr>
        <w:footnoteReference w:id="8"/>
      </w:r>
      <w:r w:rsidR="00BC0F7F" w:rsidRPr="00A85D75">
        <w:t xml:space="preserve"> Transition arrangements are discussed in detail in the following chapter.</w:t>
      </w:r>
    </w:p>
    <w:p w14:paraId="48FB6747" w14:textId="55309C19" w:rsidR="00C85C88" w:rsidRPr="00A85D75" w:rsidRDefault="00E62631" w:rsidP="00C85C88">
      <w:r w:rsidRPr="00A85D75">
        <w:t>The options paper concluded that</w:t>
      </w:r>
      <w:r w:rsidR="00C85C88" w:rsidRPr="00A85D75">
        <w:t xml:space="preserve"> the cost of</w:t>
      </w:r>
      <w:r w:rsidRPr="00A85D75">
        <w:t xml:space="preserve"> r</w:t>
      </w:r>
      <w:r w:rsidR="001A16BE" w:rsidRPr="00A85D75">
        <w:t>etaining TOB services in the 2 GHz band at the exclusion of new services</w:t>
      </w:r>
      <w:r w:rsidRPr="00A85D75">
        <w:t xml:space="preserve"> </w:t>
      </w:r>
      <w:r w:rsidR="00C85C88" w:rsidRPr="00A85D75">
        <w:t xml:space="preserve">is outweighed by the expected benefits of </w:t>
      </w:r>
      <w:r w:rsidR="00827414" w:rsidRPr="00A85D75">
        <w:t>new</w:t>
      </w:r>
      <w:r w:rsidR="00C85C88" w:rsidRPr="00A85D75">
        <w:t xml:space="preserve"> services. Only one submission provided details of potential costs involved in relocating TOB services to an alternative band.</w:t>
      </w:r>
      <w:r w:rsidR="001D539E" w:rsidRPr="00A85D75">
        <w:t xml:space="preserve"> </w:t>
      </w:r>
      <w:r w:rsidR="00C967E7" w:rsidRPr="00A85D75">
        <w:t>T</w:t>
      </w:r>
      <w:r w:rsidR="00FF17C3" w:rsidRPr="00A85D75">
        <w:t>he costs identif</w:t>
      </w:r>
      <w:r w:rsidR="00165737" w:rsidRPr="00A85D75">
        <w:t>ied</w:t>
      </w:r>
      <w:r w:rsidR="00FF17C3" w:rsidRPr="00A85D75">
        <w:t xml:space="preserve"> </w:t>
      </w:r>
      <w:r w:rsidR="00704CB3" w:rsidRPr="00A85D75">
        <w:t xml:space="preserve">equipment replacement </w:t>
      </w:r>
      <w:r w:rsidR="00C51E73">
        <w:t xml:space="preserve">costs </w:t>
      </w:r>
      <w:r w:rsidR="00704CB3" w:rsidRPr="00A85D75">
        <w:t xml:space="preserve">beyond what is required to relocate to an alternative band, </w:t>
      </w:r>
      <w:r w:rsidR="00C51E73">
        <w:t xml:space="preserve">as they </w:t>
      </w:r>
      <w:r w:rsidR="00704CB3" w:rsidRPr="00A85D75">
        <w:t>includ</w:t>
      </w:r>
      <w:r w:rsidR="00C51E73">
        <w:t>ed</w:t>
      </w:r>
      <w:r w:rsidR="00704CB3" w:rsidRPr="00A85D75">
        <w:t xml:space="preserve"> the</w:t>
      </w:r>
      <w:r w:rsidR="00B30B04" w:rsidRPr="00A85D75">
        <w:t xml:space="preserve"> cost of </w:t>
      </w:r>
      <w:r w:rsidR="00704CB3" w:rsidRPr="00A85D75">
        <w:t xml:space="preserve">replacing </w:t>
      </w:r>
      <w:r w:rsidR="00B30B04" w:rsidRPr="00A85D75">
        <w:t xml:space="preserve">equipment also used to provide television </w:t>
      </w:r>
      <w:r w:rsidR="00DA7708" w:rsidRPr="00A85D75">
        <w:t xml:space="preserve">production </w:t>
      </w:r>
      <w:r w:rsidR="00B30B04" w:rsidRPr="00A85D75">
        <w:t>services to TOB license</w:t>
      </w:r>
      <w:r w:rsidR="00876AC9" w:rsidRPr="00A85D75">
        <w:t>e</w:t>
      </w:r>
      <w:r w:rsidR="00B30B04" w:rsidRPr="00A85D75">
        <w:t>s in the adjacent</w:t>
      </w:r>
      <w:r w:rsidR="00897298" w:rsidRPr="00A85D75">
        <w:t xml:space="preserve"> </w:t>
      </w:r>
      <w:r w:rsidR="00C967E7" w:rsidRPr="00A85D75">
        <w:t>band</w:t>
      </w:r>
      <w:r w:rsidR="00D52F44">
        <w:t xml:space="preserve"> where </w:t>
      </w:r>
      <w:r w:rsidR="007B6148">
        <w:t>arrangements are not changing</w:t>
      </w:r>
      <w:r w:rsidR="00900790" w:rsidRPr="00A85D75">
        <w:t xml:space="preserve">. </w:t>
      </w:r>
      <w:r w:rsidR="001378D1">
        <w:t xml:space="preserve">That is not a </w:t>
      </w:r>
      <w:r w:rsidR="00CD4C66">
        <w:t>significant</w:t>
      </w:r>
      <w:r w:rsidR="001378D1">
        <w:t xml:space="preserve"> change </w:t>
      </w:r>
      <w:r w:rsidR="00CD4C66">
        <w:t xml:space="preserve">in costs. </w:t>
      </w:r>
      <w:r w:rsidR="00DA2C93">
        <w:t>Therefore</w:t>
      </w:r>
      <w:r w:rsidR="000F288D">
        <w:t>,</w:t>
      </w:r>
      <w:r w:rsidR="00C85C88" w:rsidRPr="00A85D75">
        <w:t xml:space="preserve"> we consider that no changes are required to the estimates presented in the cost-benefit analysis</w:t>
      </w:r>
      <w:r w:rsidR="00F43935" w:rsidRPr="00A85D75">
        <w:t>.</w:t>
      </w:r>
      <w:r w:rsidR="00C85C88" w:rsidRPr="00A85D75">
        <w:rPr>
          <w:rStyle w:val="FootnoteReference"/>
        </w:rPr>
        <w:footnoteReference w:id="9"/>
      </w:r>
    </w:p>
    <w:p w14:paraId="6991719C" w14:textId="77777777" w:rsidR="0068651E" w:rsidRPr="00A85D75" w:rsidRDefault="0068651E" w:rsidP="002451EE">
      <w:pPr>
        <w:pStyle w:val="Heading3"/>
      </w:pPr>
      <w:bookmarkStart w:id="72" w:name="_Toc56965691"/>
      <w:bookmarkStart w:id="73" w:name="_Toc61364837"/>
      <w:r w:rsidRPr="00A85D75">
        <w:t>Satellite</w:t>
      </w:r>
      <w:bookmarkEnd w:id="72"/>
      <w:bookmarkEnd w:id="73"/>
      <w:r w:rsidRPr="00A85D75">
        <w:t xml:space="preserve"> </w:t>
      </w:r>
    </w:p>
    <w:p w14:paraId="0BC059A6" w14:textId="179D5873" w:rsidR="0068651E" w:rsidRPr="00A85D75" w:rsidRDefault="0068651E" w:rsidP="00B6292B">
      <w:pPr>
        <w:pStyle w:val="Paragraph"/>
        <w:rPr>
          <w:b/>
          <w:bCs/>
        </w:rPr>
      </w:pPr>
      <w:r w:rsidRPr="00A85D75">
        <w:t>Satellite operators advocated strongly for immediate replanning of the band for mobile</w:t>
      </w:r>
      <w:r w:rsidR="00351D1B">
        <w:t>-</w:t>
      </w:r>
      <w:r w:rsidRPr="00A85D75">
        <w:t xml:space="preserve">satellite services including a complementary ground component. </w:t>
      </w:r>
    </w:p>
    <w:p w14:paraId="2C0E2A30" w14:textId="122377A4" w:rsidR="00532B0C" w:rsidRPr="00A85D75" w:rsidRDefault="0068651E" w:rsidP="00B6292B">
      <w:pPr>
        <w:pStyle w:val="Paragraph"/>
      </w:pPr>
      <w:r w:rsidRPr="00A85D75">
        <w:t xml:space="preserve">Several operators supported an equal allocation of two 15 MHz paired segments, allowing </w:t>
      </w:r>
      <w:r w:rsidR="00415585">
        <w:t>2</w:t>
      </w:r>
      <w:r w:rsidR="00415585" w:rsidRPr="00A85D75">
        <w:t xml:space="preserve"> </w:t>
      </w:r>
      <w:r w:rsidRPr="00A85D75">
        <w:t xml:space="preserve">MSS operators to operate in the band. An equal allocation of </w:t>
      </w:r>
      <w:r w:rsidR="00415585">
        <w:t>2</w:t>
      </w:r>
      <w:r w:rsidR="00415585" w:rsidRPr="00A85D75">
        <w:t xml:space="preserve"> </w:t>
      </w:r>
      <w:r w:rsidRPr="00A85D75">
        <w:t>segments would diverge from the preliminary approach contemplated in the options paper, which suggested allocations of 2 x 15</w:t>
      </w:r>
      <w:r w:rsidR="00FE24F1" w:rsidRPr="00A85D75">
        <w:t> </w:t>
      </w:r>
      <w:r w:rsidRPr="00A85D75">
        <w:t>MHz</w:t>
      </w:r>
      <w:r w:rsidR="00745489">
        <w:t xml:space="preserve"> and</w:t>
      </w:r>
      <w:r w:rsidRPr="00A85D75">
        <w:t xml:space="preserve"> 2 x 10 MHz</w:t>
      </w:r>
      <w:r w:rsidR="00745489">
        <w:t>,</w:t>
      </w:r>
      <w:r w:rsidRPr="00A85D75">
        <w:t xml:space="preserve"> </w:t>
      </w:r>
      <w:r w:rsidR="00745489">
        <w:t>as well as</w:t>
      </w:r>
      <w:r w:rsidR="00745489" w:rsidRPr="00A85D75">
        <w:t xml:space="preserve"> </w:t>
      </w:r>
      <w:r w:rsidRPr="00A85D75">
        <w:t>2 x 5 MHz for shared satellite IoT.</w:t>
      </w:r>
      <w:r w:rsidR="00FB6CBC" w:rsidRPr="00A85D75">
        <w:t xml:space="preserve"> </w:t>
      </w:r>
    </w:p>
    <w:p w14:paraId="3EDDD8F5" w14:textId="0DA51607" w:rsidR="008D3B37" w:rsidRPr="00A85D75" w:rsidRDefault="00FB6CBC" w:rsidP="00B6292B">
      <w:pPr>
        <w:pStyle w:val="Paragraph"/>
      </w:pPr>
      <w:r w:rsidRPr="00A85D75">
        <w:t xml:space="preserve">One </w:t>
      </w:r>
      <w:r w:rsidR="00A60994" w:rsidRPr="00A85D75">
        <w:t>operator</w:t>
      </w:r>
      <w:r w:rsidRPr="00A85D75">
        <w:t xml:space="preserve"> proposed that if the ACMA decided to proceed with the 2</w:t>
      </w:r>
      <w:r w:rsidR="00EC63A2" w:rsidRPr="00A85D75">
        <w:t xml:space="preserve"> </w:t>
      </w:r>
      <w:r w:rsidRPr="00A85D75">
        <w:t>x 5 MHz shared satellite IoT segment</w:t>
      </w:r>
      <w:r w:rsidR="00EC63A2" w:rsidRPr="00A85D75">
        <w:t>,</w:t>
      </w:r>
      <w:r w:rsidRPr="00A85D75">
        <w:t xml:space="preserve"> then it should consider having </w:t>
      </w:r>
      <w:r w:rsidR="00415585">
        <w:t>2</w:t>
      </w:r>
      <w:r w:rsidR="00415585" w:rsidRPr="00A85D75">
        <w:t xml:space="preserve"> </w:t>
      </w:r>
      <w:r w:rsidRPr="00A85D75">
        <w:t xml:space="preserve">equal 12.5 MHz </w:t>
      </w:r>
      <w:r w:rsidR="00D07287" w:rsidRPr="00A85D75">
        <w:t>segments</w:t>
      </w:r>
      <w:r w:rsidR="00E70A12" w:rsidRPr="00A85D75">
        <w:t>. T</w:t>
      </w:r>
      <w:r w:rsidRPr="00A85D75">
        <w:t xml:space="preserve">his would enable </w:t>
      </w:r>
      <w:r w:rsidR="00415585">
        <w:t>2</w:t>
      </w:r>
      <w:r w:rsidR="00415585" w:rsidRPr="00A85D75">
        <w:t xml:space="preserve"> </w:t>
      </w:r>
      <w:r w:rsidRPr="00A85D75">
        <w:t>operator</w:t>
      </w:r>
      <w:r w:rsidR="00E70A12" w:rsidRPr="00A85D75">
        <w:t>s</w:t>
      </w:r>
      <w:r w:rsidRPr="00A85D75">
        <w:t xml:space="preserve"> to </w:t>
      </w:r>
      <w:r w:rsidR="00D81710" w:rsidRPr="00A85D75">
        <w:t xml:space="preserve">have </w:t>
      </w:r>
      <w:r w:rsidR="00E70A12" w:rsidRPr="00A85D75">
        <w:t>equivalent</w:t>
      </w:r>
      <w:r w:rsidR="00D81710" w:rsidRPr="00A85D75">
        <w:t xml:space="preserve"> spectrum </w:t>
      </w:r>
      <w:r w:rsidR="00E70A12" w:rsidRPr="00A85D75">
        <w:t>allocations in the band</w:t>
      </w:r>
      <w:r w:rsidR="00846A55" w:rsidRPr="00A85D75">
        <w:t xml:space="preserve"> which </w:t>
      </w:r>
      <w:r w:rsidR="00D81710" w:rsidRPr="00A85D75">
        <w:t xml:space="preserve">could be </w:t>
      </w:r>
      <w:r w:rsidRPr="00A85D75">
        <w:t>ut</w:t>
      </w:r>
      <w:r w:rsidR="00A16A16" w:rsidRPr="00A85D75">
        <w:t>i</w:t>
      </w:r>
      <w:r w:rsidRPr="00A85D75">
        <w:t>lise</w:t>
      </w:r>
      <w:r w:rsidR="00D81710" w:rsidRPr="00A85D75">
        <w:t xml:space="preserve">d </w:t>
      </w:r>
      <w:r w:rsidR="00B907A4" w:rsidRPr="00A85D75">
        <w:t xml:space="preserve">in sub-segments of </w:t>
      </w:r>
      <w:r w:rsidRPr="00A85D75">
        <w:t>2</w:t>
      </w:r>
      <w:r w:rsidR="004666F5" w:rsidRPr="00A85D75">
        <w:t xml:space="preserve"> </w:t>
      </w:r>
      <w:r w:rsidRPr="00A85D75">
        <w:t>x 10 MHz and 2</w:t>
      </w:r>
      <w:r w:rsidR="004666F5" w:rsidRPr="00A85D75">
        <w:t xml:space="preserve"> </w:t>
      </w:r>
      <w:r w:rsidRPr="00A85D75">
        <w:t>x 2.5 MHz</w:t>
      </w:r>
      <w:r w:rsidR="004666F5" w:rsidRPr="00A85D75">
        <w:t>.</w:t>
      </w:r>
    </w:p>
    <w:p w14:paraId="7C410D3F" w14:textId="68F01D19" w:rsidR="004666F5" w:rsidRPr="00A85D75" w:rsidRDefault="004666F5" w:rsidP="00B6292B">
      <w:pPr>
        <w:pStyle w:val="Paragraph"/>
      </w:pPr>
      <w:r w:rsidRPr="00A85D75">
        <w:t xml:space="preserve">Another satellite operator </w:t>
      </w:r>
      <w:r w:rsidR="008D3B37" w:rsidRPr="00A85D75">
        <w:t xml:space="preserve">noted that </w:t>
      </w:r>
      <w:r w:rsidRPr="00A85D75">
        <w:t xml:space="preserve">the 2 GHz band can </w:t>
      </w:r>
      <w:r w:rsidR="00452911" w:rsidRPr="00A85D75">
        <w:t xml:space="preserve">be </w:t>
      </w:r>
      <w:r w:rsidR="005765F9" w:rsidRPr="00A85D75">
        <w:t>used as a component in</w:t>
      </w:r>
      <w:r w:rsidR="002D554F" w:rsidRPr="00A85D75">
        <w:t xml:space="preserve"> </w:t>
      </w:r>
      <w:r w:rsidRPr="00A85D75">
        <w:t>the 5G ecosystem</w:t>
      </w:r>
      <w:r w:rsidR="005765F9" w:rsidRPr="00A85D75">
        <w:t>,</w:t>
      </w:r>
      <w:r w:rsidRPr="00A85D75">
        <w:t xml:space="preserve"> and this standardisation will drive the economies of scale in network and radio equipment</w:t>
      </w:r>
      <w:r w:rsidR="00511A90" w:rsidRPr="00A85D75">
        <w:t>.</w:t>
      </w:r>
    </w:p>
    <w:p w14:paraId="25C6A2D3" w14:textId="1BEEC827" w:rsidR="00ED102B" w:rsidRPr="00A85D75" w:rsidRDefault="00C8587E" w:rsidP="00485EDB">
      <w:pPr>
        <w:pStyle w:val="Paragraph"/>
        <w:keepLines/>
      </w:pPr>
      <w:r w:rsidRPr="00A85D75">
        <w:t>C</w:t>
      </w:r>
      <w:r w:rsidR="00CD4536" w:rsidRPr="00A85D75">
        <w:t>hannel</w:t>
      </w:r>
      <w:r w:rsidR="00273999">
        <w:t xml:space="preserve"> </w:t>
      </w:r>
      <w:r w:rsidR="00005616">
        <w:t>/ licence</w:t>
      </w:r>
      <w:r w:rsidR="00CD4536" w:rsidRPr="00A85D75">
        <w:t xml:space="preserve"> </w:t>
      </w:r>
      <w:r w:rsidR="00743063" w:rsidRPr="00A85D75">
        <w:t>bandwidths</w:t>
      </w:r>
      <w:r w:rsidR="00FA6B68" w:rsidRPr="00A85D75">
        <w:t xml:space="preserve"> </w:t>
      </w:r>
      <w:r w:rsidR="00743063" w:rsidRPr="00A85D75">
        <w:t>will be</w:t>
      </w:r>
      <w:r w:rsidR="0094158F" w:rsidRPr="00A85D75">
        <w:t xml:space="preserve"> considered as part </w:t>
      </w:r>
      <w:r w:rsidR="00743063" w:rsidRPr="00A85D75">
        <w:t xml:space="preserve">of </w:t>
      </w:r>
      <w:r w:rsidR="0094158F" w:rsidRPr="00A85D75">
        <w:t xml:space="preserve">technical planning </w:t>
      </w:r>
      <w:r w:rsidR="00BF2709" w:rsidRPr="00A85D75">
        <w:t>for</w:t>
      </w:r>
      <w:r w:rsidR="0094158F" w:rsidRPr="00A85D75">
        <w:t xml:space="preserve"> the licence allocation process</w:t>
      </w:r>
      <w:r w:rsidR="00BF2709" w:rsidRPr="00A85D75">
        <w:t>,</w:t>
      </w:r>
      <w:r w:rsidR="00C30653" w:rsidRPr="00A85D75">
        <w:t xml:space="preserve"> in consultation with industry</w:t>
      </w:r>
      <w:r w:rsidR="00743063" w:rsidRPr="00A85D75">
        <w:t xml:space="preserve">. </w:t>
      </w:r>
      <w:r w:rsidR="00FA2153" w:rsidRPr="00A85D75">
        <w:t>Until then</w:t>
      </w:r>
      <w:r w:rsidR="004A077B" w:rsidRPr="00A85D75">
        <w:t>, we will continue to</w:t>
      </w:r>
      <w:r w:rsidR="00743063" w:rsidRPr="00A85D75">
        <w:t xml:space="preserve"> monitor developments</w:t>
      </w:r>
      <w:r w:rsidR="004A077B" w:rsidRPr="00A85D75">
        <w:t xml:space="preserve"> in this </w:t>
      </w:r>
      <w:r w:rsidR="0084495B" w:rsidRPr="00A85D75">
        <w:t>area</w:t>
      </w:r>
      <w:r w:rsidR="00743063" w:rsidRPr="00A85D75">
        <w:t>.</w:t>
      </w:r>
      <w:r w:rsidR="0014690F" w:rsidRPr="00A85D75">
        <w:t xml:space="preserve"> </w:t>
      </w:r>
      <w:r w:rsidR="00B03BEE" w:rsidRPr="00A85D75">
        <w:t xml:space="preserve">This matter is </w:t>
      </w:r>
      <w:r w:rsidR="00910852" w:rsidRPr="00A85D75">
        <w:t>discussed further in the preliminary views section below</w:t>
      </w:r>
      <w:r w:rsidR="00B03BEE" w:rsidRPr="00A85D75">
        <w:t>.</w:t>
      </w:r>
    </w:p>
    <w:p w14:paraId="7871EFCC" w14:textId="14BBFFBB" w:rsidR="00F00E07" w:rsidRPr="00A85D75" w:rsidRDefault="00F00E07" w:rsidP="00B6292B">
      <w:pPr>
        <w:pStyle w:val="Paragraph"/>
      </w:pPr>
      <w:r w:rsidRPr="00A85D75">
        <w:lastRenderedPageBreak/>
        <w:t xml:space="preserve">Regarding </w:t>
      </w:r>
      <w:r w:rsidR="00EE6AC5" w:rsidRPr="00A85D75">
        <w:t>our propos</w:t>
      </w:r>
      <w:r w:rsidR="009A4955" w:rsidRPr="00A85D75">
        <w:t xml:space="preserve">al to </w:t>
      </w:r>
      <w:r w:rsidR="00EE6AC5" w:rsidRPr="00A85D75">
        <w:t>support</w:t>
      </w:r>
      <w:r w:rsidR="00143925" w:rsidRPr="00A85D75">
        <w:t xml:space="preserve"> deployment of</w:t>
      </w:r>
      <w:r w:rsidR="00EE6AC5" w:rsidRPr="00A85D75">
        <w:t xml:space="preserve"> complementary ground component</w:t>
      </w:r>
      <w:r w:rsidR="00511B55" w:rsidRPr="00A85D75">
        <w:t xml:space="preserve"> </w:t>
      </w:r>
      <w:r w:rsidR="00931CA0" w:rsidRPr="00A85D75">
        <w:t xml:space="preserve">in the 2 GHz band, </w:t>
      </w:r>
      <w:r w:rsidR="00143925" w:rsidRPr="00A85D75">
        <w:t xml:space="preserve">one respondent </w:t>
      </w:r>
      <w:r w:rsidR="0054614E" w:rsidRPr="00A85D75">
        <w:t xml:space="preserve">was concerned </w:t>
      </w:r>
      <w:r w:rsidR="006E784D" w:rsidRPr="00A85D75">
        <w:t xml:space="preserve">that licensees </w:t>
      </w:r>
      <w:r w:rsidR="00C26E6E" w:rsidRPr="00A85D75">
        <w:t xml:space="preserve">are </w:t>
      </w:r>
      <w:r w:rsidR="007B33F9" w:rsidRPr="00A85D75">
        <w:t xml:space="preserve">likely to </w:t>
      </w:r>
      <w:r w:rsidR="006E784D" w:rsidRPr="00A85D75">
        <w:t xml:space="preserve">abandon their commitment to deliver </w:t>
      </w:r>
      <w:r w:rsidR="00DA0385" w:rsidRPr="00A85D75">
        <w:t>MSS</w:t>
      </w:r>
      <w:r w:rsidR="006E784D" w:rsidRPr="00A85D75">
        <w:t xml:space="preserve"> and </w:t>
      </w:r>
      <w:r w:rsidR="00C677D1" w:rsidRPr="00A85D75">
        <w:t xml:space="preserve">only deploy a ground component for the purpose of </w:t>
      </w:r>
      <w:r w:rsidR="00F17571" w:rsidRPr="00A85D75">
        <w:t xml:space="preserve">delivering </w:t>
      </w:r>
      <w:r w:rsidR="006E784D" w:rsidRPr="00A85D75">
        <w:t>mobile broadband</w:t>
      </w:r>
      <w:r w:rsidR="00F17571" w:rsidRPr="00A85D75">
        <w:t xml:space="preserve"> services</w:t>
      </w:r>
      <w:r w:rsidR="0033096A" w:rsidRPr="00A85D75">
        <w:t>. We recognise th</w:t>
      </w:r>
      <w:r w:rsidR="00FB006F" w:rsidRPr="00A85D75">
        <w:t xml:space="preserve">is risk and </w:t>
      </w:r>
      <w:r w:rsidR="004B2C7C" w:rsidRPr="00A85D75">
        <w:t xml:space="preserve">have discussed our views on addressing it </w:t>
      </w:r>
      <w:r w:rsidR="00415585">
        <w:t xml:space="preserve">in </w:t>
      </w:r>
      <w:r w:rsidR="0064789D" w:rsidRPr="00A85D75">
        <w:t xml:space="preserve">the </w:t>
      </w:r>
      <w:r w:rsidR="00415585">
        <w:t>‘</w:t>
      </w:r>
      <w:hyperlink w:anchor="_Preliminary_views" w:history="1">
        <w:r w:rsidR="0064789D" w:rsidRPr="00415585">
          <w:rPr>
            <w:rStyle w:val="Hyperlink"/>
          </w:rPr>
          <w:t>Preliminary views</w:t>
        </w:r>
      </w:hyperlink>
      <w:r w:rsidR="00415585">
        <w:t>’</w:t>
      </w:r>
      <w:r w:rsidR="0064789D" w:rsidRPr="00A85D75">
        <w:t xml:space="preserve"> section below.</w:t>
      </w:r>
    </w:p>
    <w:p w14:paraId="5542E958" w14:textId="114ABBD9" w:rsidR="00630224" w:rsidRPr="00A85D75" w:rsidRDefault="00630224" w:rsidP="00202537">
      <w:pPr>
        <w:pStyle w:val="Heading4"/>
        <w:rPr>
          <w:szCs w:val="20"/>
        </w:rPr>
      </w:pPr>
      <w:r w:rsidRPr="00A85D75">
        <w:t xml:space="preserve">Satellite </w:t>
      </w:r>
      <w:r w:rsidR="00415585">
        <w:t>–</w:t>
      </w:r>
      <w:r w:rsidR="00415585" w:rsidRPr="00A85D75">
        <w:t xml:space="preserve"> </w:t>
      </w:r>
      <w:r w:rsidRPr="00A85D75">
        <w:t>IoT considerations</w:t>
      </w:r>
    </w:p>
    <w:p w14:paraId="56F1DAB6" w14:textId="788E70F8" w:rsidR="00B6292B" w:rsidRPr="00A85D75" w:rsidRDefault="0068651E" w:rsidP="00B6292B">
      <w:pPr>
        <w:pStyle w:val="Paragraph"/>
      </w:pPr>
      <w:r w:rsidRPr="00A85D75">
        <w:rPr>
          <w:szCs w:val="20"/>
        </w:rPr>
        <w:t>Most operators opposed the allocation of a dedicated segment of the band for satellite IoT</w:t>
      </w:r>
      <w:r w:rsidR="00391800" w:rsidRPr="00A85D75">
        <w:t xml:space="preserve">, with one suggesting that this </w:t>
      </w:r>
      <w:r w:rsidR="00415585" w:rsidRPr="00415585">
        <w:t>‘</w:t>
      </w:r>
      <w:r w:rsidRPr="00485EDB">
        <w:rPr>
          <w:szCs w:val="20"/>
        </w:rPr>
        <w:t>would be an inefficient use of spectrum and limit innovation in this band</w:t>
      </w:r>
      <w:r w:rsidR="00415585">
        <w:rPr>
          <w:szCs w:val="20"/>
        </w:rPr>
        <w:t>’</w:t>
      </w:r>
      <w:r w:rsidRPr="00415585">
        <w:rPr>
          <w:szCs w:val="20"/>
        </w:rPr>
        <w:t>.</w:t>
      </w:r>
      <w:r w:rsidRPr="00A85D75">
        <w:rPr>
          <w:szCs w:val="20"/>
        </w:rPr>
        <w:t xml:space="preserve"> Satellite operators objecting to the dedicated IoT segment did not comment on its intended purpose as a restricted band to provide protection to adjacent</w:t>
      </w:r>
      <w:r w:rsidR="00351D1B">
        <w:rPr>
          <w:szCs w:val="20"/>
        </w:rPr>
        <w:t>-</w:t>
      </w:r>
      <w:r w:rsidRPr="00A85D75">
        <w:rPr>
          <w:szCs w:val="20"/>
        </w:rPr>
        <w:t>band TOB services.</w:t>
      </w:r>
      <w:r w:rsidR="004B3289" w:rsidRPr="00A85D75">
        <w:t xml:space="preserve"> In the absence of </w:t>
      </w:r>
      <w:r w:rsidR="00E11A50" w:rsidRPr="00A85D75">
        <w:t>a dedicated shared narrowband segment, some form of restrictions</w:t>
      </w:r>
      <w:r w:rsidR="004B3289" w:rsidRPr="00A85D75">
        <w:t xml:space="preserve"> would </w:t>
      </w:r>
      <w:r w:rsidR="008721E0">
        <w:t xml:space="preserve">still </w:t>
      </w:r>
      <w:r w:rsidR="004B3289" w:rsidRPr="00A85D75">
        <w:t xml:space="preserve">be required </w:t>
      </w:r>
      <w:r w:rsidR="00E11A50" w:rsidRPr="00A85D75">
        <w:t xml:space="preserve">on this segment </w:t>
      </w:r>
      <w:r w:rsidR="00845B6D" w:rsidRPr="00A85D75">
        <w:t>to retain protection of adjacent services.</w:t>
      </w:r>
    </w:p>
    <w:p w14:paraId="313E3C2E" w14:textId="24A1C254" w:rsidR="00157D2C" w:rsidRPr="00A85D75" w:rsidRDefault="002B6E87" w:rsidP="00040E79">
      <w:pPr>
        <w:pStyle w:val="Paragraph"/>
      </w:pPr>
      <w:r w:rsidRPr="00A85D75">
        <w:t>The ACMA recognises the</w:t>
      </w:r>
      <w:r w:rsidR="00F3711B" w:rsidRPr="00A85D75">
        <w:t xml:space="preserve"> int</w:t>
      </w:r>
      <w:r w:rsidR="00686B0B" w:rsidRPr="00A85D75">
        <w:t>ernational</w:t>
      </w:r>
      <w:r w:rsidR="00F3711B" w:rsidRPr="00A85D75">
        <w:t xml:space="preserve"> trend </w:t>
      </w:r>
      <w:r w:rsidR="00EC2414" w:rsidRPr="00A85D75">
        <w:t xml:space="preserve">to segment the 2 GHz band into </w:t>
      </w:r>
      <w:r w:rsidR="00F3711B" w:rsidRPr="00A85D75">
        <w:t xml:space="preserve">two </w:t>
      </w:r>
      <w:r w:rsidR="00EC2414" w:rsidRPr="00A85D75">
        <w:t>15 MHz pairs</w:t>
      </w:r>
      <w:r w:rsidR="00F3711B" w:rsidRPr="00A85D75">
        <w:t xml:space="preserve">, with no dedicated </w:t>
      </w:r>
      <w:r w:rsidR="00EC2414" w:rsidRPr="00A85D75">
        <w:t>shared segment for low-powered, low-duty cycle narrowband applications such as satellite IoT</w:t>
      </w:r>
      <w:r w:rsidR="00F3711B" w:rsidRPr="00A85D75">
        <w:t xml:space="preserve">. </w:t>
      </w:r>
      <w:r w:rsidR="00171167" w:rsidRPr="00A85D75">
        <w:t xml:space="preserve">However, </w:t>
      </w:r>
      <w:r w:rsidR="00AC4F44" w:rsidRPr="00A85D75">
        <w:t>t</w:t>
      </w:r>
      <w:r w:rsidR="00E46C4E" w:rsidRPr="00A85D75">
        <w:t xml:space="preserve">he ACMA </w:t>
      </w:r>
      <w:r w:rsidR="00171167" w:rsidRPr="00A85D75">
        <w:t>consider</w:t>
      </w:r>
      <w:r w:rsidR="004B34D1" w:rsidRPr="00A85D75">
        <w:t>s</w:t>
      </w:r>
      <w:r w:rsidR="00171167" w:rsidRPr="00A85D75">
        <w:t xml:space="preserve"> </w:t>
      </w:r>
      <w:r w:rsidR="00C219E4" w:rsidRPr="00A85D75">
        <w:t xml:space="preserve">there </w:t>
      </w:r>
      <w:r w:rsidR="005403DA" w:rsidRPr="00A85D75">
        <w:t xml:space="preserve">are </w:t>
      </w:r>
      <w:r w:rsidR="00AC21EC" w:rsidRPr="00A85D75">
        <w:t xml:space="preserve">benefits </w:t>
      </w:r>
      <w:r w:rsidR="00015970" w:rsidRPr="00A85D75">
        <w:t xml:space="preserve">in </w:t>
      </w:r>
      <w:r w:rsidR="00BC143C" w:rsidRPr="00A85D75">
        <w:t xml:space="preserve">dedicating </w:t>
      </w:r>
      <w:r w:rsidR="001E47B3" w:rsidRPr="00A85D75">
        <w:t xml:space="preserve">the restricted </w:t>
      </w:r>
      <w:r w:rsidR="00BC143C" w:rsidRPr="00A85D75">
        <w:t>segment (2005–2010 and 2195–2200 MHz) f</w:t>
      </w:r>
      <w:r w:rsidR="00171167" w:rsidRPr="00A85D75">
        <w:t xml:space="preserve">or </w:t>
      </w:r>
      <w:r w:rsidR="001E47B3" w:rsidRPr="00A85D75">
        <w:t xml:space="preserve">narrowband </w:t>
      </w:r>
      <w:r w:rsidR="00157D2C" w:rsidRPr="00A85D75">
        <w:t>MSS</w:t>
      </w:r>
      <w:r w:rsidR="00B30A7C" w:rsidRPr="00A85D75">
        <w:t xml:space="preserve"> applications</w:t>
      </w:r>
      <w:r w:rsidR="00702C00" w:rsidRPr="00A85D75">
        <w:t xml:space="preserve"> </w:t>
      </w:r>
      <w:r w:rsidR="00157D2C" w:rsidRPr="00A85D75">
        <w:t>o</w:t>
      </w:r>
      <w:r w:rsidR="006265F6" w:rsidRPr="00A85D75">
        <w:t>n</w:t>
      </w:r>
      <w:r w:rsidR="00157D2C" w:rsidRPr="00A85D75">
        <w:t xml:space="preserve"> a shared basis.</w:t>
      </w:r>
      <w:r w:rsidR="00074FB8" w:rsidRPr="00A85D75">
        <w:t xml:space="preserve"> </w:t>
      </w:r>
      <w:r w:rsidR="00522E08" w:rsidRPr="00A85D75">
        <w:t xml:space="preserve">This </w:t>
      </w:r>
      <w:r w:rsidR="00040E79" w:rsidRPr="00A85D75">
        <w:t xml:space="preserve">arrangement </w:t>
      </w:r>
      <w:r w:rsidR="00157D2C" w:rsidRPr="00A85D75">
        <w:t xml:space="preserve">will provide </w:t>
      </w:r>
      <w:r w:rsidR="00157D2C" w:rsidRPr="00A85D75">
        <w:rPr>
          <w:lang w:eastAsia="en-US"/>
        </w:rPr>
        <w:t>support for innovative satellite applications offering opportunities for new entrants</w:t>
      </w:r>
      <w:r w:rsidR="00157D2C" w:rsidRPr="00A85D75">
        <w:t xml:space="preserve"> with </w:t>
      </w:r>
      <w:r w:rsidR="00157D2C" w:rsidRPr="00A85D75">
        <w:rPr>
          <w:lang w:eastAsia="en-US"/>
        </w:rPr>
        <w:t>minimal regulatory arrangements</w:t>
      </w:r>
      <w:r w:rsidR="00522E08" w:rsidRPr="00A85D75">
        <w:rPr>
          <w:lang w:eastAsia="en-US"/>
        </w:rPr>
        <w:t>, thereby</w:t>
      </w:r>
      <w:r w:rsidR="00157D2C" w:rsidRPr="00A85D75">
        <w:rPr>
          <w:lang w:eastAsia="en-US"/>
        </w:rPr>
        <w:t xml:space="preserve"> supporting growth in the Australian space industry</w:t>
      </w:r>
      <w:r w:rsidR="00183934" w:rsidRPr="00A85D75">
        <w:rPr>
          <w:lang w:eastAsia="en-US"/>
        </w:rPr>
        <w:t>.</w:t>
      </w:r>
      <w:r w:rsidR="00A570AC" w:rsidRPr="00A85D75">
        <w:rPr>
          <w:lang w:eastAsia="en-US"/>
        </w:rPr>
        <w:t xml:space="preserve"> </w:t>
      </w:r>
      <w:r w:rsidR="00F21CB1" w:rsidRPr="00A85D75">
        <w:rPr>
          <w:lang w:eastAsia="en-US"/>
        </w:rPr>
        <w:t>T</w:t>
      </w:r>
      <w:r w:rsidR="00A570AC" w:rsidRPr="00A85D75">
        <w:rPr>
          <w:lang w:eastAsia="en-US"/>
        </w:rPr>
        <w:t xml:space="preserve">he Australian Space Agency </w:t>
      </w:r>
      <w:r w:rsidR="00F21CB1" w:rsidRPr="00A85D75">
        <w:rPr>
          <w:lang w:eastAsia="en-US"/>
        </w:rPr>
        <w:t>submitted</w:t>
      </w:r>
      <w:r w:rsidR="00A570AC" w:rsidRPr="00A85D75">
        <w:rPr>
          <w:lang w:eastAsia="en-US"/>
        </w:rPr>
        <w:t xml:space="preserve"> that developing satellite IoT arrangements with a low barrier to entry would assist in growing the Australian space industry</w:t>
      </w:r>
      <w:r w:rsidR="00DD31FB" w:rsidRPr="00A85D75">
        <w:rPr>
          <w:lang w:eastAsia="en-US"/>
        </w:rPr>
        <w:t>.</w:t>
      </w:r>
    </w:p>
    <w:p w14:paraId="1BD7EAD7" w14:textId="6F51E5FD" w:rsidR="00823D46" w:rsidRPr="00A85D75" w:rsidRDefault="00CA1393" w:rsidP="00040E79">
      <w:pPr>
        <w:pStyle w:val="Paragraph"/>
      </w:pPr>
      <w:r w:rsidRPr="00A85D75">
        <w:t xml:space="preserve">In the absence of </w:t>
      </w:r>
      <w:r w:rsidR="00496E92" w:rsidRPr="00A85D75">
        <w:t>such a segmen</w:t>
      </w:r>
      <w:r w:rsidR="004E5BAB" w:rsidRPr="00A85D75">
        <w:t>t</w:t>
      </w:r>
      <w:r w:rsidR="00E93F36" w:rsidRPr="00A85D75">
        <w:t xml:space="preserve"> –</w:t>
      </w:r>
      <w:r w:rsidR="00BE45BC" w:rsidRPr="00A85D75">
        <w:t xml:space="preserve"> </w:t>
      </w:r>
      <w:r w:rsidR="00606A12" w:rsidRPr="00A85D75">
        <w:t>where</w:t>
      </w:r>
      <w:r w:rsidR="00793A28" w:rsidRPr="00A85D75">
        <w:t xml:space="preserve">by </w:t>
      </w:r>
      <w:r w:rsidR="00BC2D47" w:rsidRPr="00A85D75">
        <w:t xml:space="preserve">use of the same spectrum is </w:t>
      </w:r>
      <w:r w:rsidR="008740E0" w:rsidRPr="00A85D75">
        <w:t xml:space="preserve">authorised under </w:t>
      </w:r>
      <w:r w:rsidR="00BC2D47" w:rsidRPr="00A85D75">
        <w:t xml:space="preserve">an exclusive </w:t>
      </w:r>
      <w:r w:rsidR="0075271B" w:rsidRPr="00A85D75">
        <w:t xml:space="preserve">licensing arrangement </w:t>
      </w:r>
      <w:r w:rsidR="00116930" w:rsidRPr="00A85D75">
        <w:t xml:space="preserve">– </w:t>
      </w:r>
      <w:r w:rsidR="00DA27C7" w:rsidRPr="00A85D75">
        <w:t xml:space="preserve">this portion of the band </w:t>
      </w:r>
      <w:r w:rsidR="008D63A0" w:rsidRPr="00A85D75">
        <w:t>would</w:t>
      </w:r>
      <w:r w:rsidR="002A59CC" w:rsidRPr="00A85D75">
        <w:t xml:space="preserve"> still</w:t>
      </w:r>
      <w:r w:rsidR="008D63A0" w:rsidRPr="00A85D75">
        <w:t xml:space="preserve"> </w:t>
      </w:r>
      <w:r w:rsidR="002A59CC" w:rsidRPr="00A85D75">
        <w:t xml:space="preserve">require some restrictions </w:t>
      </w:r>
      <w:r w:rsidR="00403CFE" w:rsidRPr="00A85D75">
        <w:t xml:space="preserve">to provide </w:t>
      </w:r>
      <w:r w:rsidR="00E3213E" w:rsidRPr="00A85D75">
        <w:t>protection for adjacent services.</w:t>
      </w:r>
      <w:r w:rsidR="005E0856" w:rsidRPr="00A85D75">
        <w:t xml:space="preserve"> In addition to the benefits cited above</w:t>
      </w:r>
      <w:r w:rsidR="001D1A5A" w:rsidRPr="00A85D75">
        <w:t xml:space="preserve"> of a shared </w:t>
      </w:r>
      <w:r w:rsidR="0038044B" w:rsidRPr="00A85D75">
        <w:t>MSS segment</w:t>
      </w:r>
      <w:r w:rsidR="005E0856" w:rsidRPr="00A85D75">
        <w:t>,</w:t>
      </w:r>
      <w:r w:rsidR="00C62BF7" w:rsidRPr="00A85D75">
        <w:t xml:space="preserve"> authorising this segment </w:t>
      </w:r>
      <w:r w:rsidR="005E0856" w:rsidRPr="00A85D75">
        <w:t xml:space="preserve">for shared </w:t>
      </w:r>
      <w:r w:rsidR="00C62BF7" w:rsidRPr="00A85D75">
        <w:t>non-exclusive access will enable more intensive use of the spectrum resource.</w:t>
      </w:r>
    </w:p>
    <w:p w14:paraId="0FF44E86" w14:textId="22418D7C" w:rsidR="00630224" w:rsidRPr="00A85D75" w:rsidRDefault="00630224" w:rsidP="00202537">
      <w:pPr>
        <w:pStyle w:val="Heading4"/>
      </w:pPr>
      <w:r w:rsidRPr="00A85D75">
        <w:t>Satellite – licence allocation considerations</w:t>
      </w:r>
    </w:p>
    <w:p w14:paraId="7BE9CA4D" w14:textId="7BECD737" w:rsidR="0068651E" w:rsidRPr="00A85D75" w:rsidRDefault="0068651E" w:rsidP="00B6292B">
      <w:pPr>
        <w:pStyle w:val="Paragraph"/>
      </w:pPr>
      <w:r w:rsidRPr="00A85D75">
        <w:t xml:space="preserve">Regarding potential allocation methods, most opposed a competitive auction, preferring instead a merit-based approach. The argument against an auction was articulated in the Communications Alliance submission, which suggested that MSS operators face multiple price and regulatory pressures. They argued that </w:t>
      </w:r>
      <w:r w:rsidR="00415585">
        <w:t>‘</w:t>
      </w:r>
      <w:r w:rsidRPr="00485EDB">
        <w:t>pricing should have empathy for the high cost of marginal services</w:t>
      </w:r>
      <w:r w:rsidR="00B12DBA" w:rsidRPr="00485EDB">
        <w:t xml:space="preserve"> ... </w:t>
      </w:r>
      <w:r w:rsidR="00845B6D" w:rsidRPr="00485EDB">
        <w:t>a</w:t>
      </w:r>
      <w:r w:rsidRPr="00485EDB">
        <w:t xml:space="preserve">n open market-based allocation cannot do this as terrestrial operators do not favour thin </w:t>
      </w:r>
      <w:proofErr w:type="gramStart"/>
      <w:r w:rsidRPr="00485EDB">
        <w:t>markets</w:t>
      </w:r>
      <w:r w:rsidR="00415585">
        <w:t>’</w:t>
      </w:r>
      <w:proofErr w:type="gramEnd"/>
      <w:r w:rsidR="00415585" w:rsidRPr="00A85D75">
        <w:t>.</w:t>
      </w:r>
    </w:p>
    <w:p w14:paraId="3F1DCE85" w14:textId="1B866916" w:rsidR="00F33556" w:rsidRPr="00A85D75" w:rsidRDefault="002E788A" w:rsidP="00B6292B">
      <w:pPr>
        <w:pStyle w:val="Paragraph"/>
        <w:rPr>
          <w:b/>
          <w:bCs/>
        </w:rPr>
      </w:pPr>
      <w:r w:rsidRPr="00A85D75">
        <w:t xml:space="preserve">The ACMA considers that a </w:t>
      </w:r>
      <w:r w:rsidR="001461B9" w:rsidRPr="00A85D75">
        <w:t>market</w:t>
      </w:r>
      <w:r w:rsidR="00CB43CE" w:rsidRPr="00A85D75">
        <w:t>-</w:t>
      </w:r>
      <w:r w:rsidRPr="00A85D75">
        <w:t>based allocation process</w:t>
      </w:r>
      <w:r w:rsidR="00F32E6D" w:rsidRPr="00A85D75">
        <w:t xml:space="preserve"> via auction</w:t>
      </w:r>
      <w:r w:rsidRPr="00A85D75">
        <w:t xml:space="preserve"> </w:t>
      </w:r>
      <w:r w:rsidR="00BD040F" w:rsidRPr="00A85D75">
        <w:t xml:space="preserve">is </w:t>
      </w:r>
      <w:r w:rsidR="00BB1765">
        <w:t xml:space="preserve">often </w:t>
      </w:r>
      <w:r w:rsidR="00BD040F" w:rsidRPr="00A85D75">
        <w:t xml:space="preserve">the </w:t>
      </w:r>
      <w:r w:rsidR="00736E4F" w:rsidRPr="00A85D75">
        <w:t xml:space="preserve">most effective </w:t>
      </w:r>
      <w:r w:rsidR="00BD040F" w:rsidRPr="00A85D75">
        <w:t>method to resolve competing interests in a band where</w:t>
      </w:r>
      <w:r w:rsidR="006E536E" w:rsidRPr="00A85D75">
        <w:t xml:space="preserve"> </w:t>
      </w:r>
      <w:r w:rsidR="00A8361B" w:rsidRPr="00A85D75">
        <w:t xml:space="preserve">the claimed bandwidth requirements </w:t>
      </w:r>
      <w:r w:rsidR="00B34C11" w:rsidRPr="00A85D75">
        <w:t>of access seekers exceed the available supply</w:t>
      </w:r>
      <w:r w:rsidR="00520DA3" w:rsidRPr="00A85D75">
        <w:t xml:space="preserve">. A merit-based process </w:t>
      </w:r>
      <w:r w:rsidR="00B34C11" w:rsidRPr="00A85D75">
        <w:t>would re</w:t>
      </w:r>
      <w:r w:rsidR="00DA3207" w:rsidRPr="00A85D75">
        <w:t>quire t</w:t>
      </w:r>
      <w:r w:rsidR="00520DA3" w:rsidRPr="00A85D75">
        <w:t xml:space="preserve">he ACMA </w:t>
      </w:r>
      <w:r w:rsidR="00DA3207" w:rsidRPr="00A85D75">
        <w:t>to select</w:t>
      </w:r>
      <w:r w:rsidR="00520DA3" w:rsidRPr="00A85D75">
        <w:t xml:space="preserve"> </w:t>
      </w:r>
      <w:r w:rsidR="007C1ED0" w:rsidRPr="00A85D75">
        <w:t>operator</w:t>
      </w:r>
      <w:r w:rsidR="00DA3207" w:rsidRPr="00A85D75">
        <w:t xml:space="preserve">s that it considers </w:t>
      </w:r>
      <w:r w:rsidR="007C1ED0" w:rsidRPr="00A85D75">
        <w:t xml:space="preserve">most likely to </w:t>
      </w:r>
      <w:r w:rsidR="00C97A2A" w:rsidRPr="00A85D75">
        <w:t>maximise</w:t>
      </w:r>
      <w:r w:rsidR="00DA631D" w:rsidRPr="00A85D75">
        <w:t xml:space="preserve"> the</w:t>
      </w:r>
      <w:r w:rsidR="00C97A2A" w:rsidRPr="00A85D75">
        <w:t xml:space="preserve"> public benefit derived from use of the band</w:t>
      </w:r>
      <w:r w:rsidR="00772E0C" w:rsidRPr="00A85D75">
        <w:t xml:space="preserve">, </w:t>
      </w:r>
      <w:r w:rsidR="00DA3207" w:rsidRPr="00A85D75">
        <w:t xml:space="preserve">on the basis of extremely </w:t>
      </w:r>
      <w:r w:rsidR="00DA631D" w:rsidRPr="00A85D75">
        <w:t xml:space="preserve">limited information about each operator’s capacity to do this. </w:t>
      </w:r>
      <w:r w:rsidR="005F2F6D" w:rsidRPr="00A85D75">
        <w:t xml:space="preserve">A market-based process such as an auction </w:t>
      </w:r>
      <w:r w:rsidR="00F21CB1" w:rsidRPr="00A85D75">
        <w:t xml:space="preserve">enables </w:t>
      </w:r>
      <w:r w:rsidR="005F2F6D" w:rsidRPr="00A85D75">
        <w:t xml:space="preserve">prospective entrants to </w:t>
      </w:r>
      <w:r w:rsidR="00F21CB1" w:rsidRPr="00A85D75">
        <w:t xml:space="preserve">express </w:t>
      </w:r>
      <w:r w:rsidR="0025231F" w:rsidRPr="00A85D75">
        <w:t>their</w:t>
      </w:r>
      <w:r w:rsidR="00F21CB1" w:rsidRPr="00A85D75">
        <w:t xml:space="preserve"> private value of access to the spectrum in any </w:t>
      </w:r>
      <w:r w:rsidR="00870F4E" w:rsidRPr="00A85D75">
        <w:t xml:space="preserve">decision </w:t>
      </w:r>
      <w:r w:rsidR="008B3C00" w:rsidRPr="00A85D75">
        <w:t xml:space="preserve">to participate </w:t>
      </w:r>
      <w:r w:rsidR="00B13F27">
        <w:t>in the process</w:t>
      </w:r>
      <w:r w:rsidR="008B3C00" w:rsidRPr="00A85D75">
        <w:t>.</w:t>
      </w:r>
    </w:p>
    <w:p w14:paraId="5302DCD0" w14:textId="77777777" w:rsidR="0068651E" w:rsidRPr="00A85D75" w:rsidRDefault="0068651E" w:rsidP="002451EE">
      <w:pPr>
        <w:pStyle w:val="Heading3"/>
      </w:pPr>
      <w:bookmarkStart w:id="74" w:name="_Toc56965692"/>
      <w:bookmarkStart w:id="75" w:name="_Toc61364838"/>
      <w:r w:rsidRPr="00A85D75">
        <w:t>Direct air-to-ground communications</w:t>
      </w:r>
      <w:bookmarkEnd w:id="74"/>
      <w:bookmarkEnd w:id="75"/>
      <w:r w:rsidRPr="00A85D75">
        <w:t xml:space="preserve"> </w:t>
      </w:r>
    </w:p>
    <w:p w14:paraId="2FDE06AF" w14:textId="48094C25" w:rsidR="0068651E" w:rsidRPr="00A85D75" w:rsidRDefault="0068651E" w:rsidP="00706802">
      <w:pPr>
        <w:pStyle w:val="Paragraph"/>
      </w:pPr>
      <w:r w:rsidRPr="00A85D75">
        <w:t>Six respondents supported direct air-to-ground communications, a</w:t>
      </w:r>
      <w:r w:rsidR="00B85667" w:rsidRPr="00A85D75">
        <w:t>n</w:t>
      </w:r>
      <w:r w:rsidRPr="00A85D75">
        <w:t xml:space="preserve"> increase over the </w:t>
      </w:r>
      <w:r w:rsidR="00415585">
        <w:t>2</w:t>
      </w:r>
      <w:r w:rsidR="00415585" w:rsidRPr="00A85D75">
        <w:t xml:space="preserve"> </w:t>
      </w:r>
      <w:r w:rsidRPr="00A85D75">
        <w:t xml:space="preserve">supporters </w:t>
      </w:r>
      <w:r w:rsidR="000265CA" w:rsidRPr="00A85D75">
        <w:t xml:space="preserve">(Telstra and Nokia) </w:t>
      </w:r>
      <w:r w:rsidRPr="00A85D75">
        <w:t xml:space="preserve">who submitted to the 2019 consultation. </w:t>
      </w:r>
      <w:r w:rsidR="00DC5997" w:rsidRPr="00A85D75">
        <w:t>Resp</w:t>
      </w:r>
      <w:r w:rsidR="00B225B2" w:rsidRPr="00A85D75">
        <w:t>ondents</w:t>
      </w:r>
      <w:r w:rsidR="00DC5997" w:rsidRPr="00A85D75">
        <w:t xml:space="preserve"> to the options paper</w:t>
      </w:r>
      <w:r w:rsidRPr="00A85D75">
        <w:t xml:space="preserve"> were either equipment suppliers (</w:t>
      </w:r>
      <w:proofErr w:type="spellStart"/>
      <w:r w:rsidRPr="00A85D75">
        <w:t>Flightcell</w:t>
      </w:r>
      <w:proofErr w:type="spellEnd"/>
      <w:r w:rsidRPr="00A85D75">
        <w:t xml:space="preserve">, Nokia and </w:t>
      </w:r>
      <w:proofErr w:type="spellStart"/>
      <w:r w:rsidRPr="00A85D75">
        <w:t>SkyFive</w:t>
      </w:r>
      <w:proofErr w:type="spellEnd"/>
      <w:r w:rsidRPr="00A85D75">
        <w:t>) or potential users of the service from the aviation industry (</w:t>
      </w:r>
      <w:proofErr w:type="spellStart"/>
      <w:r w:rsidRPr="00A85D75">
        <w:t>LifeFlight</w:t>
      </w:r>
      <w:proofErr w:type="spellEnd"/>
      <w:r w:rsidRPr="00A85D75">
        <w:t xml:space="preserve">, Regional Express and </w:t>
      </w:r>
      <w:r w:rsidR="00415585">
        <w:t xml:space="preserve">the </w:t>
      </w:r>
      <w:r w:rsidRPr="00A85D75">
        <w:t>Royal Flying Doctor Service).</w:t>
      </w:r>
    </w:p>
    <w:p w14:paraId="73B3295C" w14:textId="27BB0853" w:rsidR="0068651E" w:rsidRPr="00A85D75" w:rsidRDefault="0068651E" w:rsidP="00706802">
      <w:pPr>
        <w:pStyle w:val="Paragraph"/>
      </w:pPr>
      <w:r w:rsidRPr="00A85D75">
        <w:lastRenderedPageBreak/>
        <w:t xml:space="preserve">Most respondents are seeking an allocation matching the </w:t>
      </w:r>
      <w:hyperlink r:id="rId46" w:history="1">
        <w:r w:rsidRPr="00A85D75">
          <w:rPr>
            <w:rStyle w:val="Hyperlink"/>
          </w:rPr>
          <w:t>European Aviation Network</w:t>
        </w:r>
      </w:hyperlink>
      <w:r w:rsidRPr="00A85D75">
        <w:t xml:space="preserve"> (EAN)</w:t>
      </w:r>
      <w:r w:rsidR="00AF5AEA" w:rsidRPr="00A85D75">
        <w:t xml:space="preserve">.  As noted in the </w:t>
      </w:r>
      <w:r w:rsidR="009D4F57" w:rsidRPr="00A85D75">
        <w:t>options paper</w:t>
      </w:r>
      <w:r w:rsidR="00FC03E8">
        <w:t>,</w:t>
      </w:r>
      <w:r w:rsidR="009D4F57" w:rsidRPr="00A85D75">
        <w:t xml:space="preserve"> </w:t>
      </w:r>
      <w:r w:rsidR="00C3139F" w:rsidRPr="00A85D75">
        <w:t>i</w:t>
      </w:r>
      <w:r w:rsidR="009D4F57" w:rsidRPr="00A85D75">
        <w:t xml:space="preserve">n the European Union the </w:t>
      </w:r>
      <w:r w:rsidR="00C3139F" w:rsidRPr="00A85D75">
        <w:t xml:space="preserve">2 GHz </w:t>
      </w:r>
      <w:r w:rsidR="009D4F57" w:rsidRPr="00A85D75">
        <w:t>band is planned for MSS, including the complementary ground component</w:t>
      </w:r>
      <w:r w:rsidR="009D4F57" w:rsidRPr="00A85D75">
        <w:rPr>
          <w:rStyle w:val="FootnoteReference"/>
        </w:rPr>
        <w:footnoteReference w:id="10"/>
      </w:r>
      <w:r w:rsidR="009D4F57" w:rsidRPr="00A85D75">
        <w:t xml:space="preserve"> with licences issued to </w:t>
      </w:r>
      <w:r w:rsidR="00415585">
        <w:t xml:space="preserve">2 </w:t>
      </w:r>
      <w:r w:rsidR="009D4F57" w:rsidRPr="00A85D75">
        <w:t>operators.</w:t>
      </w:r>
      <w:r w:rsidR="009D4F57" w:rsidRPr="00A85D75">
        <w:rPr>
          <w:rStyle w:val="FootnoteReference"/>
        </w:rPr>
        <w:footnoteReference w:id="11"/>
      </w:r>
      <w:r w:rsidR="00C3139F" w:rsidRPr="00A85D75">
        <w:t xml:space="preserve"> One of which is Inmarsat who operates the </w:t>
      </w:r>
      <w:r w:rsidR="00083E1F">
        <w:t>EAN</w:t>
      </w:r>
      <w:r w:rsidR="00E8549D" w:rsidRPr="00A85D75">
        <w:t xml:space="preserve"> in</w:t>
      </w:r>
      <w:r w:rsidRPr="00A85D75">
        <w:t xml:space="preserve"> the lower half of the 2 GHz band (2 x 15 MHz)</w:t>
      </w:r>
      <w:r w:rsidR="00E8549D" w:rsidRPr="00A85D75">
        <w:t xml:space="preserve">. </w:t>
      </w:r>
      <w:r w:rsidR="00664BC3" w:rsidRPr="00A85D75">
        <w:t xml:space="preserve">Advocates for </w:t>
      </w:r>
      <w:r w:rsidR="00FC0860" w:rsidRPr="00A85D75">
        <w:t xml:space="preserve">direct air-to-ground communications </w:t>
      </w:r>
      <w:r w:rsidR="003B0A98" w:rsidRPr="00A85D75">
        <w:t>consider</w:t>
      </w:r>
      <w:r w:rsidR="00FC0860" w:rsidRPr="00A85D75">
        <w:t xml:space="preserve">ed </w:t>
      </w:r>
      <w:r w:rsidR="003B0A98" w:rsidRPr="00A85D75">
        <w:t>that spectrum arrangements match</w:t>
      </w:r>
      <w:r w:rsidRPr="00A85D75">
        <w:t>ing the EAN would ensure equipment designed for this network is compatible with a future Australian implementation.</w:t>
      </w:r>
    </w:p>
    <w:p w14:paraId="45ED2307" w14:textId="7355C499" w:rsidR="00F46C38" w:rsidRPr="00A85D75" w:rsidRDefault="00065F22" w:rsidP="00706802">
      <w:pPr>
        <w:pStyle w:val="Paragraph"/>
      </w:pPr>
      <w:r w:rsidRPr="00A85D75">
        <w:t xml:space="preserve">The </w:t>
      </w:r>
      <w:r w:rsidR="00874E8D" w:rsidRPr="00A85D75">
        <w:t xml:space="preserve">ACMA </w:t>
      </w:r>
      <w:r w:rsidR="000733AD" w:rsidRPr="00A85D75">
        <w:t>maintains</w:t>
      </w:r>
      <w:r w:rsidRPr="00A85D75">
        <w:t xml:space="preserve"> the view </w:t>
      </w:r>
      <w:r w:rsidR="002E5D97" w:rsidRPr="00A85D75">
        <w:t xml:space="preserve">expressed in the options paper </w:t>
      </w:r>
      <w:r w:rsidRPr="00A85D75">
        <w:t xml:space="preserve">that </w:t>
      </w:r>
      <w:r w:rsidR="004B3094" w:rsidRPr="00A85D75">
        <w:t>there is a high level of uncertainty surrounding the potential benefits of these services</w:t>
      </w:r>
      <w:r w:rsidR="009C52A0" w:rsidRPr="00A85D75">
        <w:t>,</w:t>
      </w:r>
      <w:r w:rsidR="004B3094" w:rsidRPr="00A85D75">
        <w:t xml:space="preserve"> as their future uptake and viability is unclear in Australia. In some circumstances, the same functionality can be provided by satellite systems, which are already in operation providing gate-to-gate connectivity to commercial airlines</w:t>
      </w:r>
      <w:r w:rsidR="001A29AE">
        <w:t>.</w:t>
      </w:r>
    </w:p>
    <w:p w14:paraId="3F1E7D8D" w14:textId="722D9820" w:rsidR="004B3094" w:rsidRPr="00A85D75" w:rsidRDefault="00B77759" w:rsidP="00706802">
      <w:pPr>
        <w:pStyle w:val="Paragraph"/>
      </w:pPr>
      <w:r w:rsidRPr="00A85D75">
        <w:t>We consider</w:t>
      </w:r>
      <w:r w:rsidR="004B3094" w:rsidRPr="00A85D75">
        <w:t xml:space="preserve"> a framework that supports complementary ground component infrastructure can also be designed to support direct air-to-ground communications.</w:t>
      </w:r>
      <w:r w:rsidR="0094552C" w:rsidRPr="00A85D75">
        <w:t xml:space="preserve"> </w:t>
      </w:r>
      <w:r w:rsidR="00DA2C93">
        <w:t>Therefore</w:t>
      </w:r>
      <w:r w:rsidR="00415585">
        <w:t>,</w:t>
      </w:r>
      <w:r w:rsidR="004B3094" w:rsidRPr="00A85D75">
        <w:t xml:space="preserve"> direct air-to-ground communications could be supported under option 3 if desired by </w:t>
      </w:r>
      <w:r w:rsidR="002A127A">
        <w:t>a</w:t>
      </w:r>
      <w:r w:rsidR="002A127A" w:rsidRPr="00A85D75">
        <w:t xml:space="preserve"> </w:t>
      </w:r>
      <w:r w:rsidR="004B3094" w:rsidRPr="00A85D75">
        <w:t>licensee.</w:t>
      </w:r>
    </w:p>
    <w:p w14:paraId="5E501E6F" w14:textId="18679A32" w:rsidR="005A0454" w:rsidRPr="00A85D75" w:rsidRDefault="00D31F07" w:rsidP="00706802">
      <w:pPr>
        <w:pStyle w:val="Paragraph"/>
      </w:pPr>
      <w:r w:rsidRPr="00A85D75">
        <w:t>This</w:t>
      </w:r>
      <w:r w:rsidR="004F33CC" w:rsidRPr="00A85D75">
        <w:t xml:space="preserve"> proposed</w:t>
      </w:r>
      <w:r w:rsidRPr="00A85D75">
        <w:t xml:space="preserve"> arrangement matches the EAN, which </w:t>
      </w:r>
      <w:r w:rsidR="0084293D" w:rsidRPr="00A85D75">
        <w:t>comprises a mobile-satellite service with compl</w:t>
      </w:r>
      <w:r w:rsidR="00595C10" w:rsidRPr="00A85D75">
        <w:t xml:space="preserve">ementary ground component. </w:t>
      </w:r>
    </w:p>
    <w:p w14:paraId="1EA96446" w14:textId="77777777" w:rsidR="0068651E" w:rsidRPr="00A85D75" w:rsidRDefault="0068651E" w:rsidP="002451EE">
      <w:pPr>
        <w:pStyle w:val="Heading3"/>
      </w:pPr>
      <w:bookmarkStart w:id="76" w:name="_Toc56965693"/>
      <w:bookmarkStart w:id="77" w:name="_Toc61364839"/>
      <w:r w:rsidRPr="00A85D75">
        <w:t>Wireless broadband</w:t>
      </w:r>
      <w:bookmarkEnd w:id="76"/>
      <w:bookmarkEnd w:id="77"/>
    </w:p>
    <w:p w14:paraId="6378A174" w14:textId="49936750" w:rsidR="0068651E" w:rsidRPr="00A85D75" w:rsidRDefault="0068651E" w:rsidP="00706802">
      <w:pPr>
        <w:pStyle w:val="Paragraph"/>
        <w:rPr>
          <w:b/>
          <w:bCs/>
        </w:rPr>
      </w:pPr>
      <w:r w:rsidRPr="00A85D75">
        <w:t>Three respondents</w:t>
      </w:r>
      <w:r w:rsidR="00415585">
        <w:t xml:space="preserve"> – </w:t>
      </w:r>
      <w:r w:rsidR="00140EFD" w:rsidRPr="00A85D75">
        <w:t xml:space="preserve">the </w:t>
      </w:r>
      <w:r w:rsidR="00FC540F" w:rsidRPr="00A85D75">
        <w:t>Australian Radio Communications Industry Association (ARCIA)</w:t>
      </w:r>
      <w:r w:rsidRPr="00A85D75">
        <w:t xml:space="preserve">, </w:t>
      </w:r>
      <w:proofErr w:type="spellStart"/>
      <w:r w:rsidRPr="00A85D75">
        <w:t>Pivotel</w:t>
      </w:r>
      <w:proofErr w:type="spellEnd"/>
      <w:r w:rsidRPr="00A85D75">
        <w:t xml:space="preserve"> and </w:t>
      </w:r>
      <w:r w:rsidR="00140EFD" w:rsidRPr="00A85D75">
        <w:t xml:space="preserve">the Wireless </w:t>
      </w:r>
      <w:r w:rsidR="00FC540F" w:rsidRPr="00A85D75">
        <w:rPr>
          <w:u w:color="0000FF"/>
        </w:rPr>
        <w:t>Internet Service Provider Association Australia</w:t>
      </w:r>
      <w:r w:rsidR="00FC540F" w:rsidRPr="00A85D75">
        <w:t xml:space="preserve"> </w:t>
      </w:r>
      <w:r w:rsidR="00140EFD" w:rsidRPr="00A85D75">
        <w:t>(WISPAU)</w:t>
      </w:r>
      <w:r w:rsidR="00415585">
        <w:t xml:space="preserve"> – </w:t>
      </w:r>
      <w:r w:rsidRPr="00A85D75">
        <w:t xml:space="preserve">supported an allocation to wireless broadband services, advocating this as a hybrid option whereby one segment of the band is allocated respectively to either wide-area or local-area wireless broadband. </w:t>
      </w:r>
    </w:p>
    <w:p w14:paraId="25D6B8AF" w14:textId="36EF559C" w:rsidR="0068651E" w:rsidRPr="00A85D75" w:rsidRDefault="0068651E" w:rsidP="00706802">
      <w:pPr>
        <w:pStyle w:val="Paragraph"/>
        <w:rPr>
          <w:b/>
          <w:bCs/>
        </w:rPr>
      </w:pPr>
      <w:r w:rsidRPr="00A85D75">
        <w:t>Mobile network operators Optus</w:t>
      </w:r>
      <w:r w:rsidR="00706802" w:rsidRPr="00A85D75">
        <w:t xml:space="preserve"> </w:t>
      </w:r>
      <w:r w:rsidRPr="00A85D75">
        <w:t xml:space="preserve">and TPG Telecom did not support an allocation to wireless broadband, as it is not an immediate priority in their spectrum roadmaps. Optus’s primary concern is protection of adjacent-band spectrum-licensed services, while TPG Telecom supports an interim allocation to MSS of around </w:t>
      </w:r>
      <w:r w:rsidR="009D7CC5">
        <w:t>2</w:t>
      </w:r>
      <w:r w:rsidR="009D7CC5" w:rsidRPr="00A85D75">
        <w:t xml:space="preserve"> </w:t>
      </w:r>
      <w:r w:rsidRPr="00A85D75">
        <w:t xml:space="preserve">years and then re-evaluate when interest in the 2 GHz band for IMT services is expected to increase. </w:t>
      </w:r>
    </w:p>
    <w:p w14:paraId="3AF60C24" w14:textId="671E7F5D" w:rsidR="00E66D8E" w:rsidRPr="00A85D75" w:rsidRDefault="00BE1B73" w:rsidP="00B93DB4">
      <w:r w:rsidRPr="00A85D75">
        <w:t xml:space="preserve">The ACMA </w:t>
      </w:r>
      <w:r w:rsidR="001D1621" w:rsidRPr="00A85D75">
        <w:t>supports the</w:t>
      </w:r>
      <w:r w:rsidR="00D109C2" w:rsidRPr="00A85D75">
        <w:t xml:space="preserve"> conclusion reached in the </w:t>
      </w:r>
      <w:r w:rsidR="001D1621" w:rsidRPr="00A85D75">
        <w:t>option</w:t>
      </w:r>
      <w:r w:rsidR="00083E1F">
        <w:t>s</w:t>
      </w:r>
      <w:r w:rsidR="001D1621" w:rsidRPr="00A85D75">
        <w:t xml:space="preserve"> paper </w:t>
      </w:r>
      <w:r w:rsidR="00D109C2" w:rsidRPr="00A85D75">
        <w:t>cost-benefit analysis,</w:t>
      </w:r>
      <w:r w:rsidR="001D1621" w:rsidRPr="00A85D75">
        <w:t xml:space="preserve"> which found that </w:t>
      </w:r>
      <w:r w:rsidR="00C51969" w:rsidRPr="00A85D75">
        <w:t xml:space="preserve">option 3 (MSS) </w:t>
      </w:r>
      <w:r w:rsidR="001C5960" w:rsidRPr="00A85D75">
        <w:t>has a greater net benefit than an exclusive allocation to wireless broadband.</w:t>
      </w:r>
      <w:r w:rsidR="00F27FBB" w:rsidRPr="00A85D75">
        <w:rPr>
          <w:rStyle w:val="FootnoteReference"/>
        </w:rPr>
        <w:footnoteReference w:id="12"/>
      </w:r>
      <w:r w:rsidR="001C5960" w:rsidRPr="00A85D75">
        <w:t xml:space="preserve"> T</w:t>
      </w:r>
      <w:r w:rsidR="00E66D8E" w:rsidRPr="00A85D75">
        <w:t xml:space="preserve">he optionality afforded by </w:t>
      </w:r>
      <w:r w:rsidR="001C5960" w:rsidRPr="00A85D75">
        <w:t>o</w:t>
      </w:r>
      <w:r w:rsidR="00E66D8E" w:rsidRPr="00A85D75">
        <w:t xml:space="preserve">ption 3 </w:t>
      </w:r>
      <w:r w:rsidR="001D2D5A">
        <w:t>would enable</w:t>
      </w:r>
      <w:r w:rsidR="00E66D8E" w:rsidRPr="00A85D75">
        <w:t xml:space="preserve"> </w:t>
      </w:r>
      <w:r w:rsidR="001C5960" w:rsidRPr="00A85D75">
        <w:t>licensees</w:t>
      </w:r>
      <w:r w:rsidR="00E66D8E" w:rsidRPr="00A85D75">
        <w:t xml:space="preserve"> to deploy</w:t>
      </w:r>
      <w:r w:rsidR="001C5960" w:rsidRPr="00A85D75">
        <w:t xml:space="preserve"> a</w:t>
      </w:r>
      <w:r w:rsidR="00E66D8E" w:rsidRPr="00A85D75">
        <w:t xml:space="preserve"> complementary ground component, which</w:t>
      </w:r>
      <w:r w:rsidR="009D7CC5">
        <w:t>,</w:t>
      </w:r>
      <w:r w:rsidR="00E66D8E" w:rsidRPr="00A85D75">
        <w:t xml:space="preserve"> if implemented</w:t>
      </w:r>
      <w:r w:rsidR="009D7CC5">
        <w:t>,</w:t>
      </w:r>
      <w:r w:rsidR="00E66D8E" w:rsidRPr="00A85D75">
        <w:t xml:space="preserve"> could be generally equivalent to a wide-area wireless broadband service.</w:t>
      </w:r>
    </w:p>
    <w:p w14:paraId="345F8FFD" w14:textId="14069F7E" w:rsidR="001661A8" w:rsidRPr="00A85D75" w:rsidRDefault="001661A8" w:rsidP="007F36D5">
      <w:r w:rsidRPr="00A85D75">
        <w:t>There already exists considerable availability for wireless broadband in comparable mid-band frequencies between 1 and 6 GHz</w:t>
      </w:r>
      <w:r w:rsidR="009D7CC5">
        <w:t>,</w:t>
      </w:r>
      <w:r w:rsidRPr="00A85D75">
        <w:t xml:space="preserve"> such that the availability of 2 GHz for wireless broadband would constitute only a 6</w:t>
      </w:r>
      <w:r w:rsidR="009D7CC5">
        <w:t>%</w:t>
      </w:r>
      <w:r w:rsidRPr="00A85D75">
        <w:t xml:space="preserve"> increase. Other bands potentially more suitable for new wireless broadband (especially 5G) are under consideration as part of the concurrent review of the 3.7–4.2 GHz band and the optimisation of the 3.4 GHz band. We acknowledge that many of the current arrangements for wireless broadband </w:t>
      </w:r>
      <w:r w:rsidRPr="00A85D75">
        <w:lastRenderedPageBreak/>
        <w:t>in the mid bands are better suited for wide-area rather than local-area wireless broadband uses, however the 3.7–4.2 GHz band review is also considering additional options for local-area wireless broadband.</w:t>
      </w:r>
      <w:r w:rsidR="00E80252">
        <w:t xml:space="preserve"> For more information on spectrum options for local-area wireless broadband, see </w:t>
      </w:r>
      <w:r w:rsidR="00635B82">
        <w:t>the ACMA’s information paper</w:t>
      </w:r>
      <w:r w:rsidR="005E1807">
        <w:t>,</w:t>
      </w:r>
      <w:r w:rsidR="00635B82">
        <w:t xml:space="preserve"> </w:t>
      </w:r>
      <w:hyperlink r:id="rId47" w:history="1">
        <w:r w:rsidR="005E1807" w:rsidRPr="00485EDB">
          <w:rPr>
            <w:rStyle w:val="Hyperlink"/>
            <w:i/>
            <w:iCs/>
          </w:rPr>
          <w:t>Spectrum options optimised for local area wireless broadband services</w:t>
        </w:r>
      </w:hyperlink>
      <w:r w:rsidR="005E1807">
        <w:t xml:space="preserve"> (May 2020).</w:t>
      </w:r>
    </w:p>
    <w:p w14:paraId="22CE9E01" w14:textId="18CF588E" w:rsidR="006C74D6" w:rsidRPr="00A85D75" w:rsidRDefault="00EC273B" w:rsidP="006C74D6">
      <w:pPr>
        <w:pStyle w:val="Heading1"/>
      </w:pPr>
      <w:bookmarkStart w:id="78" w:name="_Planning_outcomes"/>
      <w:bookmarkStart w:id="79" w:name="_Toc61364840"/>
      <w:bookmarkEnd w:id="78"/>
      <w:r w:rsidRPr="00A85D75">
        <w:lastRenderedPageBreak/>
        <w:t>Planning</w:t>
      </w:r>
      <w:r w:rsidR="005C26C2" w:rsidRPr="00A85D75">
        <w:t xml:space="preserve"> outcomes</w:t>
      </w:r>
      <w:bookmarkEnd w:id="79"/>
    </w:p>
    <w:p w14:paraId="337A4639" w14:textId="1E5CD679" w:rsidR="00310AE9" w:rsidRPr="00A85D75" w:rsidRDefault="00310AE9" w:rsidP="00522E6D">
      <w:pPr>
        <w:pStyle w:val="Heading2"/>
      </w:pPr>
      <w:bookmarkStart w:id="80" w:name="_Toc56965695"/>
      <w:bookmarkStart w:id="81" w:name="_Toc61364841"/>
      <w:r w:rsidRPr="00A85D75">
        <w:t>Introduction</w:t>
      </w:r>
      <w:bookmarkEnd w:id="80"/>
      <w:bookmarkEnd w:id="81"/>
    </w:p>
    <w:p w14:paraId="1779F0D7" w14:textId="5C058F40" w:rsidR="00310AE9" w:rsidRPr="00A85D75" w:rsidRDefault="00310AE9" w:rsidP="00EC273B">
      <w:pPr>
        <w:pStyle w:val="Paragraph"/>
      </w:pPr>
      <w:bookmarkStart w:id="82" w:name="_Hlk19200209"/>
      <w:r w:rsidRPr="00A85D75">
        <w:t xml:space="preserve">This section presents </w:t>
      </w:r>
      <w:r w:rsidRPr="00A85D75" w:rsidDel="00E31A1E">
        <w:t xml:space="preserve">planning decisions </w:t>
      </w:r>
      <w:r w:rsidRPr="00A85D75">
        <w:t xml:space="preserve">made for the 2 GHz band. It also details </w:t>
      </w:r>
      <w:r w:rsidRPr="00A85D75" w:rsidDel="00E31A1E">
        <w:t xml:space="preserve">preliminary views </w:t>
      </w:r>
      <w:r w:rsidRPr="00A85D75">
        <w:t>the ACMA has formed on the associated licensing and technical conditions that will subsequently be developed.</w:t>
      </w:r>
      <w:bookmarkEnd w:id="82"/>
      <w:r w:rsidRPr="00A85D75">
        <w:t xml:space="preserve"> We will conduct additional consultation processes on relevant </w:t>
      </w:r>
      <w:r w:rsidR="00773A83">
        <w:t xml:space="preserve">regulatory </w:t>
      </w:r>
      <w:r w:rsidR="00322D9D">
        <w:t>arrangements</w:t>
      </w:r>
      <w:r w:rsidRPr="00A85D75">
        <w:t xml:space="preserve"> as required, in accordance with normal practice. Indicative timeframes for the subsequent work required to implement planning decisions are presented in the next steps section below.</w:t>
      </w:r>
    </w:p>
    <w:p w14:paraId="7511934C" w14:textId="77777777" w:rsidR="00EC273B" w:rsidRPr="00A85D75" w:rsidRDefault="00DA6E3D" w:rsidP="00EC273B">
      <w:pPr>
        <w:pStyle w:val="Paragraph"/>
      </w:pPr>
      <w:r w:rsidRPr="00A85D75">
        <w:t>In</w:t>
      </w:r>
      <w:r w:rsidR="00781004" w:rsidRPr="00A85D75">
        <w:t xml:space="preserve"> </w:t>
      </w:r>
      <w:r w:rsidR="00B361CA" w:rsidRPr="00A85D75">
        <w:t>the</w:t>
      </w:r>
      <w:r w:rsidR="00781004" w:rsidRPr="00A85D75">
        <w:t xml:space="preserve"> options paper of July 2020</w:t>
      </w:r>
      <w:r w:rsidRPr="00A85D75">
        <w:t>, we</w:t>
      </w:r>
      <w:r w:rsidR="00781004" w:rsidRPr="00A85D75">
        <w:t xml:space="preserve"> assessed</w:t>
      </w:r>
      <w:r w:rsidR="00991C47" w:rsidRPr="00A85D75">
        <w:t xml:space="preserve"> </w:t>
      </w:r>
      <w:r w:rsidR="00882917" w:rsidRPr="00A85D75">
        <w:t xml:space="preserve">proposed replanning </w:t>
      </w:r>
      <w:r w:rsidR="00991C47" w:rsidRPr="00A85D75">
        <w:t>option</w:t>
      </w:r>
      <w:r w:rsidR="00882917" w:rsidRPr="00A85D75">
        <w:t>s</w:t>
      </w:r>
      <w:r w:rsidR="00781004" w:rsidRPr="00A85D75">
        <w:t xml:space="preserve"> against a set of desirable planning outcomes identified for the band.</w:t>
      </w:r>
      <w:r w:rsidR="00882917" w:rsidRPr="00A85D75">
        <w:rPr>
          <w:rStyle w:val="FootnoteReference"/>
        </w:rPr>
        <w:footnoteReference w:id="13"/>
      </w:r>
      <w:r w:rsidR="00781004" w:rsidRPr="00A85D75">
        <w:t xml:space="preserve"> When assessing options, both qualitative and quantitative factors (through a cost-benefit analysis) were considered in an integrated manner</w:t>
      </w:r>
      <w:r w:rsidR="00FE7D18" w:rsidRPr="00A85D75">
        <w:t xml:space="preserve">. </w:t>
      </w:r>
      <w:r w:rsidR="00422FBF" w:rsidRPr="00A85D75">
        <w:t>As a result of this analysis, option 3 (MSS</w:t>
      </w:r>
      <w:r w:rsidR="00AB01AE" w:rsidRPr="00A85D75">
        <w:t xml:space="preserve"> with complementary ground component</w:t>
      </w:r>
      <w:r w:rsidR="00422FBF" w:rsidRPr="00A85D75">
        <w:t xml:space="preserve">) </w:t>
      </w:r>
      <w:r w:rsidR="005E28BB" w:rsidRPr="00A85D75">
        <w:t xml:space="preserve">was identified as most likely to maximise the public benefit from use of the 2 GHz </w:t>
      </w:r>
      <w:proofErr w:type="gramStart"/>
      <w:r w:rsidR="005E28BB" w:rsidRPr="00A85D75">
        <w:t>band, and</w:t>
      </w:r>
      <w:proofErr w:type="gramEnd"/>
      <w:r w:rsidR="005E28BB" w:rsidRPr="00A85D75">
        <w:t xml:space="preserve"> was therefore presented as the ACMA’s preliminary preferred option</w:t>
      </w:r>
      <w:r w:rsidR="00AB33F3" w:rsidRPr="00A85D75">
        <w:t>.</w:t>
      </w:r>
    </w:p>
    <w:p w14:paraId="10DF56E1" w14:textId="64CA4F55" w:rsidR="00FE7D18" w:rsidRPr="00A85D75" w:rsidRDefault="00D6415B" w:rsidP="00310AE9">
      <w:pPr>
        <w:pStyle w:val="Paragraph"/>
      </w:pPr>
      <w:r w:rsidRPr="00A85D75">
        <w:t>R</w:t>
      </w:r>
      <w:r w:rsidR="00DA6E3D" w:rsidRPr="00A85D75">
        <w:t xml:space="preserve">esponses to the options paper did not provide compelling evidence to diverge from </w:t>
      </w:r>
      <w:r w:rsidR="005E28BB" w:rsidRPr="00A85D75">
        <w:t>this</w:t>
      </w:r>
      <w:r w:rsidR="00DA6E3D" w:rsidRPr="00A85D75">
        <w:t xml:space="preserve"> view</w:t>
      </w:r>
      <w:r w:rsidR="005E28BB" w:rsidRPr="00A85D75">
        <w:t>.</w:t>
      </w:r>
      <w:r w:rsidR="00DA2C93">
        <w:t xml:space="preserve"> Therefore,</w:t>
      </w:r>
      <w:r w:rsidR="00B579D5" w:rsidRPr="00A85D75">
        <w:t xml:space="preserve"> we consider that no changes are required to the estimates presented in the cost-benefit analysis, and consequently no change to the ACMA’s assessment of options</w:t>
      </w:r>
      <w:r w:rsidR="00F92B36" w:rsidRPr="00A85D75">
        <w:t>.</w:t>
      </w:r>
    </w:p>
    <w:p w14:paraId="4A4B2362" w14:textId="2ACC3744" w:rsidR="00235312" w:rsidRPr="00A85D75" w:rsidRDefault="00E6165D" w:rsidP="002C7A1D">
      <w:pPr>
        <w:pStyle w:val="Paragraph"/>
      </w:pPr>
      <w:r w:rsidRPr="00A85D75">
        <w:t>Planning decisions for the 2 GHz band are discussed in detail below</w:t>
      </w:r>
      <w:r w:rsidR="008637AD" w:rsidRPr="00A85D75">
        <w:t xml:space="preserve">, together with additional </w:t>
      </w:r>
      <w:r w:rsidR="00316868" w:rsidRPr="00A85D75">
        <w:t xml:space="preserve">material on key </w:t>
      </w:r>
      <w:r w:rsidR="001551C2" w:rsidRPr="00A85D75">
        <w:t>replanning activities</w:t>
      </w:r>
      <w:r w:rsidR="00316868" w:rsidRPr="00A85D75">
        <w:t xml:space="preserve"> to aid understanding of the ACMA decisions.</w:t>
      </w:r>
    </w:p>
    <w:p w14:paraId="066BD1EE" w14:textId="36F3E1B6" w:rsidR="00D44E94" w:rsidRPr="00A85D75" w:rsidRDefault="00297648" w:rsidP="00522E6D">
      <w:pPr>
        <w:pStyle w:val="Heading2"/>
      </w:pPr>
      <w:bookmarkStart w:id="83" w:name="_Toc56965697"/>
      <w:bookmarkStart w:id="84" w:name="_Toc61364842"/>
      <w:r w:rsidRPr="00A85D75">
        <w:t>Planning decisions</w:t>
      </w:r>
      <w:bookmarkEnd w:id="83"/>
      <w:bookmarkEnd w:id="84"/>
    </w:p>
    <w:p w14:paraId="0EC7FA2C" w14:textId="77777777" w:rsidR="00862F7B" w:rsidRPr="00A85D75" w:rsidRDefault="00862F7B" w:rsidP="00862F7B">
      <w:r w:rsidRPr="00A85D75">
        <w:t xml:space="preserve">The ACMA has concluded that arrangements consistent with its preliminary preferred option (option 3) that enable mobile satellite use of the band (including complementary ground component) are expected to maximise the overall public benefit derived from use of the band. </w:t>
      </w:r>
    </w:p>
    <w:p w14:paraId="28D51C90" w14:textId="77777777" w:rsidR="00862F7B" w:rsidRPr="00A85D75" w:rsidRDefault="00862F7B" w:rsidP="00485EDB">
      <w:pPr>
        <w:pStyle w:val="Paragraphbeforelist"/>
        <w:rPr>
          <w:szCs w:val="20"/>
        </w:rPr>
      </w:pPr>
      <w:r w:rsidRPr="00A85D75">
        <w:t>Key planning decisions identified for the 2 GHz band are therefore:</w:t>
      </w:r>
    </w:p>
    <w:p w14:paraId="12B58B18" w14:textId="7DB7A127" w:rsidR="00862F7B" w:rsidRPr="00A85D75" w:rsidRDefault="00862F7B" w:rsidP="00862F7B">
      <w:pPr>
        <w:pStyle w:val="ListBullet"/>
      </w:pPr>
      <w:r w:rsidRPr="00A85D75">
        <w:t>Introduce apparatus licensing arrangements to support introduction of mobile</w:t>
      </w:r>
      <w:r w:rsidR="00351D1B">
        <w:t>-</w:t>
      </w:r>
      <w:r w:rsidRPr="00A85D75">
        <w:t>satellite services Australia</w:t>
      </w:r>
      <w:r w:rsidR="00351D1B">
        <w:t>-</w:t>
      </w:r>
      <w:r w:rsidRPr="00A85D75">
        <w:t xml:space="preserve">wide on an exclusive basis in the frequency ranges 1980–2005 MHz paired with 2170–2195 MHz, a total bandwidth of 2 x 25 MHz. </w:t>
      </w:r>
    </w:p>
    <w:p w14:paraId="59A5D5D5" w14:textId="79DB0342" w:rsidR="00862F7B" w:rsidRPr="00A85D75" w:rsidRDefault="00862F7B" w:rsidP="00862F7B">
      <w:pPr>
        <w:pStyle w:val="ListBullet"/>
      </w:pPr>
      <w:r w:rsidRPr="00A85D75">
        <w:t>Develop apparatus licensing arrangements to facilitate deployment of a complementary ground component (including direct air-to-ground communications service) in the range 1980–2005 MHz paired with 2170–2195 MHz where a mobile</w:t>
      </w:r>
      <w:r w:rsidR="00351D1B">
        <w:t>-</w:t>
      </w:r>
      <w:r w:rsidRPr="00A85D75">
        <w:t>satellite licensee wishes to supplement its mobile</w:t>
      </w:r>
      <w:r w:rsidR="00351D1B">
        <w:t>-</w:t>
      </w:r>
      <w:r w:rsidRPr="00A85D75">
        <w:t xml:space="preserve">satellite service. Our preliminary view is that </w:t>
      </w:r>
      <w:r w:rsidR="00D41A7A">
        <w:t xml:space="preserve">some </w:t>
      </w:r>
      <w:r w:rsidR="00623F78">
        <w:t xml:space="preserve">form of obligation (such as licence conditions) </w:t>
      </w:r>
      <w:r w:rsidRPr="00A85D75">
        <w:t>should be established</w:t>
      </w:r>
      <w:r w:rsidR="00FC5464" w:rsidRPr="00FC5464">
        <w:t xml:space="preserve"> </w:t>
      </w:r>
      <w:r w:rsidR="00FC5464" w:rsidRPr="00ED0F50">
        <w:t>to require licensees to deploy a mobile-satellite service before operation of a complementary ground component is permitted</w:t>
      </w:r>
      <w:r w:rsidRPr="00A85D75">
        <w:t xml:space="preserve">.  </w:t>
      </w:r>
    </w:p>
    <w:p w14:paraId="4A093C79" w14:textId="57470003" w:rsidR="00862F7B" w:rsidRPr="00A85D75" w:rsidRDefault="00862F7B" w:rsidP="00862F7B">
      <w:pPr>
        <w:pStyle w:val="ListBullet"/>
      </w:pPr>
      <w:r w:rsidRPr="00A85D75">
        <w:t>That technical restrictions are required in the frequency range 2005–2010 MHz and 2195–2200 MHz to protect adjacent</w:t>
      </w:r>
      <w:r w:rsidR="00351D1B">
        <w:t>-</w:t>
      </w:r>
      <w:r w:rsidRPr="00A85D75">
        <w:t xml:space="preserve">band </w:t>
      </w:r>
      <w:r w:rsidR="00351D1B">
        <w:t>TOB</w:t>
      </w:r>
      <w:r w:rsidRPr="00A85D75">
        <w:t xml:space="preserve"> services</w:t>
      </w:r>
    </w:p>
    <w:p w14:paraId="5F61BD9B" w14:textId="22D471D9" w:rsidR="00862F7B" w:rsidRPr="00A85D75" w:rsidRDefault="00862F7B" w:rsidP="00485EDB">
      <w:pPr>
        <w:pStyle w:val="ListBullet"/>
        <w:keepLines/>
      </w:pPr>
      <w:r w:rsidRPr="00A85D75">
        <w:lastRenderedPageBreak/>
        <w:t>Introduce arrangements Australia</w:t>
      </w:r>
      <w:r w:rsidR="00351D1B">
        <w:t>-</w:t>
      </w:r>
      <w:r w:rsidRPr="00A85D75">
        <w:t>wide to support on a shared basis amongst suitable satellite operators narrowband mobile</w:t>
      </w:r>
      <w:r w:rsidR="00351D1B">
        <w:t>-</w:t>
      </w:r>
      <w:r w:rsidRPr="00A85D75">
        <w:t xml:space="preserve">satellite services in 2005–2010 MHz and 2195–2200 MHz (a bandwidth of 2 x 5 MHz) for use by services such as </w:t>
      </w:r>
      <w:r w:rsidRPr="00A85D75">
        <w:rPr>
          <w:lang w:eastAsia="en-US"/>
        </w:rPr>
        <w:t>telemetry, short messaging, and low</w:t>
      </w:r>
      <w:r w:rsidR="00E66824">
        <w:rPr>
          <w:lang w:eastAsia="en-US"/>
        </w:rPr>
        <w:t>-</w:t>
      </w:r>
      <w:r w:rsidRPr="00A85D75">
        <w:rPr>
          <w:lang w:eastAsia="en-US"/>
        </w:rPr>
        <w:t>dat</w:t>
      </w:r>
      <w:r w:rsidR="00E66824">
        <w:rPr>
          <w:lang w:eastAsia="en-US"/>
        </w:rPr>
        <w:t>a-</w:t>
      </w:r>
      <w:r w:rsidRPr="00A85D75">
        <w:rPr>
          <w:lang w:eastAsia="en-US"/>
        </w:rPr>
        <w:t>rate services (for example satellite IoT applications).</w:t>
      </w:r>
    </w:p>
    <w:p w14:paraId="43B3C05F" w14:textId="5C36DF2C" w:rsidR="00862F7B" w:rsidRPr="00A85D75" w:rsidRDefault="00862F7B" w:rsidP="00862F7B">
      <w:pPr>
        <w:pStyle w:val="ListBullet"/>
      </w:pPr>
      <w:r w:rsidRPr="00A85D75">
        <w:t>To support introduction of mobile</w:t>
      </w:r>
      <w:r w:rsidR="00351D1B">
        <w:t>-</w:t>
      </w:r>
      <w:r w:rsidRPr="00A85D75">
        <w:t xml:space="preserve">satellite services, existing </w:t>
      </w:r>
      <w:r w:rsidR="00351D1B">
        <w:t>TOB</w:t>
      </w:r>
      <w:r w:rsidRPr="00A85D75">
        <w:t xml:space="preserve"> services will be required to cease operation</w:t>
      </w:r>
      <w:r w:rsidR="00FC4581" w:rsidRPr="00A85D75">
        <w:t xml:space="preserve"> after a suitable transition period</w:t>
      </w:r>
      <w:r w:rsidRPr="00A85D75">
        <w:t xml:space="preserve">. </w:t>
      </w:r>
    </w:p>
    <w:p w14:paraId="61E7C6EA" w14:textId="02481953" w:rsidR="00862F7B" w:rsidRPr="00A85D75" w:rsidRDefault="00862F7B" w:rsidP="00862F7B">
      <w:pPr>
        <w:pStyle w:val="ListBullet"/>
      </w:pPr>
      <w:r w:rsidRPr="00A85D75">
        <w:t>Retain legacy fixed point-to-point links operating in remote parts of Australia.</w:t>
      </w:r>
    </w:p>
    <w:p w14:paraId="13C6E703" w14:textId="6BB08836" w:rsidR="00862F7B" w:rsidRPr="00A85D75" w:rsidRDefault="00862F7B" w:rsidP="00862F7B">
      <w:pPr>
        <w:pStyle w:val="ListBullet"/>
      </w:pPr>
      <w:r w:rsidRPr="00A85D75">
        <w:t>To support 2 GHz TOB service</w:t>
      </w:r>
      <w:r w:rsidR="00B6197A">
        <w:t>s</w:t>
      </w:r>
      <w:r w:rsidRPr="00A85D75">
        <w:t xml:space="preserve"> looking to transition to other bands</w:t>
      </w:r>
      <w:r w:rsidR="003D5CD4">
        <w:t>,</w:t>
      </w:r>
      <w:r w:rsidRPr="00A85D75">
        <w:t xml:space="preserve"> the ACMA intends to review channel arrangements in the 7.2 GHz band to reflect current digital technologies used and continue to provide channels for shared non-exclusive usage similar to </w:t>
      </w:r>
      <w:r w:rsidR="009C793D">
        <w:t>current</w:t>
      </w:r>
      <w:r w:rsidR="009C793D" w:rsidRPr="00A85D75">
        <w:t xml:space="preserve"> </w:t>
      </w:r>
      <w:r w:rsidRPr="00A85D75">
        <w:t xml:space="preserve">arrangements </w:t>
      </w:r>
      <w:r w:rsidR="00C34549">
        <w:t>in</w:t>
      </w:r>
      <w:r w:rsidR="00C34549" w:rsidRPr="00A85D75">
        <w:t xml:space="preserve"> </w:t>
      </w:r>
      <w:r w:rsidRPr="00A85D75">
        <w:t>the 2 GHz band.</w:t>
      </w:r>
    </w:p>
    <w:p w14:paraId="50991610" w14:textId="1368040B" w:rsidR="00862F7B" w:rsidRPr="00A85D75" w:rsidRDefault="00862F7B" w:rsidP="00862F7B">
      <w:pPr>
        <w:pStyle w:val="ListBulletLast"/>
      </w:pPr>
      <w:r w:rsidRPr="00A85D75">
        <w:t xml:space="preserve">To support implementation of these planning decisions, the ACMA will implement a policy of restricting any new licences in the 2 GHz band to </w:t>
      </w:r>
      <w:r w:rsidR="002016D1">
        <w:t xml:space="preserve">a </w:t>
      </w:r>
      <w:r w:rsidRPr="00A85D75">
        <w:t>maximum term of one year, with an option for renewal subject to progress of replanning activities.</w:t>
      </w:r>
    </w:p>
    <w:p w14:paraId="7B62BF7D" w14:textId="6500E57D" w:rsidR="005406FB" w:rsidRPr="00A85D75" w:rsidRDefault="005406FB" w:rsidP="001537F5">
      <w:pPr>
        <w:pStyle w:val="Paragraph"/>
        <w:spacing w:after="360"/>
      </w:pPr>
      <w:r w:rsidRPr="00A85D75">
        <w:t>These</w:t>
      </w:r>
      <w:r w:rsidR="007B0FED" w:rsidRPr="00A85D75">
        <w:t xml:space="preserve"> replanning decisions are </w:t>
      </w:r>
      <w:r w:rsidR="00A416DD">
        <w:t xml:space="preserve">illustrated at Figure 1 and </w:t>
      </w:r>
      <w:r w:rsidR="007B0FED" w:rsidRPr="00A85D75">
        <w:t>discussed in further detail below</w:t>
      </w:r>
      <w:r w:rsidR="007937D7" w:rsidRPr="00A85D75">
        <w:t>.</w:t>
      </w:r>
    </w:p>
    <w:p w14:paraId="1D8993F6" w14:textId="77777777" w:rsidR="00462054" w:rsidRPr="00A85D75" w:rsidRDefault="00462054" w:rsidP="007F36D5">
      <w:pPr>
        <w:pStyle w:val="ACMAFigureHeader"/>
        <w:keepNext/>
        <w:spacing w:after="120"/>
      </w:pPr>
      <w:r w:rsidRPr="00A85D75">
        <w:rPr>
          <w:rFonts w:cs="Arial"/>
        </w:rPr>
        <w:t>Planning arrangements for the 2 GHz band</w:t>
      </w:r>
    </w:p>
    <w:p w14:paraId="41FDFA9E" w14:textId="77777777" w:rsidR="00462054" w:rsidRPr="00A85D75" w:rsidRDefault="00462054" w:rsidP="007F36D5">
      <w:pPr>
        <w:spacing w:before="240" w:after="360"/>
      </w:pPr>
      <w:r w:rsidRPr="00A85D75">
        <w:rPr>
          <w:noProof/>
        </w:rPr>
        <w:drawing>
          <wp:inline distT="0" distB="0" distL="0" distR="0" wp14:anchorId="4784465B" wp14:editId="675B2E0E">
            <wp:extent cx="6434323" cy="1892300"/>
            <wp:effectExtent l="0" t="0" r="5080" b="0"/>
            <wp:docPr id="4" name="Picture 4" descr="Diagram of planning arrangements for the 2 GHz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 of planning arrangements for the 2 GHz band"/>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461053" cy="1900161"/>
                    </a:xfrm>
                    <a:prstGeom prst="rect">
                      <a:avLst/>
                    </a:prstGeom>
                    <a:noFill/>
                    <a:ln>
                      <a:noFill/>
                    </a:ln>
                  </pic:spPr>
                </pic:pic>
              </a:graphicData>
            </a:graphic>
          </wp:inline>
        </w:drawing>
      </w:r>
    </w:p>
    <w:p w14:paraId="62F6D7D2" w14:textId="06214642" w:rsidR="007937D7" w:rsidRPr="00A85D75" w:rsidRDefault="007937D7" w:rsidP="007937D7">
      <w:pPr>
        <w:pStyle w:val="Heading3"/>
      </w:pPr>
      <w:bookmarkStart w:id="85" w:name="_Toc56965698"/>
      <w:bookmarkStart w:id="86" w:name="_Toc61364843"/>
      <w:r w:rsidRPr="00A85D75">
        <w:t>Mobile</w:t>
      </w:r>
      <w:r w:rsidR="00351D1B">
        <w:t>-</w:t>
      </w:r>
      <w:r w:rsidRPr="00A85D75">
        <w:t>satellite service with complementary ground component</w:t>
      </w:r>
      <w:bookmarkEnd w:id="85"/>
      <w:bookmarkEnd w:id="86"/>
      <w:r w:rsidR="00662A0E" w:rsidRPr="00A85D75">
        <w:t xml:space="preserve"> </w:t>
      </w:r>
    </w:p>
    <w:p w14:paraId="5F82246D" w14:textId="2AC78F74" w:rsidR="005A371B" w:rsidRPr="00A85D75" w:rsidRDefault="00D303A9" w:rsidP="0006075E">
      <w:pPr>
        <w:pStyle w:val="Paragraph"/>
      </w:pPr>
      <w:r w:rsidRPr="00A85D75">
        <w:t>For</w:t>
      </w:r>
      <w:r w:rsidR="00507286" w:rsidRPr="00A85D75">
        <w:t xml:space="preserve"> </w:t>
      </w:r>
      <w:r w:rsidR="00A22D52" w:rsidRPr="00A85D75">
        <w:t>1980–2005</w:t>
      </w:r>
      <w:r w:rsidR="00862F7B" w:rsidRPr="00A85D75">
        <w:t xml:space="preserve"> and </w:t>
      </w:r>
      <w:r w:rsidR="00A22D52" w:rsidRPr="00A85D75">
        <w:t>2170–2195 MHz</w:t>
      </w:r>
      <w:r w:rsidRPr="00A85D75">
        <w:t xml:space="preserve">, </w:t>
      </w:r>
      <w:r w:rsidR="00F772CD" w:rsidRPr="00A85D75">
        <w:t>r</w:t>
      </w:r>
      <w:r w:rsidR="007937D7" w:rsidRPr="00A85D75">
        <w:t>eplanning of the 2 GHz band will s</w:t>
      </w:r>
      <w:r w:rsidR="0006075E" w:rsidRPr="00A85D75">
        <w:t>upport mobile</w:t>
      </w:r>
      <w:r w:rsidR="00351D1B">
        <w:t>-</w:t>
      </w:r>
      <w:r w:rsidR="0006075E" w:rsidRPr="00A85D75">
        <w:t>satellite</w:t>
      </w:r>
      <w:r w:rsidR="0073292D" w:rsidRPr="00A85D75">
        <w:t xml:space="preserve"> services, including </w:t>
      </w:r>
      <w:r w:rsidR="0006075E" w:rsidRPr="00A85D75">
        <w:t>complementary ground component</w:t>
      </w:r>
      <w:r w:rsidR="00A76EC9" w:rsidRPr="00A85D75">
        <w:t xml:space="preserve">. This will </w:t>
      </w:r>
      <w:r w:rsidR="00DA4159" w:rsidRPr="00A85D75">
        <w:t xml:space="preserve">enable licensees to </w:t>
      </w:r>
      <w:r w:rsidR="00AF32DE" w:rsidRPr="00A85D75">
        <w:t>supplement satellite-based servi</w:t>
      </w:r>
      <w:r w:rsidR="00DA4159" w:rsidRPr="00A85D75">
        <w:t xml:space="preserve">ces with </w:t>
      </w:r>
      <w:r w:rsidR="0006075E" w:rsidRPr="00A85D75">
        <w:t xml:space="preserve">terrestrial </w:t>
      </w:r>
      <w:r w:rsidR="00C15546" w:rsidRPr="00A85D75">
        <w:t xml:space="preserve">infill services in areas where satellite services are </w:t>
      </w:r>
      <w:r w:rsidR="00B54B43" w:rsidRPr="00A85D75">
        <w:t>ineffective or unviable</w:t>
      </w:r>
      <w:r w:rsidR="00F32A7E" w:rsidRPr="00A85D75">
        <w:t>, or where greater capacity is required</w:t>
      </w:r>
      <w:r w:rsidR="00B54B43" w:rsidRPr="00A85D75">
        <w:t xml:space="preserve">. </w:t>
      </w:r>
      <w:r w:rsidR="00A0535A" w:rsidRPr="00A85D75">
        <w:t xml:space="preserve">It will also provide </w:t>
      </w:r>
      <w:r w:rsidR="00DF23D1" w:rsidRPr="00A85D75">
        <w:t>licensees</w:t>
      </w:r>
      <w:r w:rsidR="00A0535A" w:rsidRPr="00A85D75">
        <w:t xml:space="preserve"> with</w:t>
      </w:r>
      <w:r w:rsidR="00DF23D1" w:rsidRPr="00A85D75">
        <w:t xml:space="preserve"> flexibility to </w:t>
      </w:r>
      <w:r w:rsidR="005A371B" w:rsidRPr="00A85D75">
        <w:t>deploy solutions that are optimised for geography (terrain and built environment), coverage goals, user density, and service-level requirements including throughput and latency.</w:t>
      </w:r>
    </w:p>
    <w:p w14:paraId="4714539F" w14:textId="615FEA5D" w:rsidR="0006075E" w:rsidRPr="00A85D75" w:rsidRDefault="00DB32E0" w:rsidP="0006075E">
      <w:pPr>
        <w:pStyle w:val="Paragraph"/>
      </w:pPr>
      <w:r w:rsidRPr="00A85D75">
        <w:t xml:space="preserve">Support for a complementary ground component in the band </w:t>
      </w:r>
      <w:r w:rsidR="00F54B23" w:rsidRPr="00A85D75">
        <w:t xml:space="preserve">also </w:t>
      </w:r>
      <w:r w:rsidRPr="00A85D75">
        <w:t xml:space="preserve">extends to direct air-to-ground communications </w:t>
      </w:r>
      <w:r w:rsidR="00F54B23" w:rsidRPr="00A85D75">
        <w:t xml:space="preserve">services, </w:t>
      </w:r>
      <w:r w:rsidR="003D13FF" w:rsidRPr="00A85D75">
        <w:t xml:space="preserve">as these are technically similar services. </w:t>
      </w:r>
      <w:r w:rsidR="002F6F37" w:rsidRPr="00A85D75">
        <w:t xml:space="preserve">This will provide </w:t>
      </w:r>
      <w:r w:rsidR="00F54B23" w:rsidRPr="00A85D75">
        <w:t>licensee</w:t>
      </w:r>
      <w:r w:rsidR="002F6F37" w:rsidRPr="00A85D75">
        <w:t xml:space="preserve">s with the option </w:t>
      </w:r>
      <w:r w:rsidR="00F54B23" w:rsidRPr="00A85D75">
        <w:t xml:space="preserve">to deploy </w:t>
      </w:r>
      <w:r w:rsidR="002F6F37" w:rsidRPr="00A85D75">
        <w:t>a</w:t>
      </w:r>
      <w:r w:rsidR="00F76CE2" w:rsidRPr="00A85D75">
        <w:t xml:space="preserve"> </w:t>
      </w:r>
      <w:r w:rsidR="002F6F37" w:rsidRPr="00A85D75">
        <w:t xml:space="preserve">direct air-to-ground communications </w:t>
      </w:r>
      <w:r w:rsidR="00F76CE2" w:rsidRPr="00A85D75">
        <w:t>service if desired.</w:t>
      </w:r>
      <w:r w:rsidR="00975B01" w:rsidRPr="00A85D75">
        <w:t xml:space="preserve"> </w:t>
      </w:r>
    </w:p>
    <w:p w14:paraId="0974BA45" w14:textId="6A072423" w:rsidR="001B13E7" w:rsidRPr="00A85D75" w:rsidRDefault="001B13E7" w:rsidP="00485EDB">
      <w:pPr>
        <w:pStyle w:val="Heading3"/>
        <w:keepLines/>
      </w:pPr>
      <w:bookmarkStart w:id="87" w:name="_Toc56965699"/>
      <w:bookmarkStart w:id="88" w:name="_Toc61364844"/>
      <w:r w:rsidRPr="00A85D75">
        <w:t>Narrowband</w:t>
      </w:r>
      <w:r w:rsidR="00AB2EC9" w:rsidRPr="00A85D75">
        <w:t xml:space="preserve"> MSS</w:t>
      </w:r>
      <w:r w:rsidRPr="00A85D75">
        <w:t xml:space="preserve"> applications</w:t>
      </w:r>
      <w:bookmarkEnd w:id="87"/>
      <w:bookmarkEnd w:id="88"/>
    </w:p>
    <w:p w14:paraId="7ADA89E7" w14:textId="0A6D8D93" w:rsidR="002804BE" w:rsidRPr="00A85D75" w:rsidRDefault="00554C32" w:rsidP="007F36D5">
      <w:pPr>
        <w:rPr>
          <w:lang w:eastAsia="en-US"/>
        </w:rPr>
      </w:pPr>
      <w:r w:rsidRPr="00A85D75">
        <w:t xml:space="preserve">The 2 GHz band </w:t>
      </w:r>
      <w:r w:rsidR="006343E1" w:rsidRPr="00A85D75">
        <w:t xml:space="preserve">replanning arrangements </w:t>
      </w:r>
      <w:r w:rsidRPr="00A85D75">
        <w:t xml:space="preserve">will </w:t>
      </w:r>
      <w:r w:rsidR="0030114E" w:rsidRPr="00A85D75">
        <w:t xml:space="preserve">also </w:t>
      </w:r>
      <w:r w:rsidR="006343E1" w:rsidRPr="00A85D75">
        <w:t>provide a</w:t>
      </w:r>
      <w:r w:rsidR="00234934" w:rsidRPr="00A85D75">
        <w:t xml:space="preserve"> 2 x 5 MHz shared segment </w:t>
      </w:r>
      <w:r w:rsidR="00972C8C" w:rsidRPr="00A85D75">
        <w:t>(2005–2010</w:t>
      </w:r>
      <w:r w:rsidR="005A7BA7" w:rsidRPr="00A85D75">
        <w:t xml:space="preserve"> and </w:t>
      </w:r>
      <w:r w:rsidR="00972C8C" w:rsidRPr="00A85D75">
        <w:t xml:space="preserve">2195–2200 MHz) </w:t>
      </w:r>
      <w:r w:rsidR="00234934" w:rsidRPr="00A85D75">
        <w:t xml:space="preserve">for use </w:t>
      </w:r>
      <w:r w:rsidR="00234934" w:rsidRPr="00A85D75">
        <w:rPr>
          <w:lang w:eastAsia="en-US"/>
        </w:rPr>
        <w:t>by narrowband</w:t>
      </w:r>
      <w:r w:rsidR="005C74BE" w:rsidRPr="00A85D75">
        <w:rPr>
          <w:lang w:eastAsia="en-US"/>
        </w:rPr>
        <w:t xml:space="preserve"> MSS applications</w:t>
      </w:r>
      <w:r w:rsidR="00182063" w:rsidRPr="00A85D75">
        <w:rPr>
          <w:lang w:eastAsia="en-US"/>
        </w:rPr>
        <w:t xml:space="preserve"> that </w:t>
      </w:r>
      <w:r w:rsidR="005C74BE" w:rsidRPr="00A85D75">
        <w:rPr>
          <w:lang w:eastAsia="en-US"/>
        </w:rPr>
        <w:t>could include telemetry, short messaging, and low</w:t>
      </w:r>
      <w:r w:rsidR="00492033">
        <w:rPr>
          <w:lang w:eastAsia="en-US"/>
        </w:rPr>
        <w:t>-</w:t>
      </w:r>
      <w:r w:rsidR="005C74BE" w:rsidRPr="00A85D75">
        <w:rPr>
          <w:lang w:eastAsia="en-US"/>
        </w:rPr>
        <w:t>dat</w:t>
      </w:r>
      <w:r w:rsidR="00492033">
        <w:rPr>
          <w:lang w:eastAsia="en-US"/>
        </w:rPr>
        <w:t>a-</w:t>
      </w:r>
      <w:r w:rsidR="005C74BE" w:rsidRPr="00A85D75">
        <w:rPr>
          <w:lang w:eastAsia="en-US"/>
        </w:rPr>
        <w:t xml:space="preserve">rate services such as satellite IoT applications. It is not expected that internet data and voice services would </w:t>
      </w:r>
      <w:r w:rsidR="005C74BE" w:rsidRPr="00A85D75">
        <w:rPr>
          <w:lang w:eastAsia="en-US"/>
        </w:rPr>
        <w:lastRenderedPageBreak/>
        <w:t>operate in these segments or be capable of meet</w:t>
      </w:r>
      <w:r w:rsidR="00D6415B" w:rsidRPr="00A85D75">
        <w:rPr>
          <w:lang w:eastAsia="en-US"/>
        </w:rPr>
        <w:t>ing the</w:t>
      </w:r>
      <w:r w:rsidR="005C74BE" w:rsidRPr="00A85D75">
        <w:rPr>
          <w:lang w:eastAsia="en-US"/>
        </w:rPr>
        <w:t xml:space="preserve"> duty cycle requirements </w:t>
      </w:r>
      <w:r w:rsidR="00D6415B" w:rsidRPr="00A85D75">
        <w:rPr>
          <w:lang w:eastAsia="en-US"/>
        </w:rPr>
        <w:t xml:space="preserve">needed </w:t>
      </w:r>
      <w:r w:rsidR="005C74BE" w:rsidRPr="00A85D75">
        <w:rPr>
          <w:lang w:eastAsia="en-US"/>
        </w:rPr>
        <w:t xml:space="preserve">to promote sharing (see </w:t>
      </w:r>
      <w:r w:rsidR="00C627E1" w:rsidRPr="00A85D75">
        <w:rPr>
          <w:lang w:eastAsia="en-US"/>
        </w:rPr>
        <w:t xml:space="preserve">discussion in the </w:t>
      </w:r>
      <w:r w:rsidR="00186769" w:rsidRPr="00A85D75">
        <w:rPr>
          <w:lang w:eastAsia="en-US"/>
        </w:rPr>
        <w:t>preliminary views section</w:t>
      </w:r>
      <w:r w:rsidR="005C74BE" w:rsidRPr="00A85D75">
        <w:rPr>
          <w:lang w:eastAsia="en-US"/>
        </w:rPr>
        <w:t>)</w:t>
      </w:r>
      <w:r w:rsidR="002804BE" w:rsidRPr="00A85D75">
        <w:rPr>
          <w:lang w:eastAsia="en-US"/>
        </w:rPr>
        <w:t>.</w:t>
      </w:r>
    </w:p>
    <w:p w14:paraId="3B1D69F8" w14:textId="54B93475" w:rsidR="003756E1" w:rsidRPr="00A85D75" w:rsidRDefault="003756E1" w:rsidP="003756E1">
      <w:r w:rsidRPr="00A85D75">
        <w:rPr>
          <w:lang w:eastAsia="en-US"/>
        </w:rPr>
        <w:t xml:space="preserve">These arrangements repurpose the </w:t>
      </w:r>
      <w:r>
        <w:rPr>
          <w:lang w:eastAsia="en-US"/>
        </w:rPr>
        <w:t>guard band</w:t>
      </w:r>
      <w:r w:rsidRPr="00A85D75">
        <w:rPr>
          <w:lang w:eastAsia="en-US"/>
        </w:rPr>
        <w:t xml:space="preserve"> protect</w:t>
      </w:r>
      <w:r>
        <w:rPr>
          <w:lang w:eastAsia="en-US"/>
        </w:rPr>
        <w:t>ing</w:t>
      </w:r>
      <w:r w:rsidRPr="00A85D75">
        <w:rPr>
          <w:lang w:eastAsia="en-US"/>
        </w:rPr>
        <w:t xml:space="preserve"> </w:t>
      </w:r>
      <w:r w:rsidRPr="00A85D75">
        <w:t>adjacent</w:t>
      </w:r>
      <w:r>
        <w:t>-</w:t>
      </w:r>
      <w:r w:rsidRPr="00A85D75">
        <w:t xml:space="preserve">band </w:t>
      </w:r>
      <w:r w:rsidR="00351D1B">
        <w:t>TOB</w:t>
      </w:r>
      <w:r w:rsidRPr="00A85D75">
        <w:t xml:space="preserve"> services, </w:t>
      </w:r>
      <w:r>
        <w:t>by</w:t>
      </w:r>
      <w:r w:rsidRPr="00A85D75">
        <w:t xml:space="preserve"> provi</w:t>
      </w:r>
      <w:r>
        <w:t xml:space="preserve">ding </w:t>
      </w:r>
      <w:r w:rsidRPr="00A85D75">
        <w:rPr>
          <w:lang w:eastAsia="en-US"/>
        </w:rPr>
        <w:t>support for innovative</w:t>
      </w:r>
      <w:r>
        <w:rPr>
          <w:lang w:eastAsia="en-US"/>
        </w:rPr>
        <w:t xml:space="preserve"> narrowband</w:t>
      </w:r>
      <w:r w:rsidRPr="00A85D75">
        <w:rPr>
          <w:lang w:eastAsia="en-US"/>
        </w:rPr>
        <w:t xml:space="preserve"> satellite applications</w:t>
      </w:r>
      <w:r>
        <w:rPr>
          <w:lang w:eastAsia="en-US"/>
        </w:rPr>
        <w:t xml:space="preserve">. </w:t>
      </w:r>
      <w:r w:rsidRPr="00A85D75">
        <w:rPr>
          <w:lang w:eastAsia="en-US"/>
        </w:rPr>
        <w:t>The ACMA</w:t>
      </w:r>
      <w:r w:rsidR="00432AC6">
        <w:rPr>
          <w:lang w:eastAsia="en-US"/>
        </w:rPr>
        <w:t>’s</w:t>
      </w:r>
      <w:r w:rsidRPr="00A85D75">
        <w:rPr>
          <w:lang w:eastAsia="en-US"/>
        </w:rPr>
        <w:t xml:space="preserve"> view is that such arrangements will</w:t>
      </w:r>
      <w:r w:rsidRPr="00A85D75">
        <w:t xml:space="preserve"> </w:t>
      </w:r>
      <w:r>
        <w:t xml:space="preserve">provide spectrum access to </w:t>
      </w:r>
      <w:r w:rsidRPr="00A85D75">
        <w:rPr>
          <w:lang w:eastAsia="en-US"/>
        </w:rPr>
        <w:t>new entrants</w:t>
      </w:r>
      <w:r w:rsidRPr="00A85D75">
        <w:t xml:space="preserve"> with </w:t>
      </w:r>
      <w:r w:rsidRPr="00A85D75">
        <w:rPr>
          <w:lang w:eastAsia="en-US"/>
        </w:rPr>
        <w:t>minimal regulatory arrangement</w:t>
      </w:r>
      <w:r>
        <w:rPr>
          <w:lang w:eastAsia="en-US"/>
        </w:rPr>
        <w:t>s, thereby</w:t>
      </w:r>
      <w:r w:rsidRPr="00A85D75">
        <w:rPr>
          <w:lang w:eastAsia="en-US"/>
        </w:rPr>
        <w:t xml:space="preserve"> supporting growth in the Australian space industry</w:t>
      </w:r>
      <w:r>
        <w:t xml:space="preserve">. It will also </w:t>
      </w:r>
      <w:r w:rsidRPr="00A85D75">
        <w:t>enable more intensive use of the spectrum resource compared to authorising this segment for exclusive access by one operator</w:t>
      </w:r>
      <w:r>
        <w:t xml:space="preserve">. </w:t>
      </w:r>
    </w:p>
    <w:p w14:paraId="18E80950" w14:textId="44BDAF7E" w:rsidR="00E825A2" w:rsidRPr="00A85D75" w:rsidRDefault="00E86E7D" w:rsidP="00D12A06">
      <w:pPr>
        <w:pStyle w:val="Paragraphbeforelist"/>
      </w:pPr>
      <w:r w:rsidRPr="00A85D75">
        <w:t>The AC</w:t>
      </w:r>
      <w:r w:rsidR="00E825A2" w:rsidRPr="00A85D75">
        <w:t>MA</w:t>
      </w:r>
      <w:r w:rsidRPr="00A85D75">
        <w:t xml:space="preserve"> will develop</w:t>
      </w:r>
      <w:r w:rsidR="00E825A2" w:rsidRPr="00A85D75">
        <w:t xml:space="preserve"> arrangements that support</w:t>
      </w:r>
      <w:r w:rsidR="00D63D57" w:rsidRPr="00A85D75">
        <w:t>:</w:t>
      </w:r>
    </w:p>
    <w:p w14:paraId="641F5785" w14:textId="737374B3" w:rsidR="00D63D57" w:rsidRPr="00A85D75" w:rsidRDefault="00342067" w:rsidP="00D12A06">
      <w:pPr>
        <w:pStyle w:val="ListBullet"/>
      </w:pPr>
      <w:r w:rsidRPr="00A85D75">
        <w:t>individual</w:t>
      </w:r>
      <w:r w:rsidR="00027F59" w:rsidRPr="00A85D75">
        <w:t xml:space="preserve"> earth station</w:t>
      </w:r>
      <w:r w:rsidR="00C75737" w:rsidRPr="00A85D75">
        <w:t xml:space="preserve"> licences</w:t>
      </w:r>
    </w:p>
    <w:p w14:paraId="16768DC5" w14:textId="45BFEF0F" w:rsidR="00027F59" w:rsidRPr="00A85D75" w:rsidRDefault="00CA6F43" w:rsidP="00D12A06">
      <w:pPr>
        <w:pStyle w:val="ListBullet"/>
      </w:pPr>
      <w:r w:rsidRPr="00A85D75">
        <w:t>satellite systems with numerous or ubiquitous earth stations</w:t>
      </w:r>
    </w:p>
    <w:p w14:paraId="35F13033" w14:textId="601E5062" w:rsidR="00C75737" w:rsidRPr="00A85D75" w:rsidRDefault="00C75737" w:rsidP="00571BFE">
      <w:pPr>
        <w:pStyle w:val="ListBulletLast"/>
      </w:pPr>
      <w:r w:rsidRPr="00A85D75">
        <w:t>temporary licen</w:t>
      </w:r>
      <w:r w:rsidR="00F37A4E" w:rsidRPr="00A85D75">
        <w:t xml:space="preserve">ces </w:t>
      </w:r>
      <w:r w:rsidRPr="00A85D75">
        <w:t>for purposes such as demonstration, testing and trials</w:t>
      </w:r>
      <w:r w:rsidR="00432AC6">
        <w:t>.</w:t>
      </w:r>
    </w:p>
    <w:p w14:paraId="3B01D90A" w14:textId="372490B6" w:rsidR="00C603A7" w:rsidRPr="00A85D75" w:rsidRDefault="00C603A7" w:rsidP="00C603A7">
      <w:r w:rsidRPr="00A85D75">
        <w:t xml:space="preserve">The first </w:t>
      </w:r>
      <w:r w:rsidR="009D7544">
        <w:t>arrangement</w:t>
      </w:r>
      <w:r w:rsidR="009D7544" w:rsidRPr="00A85D75">
        <w:t xml:space="preserve"> </w:t>
      </w:r>
      <w:r w:rsidRPr="00A85D75">
        <w:t xml:space="preserve">requires operators to obtain apparatus licences for each of their earth stations individually: an </w:t>
      </w:r>
      <w:r w:rsidRPr="00A85D75">
        <w:rPr>
          <w:i/>
          <w:iCs/>
        </w:rPr>
        <w:t>earth licence</w:t>
      </w:r>
      <w:r w:rsidRPr="00A85D75">
        <w:t xml:space="preserve"> for the uplink and an </w:t>
      </w:r>
      <w:r w:rsidRPr="00A85D75">
        <w:rPr>
          <w:i/>
          <w:iCs/>
        </w:rPr>
        <w:t>earth receive</w:t>
      </w:r>
      <w:r w:rsidRPr="00A85D75">
        <w:t xml:space="preserve"> licence for the downlink. Under this approach, a licence is not required for the space stations </w:t>
      </w:r>
      <w:r w:rsidR="007B44ED" w:rsidRPr="00A85D75">
        <w:t xml:space="preserve">on </w:t>
      </w:r>
      <w:r w:rsidRPr="00A85D75">
        <w:t xml:space="preserve">a satellite. </w:t>
      </w:r>
    </w:p>
    <w:p w14:paraId="1E226CBE" w14:textId="152F16CB" w:rsidR="001905AE" w:rsidRPr="00A85D75" w:rsidRDefault="00C603A7" w:rsidP="00C603A7">
      <w:r w:rsidRPr="00A85D75">
        <w:t xml:space="preserve">The second </w:t>
      </w:r>
      <w:r w:rsidR="009D7544">
        <w:t>arrangement</w:t>
      </w:r>
      <w:r w:rsidRPr="00A85D75">
        <w:t xml:space="preserve"> </w:t>
      </w:r>
      <w:r w:rsidR="00E8770F" w:rsidRPr="00A85D75">
        <w:t xml:space="preserve">is typically used for satellite systems with numerous or ubiquitous earth stations. </w:t>
      </w:r>
      <w:r w:rsidR="00437D49" w:rsidRPr="00A85D75">
        <w:t xml:space="preserve">Operators </w:t>
      </w:r>
      <w:r w:rsidR="0095705C" w:rsidRPr="00A85D75">
        <w:t>are required to obtain</w:t>
      </w:r>
      <w:r w:rsidR="00800855" w:rsidRPr="00A85D75">
        <w:t xml:space="preserve"> licences for the space stations </w:t>
      </w:r>
      <w:r w:rsidR="007B44ED" w:rsidRPr="00A85D75">
        <w:t xml:space="preserve">on </w:t>
      </w:r>
      <w:r w:rsidR="00800855" w:rsidRPr="00A85D75">
        <w:t xml:space="preserve">a satellite: a </w:t>
      </w:r>
      <w:r w:rsidR="00800855" w:rsidRPr="00A85D75">
        <w:rPr>
          <w:i/>
          <w:iCs/>
        </w:rPr>
        <w:t>space licence</w:t>
      </w:r>
      <w:r w:rsidR="00800855" w:rsidRPr="00A85D75">
        <w:t xml:space="preserve"> for the downlink and a </w:t>
      </w:r>
      <w:r w:rsidR="00800855" w:rsidRPr="00A85D75">
        <w:rPr>
          <w:i/>
          <w:iCs/>
        </w:rPr>
        <w:t>space receive licence</w:t>
      </w:r>
      <w:r w:rsidR="00800855" w:rsidRPr="00A85D75">
        <w:t xml:space="preserve"> for the uplink.</w:t>
      </w:r>
      <w:r w:rsidR="007B44ED" w:rsidRPr="00A85D75">
        <w:t xml:space="preserve"> </w:t>
      </w:r>
      <w:r w:rsidRPr="00A85D75">
        <w:t xml:space="preserve">Earth stations in the network </w:t>
      </w:r>
      <w:r w:rsidR="00504E96" w:rsidRPr="00A85D75">
        <w:t>will be</w:t>
      </w:r>
      <w:r w:rsidRPr="00A85D75">
        <w:t xml:space="preserve"> automatically authorised collectively under the </w:t>
      </w:r>
      <w:hyperlink r:id="rId49" w:history="1">
        <w:r w:rsidR="000E6706" w:rsidRPr="00A85D75">
          <w:rPr>
            <w:rStyle w:val="Hyperlink"/>
          </w:rPr>
          <w:t>Radiocommunications (</w:t>
        </w:r>
        <w:r w:rsidRPr="00A85D75">
          <w:rPr>
            <w:rStyle w:val="Hyperlink"/>
          </w:rPr>
          <w:t>Communication with Space Object</w:t>
        </w:r>
        <w:r w:rsidR="007644AE" w:rsidRPr="00A85D75">
          <w:rPr>
            <w:rStyle w:val="Hyperlink"/>
          </w:rPr>
          <w:t>)</w:t>
        </w:r>
        <w:r w:rsidRPr="00A85D75">
          <w:rPr>
            <w:rStyle w:val="Hyperlink"/>
          </w:rPr>
          <w:t xml:space="preserve"> Class Licence</w:t>
        </w:r>
      </w:hyperlink>
      <w:r w:rsidRPr="00A85D75">
        <w:t>. This approach</w:t>
      </w:r>
      <w:r w:rsidR="00504E96" w:rsidRPr="00A85D75">
        <w:t xml:space="preserve"> p</w:t>
      </w:r>
      <w:r w:rsidRPr="00A85D75">
        <w:t>rovides an efficient means of licensing a large number of earth stations, avoiding the need to obtain a licence for every earth station in a satellite system.</w:t>
      </w:r>
    </w:p>
    <w:p w14:paraId="43202C0B" w14:textId="3210906D" w:rsidR="00047549" w:rsidRPr="00A85D75" w:rsidRDefault="00047549" w:rsidP="00C603A7">
      <w:r w:rsidRPr="00A85D75">
        <w:t xml:space="preserve">Finally, </w:t>
      </w:r>
      <w:r w:rsidR="00EF70BF">
        <w:t>the</w:t>
      </w:r>
      <w:r w:rsidR="00EF70BF" w:rsidRPr="00A85D75">
        <w:t xml:space="preserve"> </w:t>
      </w:r>
      <w:r w:rsidRPr="00A85D75">
        <w:t xml:space="preserve">third </w:t>
      </w:r>
      <w:r w:rsidR="009D7544">
        <w:t>arrangement</w:t>
      </w:r>
      <w:r w:rsidRPr="00A85D75">
        <w:t xml:space="preserve"> </w:t>
      </w:r>
      <w:r w:rsidR="008F6D61" w:rsidRPr="00A85D75">
        <w:t xml:space="preserve">involves applying for a temporary </w:t>
      </w:r>
      <w:hyperlink r:id="rId50" w:history="1">
        <w:r w:rsidR="008F6D61" w:rsidRPr="00A85D75">
          <w:rPr>
            <w:rStyle w:val="Hyperlink"/>
          </w:rPr>
          <w:t>scientific licence</w:t>
        </w:r>
      </w:hyperlink>
      <w:r w:rsidR="00432AC6">
        <w:t xml:space="preserve">, </w:t>
      </w:r>
      <w:r w:rsidR="00501984" w:rsidRPr="00A85D75">
        <w:t xml:space="preserve">which </w:t>
      </w:r>
      <w:r w:rsidR="00F0615B" w:rsidRPr="00A85D75">
        <w:t>authoris</w:t>
      </w:r>
      <w:r w:rsidR="00CA0E86" w:rsidRPr="00A85D75">
        <w:t>es radiocommunication activities for purpose</w:t>
      </w:r>
      <w:r w:rsidR="00C964A1" w:rsidRPr="00A85D75">
        <w:t>s such as</w:t>
      </w:r>
      <w:r w:rsidR="00CA0E86" w:rsidRPr="00A85D75">
        <w:t xml:space="preserve"> demonstration</w:t>
      </w:r>
      <w:r w:rsidR="00C964A1" w:rsidRPr="00A85D75">
        <w:t xml:space="preserve">, testing and trials. </w:t>
      </w:r>
      <w:r w:rsidR="00AC76D9">
        <w:t>The</w:t>
      </w:r>
      <w:r w:rsidR="00B357FF" w:rsidRPr="00A85D75">
        <w:t xml:space="preserve"> ACMA</w:t>
      </w:r>
      <w:r w:rsidR="00432AC6">
        <w:t>’s</w:t>
      </w:r>
      <w:r w:rsidR="00B357FF" w:rsidRPr="00A85D75">
        <w:t xml:space="preserve"> policy </w:t>
      </w:r>
      <w:r w:rsidR="00AC76D9">
        <w:t>is</w:t>
      </w:r>
      <w:r w:rsidR="00B357FF" w:rsidRPr="00A85D75">
        <w:t xml:space="preserve"> that scientific licenses are normally only issued for </w:t>
      </w:r>
      <w:r w:rsidR="00E444E7">
        <w:t>one</w:t>
      </w:r>
      <w:r w:rsidR="00B357FF" w:rsidRPr="00A85D75">
        <w:t xml:space="preserve"> year</w:t>
      </w:r>
      <w:r w:rsidR="0023287C" w:rsidRPr="00A85D75">
        <w:t>.</w:t>
      </w:r>
    </w:p>
    <w:p w14:paraId="3D1E5AB7" w14:textId="5193D233" w:rsidR="00F244DD" w:rsidRPr="00A85D75" w:rsidRDefault="00294CC9" w:rsidP="002468A7">
      <w:r w:rsidRPr="00A85D75">
        <w:t xml:space="preserve">Irrespective of which </w:t>
      </w:r>
      <w:r w:rsidR="00E444E7">
        <w:t>arrangement</w:t>
      </w:r>
      <w:r w:rsidRPr="00A85D75">
        <w:t xml:space="preserve"> </w:t>
      </w:r>
      <w:r w:rsidR="006341C4" w:rsidRPr="00A85D75">
        <w:t xml:space="preserve">is appropriate, </w:t>
      </w:r>
      <w:r w:rsidR="008602BB">
        <w:t>the</w:t>
      </w:r>
      <w:r w:rsidR="00E1341A">
        <w:t xml:space="preserve"> ACMA</w:t>
      </w:r>
      <w:r w:rsidR="008602BB">
        <w:t>’s</w:t>
      </w:r>
      <w:r w:rsidR="00E1341A">
        <w:t xml:space="preserve"> current practice </w:t>
      </w:r>
      <w:r w:rsidR="008602BB">
        <w:t>is</w:t>
      </w:r>
      <w:r w:rsidR="00E1341A">
        <w:t xml:space="preserve"> that </w:t>
      </w:r>
      <w:r w:rsidRPr="00A85D75">
        <w:t>a</w:t>
      </w:r>
      <w:r w:rsidR="002C3740" w:rsidRPr="00A85D75">
        <w:t xml:space="preserve"> satellite </w:t>
      </w:r>
      <w:r w:rsidRPr="00A85D75">
        <w:t>filing</w:t>
      </w:r>
      <w:r w:rsidR="002C3740" w:rsidRPr="00A85D75">
        <w:t xml:space="preserve"> with the International Telecommunication Union (ITU)</w:t>
      </w:r>
      <w:r w:rsidRPr="00A85D75">
        <w:t xml:space="preserve"> for the associated space object will be required, in accordance with Australia</w:t>
      </w:r>
      <w:r w:rsidR="006341C4" w:rsidRPr="00A85D75">
        <w:t>’s</w:t>
      </w:r>
      <w:r w:rsidRPr="00A85D75">
        <w:t xml:space="preserve"> obligations as a member of the ITU.</w:t>
      </w:r>
    </w:p>
    <w:p w14:paraId="5CE43F36" w14:textId="584388AD" w:rsidR="00F50E9F" w:rsidRPr="00A85D75" w:rsidRDefault="002B6CD5" w:rsidP="003D66FC">
      <w:pPr>
        <w:pStyle w:val="Heading3"/>
      </w:pPr>
      <w:bookmarkStart w:id="89" w:name="_Toc56965700"/>
      <w:bookmarkStart w:id="90" w:name="_Toc61364845"/>
      <w:r w:rsidRPr="00A85D75">
        <w:t>TOB</w:t>
      </w:r>
      <w:r w:rsidR="00CF2C3A" w:rsidRPr="00A85D75">
        <w:t xml:space="preserve"> arrangements</w:t>
      </w:r>
      <w:bookmarkEnd w:id="89"/>
      <w:bookmarkEnd w:id="90"/>
    </w:p>
    <w:p w14:paraId="74459955" w14:textId="36B8E8C2" w:rsidR="00A87766" w:rsidRPr="00A85D75" w:rsidRDefault="00B56B47" w:rsidP="00A502C4">
      <w:pPr>
        <w:pStyle w:val="Paragraph"/>
      </w:pPr>
      <w:r w:rsidRPr="00A85D75">
        <w:t>W</w:t>
      </w:r>
      <w:r w:rsidR="00E96130" w:rsidRPr="00A85D75">
        <w:t xml:space="preserve">e have decided on replanning arrangements for the 2 GHz band that will require </w:t>
      </w:r>
      <w:r w:rsidR="0055402C" w:rsidRPr="00A85D75">
        <w:t>TOB licensees to</w:t>
      </w:r>
      <w:r w:rsidR="00E94F76" w:rsidRPr="00A85D75">
        <w:t xml:space="preserve"> cease </w:t>
      </w:r>
      <w:r w:rsidR="00CF4012" w:rsidRPr="00A85D75">
        <w:t>operations in the band</w:t>
      </w:r>
      <w:r w:rsidR="00F7047C" w:rsidRPr="00A85D75">
        <w:t xml:space="preserve"> to support the introduction of mobile</w:t>
      </w:r>
      <w:r w:rsidR="00351D1B">
        <w:t>-</w:t>
      </w:r>
      <w:r w:rsidR="00F7047C" w:rsidRPr="00A85D75">
        <w:t>satellite services.</w:t>
      </w:r>
      <w:r w:rsidR="004569AD" w:rsidRPr="00A85D75">
        <w:t xml:space="preserve"> </w:t>
      </w:r>
      <w:r w:rsidR="00A87766" w:rsidRPr="00A85D75">
        <w:t>We consider this should occur over an extended transition period</w:t>
      </w:r>
      <w:r w:rsidR="00370006" w:rsidRPr="00A85D75">
        <w:t xml:space="preserve"> </w:t>
      </w:r>
      <w:r w:rsidR="005E5A3E" w:rsidRPr="00A85D75">
        <w:t xml:space="preserve">to </w:t>
      </w:r>
      <w:r w:rsidR="006131EE" w:rsidRPr="00A85D75">
        <w:t xml:space="preserve">provide sufficient time </w:t>
      </w:r>
      <w:r w:rsidR="00C27C5D" w:rsidRPr="00A85D75">
        <w:t xml:space="preserve">for incumbent licensees to cease operating in the </w:t>
      </w:r>
      <w:r w:rsidR="00A71308" w:rsidRPr="00A85D75">
        <w:t>band and relocate to alternative spectrum</w:t>
      </w:r>
      <w:r w:rsidR="004E1B91" w:rsidRPr="00A85D75">
        <w:t xml:space="preserve"> if desired</w:t>
      </w:r>
      <w:r w:rsidR="007905DA" w:rsidRPr="00A85D75">
        <w:t xml:space="preserve">. </w:t>
      </w:r>
      <w:r w:rsidR="00A34B17" w:rsidRPr="00A85D75">
        <w:t xml:space="preserve">The </w:t>
      </w:r>
      <w:r w:rsidR="003B283C" w:rsidRPr="00A85D75">
        <w:t xml:space="preserve">proposed </w:t>
      </w:r>
      <w:r w:rsidR="00A34B17" w:rsidRPr="00A85D75">
        <w:t xml:space="preserve">duration of the transition period is </w:t>
      </w:r>
      <w:r w:rsidR="003B283C" w:rsidRPr="00A85D75">
        <w:t xml:space="preserve">discussed in the </w:t>
      </w:r>
      <w:r w:rsidR="00432AC6">
        <w:t>‘</w:t>
      </w:r>
      <w:hyperlink w:anchor="_Preliminary_views" w:history="1">
        <w:r w:rsidR="003B283C" w:rsidRPr="00485EDB">
          <w:rPr>
            <w:rStyle w:val="Hyperlink"/>
          </w:rPr>
          <w:t>P</w:t>
        </w:r>
        <w:r w:rsidR="00270754" w:rsidRPr="00485EDB">
          <w:rPr>
            <w:rStyle w:val="Hyperlink"/>
          </w:rPr>
          <w:t>reliminary view</w:t>
        </w:r>
        <w:r w:rsidR="003B283C" w:rsidRPr="00485EDB">
          <w:rPr>
            <w:rStyle w:val="Hyperlink"/>
          </w:rPr>
          <w:t>s</w:t>
        </w:r>
      </w:hyperlink>
      <w:r w:rsidR="00432AC6">
        <w:t>’</w:t>
      </w:r>
      <w:r w:rsidR="003B283C" w:rsidRPr="00A85D75">
        <w:t xml:space="preserve"> section below.</w:t>
      </w:r>
    </w:p>
    <w:p w14:paraId="64159145" w14:textId="40818522" w:rsidR="001F4F4C" w:rsidRPr="00A85D75" w:rsidRDefault="00715B11" w:rsidP="00485EDB">
      <w:pPr>
        <w:pStyle w:val="Paragraph"/>
        <w:keepLines/>
      </w:pPr>
      <w:r w:rsidRPr="00A85D75">
        <w:t xml:space="preserve">The ACMA </w:t>
      </w:r>
      <w:r w:rsidR="0090559C" w:rsidRPr="00A85D75">
        <w:t>considers</w:t>
      </w:r>
      <w:r w:rsidR="0022686D" w:rsidRPr="00A85D75">
        <w:t xml:space="preserve"> </w:t>
      </w:r>
      <w:r w:rsidRPr="00A85D75">
        <w:t xml:space="preserve">that the majority of services </w:t>
      </w:r>
      <w:r w:rsidR="00F93B2F" w:rsidRPr="00A85D75">
        <w:t>in the 2 G</w:t>
      </w:r>
      <w:r w:rsidR="005F3C67" w:rsidRPr="00A85D75">
        <w:t>H</w:t>
      </w:r>
      <w:r w:rsidR="00F93B2F" w:rsidRPr="00A85D75">
        <w:t xml:space="preserve">z </w:t>
      </w:r>
      <w:r w:rsidR="00F1425E">
        <w:t xml:space="preserve">band </w:t>
      </w:r>
      <w:r w:rsidR="001F4F4C" w:rsidRPr="00A85D75">
        <w:t>can</w:t>
      </w:r>
      <w:r w:rsidRPr="00A85D75">
        <w:t xml:space="preserve"> be accommodated in the 7.2 GHz (7100–7425 MHz) TOB band which has</w:t>
      </w:r>
      <w:r w:rsidR="001F4F4C" w:rsidRPr="00A85D75">
        <w:t xml:space="preserve"> similar arrangement</w:t>
      </w:r>
      <w:r w:rsidR="0090559C" w:rsidRPr="00A85D75">
        <w:t>s</w:t>
      </w:r>
      <w:r w:rsidR="001F4F4C" w:rsidRPr="00A85D75">
        <w:t xml:space="preserve"> to </w:t>
      </w:r>
      <w:r w:rsidR="00524E74">
        <w:t xml:space="preserve">the </w:t>
      </w:r>
      <w:r w:rsidR="001F4F4C" w:rsidRPr="00A85D75">
        <w:t>2 GHz</w:t>
      </w:r>
      <w:r w:rsidR="00524E74">
        <w:t xml:space="preserve"> band</w:t>
      </w:r>
      <w:r w:rsidR="001F4F4C" w:rsidRPr="00A85D75">
        <w:t xml:space="preserve">. </w:t>
      </w:r>
      <w:r w:rsidR="0022686D" w:rsidRPr="00A85D75">
        <w:t xml:space="preserve">The 7.2 GHz band has a number of </w:t>
      </w:r>
      <w:r w:rsidRPr="00A85D75">
        <w:t xml:space="preserve">channels which are specifically identified for shared non-exclusive usage similar to the arrangements of the 2 GHz band. </w:t>
      </w:r>
      <w:r w:rsidR="009317C5" w:rsidRPr="00A85D75">
        <w:t xml:space="preserve">With </w:t>
      </w:r>
      <w:r w:rsidRPr="00A85D75">
        <w:t>current arrangements in 7.2</w:t>
      </w:r>
      <w:r w:rsidR="001B2E50" w:rsidRPr="00A85D75">
        <w:t xml:space="preserve"> GHz</w:t>
      </w:r>
      <w:r w:rsidRPr="00A85D75">
        <w:t xml:space="preserve"> intended to support analog technologies</w:t>
      </w:r>
      <w:r w:rsidR="009317C5" w:rsidRPr="00A85D75">
        <w:t xml:space="preserve">, the ACMA intends to review </w:t>
      </w:r>
      <w:r w:rsidRPr="00A85D75">
        <w:t>channel arrangements to reflect current digital technologies used.</w:t>
      </w:r>
      <w:r w:rsidR="000D2430" w:rsidRPr="00A85D75">
        <w:t xml:space="preserve"> </w:t>
      </w:r>
      <w:r w:rsidR="009C5F2A">
        <w:t>Th</w:t>
      </w:r>
      <w:r w:rsidR="00DE3526">
        <w:t>at is, develop a channel plan that replaces current interleave</w:t>
      </w:r>
      <w:r w:rsidR="00053C7C">
        <w:t>d</w:t>
      </w:r>
      <w:r w:rsidR="00DE3526">
        <w:t xml:space="preserve"> channelling arrangement</w:t>
      </w:r>
      <w:r w:rsidR="002C4887">
        <w:t>s</w:t>
      </w:r>
      <w:r w:rsidR="00DE3526">
        <w:t xml:space="preserve"> with a single </w:t>
      </w:r>
      <w:r w:rsidR="00053C7C">
        <w:t>channel plan.</w:t>
      </w:r>
    </w:p>
    <w:p w14:paraId="5D023D8A" w14:textId="180EBB81" w:rsidR="00863DE6" w:rsidRPr="00A85D75" w:rsidRDefault="006353EA" w:rsidP="00286F95">
      <w:r w:rsidRPr="00A85D75">
        <w:lastRenderedPageBreak/>
        <w:t xml:space="preserve">In </w:t>
      </w:r>
      <w:r w:rsidR="00045E51" w:rsidRPr="00A85D75">
        <w:t xml:space="preserve">the </w:t>
      </w:r>
      <w:r w:rsidRPr="00A85D75">
        <w:t xml:space="preserve">options paper </w:t>
      </w:r>
      <w:r w:rsidR="00045E51" w:rsidRPr="00A85D75">
        <w:t>we</w:t>
      </w:r>
      <w:r w:rsidR="00286F95" w:rsidRPr="00A85D75">
        <w:t xml:space="preserve"> also considered </w:t>
      </w:r>
      <w:r w:rsidR="00E56126" w:rsidRPr="00A85D75">
        <w:t xml:space="preserve">use of the </w:t>
      </w:r>
      <w:r w:rsidR="005C5443" w:rsidRPr="00A85D75">
        <w:t>8.3 GHz (8275–8400 MHz)</w:t>
      </w:r>
      <w:r w:rsidR="00D35383" w:rsidRPr="00A85D75">
        <w:rPr>
          <w:rStyle w:val="FootnoteReference"/>
        </w:rPr>
        <w:footnoteReference w:id="14"/>
      </w:r>
      <w:r w:rsidR="00D35383" w:rsidRPr="00A85D75">
        <w:t xml:space="preserve"> </w:t>
      </w:r>
      <w:r w:rsidR="00740397" w:rsidRPr="00A85D75">
        <w:t xml:space="preserve">TOB </w:t>
      </w:r>
      <w:r w:rsidR="005C5443" w:rsidRPr="00A85D75">
        <w:t>band</w:t>
      </w:r>
      <w:r w:rsidR="00740397" w:rsidRPr="00A85D75">
        <w:t xml:space="preserve">. </w:t>
      </w:r>
      <w:r w:rsidR="009F20CD" w:rsidRPr="00A85D75">
        <w:t>Advice</w:t>
      </w:r>
      <w:r w:rsidR="00740397" w:rsidRPr="00A85D75">
        <w:t xml:space="preserve"> </w:t>
      </w:r>
      <w:r w:rsidR="009F20CD" w:rsidRPr="00A85D75">
        <w:t xml:space="preserve">from </w:t>
      </w:r>
      <w:r w:rsidR="00740397" w:rsidRPr="00A85D75">
        <w:t>in</w:t>
      </w:r>
      <w:r w:rsidR="009F20CD" w:rsidRPr="00A85D75">
        <w:t xml:space="preserve">dustry </w:t>
      </w:r>
      <w:r w:rsidR="003136E0" w:rsidRPr="00A85D75">
        <w:t xml:space="preserve">confirmed </w:t>
      </w:r>
      <w:r w:rsidR="009F20CD" w:rsidRPr="00A85D75">
        <w:t>the AC</w:t>
      </w:r>
      <w:r w:rsidR="003136E0" w:rsidRPr="00A85D75">
        <w:t>MA</w:t>
      </w:r>
      <w:r w:rsidR="00432AC6">
        <w:t>’s</w:t>
      </w:r>
      <w:r w:rsidR="003136E0" w:rsidRPr="00A85D75">
        <w:t xml:space="preserve"> </w:t>
      </w:r>
      <w:r w:rsidR="009F20CD" w:rsidRPr="00A85D75">
        <w:t xml:space="preserve">understanding that there is limited </w:t>
      </w:r>
      <w:r w:rsidR="003136E0" w:rsidRPr="00A85D75">
        <w:t>equipment</w:t>
      </w:r>
      <w:r w:rsidR="009F20CD" w:rsidRPr="00A85D75">
        <w:t xml:space="preserve"> </w:t>
      </w:r>
      <w:r w:rsidR="003136E0" w:rsidRPr="00A85D75">
        <w:t>available for the 8.3 GHz</w:t>
      </w:r>
      <w:r w:rsidR="009867C9" w:rsidRPr="00A85D75">
        <w:t xml:space="preserve"> </w:t>
      </w:r>
      <w:r w:rsidR="00956B69">
        <w:t>band</w:t>
      </w:r>
      <w:r w:rsidR="009867C9" w:rsidRPr="00A85D75">
        <w:t xml:space="preserve">. As such the ACMA does not intend to review </w:t>
      </w:r>
      <w:r w:rsidR="007C281A" w:rsidRPr="00A85D75">
        <w:t>arrangements in the 8.3 GHz band</w:t>
      </w:r>
      <w:r w:rsidR="002D02F0" w:rsidRPr="00A85D75">
        <w:t xml:space="preserve"> </w:t>
      </w:r>
      <w:r w:rsidR="003F6CDF" w:rsidRPr="00A85D75">
        <w:t>at this point</w:t>
      </w:r>
      <w:r w:rsidR="007C281A" w:rsidRPr="00A85D75">
        <w:t xml:space="preserve">. </w:t>
      </w:r>
      <w:r w:rsidR="00970B40" w:rsidRPr="00A85D75">
        <w:t>This band</w:t>
      </w:r>
      <w:r w:rsidR="00863DE6" w:rsidRPr="00A85D75">
        <w:t xml:space="preserve"> is seen as more of a long-term option supporting future </w:t>
      </w:r>
      <w:proofErr w:type="gramStart"/>
      <w:r w:rsidR="00863DE6" w:rsidRPr="00A85D75">
        <w:t>grow</w:t>
      </w:r>
      <w:r w:rsidR="00D706B3" w:rsidRPr="00A85D75">
        <w:t>th</w:t>
      </w:r>
      <w:r w:rsidR="005B7E7D" w:rsidRPr="00A85D75">
        <w:t>,</w:t>
      </w:r>
      <w:proofErr w:type="gramEnd"/>
      <w:r w:rsidR="005B7E7D" w:rsidRPr="00A85D75">
        <w:t xml:space="preserve"> </w:t>
      </w:r>
      <w:r w:rsidR="00DA2C93">
        <w:t>therefore,</w:t>
      </w:r>
      <w:r w:rsidR="00DA2C93" w:rsidRPr="00A85D75">
        <w:t xml:space="preserve"> </w:t>
      </w:r>
      <w:r w:rsidR="005B7E7D" w:rsidRPr="00A85D75">
        <w:t xml:space="preserve">we </w:t>
      </w:r>
      <w:r w:rsidR="00EE7205" w:rsidRPr="00A85D75">
        <w:t xml:space="preserve">will consider </w:t>
      </w:r>
      <w:r w:rsidR="00750A04" w:rsidRPr="00A85D75">
        <w:t xml:space="preserve">reviewing </w:t>
      </w:r>
      <w:r w:rsidR="00286922">
        <w:t>it</w:t>
      </w:r>
      <w:r w:rsidR="00750A04" w:rsidRPr="00A85D75">
        <w:t xml:space="preserve"> </w:t>
      </w:r>
      <w:r w:rsidR="00863DE6" w:rsidRPr="00A85D75">
        <w:t xml:space="preserve">at a future date if </w:t>
      </w:r>
      <w:r w:rsidR="00D706B3" w:rsidRPr="00A85D75">
        <w:t>there is</w:t>
      </w:r>
      <w:r w:rsidR="00863DE6" w:rsidRPr="00A85D75">
        <w:t xml:space="preserve"> </w:t>
      </w:r>
      <w:r w:rsidR="00750A04" w:rsidRPr="00A85D75">
        <w:t>increase</w:t>
      </w:r>
      <w:r w:rsidR="00D706B3" w:rsidRPr="00A85D75">
        <w:t>d</w:t>
      </w:r>
      <w:r w:rsidR="00750A04" w:rsidRPr="00A85D75">
        <w:t xml:space="preserve"> </w:t>
      </w:r>
      <w:r w:rsidR="00805524" w:rsidRPr="00A85D75">
        <w:t xml:space="preserve">interest </w:t>
      </w:r>
      <w:r w:rsidR="00750A04" w:rsidRPr="00A85D75">
        <w:t>in the band</w:t>
      </w:r>
      <w:r w:rsidR="00863DE6" w:rsidRPr="00A85D75">
        <w:t>.</w:t>
      </w:r>
    </w:p>
    <w:p w14:paraId="3F810A61" w14:textId="4A298561" w:rsidR="005F5001" w:rsidRPr="00A85D75" w:rsidRDefault="00C70CA2" w:rsidP="005F5001">
      <w:pPr>
        <w:pStyle w:val="Paragraph"/>
      </w:pPr>
      <w:r w:rsidRPr="00A85D75">
        <w:t xml:space="preserve">To support the </w:t>
      </w:r>
      <w:r w:rsidR="009F5225" w:rsidRPr="00A85D75">
        <w:t>development of transitional arrangements</w:t>
      </w:r>
      <w:r w:rsidR="008231B0" w:rsidRPr="00A85D75">
        <w:t>,</w:t>
      </w:r>
      <w:r w:rsidR="009F5225" w:rsidRPr="00A85D75">
        <w:t xml:space="preserve"> new TOB </w:t>
      </w:r>
      <w:r w:rsidR="006403AB" w:rsidRPr="00A85D75">
        <w:t>licences</w:t>
      </w:r>
      <w:r w:rsidR="009F5225" w:rsidRPr="00A85D75">
        <w:t xml:space="preserve"> </w:t>
      </w:r>
      <w:r w:rsidR="004E39AC">
        <w:t xml:space="preserve">in the 2 GHz band </w:t>
      </w:r>
      <w:r w:rsidR="009F5225" w:rsidRPr="00A85D75">
        <w:t xml:space="preserve">will be limited to </w:t>
      </w:r>
      <w:r w:rsidR="006403AB" w:rsidRPr="00A85D75">
        <w:t xml:space="preserve">one year. ACMA spectrum embargo 23 </w:t>
      </w:r>
      <w:r w:rsidR="00762469" w:rsidRPr="00A85D75">
        <w:t>will be</w:t>
      </w:r>
      <w:r w:rsidR="006403AB" w:rsidRPr="00A85D75">
        <w:t xml:space="preserve"> updated to reflect this policy position. </w:t>
      </w:r>
    </w:p>
    <w:p w14:paraId="05ED5282" w14:textId="77777777" w:rsidR="003D66FC" w:rsidRPr="00A85D75" w:rsidRDefault="003D66FC" w:rsidP="003D66FC">
      <w:pPr>
        <w:pStyle w:val="Heading3"/>
      </w:pPr>
      <w:bookmarkStart w:id="91" w:name="_Toc56965701"/>
      <w:bookmarkStart w:id="92" w:name="_Toc61364846"/>
      <w:r w:rsidRPr="00A85D75">
        <w:t>Fixed point-to-point links</w:t>
      </w:r>
      <w:bookmarkEnd w:id="91"/>
      <w:bookmarkEnd w:id="92"/>
    </w:p>
    <w:p w14:paraId="04171E2D" w14:textId="32EDB816" w:rsidR="003D66FC" w:rsidRPr="00A85D75" w:rsidRDefault="00C517DC" w:rsidP="00303D64">
      <w:pPr>
        <w:pStyle w:val="Paragraph"/>
      </w:pPr>
      <w:r w:rsidRPr="00A85D75">
        <w:t xml:space="preserve">We have determined that </w:t>
      </w:r>
      <w:r w:rsidR="00303D64" w:rsidRPr="00A85D75">
        <w:t xml:space="preserve">the small number of legacy fixed point-to-point links in regional and remote areas should not impact deployment of </w:t>
      </w:r>
      <w:r w:rsidR="00B066A0" w:rsidRPr="00A85D75">
        <w:t xml:space="preserve">new </w:t>
      </w:r>
      <w:r w:rsidR="00303D64" w:rsidRPr="00A85D75">
        <w:t xml:space="preserve">services </w:t>
      </w:r>
      <w:r w:rsidR="00B066A0" w:rsidRPr="00A85D75">
        <w:t xml:space="preserve">in the 2 GHz band. </w:t>
      </w:r>
      <w:r w:rsidR="00FC121C" w:rsidRPr="00A85D75">
        <w:t xml:space="preserve">As a result, these links will be permitted to continue operating subject to the existing licence </w:t>
      </w:r>
      <w:r w:rsidR="00B4716E">
        <w:t>renewal</w:t>
      </w:r>
      <w:r w:rsidR="00B4716E" w:rsidRPr="00A85D75">
        <w:t xml:space="preserve"> </w:t>
      </w:r>
      <w:r w:rsidR="007340A5" w:rsidRPr="00A85D75">
        <w:t xml:space="preserve">process on expiry. </w:t>
      </w:r>
      <w:r w:rsidR="00303D64" w:rsidRPr="00A85D75">
        <w:t xml:space="preserve">As is the case now, no new </w:t>
      </w:r>
      <w:r w:rsidR="007340A5" w:rsidRPr="00A85D75">
        <w:t xml:space="preserve">fixed point-to-point links will </w:t>
      </w:r>
      <w:r w:rsidR="00303D64" w:rsidRPr="00A85D75">
        <w:t xml:space="preserve">be </w:t>
      </w:r>
      <w:r w:rsidR="007340A5" w:rsidRPr="00A85D75">
        <w:t>permitted in the 2 GHz band</w:t>
      </w:r>
      <w:r w:rsidR="00303D64" w:rsidRPr="00A85D75">
        <w:t>.</w:t>
      </w:r>
      <w:r w:rsidR="0018689A">
        <w:t xml:space="preserve"> </w:t>
      </w:r>
      <w:r w:rsidR="00AA47B8">
        <w:t xml:space="preserve">To ensure </w:t>
      </w:r>
      <w:r w:rsidR="009A3001">
        <w:t>compatibility between fixed point-to-point to and complementary ground component</w:t>
      </w:r>
      <w:r w:rsidR="00AF6988">
        <w:t xml:space="preserve"> applications</w:t>
      </w:r>
      <w:r w:rsidR="009E111D">
        <w:t xml:space="preserve"> (including direct air-to-ground)</w:t>
      </w:r>
      <w:r w:rsidR="009A3001">
        <w:t xml:space="preserve">, the </w:t>
      </w:r>
      <w:r w:rsidR="0018689A">
        <w:t>ACMA inte</w:t>
      </w:r>
      <w:r w:rsidR="003822C4">
        <w:t>nds to develo</w:t>
      </w:r>
      <w:r w:rsidR="00125EDE">
        <w:t>p</w:t>
      </w:r>
      <w:r w:rsidR="003822C4">
        <w:t xml:space="preserve"> coordination </w:t>
      </w:r>
      <w:r w:rsidR="000A2A2A">
        <w:t>arrangements</w:t>
      </w:r>
      <w:r w:rsidR="0004133B">
        <w:t xml:space="preserve"> between these services</w:t>
      </w:r>
      <w:r w:rsidR="0086517C">
        <w:t>.</w:t>
      </w:r>
    </w:p>
    <w:p w14:paraId="4030B0AD" w14:textId="1D974BBC" w:rsidR="005B77CA" w:rsidRPr="00A85D75" w:rsidRDefault="005B77CA" w:rsidP="005B77CA">
      <w:pPr>
        <w:pStyle w:val="Heading2"/>
      </w:pPr>
      <w:bookmarkStart w:id="93" w:name="_Preliminary_views"/>
      <w:bookmarkStart w:id="94" w:name="_Toc56965702"/>
      <w:bookmarkStart w:id="95" w:name="_Toc61364847"/>
      <w:bookmarkEnd w:id="93"/>
      <w:r w:rsidRPr="00A85D75">
        <w:t>Preliminary views</w:t>
      </w:r>
      <w:bookmarkEnd w:id="94"/>
      <w:bookmarkEnd w:id="95"/>
    </w:p>
    <w:p w14:paraId="29772C6E" w14:textId="41AC4A1E" w:rsidR="001670A7" w:rsidRPr="00A85D75" w:rsidRDefault="00EF6790" w:rsidP="00856781">
      <w:pPr>
        <w:pStyle w:val="Paragraph"/>
      </w:pPr>
      <w:r w:rsidRPr="00A85D75">
        <w:t xml:space="preserve">The ACMA has formed the following preliminary views on a range of </w:t>
      </w:r>
      <w:r w:rsidR="00644856" w:rsidRPr="00A85D75">
        <w:t>matters</w:t>
      </w:r>
      <w:r w:rsidRPr="00A85D75">
        <w:t xml:space="preserve"> that m</w:t>
      </w:r>
      <w:r w:rsidR="00F86970" w:rsidRPr="00A85D75">
        <w:t xml:space="preserve">ay </w:t>
      </w:r>
      <w:r w:rsidRPr="00A85D75">
        <w:t xml:space="preserve">apply to </w:t>
      </w:r>
      <w:r w:rsidR="00510336" w:rsidRPr="00A85D75">
        <w:t xml:space="preserve">spectrum planning and licensing arrangements </w:t>
      </w:r>
      <w:r w:rsidR="004A153D" w:rsidRPr="00A85D75">
        <w:t xml:space="preserve">in the 2 GHz </w:t>
      </w:r>
      <w:r w:rsidR="00E43C81" w:rsidRPr="00A85D75">
        <w:t>band</w:t>
      </w:r>
      <w:r w:rsidR="00EA1F31" w:rsidRPr="00A85D75">
        <w:t xml:space="preserve"> </w:t>
      </w:r>
      <w:r w:rsidR="005121E9" w:rsidRPr="00A85D75">
        <w:t xml:space="preserve">for </w:t>
      </w:r>
      <w:r w:rsidR="00DA3B8A" w:rsidRPr="00A85D75">
        <w:t>mobile</w:t>
      </w:r>
      <w:r w:rsidR="00351D1B">
        <w:t>-</w:t>
      </w:r>
      <w:r w:rsidR="00DA3B8A" w:rsidRPr="00A85D75">
        <w:t xml:space="preserve">satellite services, as well as </w:t>
      </w:r>
      <w:r w:rsidR="00E75379" w:rsidRPr="00A85D75">
        <w:t>transition arrangements for</w:t>
      </w:r>
      <w:r w:rsidR="00053C57" w:rsidRPr="00A85D75">
        <w:t xml:space="preserve"> incumbent TOB</w:t>
      </w:r>
      <w:r w:rsidR="00E75379" w:rsidRPr="00A85D75">
        <w:t xml:space="preserve"> </w:t>
      </w:r>
      <w:r w:rsidR="00053C57" w:rsidRPr="00A85D75">
        <w:t>licensees</w:t>
      </w:r>
      <w:r w:rsidRPr="00A85D75">
        <w:t xml:space="preserve">. </w:t>
      </w:r>
      <w:r w:rsidR="00125F28" w:rsidRPr="00A85D75">
        <w:t xml:space="preserve">These arrangements will be further developed and finalised </w:t>
      </w:r>
      <w:r w:rsidRPr="00A85D75">
        <w:t xml:space="preserve">as part of </w:t>
      </w:r>
      <w:r w:rsidR="00595ED8" w:rsidRPr="00A85D75">
        <w:t xml:space="preserve">the ACMA’s </w:t>
      </w:r>
      <w:r w:rsidRPr="00A85D75">
        <w:t>standard consulta</w:t>
      </w:r>
      <w:r w:rsidR="00B86EDD" w:rsidRPr="00A85D75">
        <w:t xml:space="preserve">tion </w:t>
      </w:r>
      <w:r w:rsidRPr="00A85D75">
        <w:t xml:space="preserve">processes </w:t>
      </w:r>
      <w:r w:rsidR="00002E18" w:rsidRPr="00A85D75">
        <w:t>on</w:t>
      </w:r>
      <w:r w:rsidRPr="00A85D75">
        <w:t xml:space="preserve"> </w:t>
      </w:r>
      <w:r w:rsidR="00002E18" w:rsidRPr="00A85D75">
        <w:t>proposed regulatory arrangements</w:t>
      </w:r>
      <w:r w:rsidRPr="00A85D75">
        <w:t xml:space="preserve">, including legislative instruments. </w:t>
      </w:r>
    </w:p>
    <w:p w14:paraId="3BD5BC68" w14:textId="548FD623" w:rsidR="002C6AED" w:rsidRPr="00A85D75" w:rsidRDefault="0052742B" w:rsidP="00485EDB">
      <w:pPr>
        <w:pStyle w:val="Heading3"/>
        <w:keepLines/>
      </w:pPr>
      <w:bookmarkStart w:id="96" w:name="_Toc56965703"/>
      <w:bookmarkStart w:id="97" w:name="_Toc61364848"/>
      <w:r w:rsidRPr="00A85D75">
        <w:t>MSS t</w:t>
      </w:r>
      <w:r w:rsidR="00E22F97" w:rsidRPr="00A85D75">
        <w:t>echnology considerations</w:t>
      </w:r>
      <w:bookmarkEnd w:id="96"/>
      <w:bookmarkEnd w:id="97"/>
    </w:p>
    <w:p w14:paraId="33265F86" w14:textId="02E52C29" w:rsidR="006F300E" w:rsidRPr="00A85D75" w:rsidRDefault="00F80AE2" w:rsidP="00485EDB">
      <w:pPr>
        <w:pStyle w:val="Paragraph"/>
        <w:keepLines/>
      </w:pPr>
      <w:r w:rsidRPr="00A85D75">
        <w:t>Both the</w:t>
      </w:r>
      <w:r w:rsidR="00786CBC" w:rsidRPr="00A85D75">
        <w:t xml:space="preserve"> </w:t>
      </w:r>
      <w:r w:rsidRPr="00A85D75">
        <w:t>optio</w:t>
      </w:r>
      <w:r w:rsidR="00786CBC" w:rsidRPr="00A85D75">
        <w:t>ns</w:t>
      </w:r>
      <w:r w:rsidRPr="00A85D75">
        <w:t xml:space="preserve"> paper and </w:t>
      </w:r>
      <w:r w:rsidR="00E54F20" w:rsidRPr="00A85D75">
        <w:t>responses</w:t>
      </w:r>
      <w:r w:rsidRPr="00A85D75">
        <w:t xml:space="preserve"> </w:t>
      </w:r>
      <w:r w:rsidR="000453FA" w:rsidRPr="00A85D75">
        <w:t xml:space="preserve">noted an evolving ecosystem for earth stations and </w:t>
      </w:r>
      <w:r w:rsidR="00BE7122" w:rsidRPr="00A85D75">
        <w:t xml:space="preserve">complementary ground </w:t>
      </w:r>
      <w:r w:rsidR="004326D0" w:rsidRPr="00A85D75">
        <w:t xml:space="preserve">component around </w:t>
      </w:r>
      <w:r w:rsidR="004E39AC">
        <w:t xml:space="preserve">the </w:t>
      </w:r>
      <w:r w:rsidR="004326D0" w:rsidRPr="00A85D75">
        <w:t>3GPP</w:t>
      </w:r>
      <w:r w:rsidR="00D10789">
        <w:rPr>
          <w:rStyle w:val="FootnoteReference"/>
        </w:rPr>
        <w:footnoteReference w:id="15"/>
      </w:r>
      <w:r w:rsidR="004326D0" w:rsidRPr="00A85D75">
        <w:t xml:space="preserve"> standard</w:t>
      </w:r>
      <w:r w:rsidR="00332522" w:rsidRPr="00A85D75">
        <w:t xml:space="preserve"> for both 4G </w:t>
      </w:r>
      <w:r w:rsidR="00163ADA" w:rsidRPr="00A85D75">
        <w:t>a</w:t>
      </w:r>
      <w:r w:rsidR="00332522" w:rsidRPr="00A85D75">
        <w:t>nd 5G</w:t>
      </w:r>
      <w:r w:rsidR="00A264A5" w:rsidRPr="00A85D75">
        <w:t xml:space="preserve">. </w:t>
      </w:r>
      <w:r w:rsidR="00227545" w:rsidRPr="00A85D75">
        <w:t>The ACMA’s preliminary view is tha</w:t>
      </w:r>
      <w:r w:rsidR="00AC7D2D" w:rsidRPr="00A85D75">
        <w:t>t in developing arrangement</w:t>
      </w:r>
      <w:r w:rsidR="00D02445" w:rsidRPr="00A85D75">
        <w:t xml:space="preserve">s </w:t>
      </w:r>
      <w:r w:rsidR="00AC7D2D" w:rsidRPr="00A85D75">
        <w:t xml:space="preserve">for </w:t>
      </w:r>
      <w:r w:rsidR="00D02445" w:rsidRPr="00A85D75">
        <w:t>mobile</w:t>
      </w:r>
      <w:r w:rsidR="00351D1B">
        <w:t>-</w:t>
      </w:r>
      <w:r w:rsidR="00D02445" w:rsidRPr="00A85D75">
        <w:t>satellite services in the 1980–2005 MHz and 2170–2195 MHz</w:t>
      </w:r>
      <w:r w:rsidR="00A07AAA" w:rsidRPr="00A85D75">
        <w:t xml:space="preserve"> </w:t>
      </w:r>
      <w:r w:rsidR="00D14FAB" w:rsidRPr="00A85D75">
        <w:t>bands</w:t>
      </w:r>
      <w:r w:rsidR="009E1E83" w:rsidRPr="00A85D75">
        <w:t xml:space="preserve">, </w:t>
      </w:r>
      <w:r w:rsidR="00A07AAA" w:rsidRPr="00A85D75">
        <w:t xml:space="preserve">a </w:t>
      </w:r>
      <w:r w:rsidR="001B1EEF" w:rsidRPr="00A85D75">
        <w:t xml:space="preserve">relevant </w:t>
      </w:r>
      <w:r w:rsidR="00F03764" w:rsidRPr="00A85D75">
        <w:t xml:space="preserve">consideration </w:t>
      </w:r>
      <w:r w:rsidR="00554E24" w:rsidRPr="00A85D75">
        <w:t xml:space="preserve">is ensuring that </w:t>
      </w:r>
      <w:bookmarkStart w:id="98" w:name="_Hlk57038744"/>
      <w:r w:rsidR="00283530" w:rsidRPr="00A85D75">
        <w:t>arrangements</w:t>
      </w:r>
      <w:r w:rsidR="00067A67" w:rsidRPr="00A85D75">
        <w:t xml:space="preserve"> </w:t>
      </w:r>
      <w:r w:rsidR="00171F22" w:rsidRPr="00A85D75">
        <w:t>provide a path</w:t>
      </w:r>
      <w:r w:rsidR="009465E7" w:rsidRPr="00A85D75">
        <w:t>way</w:t>
      </w:r>
      <w:r w:rsidR="00171F22" w:rsidRPr="00A85D75">
        <w:t xml:space="preserve"> </w:t>
      </w:r>
      <w:r w:rsidR="005E3E0D" w:rsidRPr="00A85D75">
        <w:t>to</w:t>
      </w:r>
      <w:r w:rsidR="009465E7" w:rsidRPr="00A85D75">
        <w:t xml:space="preserve"> deployment of</w:t>
      </w:r>
      <w:r w:rsidR="00F657D6" w:rsidRPr="00A85D75">
        <w:t xml:space="preserve"> </w:t>
      </w:r>
      <w:r w:rsidR="005E3E0D" w:rsidRPr="00A85D75">
        <w:t>5G</w:t>
      </w:r>
      <w:r w:rsidR="009465E7" w:rsidRPr="00A85D75">
        <w:t xml:space="preserve"> networks</w:t>
      </w:r>
      <w:bookmarkEnd w:id="98"/>
      <w:r w:rsidR="001C70C4" w:rsidRPr="00A85D75">
        <w:t xml:space="preserve">. </w:t>
      </w:r>
      <w:r w:rsidR="00376189" w:rsidRPr="00A85D75">
        <w:t>T</w:t>
      </w:r>
      <w:r w:rsidR="001C70C4" w:rsidRPr="00A85D75">
        <w:t>hat</w:t>
      </w:r>
      <w:r w:rsidR="009B6DC1" w:rsidRPr="00A85D75">
        <w:t xml:space="preserve"> is</w:t>
      </w:r>
      <w:r w:rsidR="00376189" w:rsidRPr="00A85D75">
        <w:t>,</w:t>
      </w:r>
      <w:r w:rsidR="009B6DC1" w:rsidRPr="00A85D75">
        <w:t xml:space="preserve"> arrangements will</w:t>
      </w:r>
      <w:r w:rsidR="00604A62" w:rsidRPr="00A85D75">
        <w:t xml:space="preserve"> need to </w:t>
      </w:r>
      <w:r w:rsidR="00E80F06" w:rsidRPr="00A85D75">
        <w:t>support earth station</w:t>
      </w:r>
      <w:r w:rsidR="00376189" w:rsidRPr="00A85D75">
        <w:t>s</w:t>
      </w:r>
      <w:r w:rsidR="00E80F06" w:rsidRPr="00A85D75">
        <w:t xml:space="preserve"> in a </w:t>
      </w:r>
      <w:r w:rsidR="00227545" w:rsidRPr="00A85D75">
        <w:t>mobile</w:t>
      </w:r>
      <w:r w:rsidR="00351D1B">
        <w:t>-</w:t>
      </w:r>
      <w:r w:rsidR="00227545" w:rsidRPr="00A85D75">
        <w:t>satellite service, including complementary ground component</w:t>
      </w:r>
      <w:r w:rsidR="00503D6D" w:rsidRPr="00A85D75">
        <w:t xml:space="preserve">, </w:t>
      </w:r>
      <w:r w:rsidR="00227545" w:rsidRPr="00A85D75">
        <w:t xml:space="preserve">that can utilise 5, 10 or 15 MHz bandwidths in </w:t>
      </w:r>
      <w:r w:rsidR="00227545" w:rsidRPr="007229E9">
        <w:t>band n65</w:t>
      </w:r>
      <w:r w:rsidR="00227545" w:rsidRPr="00A85D75">
        <w:t xml:space="preserve"> as described in the 38 series of 3GPP specifications</w:t>
      </w:r>
      <w:r w:rsidR="00227545" w:rsidRPr="00A85D75">
        <w:rPr>
          <w:rStyle w:val="FootnoteReference"/>
        </w:rPr>
        <w:footnoteReference w:id="16"/>
      </w:r>
      <w:r w:rsidR="00227545" w:rsidRPr="00A85D75">
        <w:t xml:space="preserve"> covering 5G (New Radio).</w:t>
      </w:r>
      <w:r w:rsidR="008F790F" w:rsidRPr="00A85D75">
        <w:t xml:space="preserve"> </w:t>
      </w:r>
    </w:p>
    <w:p w14:paraId="2F8D3933" w14:textId="167D331B" w:rsidR="004A1479" w:rsidRPr="00A85D75" w:rsidRDefault="008565EA" w:rsidP="004A1479">
      <w:pPr>
        <w:pStyle w:val="Paragraph"/>
      </w:pPr>
      <w:r w:rsidRPr="00A85D75">
        <w:t>Such</w:t>
      </w:r>
      <w:r w:rsidR="00674D29" w:rsidRPr="00A85D75">
        <w:t xml:space="preserve"> arrangements support</w:t>
      </w:r>
      <w:r w:rsidR="00E44654" w:rsidRPr="00A85D75">
        <w:t xml:space="preserve"> </w:t>
      </w:r>
      <w:r w:rsidR="00A8189E" w:rsidRPr="00A85D75">
        <w:t xml:space="preserve">the majority of </w:t>
      </w:r>
      <w:r w:rsidR="009616F8" w:rsidRPr="00A85D75">
        <w:t>proposals</w:t>
      </w:r>
      <w:r w:rsidR="00A8189E" w:rsidRPr="00A85D75">
        <w:t xml:space="preserve"> </w:t>
      </w:r>
      <w:r w:rsidR="00CB5495" w:rsidRPr="00A85D75">
        <w:t>submitted</w:t>
      </w:r>
      <w:r w:rsidR="00A8189E" w:rsidRPr="00A85D75">
        <w:t xml:space="preserve"> by satellite operator</w:t>
      </w:r>
      <w:r w:rsidR="004B1080" w:rsidRPr="00A85D75">
        <w:t xml:space="preserve">s </w:t>
      </w:r>
      <w:r w:rsidR="00D037AE" w:rsidRPr="00A85D75">
        <w:t xml:space="preserve">to the </w:t>
      </w:r>
      <w:r w:rsidR="00132935" w:rsidRPr="00A85D75">
        <w:t>o</w:t>
      </w:r>
      <w:r w:rsidR="00D037AE" w:rsidRPr="00A85D75">
        <w:t xml:space="preserve">ptions </w:t>
      </w:r>
      <w:r w:rsidR="00132935" w:rsidRPr="00A85D75">
        <w:t>p</w:t>
      </w:r>
      <w:r w:rsidR="00D037AE" w:rsidRPr="00A85D75">
        <w:t xml:space="preserve">aper </w:t>
      </w:r>
      <w:r w:rsidR="004B1080" w:rsidRPr="00A85D75">
        <w:t>that</w:t>
      </w:r>
      <w:r w:rsidR="00E44654" w:rsidRPr="00A85D75">
        <w:t xml:space="preserve"> </w:t>
      </w:r>
      <w:r w:rsidR="009115CB" w:rsidRPr="00A85D75">
        <w:t xml:space="preserve">favoured </w:t>
      </w:r>
      <w:r w:rsidR="001B41B2" w:rsidRPr="00A85D75">
        <w:t>5 MHz or larger channel bandwidths</w:t>
      </w:r>
      <w:r w:rsidR="009D621F" w:rsidRPr="00A85D75">
        <w:t xml:space="preserve">.  </w:t>
      </w:r>
      <w:r w:rsidR="00BA6AB5" w:rsidRPr="00A85D75">
        <w:t xml:space="preserve"> </w:t>
      </w:r>
    </w:p>
    <w:p w14:paraId="301F0B3B" w14:textId="3B510C95" w:rsidR="004264E1" w:rsidRPr="00A85D75" w:rsidRDefault="00D33652" w:rsidP="004264E1">
      <w:pPr>
        <w:pStyle w:val="Paragraph"/>
      </w:pPr>
      <w:r>
        <w:t>Alt</w:t>
      </w:r>
      <w:r w:rsidR="0023631B" w:rsidRPr="00A85D75">
        <w:t>hough o</w:t>
      </w:r>
      <w:r w:rsidR="004264E1" w:rsidRPr="00A85D75">
        <w:t xml:space="preserve">ne operator proposed that if the ACMA decided to proceed with the 2 x </w:t>
      </w:r>
      <w:r w:rsidR="00432AC6" w:rsidRPr="00A85D75">
        <w:t>5</w:t>
      </w:r>
      <w:r w:rsidR="00432AC6">
        <w:t> </w:t>
      </w:r>
      <w:r w:rsidR="004264E1" w:rsidRPr="00A85D75">
        <w:t>MHz shared satellite IoT segment, then it should consider having two equal 12.</w:t>
      </w:r>
      <w:r w:rsidR="00432AC6" w:rsidRPr="00A85D75">
        <w:t>5</w:t>
      </w:r>
      <w:r w:rsidR="00432AC6">
        <w:t> </w:t>
      </w:r>
      <w:r w:rsidR="004264E1" w:rsidRPr="00A85D75">
        <w:t xml:space="preserve">MHz segments. This would enable </w:t>
      </w:r>
      <w:r w:rsidR="00432AC6">
        <w:t>2</w:t>
      </w:r>
      <w:r w:rsidR="00432AC6" w:rsidRPr="00A85D75">
        <w:t xml:space="preserve"> </w:t>
      </w:r>
      <w:r w:rsidR="004264E1" w:rsidRPr="00A85D75">
        <w:t>operators to have equivalent spectrum allocations in the band</w:t>
      </w:r>
      <w:r w:rsidR="00432AC6">
        <w:t>,</w:t>
      </w:r>
      <w:r w:rsidR="004264E1" w:rsidRPr="00A85D75">
        <w:t xml:space="preserve"> which could be utilised in sub-segments of 2 x 10 MHz and 2 x </w:t>
      </w:r>
      <w:r w:rsidR="004264E1" w:rsidRPr="00A85D75">
        <w:lastRenderedPageBreak/>
        <w:t>2.5 MHz</w:t>
      </w:r>
      <w:r w:rsidR="008C0864" w:rsidRPr="00A85D75">
        <w:t>, an arrangement that would not necessar</w:t>
      </w:r>
      <w:r w:rsidR="001A3567">
        <w:t>il</w:t>
      </w:r>
      <w:r w:rsidR="008C0864" w:rsidRPr="00A85D75">
        <w:t xml:space="preserve">y support a 5G </w:t>
      </w:r>
      <w:r w:rsidR="00FE2AAE" w:rsidRPr="00A85D75">
        <w:t>migration path</w:t>
      </w:r>
      <w:r w:rsidR="00E27634">
        <w:t xml:space="preserve"> </w:t>
      </w:r>
      <w:r w:rsidR="006044EA">
        <w:t>(as 5G minimum channel bandwidth is 5 MHz)</w:t>
      </w:r>
      <w:r w:rsidR="005C507C" w:rsidRPr="00A85D75">
        <w:t>.</w:t>
      </w:r>
    </w:p>
    <w:p w14:paraId="605471BD" w14:textId="73A4C963" w:rsidR="00582707" w:rsidRPr="00A85D75" w:rsidRDefault="00CB17EC" w:rsidP="00582707">
      <w:pPr>
        <w:pStyle w:val="Paragraph"/>
      </w:pPr>
      <w:r w:rsidRPr="00A85D75">
        <w:t>A consideration in future work will be the balance between efficiency and flexibility. In this regard the ACMA notes that the 3GPP Series 36 specifications</w:t>
      </w:r>
      <w:r w:rsidRPr="00A85D75">
        <w:rPr>
          <w:rStyle w:val="FootnoteReference"/>
        </w:rPr>
        <w:footnoteReference w:id="17"/>
      </w:r>
      <w:r w:rsidRPr="00A85D75">
        <w:t xml:space="preserve"> covering 4G (LTE) has provisions for 1.4, 3, 5, 10, 15 and 20 MHz channels. Whereas the 3GPP Series 38 specifications</w:t>
      </w:r>
      <w:r w:rsidRPr="00A85D75">
        <w:rPr>
          <w:rStyle w:val="FootnoteReference"/>
        </w:rPr>
        <w:footnoteReference w:id="18"/>
      </w:r>
      <w:r w:rsidRPr="00A85D75">
        <w:t xml:space="preserve"> covering 5G (NR) specifications minimum bandwidth is 5 MHz. </w:t>
      </w:r>
      <w:r w:rsidR="00AF41C3" w:rsidRPr="00A85D75">
        <w:t>Adopting</w:t>
      </w:r>
      <w:r w:rsidR="00DB593C" w:rsidRPr="00A85D75">
        <w:t xml:space="preserve"> appropriate global standards</w:t>
      </w:r>
      <w:r w:rsidR="00582707" w:rsidRPr="00A85D75">
        <w:t xml:space="preserve"> will </w:t>
      </w:r>
      <w:r w:rsidR="00AF41C3" w:rsidRPr="00A85D75">
        <w:t xml:space="preserve">have the benefit of </w:t>
      </w:r>
      <w:r w:rsidR="00312A9E" w:rsidRPr="00A85D75">
        <w:t xml:space="preserve">driving </w:t>
      </w:r>
      <w:r w:rsidR="00582707" w:rsidRPr="00A85D75">
        <w:t>economies of scale in network and radio equipment in the 2 GHz band.</w:t>
      </w:r>
    </w:p>
    <w:p w14:paraId="7CEE703C" w14:textId="5A850819" w:rsidR="00CB17EC" w:rsidRPr="00A85D75" w:rsidRDefault="001F63A0" w:rsidP="004A1479">
      <w:pPr>
        <w:pStyle w:val="Paragraph"/>
      </w:pPr>
      <w:r w:rsidRPr="00A85D75">
        <w:t>Channel bandwidths will be considered as part of technical planning for the licence allocation process, in consultation with industry. Until then, we will continue to monitor developments in this area.</w:t>
      </w:r>
    </w:p>
    <w:p w14:paraId="347BD282" w14:textId="7B85F175" w:rsidR="00507479" w:rsidRPr="00A85D75" w:rsidRDefault="00593E42" w:rsidP="00507479">
      <w:pPr>
        <w:pStyle w:val="Heading3"/>
      </w:pPr>
      <w:bookmarkStart w:id="99" w:name="_Toc56965704"/>
      <w:bookmarkStart w:id="100" w:name="_Toc61364849"/>
      <w:r w:rsidRPr="00A85D75">
        <w:t>MSS</w:t>
      </w:r>
      <w:r w:rsidR="00507479" w:rsidRPr="00A85D75">
        <w:t xml:space="preserve"> </w:t>
      </w:r>
      <w:r w:rsidR="00E66854" w:rsidRPr="00A85D75">
        <w:t xml:space="preserve">licensing </w:t>
      </w:r>
      <w:r w:rsidR="00507479" w:rsidRPr="00A85D75">
        <w:t>considerations</w:t>
      </w:r>
      <w:bookmarkEnd w:id="99"/>
      <w:bookmarkEnd w:id="100"/>
    </w:p>
    <w:p w14:paraId="2ADFA033" w14:textId="338099B7" w:rsidR="00EB06E1" w:rsidRPr="00A85D75" w:rsidRDefault="00AE5AA5" w:rsidP="00EB06E1">
      <w:pPr>
        <w:pStyle w:val="Paragraph"/>
      </w:pPr>
      <w:r w:rsidRPr="00A85D75">
        <w:t>S</w:t>
      </w:r>
      <w:r w:rsidR="00566B80" w:rsidRPr="00A85D75">
        <w:t xml:space="preserve">pace and space receive </w:t>
      </w:r>
      <w:r w:rsidR="003207C0" w:rsidRPr="00A85D75">
        <w:t>apparatus licence</w:t>
      </w:r>
      <w:r w:rsidRPr="00A85D75">
        <w:t xml:space="preserve"> work in conjunction with </w:t>
      </w:r>
      <w:r w:rsidR="00EB06E1" w:rsidRPr="00A85D75">
        <w:t xml:space="preserve">the </w:t>
      </w:r>
      <w:bookmarkStart w:id="101" w:name="_Hlk2609725"/>
      <w:r w:rsidR="00EB06E1" w:rsidRPr="00A85D75">
        <w:fldChar w:fldCharType="begin"/>
      </w:r>
      <w:r w:rsidR="00EB06E1" w:rsidRPr="00A85D75">
        <w:instrText xml:space="preserve"> HYPERLINK "https://www.legislation.gov.au/Series/F2015L01486" </w:instrText>
      </w:r>
      <w:r w:rsidR="00EB06E1" w:rsidRPr="00A85D75">
        <w:fldChar w:fldCharType="separate"/>
      </w:r>
      <w:r w:rsidR="00EB06E1" w:rsidRPr="00A85D75">
        <w:rPr>
          <w:rStyle w:val="Hyperlink"/>
          <w:iCs/>
        </w:rPr>
        <w:t>Radiocommunications</w:t>
      </w:r>
      <w:bookmarkEnd w:id="101"/>
      <w:r w:rsidR="00EB06E1" w:rsidRPr="00A85D75">
        <w:rPr>
          <w:rStyle w:val="Hyperlink"/>
          <w:iCs/>
        </w:rPr>
        <w:t xml:space="preserve"> (Communication with Space Object) Class Licence 2015</w:t>
      </w:r>
      <w:r w:rsidR="00EB06E1" w:rsidRPr="00A85D75">
        <w:fldChar w:fldCharType="end"/>
      </w:r>
      <w:r w:rsidR="00EB06E1" w:rsidRPr="00A85D75">
        <w:t xml:space="preserve"> (the Space Object Class Licence)</w:t>
      </w:r>
      <w:r w:rsidR="00AA328D" w:rsidRPr="00A85D75">
        <w:t xml:space="preserve"> whereby </w:t>
      </w:r>
      <w:r w:rsidR="00EB06E1" w:rsidRPr="00A85D75">
        <w:t xml:space="preserve">operators may licence the space stations </w:t>
      </w:r>
      <w:r w:rsidR="00E42974" w:rsidRPr="00A85D75">
        <w:t>on board</w:t>
      </w:r>
      <w:r w:rsidR="00EB06E1" w:rsidRPr="00A85D75">
        <w:t xml:space="preserve"> a satellite with a space licence for the downlink and a space receive licence for the uplink. Earth stations in the network are then automatically authorised collectively under </w:t>
      </w:r>
      <w:bookmarkStart w:id="102" w:name="_Hlk347270"/>
      <w:r w:rsidR="00EB06E1" w:rsidRPr="00A85D75">
        <w:t>the</w:t>
      </w:r>
      <w:bookmarkEnd w:id="102"/>
      <w:r w:rsidR="00EB06E1" w:rsidRPr="00A85D75">
        <w:t xml:space="preserve"> Space Object Class Licence. This approach is typically used for satellite systems with numerous or ubiquitous earth stations. It provides an efficient means of licensing a large number of earth stations, avoiding the need to obtain a licence for every earth station in a satellite system. </w:t>
      </w:r>
    </w:p>
    <w:p w14:paraId="1DEA2327" w14:textId="666128D6" w:rsidR="000242ED" w:rsidRPr="00A85D75" w:rsidRDefault="00C568F8" w:rsidP="002B7405">
      <w:pPr>
        <w:rPr>
          <w:rStyle w:val="Hyperlink"/>
          <w:rFonts w:eastAsiaTheme="minorHAnsi"/>
          <w:szCs w:val="20"/>
        </w:rPr>
      </w:pPr>
      <w:r w:rsidRPr="00A85D75">
        <w:t>Under this approach t</w:t>
      </w:r>
      <w:r w:rsidR="000242ED" w:rsidRPr="00A85D75">
        <w:t xml:space="preserve">he related space object must either be an Australian space object listed in the </w:t>
      </w:r>
      <w:hyperlink r:id="rId51" w:history="1">
        <w:r w:rsidR="000242ED" w:rsidRPr="00A85D75">
          <w:rPr>
            <w:rStyle w:val="Hyperlink"/>
          </w:rPr>
          <w:t>Australian Space Objects Determination</w:t>
        </w:r>
      </w:hyperlink>
      <w:r w:rsidR="000242ED" w:rsidRPr="00A85D75">
        <w:t xml:space="preserve"> or a foreign space object that is owned, controlled or operated by a</w:t>
      </w:r>
      <w:r w:rsidR="00CB7A32" w:rsidRPr="00A85D75">
        <w:t xml:space="preserve">n </w:t>
      </w:r>
      <w:r w:rsidR="000242ED" w:rsidRPr="00A85D75">
        <w:t xml:space="preserve">entity listed in the </w:t>
      </w:r>
      <w:hyperlink r:id="rId52" w:history="1">
        <w:r w:rsidR="000242ED" w:rsidRPr="00A85D75">
          <w:rPr>
            <w:rStyle w:val="Hyperlink"/>
            <w:rFonts w:eastAsiaTheme="minorHAnsi"/>
            <w:szCs w:val="20"/>
          </w:rPr>
          <w:t>Foreign Space Objects Determination</w:t>
        </w:r>
      </w:hyperlink>
      <w:r w:rsidR="00A00AB0" w:rsidRPr="00A85D75">
        <w:rPr>
          <w:rStyle w:val="Hyperlink"/>
          <w:rFonts w:eastAsiaTheme="minorHAnsi"/>
          <w:szCs w:val="20"/>
        </w:rPr>
        <w:t xml:space="preserve">.  </w:t>
      </w:r>
    </w:p>
    <w:p w14:paraId="0279AB56" w14:textId="7D61A11B" w:rsidR="001161ED" w:rsidRPr="00A85D75" w:rsidRDefault="00BF18CD" w:rsidP="002B7405">
      <w:r w:rsidRPr="00A85D75">
        <w:t xml:space="preserve">Updates to the </w:t>
      </w:r>
      <w:r w:rsidR="00F12B45" w:rsidRPr="00A85D75">
        <w:t xml:space="preserve">Communications </w:t>
      </w:r>
      <w:r w:rsidR="00BE5944" w:rsidRPr="00A85D75">
        <w:t xml:space="preserve">with </w:t>
      </w:r>
      <w:r w:rsidR="00F12B45" w:rsidRPr="00A85D75">
        <w:t xml:space="preserve">Space Object Class Licence </w:t>
      </w:r>
      <w:r w:rsidR="00514DC0" w:rsidRPr="00A85D75">
        <w:t>w</w:t>
      </w:r>
      <w:r w:rsidR="00F12B45" w:rsidRPr="00A85D75">
        <w:t>ill be required to include the 2 GHz</w:t>
      </w:r>
      <w:r w:rsidR="00A4187C" w:rsidRPr="00A85D75">
        <w:t xml:space="preserve"> band</w:t>
      </w:r>
      <w:r w:rsidR="00193C68" w:rsidRPr="00A85D75">
        <w:t xml:space="preserve">. Updates to the Australian Space Objects Determination and the Foreign Space Objects Determination are also likely to include </w:t>
      </w:r>
      <w:r w:rsidR="00E42974" w:rsidRPr="00A85D75">
        <w:t>operators</w:t>
      </w:r>
      <w:r w:rsidR="00193C68" w:rsidRPr="00A85D75">
        <w:t xml:space="preserve"> </w:t>
      </w:r>
      <w:r w:rsidR="00514DC0" w:rsidRPr="00A85D75">
        <w:t>intending to provide satellite services in</w:t>
      </w:r>
      <w:r w:rsidR="001161ED" w:rsidRPr="00A85D75">
        <w:t xml:space="preserve"> the 2 GHz band.  </w:t>
      </w:r>
      <w:r w:rsidR="00193C68" w:rsidRPr="00A85D75">
        <w:t xml:space="preserve"> </w:t>
      </w:r>
      <w:r w:rsidRPr="00A85D75">
        <w:t xml:space="preserve"> </w:t>
      </w:r>
    </w:p>
    <w:p w14:paraId="281B0F47" w14:textId="5A7F544E" w:rsidR="00A00AB0" w:rsidRPr="00A85D75" w:rsidRDefault="00814509" w:rsidP="002B7405">
      <w:r w:rsidRPr="00A85D75">
        <w:t xml:space="preserve">Before varying the Space Object Class Licence, the Australian Space Objects Determination or the Foreign Space Objects Determination, the ACMA would undertake consultation in accordance with the requirements of the </w:t>
      </w:r>
      <w:r w:rsidRPr="00A85D75">
        <w:rPr>
          <w:i/>
          <w:iCs/>
        </w:rPr>
        <w:t>Legislation Act 2003</w:t>
      </w:r>
      <w:r w:rsidRPr="00A85D75">
        <w:t>. This typically involves publication of a discussion paper with a period for submission of comments from interested parties</w:t>
      </w:r>
      <w:r w:rsidR="001161ED" w:rsidRPr="00A85D75">
        <w:t>.</w:t>
      </w:r>
    </w:p>
    <w:p w14:paraId="6824C9D6" w14:textId="256E8711" w:rsidR="008A2628" w:rsidRPr="00A85D75" w:rsidRDefault="004A3282" w:rsidP="002B7405">
      <w:r w:rsidRPr="00A85D75">
        <w:t>The ACMA</w:t>
      </w:r>
      <w:r w:rsidR="005C507C" w:rsidRPr="00A85D75">
        <w:t>’s</w:t>
      </w:r>
      <w:r w:rsidRPr="00A85D75">
        <w:t xml:space="preserve"> </w:t>
      </w:r>
      <w:r w:rsidR="00E32343" w:rsidRPr="00A85D75">
        <w:t xml:space="preserve">preliminary view is that </w:t>
      </w:r>
      <w:r w:rsidR="00BE5944" w:rsidRPr="00A85D75">
        <w:t xml:space="preserve">an </w:t>
      </w:r>
      <w:bookmarkStart w:id="103" w:name="_Hlk57038885"/>
      <w:r w:rsidR="00BE5944" w:rsidRPr="00A85D75">
        <w:t xml:space="preserve">update to </w:t>
      </w:r>
      <w:r w:rsidR="00CA746A">
        <w:t xml:space="preserve">the </w:t>
      </w:r>
      <w:r w:rsidR="00BE5944" w:rsidRPr="00A85D75">
        <w:t xml:space="preserve">Space Object Class Licence </w:t>
      </w:r>
      <w:r w:rsidR="001E5A83" w:rsidRPr="00A85D75">
        <w:t>will be required before the</w:t>
      </w:r>
      <w:r w:rsidR="007036FA">
        <w:t xml:space="preserve"> allocation of space and space receive apparatus</w:t>
      </w:r>
      <w:r w:rsidR="001E5A83" w:rsidRPr="00A85D75">
        <w:t xml:space="preserve"> licence</w:t>
      </w:r>
      <w:r w:rsidR="007036FA">
        <w:t xml:space="preserve">s </w:t>
      </w:r>
      <w:r w:rsidR="001E5A83" w:rsidRPr="00A85D75">
        <w:t>commences</w:t>
      </w:r>
      <w:r w:rsidR="00FF3B54">
        <w:t>,</w:t>
      </w:r>
      <w:r w:rsidR="001E5A83" w:rsidRPr="00A85D75">
        <w:t xml:space="preserve"> to provide certainty on </w:t>
      </w:r>
      <w:r w:rsidR="002F3A3A" w:rsidRPr="00A85D75">
        <w:t>what frequency bands are available</w:t>
      </w:r>
      <w:bookmarkEnd w:id="103"/>
      <w:r w:rsidR="002F3A3A" w:rsidRPr="00A85D75">
        <w:t>.</w:t>
      </w:r>
    </w:p>
    <w:p w14:paraId="178529F5" w14:textId="1A33245A" w:rsidR="00507479" w:rsidRPr="00A85D75" w:rsidRDefault="00CA10BE" w:rsidP="009D6180">
      <w:r>
        <w:t xml:space="preserve">We will </w:t>
      </w:r>
      <w:proofErr w:type="gramStart"/>
      <w:r>
        <w:t>give further consideration to</w:t>
      </w:r>
      <w:proofErr w:type="gramEnd"/>
      <w:r>
        <w:t xml:space="preserve"> w</w:t>
      </w:r>
      <w:r w:rsidR="00E153AE" w:rsidRPr="00A85D75">
        <w:t xml:space="preserve">hether updates </w:t>
      </w:r>
      <w:r w:rsidR="00557EF2" w:rsidRPr="00A85D75">
        <w:t xml:space="preserve">to the Australian Space Objects Determination or the Foreign Space Objects Determination </w:t>
      </w:r>
      <w:r w:rsidR="00BB1F75" w:rsidRPr="00A85D75">
        <w:t xml:space="preserve">are required before </w:t>
      </w:r>
      <w:r>
        <w:t xml:space="preserve">or after </w:t>
      </w:r>
      <w:r w:rsidR="00BB1F75" w:rsidRPr="00A85D75">
        <w:t xml:space="preserve">the </w:t>
      </w:r>
      <w:r w:rsidR="002C4459" w:rsidRPr="00A85D75">
        <w:t>licence</w:t>
      </w:r>
      <w:r w:rsidR="00BB1F75" w:rsidRPr="00A85D75">
        <w:t xml:space="preserve"> allocation process so </w:t>
      </w:r>
      <w:r w:rsidR="002C4459" w:rsidRPr="00A85D75">
        <w:t xml:space="preserve">only </w:t>
      </w:r>
      <w:r w:rsidR="003C731B" w:rsidRPr="00A85D75">
        <w:t xml:space="preserve">successful </w:t>
      </w:r>
      <w:r>
        <w:t>licensees</w:t>
      </w:r>
      <w:r w:rsidRPr="00A85D75">
        <w:t xml:space="preserve"> </w:t>
      </w:r>
      <w:r w:rsidR="009F33F7" w:rsidRPr="00A85D75">
        <w:t>are</w:t>
      </w:r>
      <w:r w:rsidR="002C4459" w:rsidRPr="00A85D75">
        <w:t xml:space="preserve"> </w:t>
      </w:r>
      <w:r w:rsidR="009F33F7" w:rsidRPr="00A85D75">
        <w:t>included</w:t>
      </w:r>
      <w:r w:rsidR="002C4459" w:rsidRPr="00A85D75">
        <w:t xml:space="preserve">. </w:t>
      </w:r>
      <w:r w:rsidR="008A2628" w:rsidRPr="00A85D75">
        <w:t>T</w:t>
      </w:r>
      <w:r w:rsidR="00FF2EA4" w:rsidRPr="00A85D75">
        <w:t xml:space="preserve">he ACMA preliminary view </w:t>
      </w:r>
      <w:r w:rsidR="00E66854" w:rsidRPr="00A85D75">
        <w:t xml:space="preserve">is </w:t>
      </w:r>
      <w:r w:rsidR="00CD3112" w:rsidRPr="00A85D75">
        <w:t xml:space="preserve">that it would be </w:t>
      </w:r>
      <w:r w:rsidR="008C6E36" w:rsidRPr="00A85D75">
        <w:t>beneficial to commence</w:t>
      </w:r>
      <w:r w:rsidR="00247121" w:rsidRPr="00A85D75">
        <w:t xml:space="preserve"> the update before the licence allocation process</w:t>
      </w:r>
      <w:r w:rsidR="00E2532A" w:rsidRPr="00A85D75">
        <w:t xml:space="preserve"> to provide certainty</w:t>
      </w:r>
      <w:r w:rsidR="008C6E36" w:rsidRPr="00A85D75">
        <w:t xml:space="preserve"> to potential applicants</w:t>
      </w:r>
      <w:r w:rsidR="00700498" w:rsidRPr="00A85D75">
        <w:t xml:space="preserve">. </w:t>
      </w:r>
    </w:p>
    <w:p w14:paraId="041D5F56" w14:textId="64486EBF" w:rsidR="00F26AAB" w:rsidRPr="00A85D75" w:rsidRDefault="0064415E" w:rsidP="00F0675D">
      <w:pPr>
        <w:pStyle w:val="Heading4"/>
        <w:keepNext/>
      </w:pPr>
      <w:bookmarkStart w:id="104" w:name="_Toc56965705"/>
      <w:r w:rsidRPr="00A85D75">
        <w:lastRenderedPageBreak/>
        <w:t xml:space="preserve">MSS </w:t>
      </w:r>
      <w:r w:rsidR="005A7BA7" w:rsidRPr="00A85D75">
        <w:t>l</w:t>
      </w:r>
      <w:r w:rsidRPr="00A85D75">
        <w:t>icensing</w:t>
      </w:r>
      <w:r w:rsidR="005A7BA7" w:rsidRPr="00A85D75">
        <w:t>:</w:t>
      </w:r>
      <w:r w:rsidRPr="00A85D75">
        <w:t xml:space="preserve"> </w:t>
      </w:r>
      <w:r w:rsidR="005A7BA7" w:rsidRPr="00A85D75">
        <w:t>p</w:t>
      </w:r>
      <w:r w:rsidR="00F26AAB" w:rsidRPr="00A85D75">
        <w:t>rice-based allocation process</w:t>
      </w:r>
      <w:bookmarkEnd w:id="104"/>
    </w:p>
    <w:p w14:paraId="75DF2B06" w14:textId="6B1FEA5B" w:rsidR="00F26AAB" w:rsidRPr="00A85D75" w:rsidRDefault="00F26AAB" w:rsidP="00F26AAB">
      <w:pPr>
        <w:pStyle w:val="Paragraph"/>
      </w:pPr>
      <w:r w:rsidRPr="00A85D75">
        <w:t>Given</w:t>
      </w:r>
      <w:r w:rsidR="005C507C" w:rsidRPr="00A85D75">
        <w:t xml:space="preserve"> th</w:t>
      </w:r>
      <w:r w:rsidRPr="00A85D75">
        <w:t xml:space="preserve">e demand expressed in the consultation process for MSS </w:t>
      </w:r>
      <w:r w:rsidR="00862F7B" w:rsidRPr="00A85D75">
        <w:t>is likely to exceed supply, as well as</w:t>
      </w:r>
      <w:r w:rsidRPr="00A85D75">
        <w:t xml:space="preserve"> the challenges in coexistence between different MSS systems, the ACMA is of the preliminary view that the most appropriate mechanism to resolve competing demand in 1980–2005</w:t>
      </w:r>
      <w:r w:rsidR="00862F7B" w:rsidRPr="00A85D75">
        <w:t xml:space="preserve"> and </w:t>
      </w:r>
      <w:r w:rsidRPr="00A85D75">
        <w:t xml:space="preserve">2170–2195 MHz </w:t>
      </w:r>
      <w:r w:rsidR="004754B6">
        <w:t xml:space="preserve">paired bands </w:t>
      </w:r>
      <w:r w:rsidRPr="00A85D75">
        <w:t>is a price-based allocation via auction. We recognise that auction of spectrum for satellite services is a rare activity, the last time being in 2001.</w:t>
      </w:r>
      <w:r w:rsidRPr="00A85D75">
        <w:rPr>
          <w:rStyle w:val="FootnoteReference"/>
        </w:rPr>
        <w:footnoteReference w:id="19"/>
      </w:r>
      <w:r w:rsidRPr="00A85D75">
        <w:t xml:space="preserve"> </w:t>
      </w:r>
    </w:p>
    <w:p w14:paraId="61CE2329" w14:textId="0A82DC2B" w:rsidR="00F26AAB" w:rsidRPr="00A85D75" w:rsidRDefault="0064559B" w:rsidP="00F26AAB">
      <w:pPr>
        <w:pStyle w:val="Paragraph"/>
      </w:pPr>
      <w:r w:rsidRPr="00A85D75">
        <w:t>The</w:t>
      </w:r>
      <w:r w:rsidR="00F26AAB" w:rsidRPr="00A85D75">
        <w:t xml:space="preserve"> ACMA </w:t>
      </w:r>
      <w:r w:rsidRPr="00A85D75">
        <w:t>notes that</w:t>
      </w:r>
      <w:r w:rsidR="00F26AAB" w:rsidRPr="00A85D75">
        <w:t xml:space="preserve"> section 106 of the </w:t>
      </w:r>
      <w:r w:rsidR="00F26AAB" w:rsidRPr="00F0675D">
        <w:rPr>
          <w:i/>
        </w:rPr>
        <w:t>Radiocommunications Act</w:t>
      </w:r>
      <w:r w:rsidRPr="00F0675D">
        <w:rPr>
          <w:i/>
        </w:rPr>
        <w:t xml:space="preserve"> </w:t>
      </w:r>
      <w:r w:rsidR="00F0675D" w:rsidRPr="00F0675D">
        <w:rPr>
          <w:i/>
          <w:iCs/>
        </w:rPr>
        <w:t>1992</w:t>
      </w:r>
      <w:r w:rsidR="00F0675D">
        <w:t xml:space="preserve"> </w:t>
      </w:r>
      <w:r w:rsidRPr="00A85D75">
        <w:t xml:space="preserve">may be an appropriate </w:t>
      </w:r>
      <w:r w:rsidR="00F5258D" w:rsidRPr="00A85D75">
        <w:t>tool to allocate these licences.</w:t>
      </w:r>
      <w:r w:rsidR="00F26AAB" w:rsidRPr="00A85D75">
        <w:t xml:space="preserve"> While section 106 is limited to the allocation of transmitter licences, which in this case would be space apparatus licences in the 2170–2195 MHz band, </w:t>
      </w:r>
      <w:r w:rsidR="00F5258D" w:rsidRPr="00A85D75">
        <w:t xml:space="preserve">under this approach </w:t>
      </w:r>
      <w:r w:rsidR="00F26AAB" w:rsidRPr="00A85D75">
        <w:t>the ACMA would only issue the associated space receive apparatus licence in the 1980–2005 MHz band to those successful in the price-based allocation process.</w:t>
      </w:r>
    </w:p>
    <w:p w14:paraId="1A58ACE9" w14:textId="7E0423B2" w:rsidR="0064415E" w:rsidRPr="00A85D75" w:rsidRDefault="0064415E" w:rsidP="00CD4A6D">
      <w:pPr>
        <w:pStyle w:val="Heading4"/>
        <w:keepNext/>
      </w:pPr>
      <w:r w:rsidRPr="00A85D75">
        <w:t>Complementary ground component licensing</w:t>
      </w:r>
    </w:p>
    <w:p w14:paraId="175807BE" w14:textId="636D2620" w:rsidR="005C507C" w:rsidRPr="00A85D75" w:rsidRDefault="00F26AAB" w:rsidP="00202537">
      <w:pPr>
        <w:pStyle w:val="Paragraph"/>
      </w:pPr>
      <w:r w:rsidRPr="00A85D75">
        <w:t>Those successful in the licence allocation process would also have the option of applying for an apparatus licence to support a complementary ground component (or direct air-to-ground communications).</w:t>
      </w:r>
    </w:p>
    <w:p w14:paraId="317F84FB" w14:textId="2274B96B" w:rsidR="00F26AAB" w:rsidRPr="00A85D75" w:rsidRDefault="00A241F6" w:rsidP="00202537">
      <w:pPr>
        <w:pStyle w:val="Paragraph"/>
      </w:pPr>
      <w:r w:rsidRPr="00A85D75">
        <w:t xml:space="preserve">The ACMA is of the </w:t>
      </w:r>
      <w:r w:rsidR="00F2396F" w:rsidRPr="00A85D75">
        <w:t>preliminary</w:t>
      </w:r>
      <w:r w:rsidRPr="00A85D75">
        <w:t xml:space="preserve"> </w:t>
      </w:r>
      <w:r w:rsidR="00F2396F" w:rsidRPr="00A85D75">
        <w:t>view</w:t>
      </w:r>
      <w:r w:rsidRPr="00A85D75">
        <w:t xml:space="preserve"> that the </w:t>
      </w:r>
      <w:hyperlink r:id="rId53" w:history="1">
        <w:r w:rsidRPr="00507B1D">
          <w:rPr>
            <w:rStyle w:val="Hyperlink"/>
          </w:rPr>
          <w:t>are</w:t>
        </w:r>
        <w:r w:rsidR="000A7558" w:rsidRPr="00507B1D">
          <w:rPr>
            <w:rStyle w:val="Hyperlink"/>
          </w:rPr>
          <w:t>a</w:t>
        </w:r>
        <w:r w:rsidR="008B6361" w:rsidRPr="00507B1D">
          <w:rPr>
            <w:rStyle w:val="Hyperlink"/>
          </w:rPr>
          <w:t>-</w:t>
        </w:r>
        <w:r w:rsidRPr="00507B1D">
          <w:rPr>
            <w:rStyle w:val="Hyperlink"/>
          </w:rPr>
          <w:t xml:space="preserve">wide </w:t>
        </w:r>
        <w:r w:rsidR="00F2396F" w:rsidRPr="00507B1D">
          <w:rPr>
            <w:rStyle w:val="Hyperlink"/>
          </w:rPr>
          <w:t xml:space="preserve">licensing </w:t>
        </w:r>
        <w:r w:rsidR="00295B5E" w:rsidRPr="00507B1D">
          <w:rPr>
            <w:rStyle w:val="Hyperlink"/>
          </w:rPr>
          <w:t>type</w:t>
        </w:r>
      </w:hyperlink>
      <w:r w:rsidR="00295B5E" w:rsidRPr="00A85D75">
        <w:t xml:space="preserve"> </w:t>
      </w:r>
      <w:r w:rsidR="00F2396F" w:rsidRPr="00A85D75">
        <w:t xml:space="preserve">may be an appropriate licensing mechanism to provide flexibility in network deployment. </w:t>
      </w:r>
      <w:r w:rsidR="00F26AAB" w:rsidRPr="00A85D75">
        <w:t>To encourage the prioritisation of mobile</w:t>
      </w:r>
      <w:r w:rsidR="00351D1B">
        <w:t>-</w:t>
      </w:r>
      <w:r w:rsidR="00F26AAB" w:rsidRPr="00A85D75">
        <w:t>satellite service</w:t>
      </w:r>
      <w:r w:rsidR="008B6361">
        <w:t>s</w:t>
      </w:r>
      <w:r w:rsidR="00F26AAB" w:rsidRPr="00A85D75">
        <w:t xml:space="preserve"> over terrestrial services</w:t>
      </w:r>
      <w:r w:rsidR="00F26D71">
        <w:t>,</w:t>
      </w:r>
      <w:r w:rsidR="00F26AAB" w:rsidRPr="00A85D75">
        <w:t xml:space="preserve"> the ACMA is considering restrictions on the complementary ground component</w:t>
      </w:r>
      <w:r w:rsidR="001D1B94" w:rsidRPr="00A85D75">
        <w:t>, including direct air</w:t>
      </w:r>
      <w:r w:rsidR="004C6AD5">
        <w:t>-</w:t>
      </w:r>
      <w:r w:rsidR="001D1B94" w:rsidRPr="00A85D75">
        <w:t>to</w:t>
      </w:r>
      <w:r w:rsidR="004C6AD5">
        <w:t>-</w:t>
      </w:r>
      <w:r w:rsidR="001D1B94" w:rsidRPr="00A85D75">
        <w:t xml:space="preserve">ground communications </w:t>
      </w:r>
      <w:r w:rsidR="00F26AAB" w:rsidRPr="00A85D75">
        <w:t xml:space="preserve">(see </w:t>
      </w:r>
      <w:r w:rsidR="00DE3C6C" w:rsidRPr="00A85D75">
        <w:t>further discussion</w:t>
      </w:r>
      <w:r w:rsidR="00862F7B" w:rsidRPr="00A85D75">
        <w:t xml:space="preserve"> </w:t>
      </w:r>
      <w:r w:rsidR="00DE3C6C" w:rsidRPr="00A85D75">
        <w:t>below</w:t>
      </w:r>
      <w:r w:rsidR="00F26AAB" w:rsidRPr="00A85D75">
        <w:t>). Licensing fees for a complementary ground component would only apply if the MSS licensee applies for</w:t>
      </w:r>
      <w:r w:rsidR="00D8500C">
        <w:t>,</w:t>
      </w:r>
      <w:r w:rsidR="00F26AAB" w:rsidRPr="00A85D75">
        <w:t xml:space="preserve"> and is granted</w:t>
      </w:r>
      <w:r w:rsidR="00D8500C">
        <w:t>,</w:t>
      </w:r>
      <w:r w:rsidR="00F26AAB" w:rsidRPr="00A85D75">
        <w:t xml:space="preserve"> </w:t>
      </w:r>
      <w:r w:rsidR="007C1BD1" w:rsidRPr="00A85D75">
        <w:t>a</w:t>
      </w:r>
      <w:r w:rsidR="00F26AAB" w:rsidRPr="00A85D75">
        <w:t xml:space="preserve"> licence for such a system.</w:t>
      </w:r>
    </w:p>
    <w:p w14:paraId="4DE90179" w14:textId="7842B0A4" w:rsidR="000B03FD" w:rsidRPr="00A85D75" w:rsidRDefault="000B03FD" w:rsidP="000B03FD">
      <w:pPr>
        <w:pStyle w:val="Heading3"/>
      </w:pPr>
      <w:bookmarkStart w:id="105" w:name="_Toc56965706"/>
      <w:bookmarkStart w:id="106" w:name="_Toc61364850"/>
      <w:r w:rsidRPr="00A85D75">
        <w:t>International satellite regulation considerations</w:t>
      </w:r>
      <w:bookmarkEnd w:id="105"/>
      <w:bookmarkEnd w:id="106"/>
    </w:p>
    <w:p w14:paraId="7EEA59B1" w14:textId="77777777" w:rsidR="000B03FD" w:rsidRPr="00A85D75" w:rsidRDefault="000B03FD" w:rsidP="000B03FD">
      <w:pPr>
        <w:pStyle w:val="Paragraph"/>
      </w:pPr>
      <w:r w:rsidRPr="00A85D75">
        <w:t>Before operating a satellite system</w:t>
      </w:r>
      <w:r w:rsidRPr="00A85D75">
        <w:rPr>
          <w:rStyle w:val="FootnoteReference"/>
        </w:rPr>
        <w:footnoteReference w:id="20"/>
      </w:r>
      <w:r w:rsidRPr="00A85D75">
        <w:t xml:space="preserve"> in Australia, the technical details of the network must be filed with the ITU</w:t>
      </w:r>
      <w:r w:rsidRPr="00A85D75">
        <w:rPr>
          <w:rStyle w:val="FootnoteReference"/>
        </w:rPr>
        <w:footnoteReference w:id="21"/>
      </w:r>
      <w:r w:rsidRPr="00A85D75">
        <w:t xml:space="preserve"> for inclusion in the Master International Frequency Register. Satellite systems may be filed through any national administration recognised by the ITU. </w:t>
      </w:r>
    </w:p>
    <w:p w14:paraId="7F7FDA3A" w14:textId="2F5C85ED" w:rsidR="000B03FD" w:rsidRPr="00A85D75" w:rsidRDefault="000B03FD" w:rsidP="000B03FD">
      <w:pPr>
        <w:pStyle w:val="Paragraph"/>
      </w:pPr>
      <w:r w:rsidRPr="00A85D75">
        <w:t>As part of the licence assessment</w:t>
      </w:r>
      <w:r w:rsidR="00D8500C">
        <w:t>,</w:t>
      </w:r>
      <w:r w:rsidRPr="00A85D75">
        <w:t xml:space="preserve"> the ACMA checks whether the ITU satellite filing details are consistent with the </w:t>
      </w:r>
      <w:r w:rsidR="00680CD2">
        <w:t>licence</w:t>
      </w:r>
      <w:r w:rsidR="00680CD2" w:rsidRPr="00A85D75">
        <w:t xml:space="preserve"> </w:t>
      </w:r>
      <w:r w:rsidRPr="00A85D75">
        <w:t xml:space="preserve">application and the ITU coordination (regulatory) status of the satellite network (refer </w:t>
      </w:r>
      <w:r w:rsidR="00D8500C">
        <w:t xml:space="preserve">to </w:t>
      </w:r>
      <w:r w:rsidRPr="00A85D75">
        <w:t xml:space="preserve">ACMA procedures for </w:t>
      </w:r>
      <w:hyperlink r:id="rId54">
        <w:r w:rsidRPr="00A85D75">
          <w:rPr>
            <w:rStyle w:val="Hyperlink"/>
          </w:rPr>
          <w:t>Submission and processing of applications for space and space receive apparatus licences</w:t>
        </w:r>
      </w:hyperlink>
      <w:r w:rsidR="00D8500C" w:rsidRPr="00485EDB">
        <w:t>).</w:t>
      </w:r>
    </w:p>
    <w:p w14:paraId="4DDDD9D5" w14:textId="7205E12E" w:rsidR="000B03FD" w:rsidRPr="00A85D75" w:rsidRDefault="000B03FD" w:rsidP="000B03FD">
      <w:pPr>
        <w:pStyle w:val="Paragraph"/>
      </w:pPr>
      <w:r w:rsidRPr="00A85D75">
        <w:t>The outcomes of these checks can result in a variety of licence conditions being include</w:t>
      </w:r>
      <w:r w:rsidR="0039611D">
        <w:t>d</w:t>
      </w:r>
      <w:r w:rsidRPr="00A85D75">
        <w:t xml:space="preserve"> on a licence </w:t>
      </w:r>
      <w:r w:rsidR="00E42974" w:rsidRPr="00A85D75">
        <w:t>to reflect</w:t>
      </w:r>
      <w:r w:rsidRPr="00A85D75">
        <w:t xml:space="preserve"> the status of the ITU filing and coordination with other services.</w:t>
      </w:r>
      <w:r w:rsidR="00E42974" w:rsidRPr="00A85D75">
        <w:t xml:space="preserve"> </w:t>
      </w:r>
      <w:r w:rsidRPr="00A85D75">
        <w:t>One of the key outcomes is that the licence records details of the ITU satellite filing for which the licence authorises communications.</w:t>
      </w:r>
    </w:p>
    <w:p w14:paraId="52FAAD53" w14:textId="325DC08A" w:rsidR="000B03FD" w:rsidRPr="00A85D75" w:rsidRDefault="000B03FD" w:rsidP="000B03FD">
      <w:pPr>
        <w:pStyle w:val="Paragraph"/>
      </w:pPr>
      <w:r w:rsidRPr="00A85D75">
        <w:t xml:space="preserve">While the ACMA will need to consider application of these </w:t>
      </w:r>
      <w:r w:rsidR="0039611D">
        <w:t xml:space="preserve">ITU </w:t>
      </w:r>
      <w:r w:rsidRPr="00A85D75">
        <w:t>requirements as part of the licence allocation process, the ACMA preliminary view is that they should be assessed as part of any eligibility requirements</w:t>
      </w:r>
      <w:r w:rsidR="00576A47">
        <w:t xml:space="preserve"> to participate in an auction for 2 GHz </w:t>
      </w:r>
      <w:r w:rsidR="00576A47">
        <w:lastRenderedPageBreak/>
        <w:t>space licences</w:t>
      </w:r>
      <w:r w:rsidR="00BA619F">
        <w:t>. In</w:t>
      </w:r>
      <w:r w:rsidRPr="00A85D75">
        <w:t xml:space="preserve"> particular</w:t>
      </w:r>
      <w:r w:rsidR="00BA619F">
        <w:t>, we consider</w:t>
      </w:r>
      <w:r w:rsidRPr="00A85D75">
        <w:t xml:space="preserve"> that there </w:t>
      </w:r>
      <w:r w:rsidR="00BA619F">
        <w:t>should</w:t>
      </w:r>
      <w:r w:rsidR="00BA619F" w:rsidRPr="00A85D75">
        <w:t xml:space="preserve"> </w:t>
      </w:r>
      <w:r w:rsidRPr="00A85D75">
        <w:t>be a</w:t>
      </w:r>
      <w:r w:rsidR="00BA619F">
        <w:t>n existing</w:t>
      </w:r>
      <w:r w:rsidRPr="00A85D75">
        <w:t xml:space="preserve"> satellite filing </w:t>
      </w:r>
      <w:r w:rsidR="00BA619F">
        <w:t xml:space="preserve">for </w:t>
      </w:r>
      <w:r w:rsidRPr="00A85D75">
        <w:t xml:space="preserve">which the applicant is the </w:t>
      </w:r>
      <w:r w:rsidR="00BA619F">
        <w:t>responsible</w:t>
      </w:r>
      <w:r w:rsidR="00BA619F" w:rsidRPr="00A85D75">
        <w:t xml:space="preserve"> </w:t>
      </w:r>
      <w:r w:rsidRPr="00A85D75">
        <w:t xml:space="preserve">entity or has an agreement to access.  </w:t>
      </w:r>
    </w:p>
    <w:p w14:paraId="75D82709" w14:textId="7923A60C" w:rsidR="000B03FD" w:rsidRPr="00A85D75" w:rsidRDefault="000B03FD" w:rsidP="000B03FD">
      <w:pPr>
        <w:rPr>
          <w:rFonts w:cstheme="minorHAnsi"/>
        </w:rPr>
      </w:pPr>
      <w:r w:rsidRPr="00A85D75">
        <w:rPr>
          <w:rFonts w:cstheme="minorHAnsi"/>
        </w:rPr>
        <w:t>It should be noted that while the ACMA can develop a framework to support the licensing of a mobile</w:t>
      </w:r>
      <w:r w:rsidR="00351D1B">
        <w:rPr>
          <w:rFonts w:cstheme="minorHAnsi"/>
        </w:rPr>
        <w:t>-</w:t>
      </w:r>
      <w:r w:rsidRPr="00A85D75">
        <w:rPr>
          <w:rFonts w:cstheme="minorHAnsi"/>
        </w:rPr>
        <w:t xml:space="preserve">satellite service, as with any satellite service its viability is in large part dependent on the status of the satellite network in the </w:t>
      </w:r>
      <w:r w:rsidRPr="00A85D75">
        <w:t xml:space="preserve">ITU </w:t>
      </w:r>
      <w:r w:rsidRPr="00A85D75">
        <w:rPr>
          <w:rFonts w:cstheme="minorHAnsi"/>
        </w:rPr>
        <w:t xml:space="preserve">satellite coordination process. This a matter for prospective licensees to assess, and the ACMA makes no assurances in this regard.  </w:t>
      </w:r>
    </w:p>
    <w:p w14:paraId="6977DD1F" w14:textId="1BDC5586" w:rsidR="00063727" w:rsidRPr="00A85D75" w:rsidRDefault="00063727" w:rsidP="00063727">
      <w:pPr>
        <w:pStyle w:val="Heading3"/>
      </w:pPr>
      <w:bookmarkStart w:id="107" w:name="_Toc56965707"/>
      <w:bookmarkStart w:id="108" w:name="_Toc61364851"/>
      <w:r w:rsidRPr="00A85D75">
        <w:t>Complementary ground component considerations</w:t>
      </w:r>
      <w:bookmarkEnd w:id="107"/>
      <w:bookmarkEnd w:id="108"/>
    </w:p>
    <w:p w14:paraId="0409F5EC" w14:textId="3C6A7A81" w:rsidR="001D1203" w:rsidRPr="00A85D75" w:rsidRDefault="001D1203" w:rsidP="001D1203">
      <w:pPr>
        <w:pStyle w:val="Paragraph"/>
      </w:pPr>
      <w:r w:rsidRPr="00A85D75">
        <w:t>The complementary ground component of a mobile-satellite service is in many respects similar to a wireless broadband service</w:t>
      </w:r>
      <w:r w:rsidR="00AF7A22">
        <w:t xml:space="preserve"> (either wide-area or local-area depending on the nature of the </w:t>
      </w:r>
      <w:r w:rsidR="00A61461">
        <w:t>deployment</w:t>
      </w:r>
      <w:r w:rsidR="00F26D71">
        <w:t>)</w:t>
      </w:r>
      <w:r w:rsidRPr="00A85D75">
        <w:t xml:space="preserve">. Both types of service involve deployment of base stations communicating with mobile terminals </w:t>
      </w:r>
      <w:r w:rsidR="00A61461">
        <w:t xml:space="preserve">sometimes </w:t>
      </w:r>
      <w:r w:rsidRPr="00A85D75">
        <w:t>across a wide area. Accordingly, it is feasible that supporting MSS with a complementary ground component might result in the development of wide</w:t>
      </w:r>
      <w:r w:rsidR="00FF34F6" w:rsidRPr="00A85D75">
        <w:t>-</w:t>
      </w:r>
      <w:r w:rsidRPr="00A85D75">
        <w:t xml:space="preserve">area wireless broadband networks in capital city areas. </w:t>
      </w:r>
    </w:p>
    <w:p w14:paraId="0D2C0673" w14:textId="477C9166" w:rsidR="001D1203" w:rsidRPr="00A85D75" w:rsidRDefault="001D1203" w:rsidP="001D1203">
      <w:pPr>
        <w:pStyle w:val="Paragraph"/>
      </w:pPr>
      <w:r w:rsidRPr="00A85D75">
        <w:t xml:space="preserve">In other jurisdictions where </w:t>
      </w:r>
      <w:r w:rsidR="00CF031A">
        <w:t>a</w:t>
      </w:r>
      <w:r w:rsidRPr="00A85D75">
        <w:t xml:space="preserve"> complementary ground component has been contemplated, the question of whether an obligation to provide an MSS service is necessary before the complementary ground component can be rolled out has been considered. The issue in question was the possibility of the MSS</w:t>
      </w:r>
      <w:r w:rsidR="00F26D71">
        <w:t>-</w:t>
      </w:r>
      <w:r w:rsidRPr="00A85D75">
        <w:t xml:space="preserve">licensed use becoming a solely terrestrial wireless broadband network without the provision of </w:t>
      </w:r>
      <w:r w:rsidR="00E42974" w:rsidRPr="00A85D75">
        <w:t>a mobile</w:t>
      </w:r>
      <w:r w:rsidR="00351D1B">
        <w:t>-</w:t>
      </w:r>
      <w:r w:rsidR="00E42974" w:rsidRPr="00A85D75">
        <w:t>satellite</w:t>
      </w:r>
      <w:r w:rsidRPr="00A85D75">
        <w:t xml:space="preserve"> service. In some cases, the provision of </w:t>
      </w:r>
      <w:r w:rsidR="00D8500C">
        <w:t xml:space="preserve">a </w:t>
      </w:r>
      <w:r w:rsidRPr="00A85D75">
        <w:t>complementary ground component was conditional upon it being used to improve availability</w:t>
      </w:r>
      <w:r w:rsidR="00202537" w:rsidRPr="00A85D75">
        <w:t xml:space="preserve"> of the associated satellite service</w:t>
      </w:r>
      <w:r w:rsidRPr="00A85D75">
        <w:t>.</w:t>
      </w:r>
      <w:r w:rsidRPr="00A85D75">
        <w:rPr>
          <w:rStyle w:val="FootnoteReference"/>
        </w:rPr>
        <w:footnoteReference w:id="22"/>
      </w:r>
    </w:p>
    <w:p w14:paraId="2B93612C" w14:textId="7DBDE6AB" w:rsidR="009F4A93" w:rsidRPr="00A85D75" w:rsidRDefault="00D437A0" w:rsidP="001D1203">
      <w:pPr>
        <w:pStyle w:val="Paragraph"/>
      </w:pPr>
      <w:r w:rsidRPr="00A85D75">
        <w:t xml:space="preserve">Such a concern </w:t>
      </w:r>
      <w:r w:rsidR="00597BE9" w:rsidRPr="00A85D75">
        <w:t>(that rol</w:t>
      </w:r>
      <w:r w:rsidR="00380DA3" w:rsidRPr="00A85D75">
        <w:t>l</w:t>
      </w:r>
      <w:r w:rsidR="00597BE9" w:rsidRPr="00A85D75">
        <w:t xml:space="preserve">out of an MSS </w:t>
      </w:r>
      <w:r w:rsidR="00E53918" w:rsidRPr="00A85D75">
        <w:t xml:space="preserve">would be </w:t>
      </w:r>
      <w:r w:rsidR="00597BE9" w:rsidRPr="00A85D75">
        <w:t>se</w:t>
      </w:r>
      <w:r w:rsidR="00E53918" w:rsidRPr="00A85D75">
        <w:t>condary</w:t>
      </w:r>
      <w:r w:rsidR="00597BE9" w:rsidRPr="00A85D75">
        <w:t xml:space="preserve"> to </w:t>
      </w:r>
      <w:r w:rsidR="00682991">
        <w:t xml:space="preserve">a </w:t>
      </w:r>
      <w:r w:rsidR="00432492" w:rsidRPr="00A85D75">
        <w:t xml:space="preserve">terrestrial </w:t>
      </w:r>
      <w:r w:rsidR="001E79FA" w:rsidRPr="00A85D75">
        <w:t xml:space="preserve">wireless </w:t>
      </w:r>
      <w:r w:rsidR="00DD1136" w:rsidRPr="00A85D75">
        <w:t xml:space="preserve">broadband network) </w:t>
      </w:r>
      <w:r w:rsidR="00604E1E" w:rsidRPr="00A85D75">
        <w:t xml:space="preserve">was raised </w:t>
      </w:r>
      <w:r w:rsidR="009009F0" w:rsidRPr="00A85D75">
        <w:t xml:space="preserve">by one submitter who </w:t>
      </w:r>
      <w:r w:rsidR="00CD5C2D" w:rsidRPr="00A85D75">
        <w:t>co</w:t>
      </w:r>
      <w:r w:rsidR="00F5346B" w:rsidRPr="00A85D75">
        <w:t xml:space="preserve">mmented that this </w:t>
      </w:r>
      <w:r w:rsidR="00D906D3">
        <w:t>has been</w:t>
      </w:r>
      <w:r w:rsidR="00A76CFD" w:rsidRPr="00A85D75">
        <w:t xml:space="preserve"> the experience </w:t>
      </w:r>
      <w:r w:rsidR="009F4A93" w:rsidRPr="00A85D75">
        <w:t xml:space="preserve">overseas where such arrangements </w:t>
      </w:r>
      <w:r w:rsidR="0064646C" w:rsidRPr="00A85D75">
        <w:t>were</w:t>
      </w:r>
      <w:r w:rsidR="009F4A93" w:rsidRPr="00A85D75">
        <w:t xml:space="preserve"> developed.</w:t>
      </w:r>
      <w:r w:rsidR="00786DE4" w:rsidRPr="00A85D75">
        <w:t xml:space="preserve"> Given planning </w:t>
      </w:r>
      <w:r w:rsidR="006626FE" w:rsidRPr="00A85D75">
        <w:t>arrangements</w:t>
      </w:r>
      <w:r w:rsidR="00786DE4" w:rsidRPr="00A85D75">
        <w:t xml:space="preserve"> in the band have be</w:t>
      </w:r>
      <w:r w:rsidR="006626FE" w:rsidRPr="00A85D75">
        <w:t>e</w:t>
      </w:r>
      <w:r w:rsidR="00786DE4" w:rsidRPr="00A85D75">
        <w:t xml:space="preserve">n determined on the basis of MSS use, the </w:t>
      </w:r>
      <w:r w:rsidR="00202537" w:rsidRPr="00A85D75">
        <w:rPr>
          <w:caps/>
        </w:rPr>
        <w:t>ACMA</w:t>
      </w:r>
      <w:r w:rsidR="00786DE4" w:rsidRPr="00A85D75">
        <w:t xml:space="preserve"> see</w:t>
      </w:r>
      <w:r w:rsidR="00202537" w:rsidRPr="00A85D75">
        <w:t>s</w:t>
      </w:r>
      <w:r w:rsidR="00786DE4" w:rsidRPr="00A85D75">
        <w:t xml:space="preserve"> merit in </w:t>
      </w:r>
      <w:r w:rsidR="006626FE" w:rsidRPr="00A85D75">
        <w:t>arrangements</w:t>
      </w:r>
      <w:r w:rsidR="00786DE4" w:rsidRPr="00A85D75">
        <w:t xml:space="preserve"> that obligate the </w:t>
      </w:r>
      <w:r w:rsidR="006626FE" w:rsidRPr="00A85D75">
        <w:t>delivery</w:t>
      </w:r>
      <w:r w:rsidR="00786DE4" w:rsidRPr="00A85D75">
        <w:t xml:space="preserve"> of </w:t>
      </w:r>
      <w:r w:rsidR="006626FE" w:rsidRPr="00A85D75">
        <w:t>MSS rather than just compl</w:t>
      </w:r>
      <w:r w:rsidR="00202537" w:rsidRPr="00A85D75">
        <w:t>e</w:t>
      </w:r>
      <w:r w:rsidR="006626FE" w:rsidRPr="00A85D75">
        <w:t xml:space="preserve">mentary ground component aspects. </w:t>
      </w:r>
    </w:p>
    <w:p w14:paraId="3E84D39E" w14:textId="591DC255" w:rsidR="0087177E" w:rsidRPr="00A85D75" w:rsidRDefault="00847FCA" w:rsidP="00C02915">
      <w:pPr>
        <w:pStyle w:val="Paragraphbeforelist"/>
      </w:pPr>
      <w:r w:rsidRPr="00A85D75">
        <w:t>The ACMA planning decision is to support the introduction of MSS</w:t>
      </w:r>
      <w:r w:rsidR="00C21CF6" w:rsidRPr="00A85D75">
        <w:t xml:space="preserve"> with the optionality </w:t>
      </w:r>
      <w:r w:rsidR="00055A98" w:rsidRPr="00A85D75">
        <w:t xml:space="preserve">of </w:t>
      </w:r>
      <w:r w:rsidR="00CD7F7D">
        <w:t xml:space="preserve">a </w:t>
      </w:r>
      <w:r w:rsidR="00055A98" w:rsidRPr="00A85D75">
        <w:t>complementary ground component</w:t>
      </w:r>
      <w:r w:rsidR="004C5678" w:rsidRPr="00A85D75">
        <w:t xml:space="preserve">. </w:t>
      </w:r>
      <w:r w:rsidR="00DC66A2" w:rsidRPr="00A85D75">
        <w:t xml:space="preserve">Our preliminary view is that </w:t>
      </w:r>
      <w:r w:rsidR="001D1B94" w:rsidRPr="00A85D75">
        <w:t xml:space="preserve">a regulatory </w:t>
      </w:r>
      <w:r w:rsidR="00096A7E">
        <w:t>arrangement</w:t>
      </w:r>
      <w:r w:rsidR="00096A7E" w:rsidRPr="00A85D75">
        <w:t xml:space="preserve"> </w:t>
      </w:r>
      <w:r w:rsidR="00DC66A2" w:rsidRPr="00A85D75">
        <w:t>should be established that require</w:t>
      </w:r>
      <w:r w:rsidR="00E419F0">
        <w:t>s</w:t>
      </w:r>
      <w:r w:rsidR="00DC66A2" w:rsidRPr="00A85D75">
        <w:t xml:space="preserve"> provision of a mobile</w:t>
      </w:r>
      <w:r w:rsidR="00351D1B">
        <w:t>-</w:t>
      </w:r>
      <w:r w:rsidR="00DC66A2" w:rsidRPr="00A85D75">
        <w:t xml:space="preserve">satellite service to permit operation of complementary ground component. </w:t>
      </w:r>
      <w:r w:rsidR="0068148C" w:rsidRPr="00A85D75">
        <w:t>While the timing of netwo</w:t>
      </w:r>
      <w:r w:rsidR="008C592E" w:rsidRPr="00A85D75">
        <w:t xml:space="preserve">rk deployment is </w:t>
      </w:r>
      <w:r w:rsidR="00575738" w:rsidRPr="00A85D75">
        <w:t>generally</w:t>
      </w:r>
      <w:r w:rsidR="007E4616">
        <w:t xml:space="preserve"> a</w:t>
      </w:r>
      <w:r w:rsidR="00575738" w:rsidRPr="00A85D75">
        <w:t xml:space="preserve"> </w:t>
      </w:r>
      <w:r w:rsidR="008C592E" w:rsidRPr="00A85D75">
        <w:t>matter for a licen</w:t>
      </w:r>
      <w:r w:rsidR="00E253A9" w:rsidRPr="00A85D75">
        <w:t>see</w:t>
      </w:r>
      <w:r w:rsidR="008A6AC5" w:rsidRPr="00A85D75">
        <w:t>,</w:t>
      </w:r>
      <w:r w:rsidR="00AF70E9" w:rsidRPr="00A85D75">
        <w:t xml:space="preserve"> </w:t>
      </w:r>
      <w:r w:rsidR="00575738" w:rsidRPr="00A85D75">
        <w:t xml:space="preserve">in this </w:t>
      </w:r>
      <w:r w:rsidR="00575738" w:rsidRPr="00A85D75" w:rsidDel="00E542B8">
        <w:t xml:space="preserve">case </w:t>
      </w:r>
      <w:r w:rsidR="00E542B8" w:rsidRPr="00A85D75">
        <w:t>the</w:t>
      </w:r>
      <w:r w:rsidR="00E253A9" w:rsidRPr="00A85D75">
        <w:t xml:space="preserve"> </w:t>
      </w:r>
      <w:r w:rsidR="005B3E16" w:rsidRPr="00A85D75">
        <w:t>A</w:t>
      </w:r>
      <w:r w:rsidR="00D84903" w:rsidRPr="00A85D75">
        <w:t>CMA</w:t>
      </w:r>
      <w:r w:rsidR="00D8500C">
        <w:t>’s</w:t>
      </w:r>
      <w:r w:rsidR="00D84903" w:rsidRPr="00A85D75">
        <w:t xml:space="preserve"> preliminary view is that </w:t>
      </w:r>
      <w:r w:rsidR="00AF70E9" w:rsidRPr="00A85D75">
        <w:t xml:space="preserve">this </w:t>
      </w:r>
      <w:r w:rsidR="002C4E6B" w:rsidRPr="00A85D75">
        <w:t xml:space="preserve">matter warrants further </w:t>
      </w:r>
      <w:r w:rsidR="001E7732" w:rsidRPr="00A85D75">
        <w:t>consider</w:t>
      </w:r>
      <w:r w:rsidR="0049217E" w:rsidRPr="00A85D75">
        <w:t xml:space="preserve">ation </w:t>
      </w:r>
      <w:r w:rsidR="007F1A49" w:rsidRPr="00A85D75">
        <w:t>potential</w:t>
      </w:r>
      <w:r w:rsidR="008E455E" w:rsidRPr="00A85D75">
        <w:t xml:space="preserve">ly as part of work </w:t>
      </w:r>
      <w:r w:rsidR="003664DE" w:rsidRPr="00A85D75">
        <w:t xml:space="preserve">supporting </w:t>
      </w:r>
      <w:r w:rsidR="001E7732" w:rsidRPr="00A85D75">
        <w:t xml:space="preserve">licence allocation </w:t>
      </w:r>
      <w:r w:rsidR="003664DE" w:rsidRPr="00A85D75">
        <w:t>by</w:t>
      </w:r>
      <w:r w:rsidR="00176F0D" w:rsidRPr="00A85D75">
        <w:t xml:space="preserve"> (some or all of the following)</w:t>
      </w:r>
      <w:r w:rsidR="0064789D" w:rsidRPr="00A85D75">
        <w:t>:</w:t>
      </w:r>
    </w:p>
    <w:p w14:paraId="264ABAC7" w14:textId="5FF91ACB" w:rsidR="00D36617" w:rsidRPr="00A85D75" w:rsidRDefault="00D8500C" w:rsidP="00D36617">
      <w:pPr>
        <w:pStyle w:val="Bulletlevel1"/>
      </w:pPr>
      <w:bookmarkStart w:id="109" w:name="_Hlk57039383"/>
      <w:r>
        <w:t>c</w:t>
      </w:r>
      <w:r w:rsidR="00B72408" w:rsidRPr="00A85D75">
        <w:t xml:space="preserve">onsidering limiting eligibility </w:t>
      </w:r>
      <w:r w:rsidR="001727E9" w:rsidRPr="00A85D75">
        <w:t xml:space="preserve">in </w:t>
      </w:r>
      <w:r w:rsidR="00190A4A" w:rsidRPr="00A85D75">
        <w:t xml:space="preserve">the </w:t>
      </w:r>
      <w:r w:rsidR="00B72408" w:rsidRPr="00A85D75">
        <w:t xml:space="preserve">licence </w:t>
      </w:r>
      <w:r w:rsidR="003D59ED" w:rsidRPr="00A85D75">
        <w:t>allocation</w:t>
      </w:r>
      <w:r w:rsidR="00B72408" w:rsidRPr="00A85D75">
        <w:t xml:space="preserve"> process to applicant</w:t>
      </w:r>
      <w:r w:rsidR="009747F2" w:rsidRPr="00A85D75">
        <w:t>s</w:t>
      </w:r>
      <w:r w:rsidR="00B72408" w:rsidRPr="00A85D75">
        <w:t xml:space="preserve"> </w:t>
      </w:r>
      <w:r w:rsidR="00366BCC" w:rsidRPr="00A85D75">
        <w:t xml:space="preserve">that </w:t>
      </w:r>
      <w:r w:rsidR="00111AC4" w:rsidRPr="00A85D75">
        <w:t xml:space="preserve">provide </w:t>
      </w:r>
      <w:r w:rsidR="00E86A65" w:rsidRPr="00A85D75">
        <w:t>a supporting ITU filing and e</w:t>
      </w:r>
      <w:r w:rsidR="00D36617" w:rsidRPr="00A85D75">
        <w:t>vidence of deployment</w:t>
      </w:r>
      <w:r w:rsidR="00F26D71">
        <w:t>,</w:t>
      </w:r>
      <w:r w:rsidR="00D36617" w:rsidRPr="00A85D75">
        <w:t xml:space="preserve"> or </w:t>
      </w:r>
      <w:r w:rsidR="00F26D71">
        <w:t>a</w:t>
      </w:r>
      <w:r w:rsidR="00D36617" w:rsidRPr="00A85D75">
        <w:t xml:space="preserve"> contract to build and develop </w:t>
      </w:r>
      <w:r w:rsidR="00202537" w:rsidRPr="00A85D75">
        <w:t>a</w:t>
      </w:r>
      <w:r w:rsidR="00D36617" w:rsidRPr="00A85D75">
        <w:t xml:space="preserve"> satellite system consistent with the ITU filing</w:t>
      </w:r>
      <w:bookmarkEnd w:id="109"/>
    </w:p>
    <w:p w14:paraId="37A1573F" w14:textId="0FFA7A7E" w:rsidR="00817965" w:rsidRPr="00A85D75" w:rsidRDefault="00D8500C" w:rsidP="00D36617">
      <w:pPr>
        <w:pStyle w:val="Bulletlevel1"/>
      </w:pPr>
      <w:r>
        <w:t>l</w:t>
      </w:r>
      <w:r w:rsidR="00BD5EF8" w:rsidRPr="00A85D75">
        <w:t>imit</w:t>
      </w:r>
      <w:r w:rsidR="00E61B94">
        <w:t>ing</w:t>
      </w:r>
      <w:r w:rsidR="00BD5EF8" w:rsidRPr="00A85D75">
        <w:t xml:space="preserve"> the initial deployment of </w:t>
      </w:r>
      <w:r w:rsidR="00760D95">
        <w:t xml:space="preserve">a </w:t>
      </w:r>
      <w:r w:rsidR="00BD5EF8" w:rsidRPr="00A85D75">
        <w:t xml:space="preserve">complementary ground </w:t>
      </w:r>
      <w:r w:rsidR="00817965" w:rsidRPr="00A85D75">
        <w:t>component</w:t>
      </w:r>
      <w:r w:rsidR="00BD5EF8" w:rsidRPr="00A85D75">
        <w:t xml:space="preserve"> to </w:t>
      </w:r>
      <w:r w:rsidR="00817965" w:rsidRPr="00A85D75">
        <w:t>regional areas. For example, limit to areas outside of the</w:t>
      </w:r>
      <w:r w:rsidR="000768D2" w:rsidRPr="00A85D75">
        <w:t xml:space="preserve"> adjacent </w:t>
      </w:r>
      <w:hyperlink r:id="rId55" w:history="1">
        <w:r w:rsidR="002C0B9F">
          <w:rPr>
            <w:rStyle w:val="Hyperlink"/>
          </w:rPr>
          <w:t>2 GHz spectrum licensing band</w:t>
        </w:r>
      </w:hyperlink>
      <w:r w:rsidR="00817965" w:rsidRPr="00A85D75">
        <w:t xml:space="preserve"> </w:t>
      </w:r>
      <w:r w:rsidR="000768D2" w:rsidRPr="00A85D75">
        <w:t>(1920–1980</w:t>
      </w:r>
      <w:r w:rsidR="001A2C7D">
        <w:t xml:space="preserve"> and </w:t>
      </w:r>
      <w:r w:rsidR="000768D2" w:rsidRPr="00A85D75">
        <w:t xml:space="preserve">2110–2170 MHz) </w:t>
      </w:r>
      <w:r w:rsidR="005700DA">
        <w:t xml:space="preserve">operating </w:t>
      </w:r>
      <w:r w:rsidR="000768D2" w:rsidRPr="00A85D75">
        <w:t xml:space="preserve">in </w:t>
      </w:r>
      <w:r w:rsidR="00817965" w:rsidRPr="00A85D75">
        <w:t>capital city areas</w:t>
      </w:r>
    </w:p>
    <w:p w14:paraId="213ACB03" w14:textId="260FB567" w:rsidR="00BE1DAA" w:rsidRPr="00A85D75" w:rsidRDefault="00D8500C" w:rsidP="00E61B94">
      <w:pPr>
        <w:pStyle w:val="ListBullet"/>
      </w:pPr>
      <w:r>
        <w:t>s</w:t>
      </w:r>
      <w:r w:rsidR="00BE1DAA" w:rsidRPr="00A85D75">
        <w:t xml:space="preserve">pecifying a period of </w:t>
      </w:r>
      <w:proofErr w:type="gramStart"/>
      <w:r w:rsidR="00BE1DAA" w:rsidRPr="00A85D75">
        <w:t>time</w:t>
      </w:r>
      <w:proofErr w:type="gramEnd"/>
      <w:r w:rsidR="00BE1DAA" w:rsidRPr="00A85D75">
        <w:t xml:space="preserve"> a complementary ground component can be offered in the absence of an MSS service</w:t>
      </w:r>
      <w:r w:rsidR="00202537" w:rsidRPr="00A85D75">
        <w:t xml:space="preserve"> (if permitted</w:t>
      </w:r>
      <w:r w:rsidR="00257E8F" w:rsidRPr="00A85D75">
        <w:t xml:space="preserve"> at all</w:t>
      </w:r>
      <w:r w:rsidR="00202537" w:rsidRPr="00A85D75">
        <w:t>)</w:t>
      </w:r>
      <w:r w:rsidR="00BE1DAA" w:rsidRPr="00A85D75">
        <w:t xml:space="preserve"> </w:t>
      </w:r>
    </w:p>
    <w:p w14:paraId="6754958F" w14:textId="43AEFC52" w:rsidR="009F52AD" w:rsidRPr="00A85D75" w:rsidRDefault="00D8500C" w:rsidP="0064789D">
      <w:pPr>
        <w:pStyle w:val="ListBulletLast"/>
      </w:pPr>
      <w:r>
        <w:lastRenderedPageBreak/>
        <w:t>c</w:t>
      </w:r>
      <w:r w:rsidR="009842A1" w:rsidRPr="00A85D75">
        <w:t>onsidering licence renewal being subject to the deployment of a mobile</w:t>
      </w:r>
      <w:r w:rsidR="00351D1B">
        <w:t>-</w:t>
      </w:r>
      <w:r w:rsidR="009842A1" w:rsidRPr="00A85D75">
        <w:t>satellite network.</w:t>
      </w:r>
    </w:p>
    <w:p w14:paraId="5CAF6A53" w14:textId="729CF146" w:rsidR="0064415E" w:rsidRPr="00A85D75" w:rsidRDefault="001D1B94" w:rsidP="00B078B0">
      <w:pPr>
        <w:pStyle w:val="Paragraph"/>
      </w:pPr>
      <w:r w:rsidRPr="00A85D75">
        <w:t>With support for complementary ground component</w:t>
      </w:r>
      <w:r w:rsidR="00D8500C">
        <w:t>s</w:t>
      </w:r>
      <w:r w:rsidRPr="00A85D75">
        <w:t xml:space="preserve"> also extend</w:t>
      </w:r>
      <w:r w:rsidR="0064415E" w:rsidRPr="00A85D75">
        <w:t>ing</w:t>
      </w:r>
      <w:r w:rsidRPr="00A85D75">
        <w:t xml:space="preserve"> to direct air-to-ground communications services,</w:t>
      </w:r>
      <w:r w:rsidR="0064415E" w:rsidRPr="00A85D75">
        <w:t xml:space="preserve"> the ACMA</w:t>
      </w:r>
      <w:r w:rsidR="00D8500C">
        <w:t>’s</w:t>
      </w:r>
      <w:r w:rsidR="0064415E" w:rsidRPr="00A85D75">
        <w:t xml:space="preserve"> preliminary view is that provision of direct air</w:t>
      </w:r>
      <w:r w:rsidR="00E13272">
        <w:t>-</w:t>
      </w:r>
      <w:r w:rsidR="0064415E" w:rsidRPr="00A85D75">
        <w:t>to</w:t>
      </w:r>
      <w:r w:rsidR="00E13272">
        <w:t>-</w:t>
      </w:r>
      <w:r w:rsidR="0064415E" w:rsidRPr="00A85D75">
        <w:t xml:space="preserve">ground services will be subject to </w:t>
      </w:r>
      <w:r w:rsidR="005A7BA7" w:rsidRPr="00A85D75">
        <w:t xml:space="preserve">the </w:t>
      </w:r>
      <w:r w:rsidR="0064415E" w:rsidRPr="00A85D75">
        <w:t>same requirements outlined above.</w:t>
      </w:r>
    </w:p>
    <w:p w14:paraId="03A4F303" w14:textId="23FEA058" w:rsidR="0034044B" w:rsidRPr="00A85D75" w:rsidRDefault="0034044B" w:rsidP="0034044B">
      <w:pPr>
        <w:pStyle w:val="Heading3"/>
      </w:pPr>
      <w:bookmarkStart w:id="110" w:name="_Toc56965708"/>
      <w:bookmarkStart w:id="111" w:name="_Toc61364852"/>
      <w:r w:rsidRPr="00A85D75">
        <w:t xml:space="preserve">Narrowband MSS </w:t>
      </w:r>
      <w:r w:rsidR="006B5913" w:rsidRPr="00A85D75">
        <w:t>consideration</w:t>
      </w:r>
      <w:r w:rsidR="00EE3940" w:rsidRPr="00A85D75">
        <w:t>s</w:t>
      </w:r>
      <w:bookmarkEnd w:id="110"/>
      <w:bookmarkEnd w:id="111"/>
    </w:p>
    <w:p w14:paraId="7D11101E" w14:textId="5E6FCC0E" w:rsidR="00BA1D15" w:rsidRPr="00A85D75" w:rsidRDefault="00F57995" w:rsidP="005C7114">
      <w:pPr>
        <w:rPr>
          <w:lang w:eastAsia="en-US"/>
        </w:rPr>
      </w:pPr>
      <w:r w:rsidRPr="00A85D75">
        <w:rPr>
          <w:lang w:eastAsia="en-US"/>
        </w:rPr>
        <w:t>The AC</w:t>
      </w:r>
      <w:r w:rsidR="00F81AB0" w:rsidRPr="00A85D75">
        <w:rPr>
          <w:lang w:eastAsia="en-US"/>
        </w:rPr>
        <w:t>MA envisages</w:t>
      </w:r>
      <w:r w:rsidRPr="00A85D75">
        <w:rPr>
          <w:lang w:eastAsia="en-US"/>
        </w:rPr>
        <w:t xml:space="preserve"> </w:t>
      </w:r>
      <w:r w:rsidR="00F81AB0" w:rsidRPr="00A85D75">
        <w:rPr>
          <w:lang w:eastAsia="en-US"/>
        </w:rPr>
        <w:t xml:space="preserve">that possible </w:t>
      </w:r>
      <w:r w:rsidR="00577804" w:rsidRPr="00A85D75">
        <w:rPr>
          <w:lang w:eastAsia="en-US"/>
        </w:rPr>
        <w:t>application</w:t>
      </w:r>
      <w:r w:rsidR="00AB2EC9" w:rsidRPr="00A85D75">
        <w:rPr>
          <w:lang w:eastAsia="en-US"/>
        </w:rPr>
        <w:t>s in the shared narrowband MSS segment</w:t>
      </w:r>
      <w:r w:rsidR="00577804" w:rsidRPr="00A85D75">
        <w:rPr>
          <w:lang w:eastAsia="en-US"/>
        </w:rPr>
        <w:t xml:space="preserve"> could include telemetry, short </w:t>
      </w:r>
      <w:r w:rsidR="002853C2" w:rsidRPr="00A85D75">
        <w:rPr>
          <w:lang w:eastAsia="en-US"/>
        </w:rPr>
        <w:t>messaging,</w:t>
      </w:r>
      <w:r w:rsidR="00350F4E" w:rsidRPr="00A85D75">
        <w:rPr>
          <w:lang w:eastAsia="en-US"/>
        </w:rPr>
        <w:t xml:space="preserve"> and </w:t>
      </w:r>
      <w:r w:rsidR="00C80ACD" w:rsidRPr="00A85D75">
        <w:rPr>
          <w:lang w:eastAsia="en-US"/>
        </w:rPr>
        <w:t>low</w:t>
      </w:r>
      <w:r w:rsidR="00E25A6B">
        <w:rPr>
          <w:lang w:eastAsia="en-US"/>
        </w:rPr>
        <w:t>-</w:t>
      </w:r>
      <w:r w:rsidR="00C80ACD" w:rsidRPr="00A85D75">
        <w:rPr>
          <w:lang w:eastAsia="en-US"/>
        </w:rPr>
        <w:t>dat</w:t>
      </w:r>
      <w:r w:rsidR="00E25A6B">
        <w:rPr>
          <w:lang w:eastAsia="en-US"/>
        </w:rPr>
        <w:t>a-</w:t>
      </w:r>
      <w:r w:rsidR="00C80ACD" w:rsidRPr="00A85D75">
        <w:rPr>
          <w:lang w:eastAsia="en-US"/>
        </w:rPr>
        <w:t>rate</w:t>
      </w:r>
      <w:r w:rsidR="00350F4E" w:rsidRPr="00A85D75">
        <w:rPr>
          <w:lang w:eastAsia="en-US"/>
        </w:rPr>
        <w:t xml:space="preserve"> service</w:t>
      </w:r>
      <w:r w:rsidR="00693EA2" w:rsidRPr="00A85D75">
        <w:rPr>
          <w:lang w:eastAsia="en-US"/>
        </w:rPr>
        <w:t>s</w:t>
      </w:r>
      <w:r w:rsidR="00006E49" w:rsidRPr="00A85D75">
        <w:rPr>
          <w:lang w:eastAsia="en-US"/>
        </w:rPr>
        <w:t xml:space="preserve"> such as satellite IoT applica</w:t>
      </w:r>
      <w:r w:rsidR="0023516F" w:rsidRPr="00A85D75">
        <w:rPr>
          <w:lang w:eastAsia="en-US"/>
        </w:rPr>
        <w:t>tions.</w:t>
      </w:r>
      <w:r w:rsidR="004C7A60" w:rsidRPr="00A85D75">
        <w:rPr>
          <w:lang w:eastAsia="en-US"/>
        </w:rPr>
        <w:t xml:space="preserve"> </w:t>
      </w:r>
      <w:r w:rsidR="00332CAF" w:rsidRPr="00A85D75">
        <w:rPr>
          <w:lang w:eastAsia="en-US"/>
        </w:rPr>
        <w:t xml:space="preserve">It </w:t>
      </w:r>
      <w:r w:rsidR="00AC52C1" w:rsidRPr="00A85D75">
        <w:rPr>
          <w:lang w:eastAsia="en-US"/>
        </w:rPr>
        <w:t xml:space="preserve">is not </w:t>
      </w:r>
      <w:r w:rsidR="002853C2" w:rsidRPr="00A85D75">
        <w:rPr>
          <w:lang w:eastAsia="en-US"/>
        </w:rPr>
        <w:t>expected</w:t>
      </w:r>
      <w:r w:rsidR="00AC52C1" w:rsidRPr="00A85D75">
        <w:rPr>
          <w:lang w:eastAsia="en-US"/>
        </w:rPr>
        <w:t xml:space="preserve"> that </w:t>
      </w:r>
      <w:r w:rsidR="00332CAF" w:rsidRPr="00A85D75">
        <w:rPr>
          <w:lang w:eastAsia="en-US"/>
        </w:rPr>
        <w:t>i</w:t>
      </w:r>
      <w:r w:rsidR="005F67D1" w:rsidRPr="00A85D75">
        <w:rPr>
          <w:lang w:eastAsia="en-US"/>
        </w:rPr>
        <w:t xml:space="preserve">nternet data </w:t>
      </w:r>
      <w:r w:rsidR="00693EA2" w:rsidRPr="00A85D75">
        <w:rPr>
          <w:lang w:eastAsia="en-US"/>
        </w:rPr>
        <w:t xml:space="preserve">and voice </w:t>
      </w:r>
      <w:r w:rsidR="005F67D1" w:rsidRPr="00A85D75">
        <w:rPr>
          <w:lang w:eastAsia="en-US"/>
        </w:rPr>
        <w:t xml:space="preserve">services </w:t>
      </w:r>
      <w:r w:rsidR="002F22DD" w:rsidRPr="00A85D75">
        <w:rPr>
          <w:lang w:eastAsia="en-US"/>
        </w:rPr>
        <w:t xml:space="preserve">would </w:t>
      </w:r>
      <w:r w:rsidR="005036A2" w:rsidRPr="00A85D75">
        <w:rPr>
          <w:lang w:eastAsia="en-US"/>
        </w:rPr>
        <w:t xml:space="preserve">operate in these segments </w:t>
      </w:r>
      <w:r w:rsidR="008B1E41" w:rsidRPr="00A85D75">
        <w:rPr>
          <w:lang w:eastAsia="en-US"/>
        </w:rPr>
        <w:t>or be capable of meet</w:t>
      </w:r>
      <w:r w:rsidR="00E13272">
        <w:rPr>
          <w:lang w:eastAsia="en-US"/>
        </w:rPr>
        <w:t>ing</w:t>
      </w:r>
      <w:r w:rsidR="008B1E41" w:rsidRPr="00A85D75">
        <w:rPr>
          <w:lang w:eastAsia="en-US"/>
        </w:rPr>
        <w:t xml:space="preserve"> duty cycle requirements envisage</w:t>
      </w:r>
      <w:r w:rsidR="00864571" w:rsidRPr="00A85D75">
        <w:rPr>
          <w:lang w:eastAsia="en-US"/>
        </w:rPr>
        <w:t>d</w:t>
      </w:r>
      <w:r w:rsidR="008B1E41" w:rsidRPr="00A85D75">
        <w:rPr>
          <w:lang w:eastAsia="en-US"/>
        </w:rPr>
        <w:t xml:space="preserve"> to promote sharing (see below)</w:t>
      </w:r>
      <w:r w:rsidR="004A30B7">
        <w:rPr>
          <w:lang w:eastAsia="en-US"/>
        </w:rPr>
        <w:t>.</w:t>
      </w:r>
    </w:p>
    <w:p w14:paraId="3AD83420" w14:textId="2FF66649" w:rsidR="00DF38C5" w:rsidRPr="00A85D75" w:rsidRDefault="000736C0" w:rsidP="00DF38C5">
      <w:pPr>
        <w:rPr>
          <w:rFonts w:cstheme="minorHAnsi"/>
        </w:rPr>
      </w:pPr>
      <w:r w:rsidRPr="00A85D75">
        <w:rPr>
          <w:lang w:eastAsia="en-US"/>
        </w:rPr>
        <w:t>Restric</w:t>
      </w:r>
      <w:r w:rsidR="00EF52C9" w:rsidRPr="00A85D75">
        <w:rPr>
          <w:lang w:eastAsia="en-US"/>
        </w:rPr>
        <w:t>ted spectrum arrangemen</w:t>
      </w:r>
      <w:r w:rsidR="005C158F" w:rsidRPr="00A85D75">
        <w:rPr>
          <w:lang w:eastAsia="en-US"/>
        </w:rPr>
        <w:t>ts</w:t>
      </w:r>
      <w:r w:rsidR="00EF52C9" w:rsidRPr="00A85D75">
        <w:rPr>
          <w:lang w:eastAsia="en-US"/>
        </w:rPr>
        <w:t xml:space="preserve"> are require</w:t>
      </w:r>
      <w:r w:rsidR="007F581C" w:rsidRPr="00A85D75">
        <w:rPr>
          <w:lang w:eastAsia="en-US"/>
        </w:rPr>
        <w:t>d</w:t>
      </w:r>
      <w:r w:rsidR="00EF52C9" w:rsidRPr="00A85D75">
        <w:rPr>
          <w:lang w:eastAsia="en-US"/>
        </w:rPr>
        <w:t xml:space="preserve"> in these segments to provide protection for adjacent</w:t>
      </w:r>
      <w:r w:rsidR="00B07EB3">
        <w:rPr>
          <w:lang w:eastAsia="en-US"/>
        </w:rPr>
        <w:t>-</w:t>
      </w:r>
      <w:r w:rsidR="00EF52C9" w:rsidRPr="00A85D75">
        <w:rPr>
          <w:lang w:eastAsia="en-US"/>
        </w:rPr>
        <w:t xml:space="preserve">band </w:t>
      </w:r>
      <w:r w:rsidR="00351D1B">
        <w:rPr>
          <w:lang w:eastAsia="en-US"/>
        </w:rPr>
        <w:t xml:space="preserve">TOB </w:t>
      </w:r>
      <w:r w:rsidR="00EF52C9" w:rsidRPr="00A85D75">
        <w:rPr>
          <w:lang w:eastAsia="en-US"/>
        </w:rPr>
        <w:t>service</w:t>
      </w:r>
      <w:r w:rsidR="00B07EB3">
        <w:rPr>
          <w:lang w:eastAsia="en-US"/>
        </w:rPr>
        <w:t>s</w:t>
      </w:r>
      <w:r w:rsidR="00EF52C9" w:rsidRPr="00A85D75">
        <w:rPr>
          <w:lang w:eastAsia="en-US"/>
        </w:rPr>
        <w:t xml:space="preserve">. </w:t>
      </w:r>
      <w:r w:rsidR="005C0CE4" w:rsidRPr="00A85D75">
        <w:rPr>
          <w:lang w:eastAsia="en-US"/>
        </w:rPr>
        <w:t xml:space="preserve">The objective of </w:t>
      </w:r>
      <w:r w:rsidR="00A45FFF" w:rsidRPr="00A85D75">
        <w:rPr>
          <w:lang w:eastAsia="en-US"/>
        </w:rPr>
        <w:t>thes</w:t>
      </w:r>
      <w:r w:rsidR="005C0CE4" w:rsidRPr="00A85D75">
        <w:rPr>
          <w:lang w:eastAsia="en-US"/>
        </w:rPr>
        <w:t xml:space="preserve">e </w:t>
      </w:r>
      <w:r w:rsidR="00A45FFF" w:rsidRPr="00A85D75">
        <w:rPr>
          <w:lang w:eastAsia="en-US"/>
        </w:rPr>
        <w:t>requirement</w:t>
      </w:r>
      <w:r w:rsidR="00051635">
        <w:rPr>
          <w:lang w:eastAsia="en-US"/>
        </w:rPr>
        <w:t>s</w:t>
      </w:r>
      <w:r w:rsidR="00A45FFF" w:rsidRPr="00A85D75">
        <w:rPr>
          <w:lang w:eastAsia="en-US"/>
        </w:rPr>
        <w:t xml:space="preserve"> </w:t>
      </w:r>
      <w:r w:rsidR="005C158F" w:rsidRPr="00A85D75">
        <w:rPr>
          <w:lang w:eastAsia="en-US"/>
        </w:rPr>
        <w:t>is</w:t>
      </w:r>
      <w:r w:rsidR="00A45FFF" w:rsidRPr="00A85D75">
        <w:rPr>
          <w:lang w:eastAsia="en-US"/>
        </w:rPr>
        <w:t xml:space="preserve"> to ensure that the spectrum environment </w:t>
      </w:r>
      <w:r w:rsidR="00796747" w:rsidRPr="00A85D75">
        <w:rPr>
          <w:lang w:eastAsia="en-US"/>
        </w:rPr>
        <w:t xml:space="preserve">is similar </w:t>
      </w:r>
      <w:r w:rsidR="005C0CE4" w:rsidRPr="00A85D75">
        <w:rPr>
          <w:lang w:eastAsia="en-US"/>
        </w:rPr>
        <w:t xml:space="preserve">to that currently supported. For example, currently under </w:t>
      </w:r>
      <w:r w:rsidR="00E431AE" w:rsidRPr="00367FDE">
        <w:rPr>
          <w:rFonts w:cs="Arial"/>
          <w:szCs w:val="20"/>
        </w:rPr>
        <w:t>Radiocommunications Assignment and Licensing Instruction</w:t>
      </w:r>
      <w:r w:rsidR="00E431AE">
        <w:rPr>
          <w:rFonts w:cs="Arial"/>
          <w:szCs w:val="20"/>
        </w:rPr>
        <w:t xml:space="preserve"> (RALI)</w:t>
      </w:r>
      <w:r w:rsidR="00362401">
        <w:rPr>
          <w:rFonts w:cs="Arial"/>
          <w:szCs w:val="20"/>
        </w:rPr>
        <w:t xml:space="preserve"> FX 21</w:t>
      </w:r>
      <w:r w:rsidR="00F63B17">
        <w:rPr>
          <w:rStyle w:val="FootnoteReference"/>
          <w:rFonts w:cs="Arial"/>
          <w:szCs w:val="20"/>
        </w:rPr>
        <w:footnoteReference w:id="23"/>
      </w:r>
      <w:r w:rsidR="00F63B17">
        <w:rPr>
          <w:rFonts w:cs="Arial"/>
          <w:szCs w:val="20"/>
        </w:rPr>
        <w:t xml:space="preserve">, </w:t>
      </w:r>
      <w:r w:rsidR="00590E3D" w:rsidRPr="00A85D75">
        <w:rPr>
          <w:rFonts w:cstheme="minorHAnsi"/>
        </w:rPr>
        <w:t>in the bands 1980</w:t>
      </w:r>
      <w:r w:rsidR="00BA2DF4">
        <w:rPr>
          <w:rFonts w:cstheme="minorHAnsi"/>
        </w:rPr>
        <w:t>–</w:t>
      </w:r>
      <w:r w:rsidR="00590E3D" w:rsidRPr="00A85D75">
        <w:rPr>
          <w:rFonts w:cstheme="minorHAnsi"/>
        </w:rPr>
        <w:t>2010 MHz and 2170</w:t>
      </w:r>
      <w:r w:rsidR="00BA2DF4">
        <w:rPr>
          <w:rFonts w:cstheme="minorHAnsi"/>
        </w:rPr>
        <w:t>–</w:t>
      </w:r>
      <w:r w:rsidR="00590E3D" w:rsidRPr="00A85D75">
        <w:rPr>
          <w:rFonts w:cstheme="minorHAnsi"/>
        </w:rPr>
        <w:t xml:space="preserve">2200 MHz the </w:t>
      </w:r>
      <w:r w:rsidR="00DF38C5" w:rsidRPr="00A85D75">
        <w:rPr>
          <w:rFonts w:cstheme="minorHAnsi"/>
        </w:rPr>
        <w:t>maximum TOB transmitter radiated power is limited to 23 dBm</w:t>
      </w:r>
      <w:r w:rsidR="00DF38C5" w:rsidRPr="00A85D75">
        <w:t xml:space="preserve">/8 MHz equivalent </w:t>
      </w:r>
      <w:proofErr w:type="spellStart"/>
      <w:r w:rsidR="00DF38C5" w:rsidRPr="00A85D75">
        <w:t>isotropically</w:t>
      </w:r>
      <w:proofErr w:type="spellEnd"/>
      <w:r w:rsidR="00DF38C5" w:rsidRPr="00A85D75">
        <w:t xml:space="preserve"> radiated power (EIRP</w:t>
      </w:r>
      <w:r w:rsidR="00590E3D" w:rsidRPr="00A85D75">
        <w:t>)</w:t>
      </w:r>
      <w:r w:rsidR="00BA2DF4">
        <w:t>,</w:t>
      </w:r>
      <w:r w:rsidR="00590E3D" w:rsidRPr="00A85D75">
        <w:t xml:space="preserve"> and </w:t>
      </w:r>
      <w:r w:rsidR="00657A82" w:rsidRPr="00A85D75">
        <w:t>a</w:t>
      </w:r>
      <w:r w:rsidR="00DF38C5" w:rsidRPr="00A85D75">
        <w:rPr>
          <w:rFonts w:cstheme="minorHAnsi"/>
        </w:rPr>
        <w:t>irborne TOB transmitters (</w:t>
      </w:r>
      <w:r w:rsidR="00120E5D">
        <w:rPr>
          <w:rFonts w:cstheme="minorHAnsi"/>
        </w:rPr>
        <w:t>for example</w:t>
      </w:r>
      <w:r w:rsidR="00DF38C5" w:rsidRPr="00A85D75">
        <w:rPr>
          <w:rFonts w:cstheme="minorHAnsi"/>
        </w:rPr>
        <w:t xml:space="preserve"> helicopters), are not permitted</w:t>
      </w:r>
      <w:r w:rsidR="00657A82" w:rsidRPr="00A85D75">
        <w:rPr>
          <w:rFonts w:cstheme="minorHAnsi"/>
        </w:rPr>
        <w:t>.</w:t>
      </w:r>
    </w:p>
    <w:p w14:paraId="0A9B2760" w14:textId="2FC38059" w:rsidR="008D5431" w:rsidRPr="00A85D75" w:rsidRDefault="008D5431" w:rsidP="00CE0F08">
      <w:pPr>
        <w:rPr>
          <w:rFonts w:cstheme="minorHAnsi"/>
        </w:rPr>
      </w:pPr>
      <w:r w:rsidRPr="00A85D75">
        <w:rPr>
          <w:rFonts w:cstheme="minorHAnsi"/>
        </w:rPr>
        <w:t xml:space="preserve">There are also </w:t>
      </w:r>
      <w:r w:rsidR="00CE0F08" w:rsidRPr="00A85D75">
        <w:rPr>
          <w:rFonts w:cstheme="minorHAnsi"/>
        </w:rPr>
        <w:t xml:space="preserve">restrictions on areas of operation to </w:t>
      </w:r>
      <w:r w:rsidR="00655293" w:rsidRPr="00A85D75">
        <w:rPr>
          <w:rFonts w:cstheme="minorHAnsi"/>
        </w:rPr>
        <w:t xml:space="preserve">protect </w:t>
      </w:r>
      <w:r w:rsidR="00CE0F08" w:rsidRPr="00A85D75">
        <w:rPr>
          <w:rFonts w:cstheme="minorHAnsi"/>
        </w:rPr>
        <w:t>adjacent</w:t>
      </w:r>
      <w:r w:rsidR="00F60ECA">
        <w:rPr>
          <w:rFonts w:cstheme="minorHAnsi"/>
        </w:rPr>
        <w:t>-</w:t>
      </w:r>
      <w:r w:rsidR="00CE0F08" w:rsidRPr="00A85D75">
        <w:rPr>
          <w:rFonts w:cstheme="minorHAnsi"/>
        </w:rPr>
        <w:t>band earth station receivers</w:t>
      </w:r>
      <w:r w:rsidRPr="00A85D75">
        <w:rPr>
          <w:rFonts w:cstheme="minorHAnsi"/>
        </w:rPr>
        <w:t xml:space="preserve"> operating within the band 2200</w:t>
      </w:r>
      <w:r w:rsidR="001F0A84" w:rsidRPr="00A85D75">
        <w:rPr>
          <w:rFonts w:cstheme="minorHAnsi"/>
        </w:rPr>
        <w:t>–</w:t>
      </w:r>
      <w:r w:rsidRPr="00A85D75">
        <w:rPr>
          <w:rFonts w:cstheme="minorHAnsi"/>
        </w:rPr>
        <w:t>2300 MHz</w:t>
      </w:r>
      <w:r w:rsidR="00655293" w:rsidRPr="00A85D75">
        <w:rPr>
          <w:rFonts w:cstheme="minorHAnsi"/>
        </w:rPr>
        <w:t xml:space="preserve"> and the Mid-West Radio Quiet Zone (RQZ).</w:t>
      </w:r>
    </w:p>
    <w:p w14:paraId="26DB96DD" w14:textId="05EC46DA" w:rsidR="00813AAC" w:rsidRPr="00A85D75" w:rsidRDefault="00CE0A0D" w:rsidP="00CE0F08">
      <w:pPr>
        <w:rPr>
          <w:rFonts w:cstheme="minorHAnsi"/>
        </w:rPr>
      </w:pPr>
      <w:r w:rsidRPr="00A85D75">
        <w:rPr>
          <w:rFonts w:cstheme="minorHAnsi"/>
        </w:rPr>
        <w:t>The ACMA</w:t>
      </w:r>
      <w:r w:rsidR="00E84A61">
        <w:rPr>
          <w:rFonts w:cstheme="minorHAnsi"/>
        </w:rPr>
        <w:t>’s</w:t>
      </w:r>
      <w:r w:rsidRPr="00A85D75">
        <w:rPr>
          <w:rFonts w:cstheme="minorHAnsi"/>
        </w:rPr>
        <w:t xml:space="preserve"> preliminary view is that similar requirements </w:t>
      </w:r>
      <w:r w:rsidR="00481FCC" w:rsidRPr="00A85D75">
        <w:rPr>
          <w:rFonts w:cstheme="minorHAnsi"/>
        </w:rPr>
        <w:t xml:space="preserve">will be </w:t>
      </w:r>
      <w:r w:rsidRPr="00A85D75">
        <w:rPr>
          <w:rFonts w:cstheme="minorHAnsi"/>
        </w:rPr>
        <w:t>require</w:t>
      </w:r>
      <w:r w:rsidR="00481FCC" w:rsidRPr="00A85D75">
        <w:rPr>
          <w:rFonts w:cstheme="minorHAnsi"/>
        </w:rPr>
        <w:t>d</w:t>
      </w:r>
      <w:r w:rsidRPr="00A85D75">
        <w:rPr>
          <w:rFonts w:cstheme="minorHAnsi"/>
        </w:rPr>
        <w:t xml:space="preserve"> to </w:t>
      </w:r>
      <w:r w:rsidR="009E5CC2" w:rsidRPr="00A85D75">
        <w:rPr>
          <w:rFonts w:cstheme="minorHAnsi"/>
        </w:rPr>
        <w:t>protect adjacent</w:t>
      </w:r>
      <w:r w:rsidR="00351D1B">
        <w:rPr>
          <w:rFonts w:cstheme="minorHAnsi"/>
        </w:rPr>
        <w:t>-</w:t>
      </w:r>
      <w:r w:rsidR="0045043C" w:rsidRPr="00A85D75">
        <w:rPr>
          <w:rFonts w:cstheme="minorHAnsi"/>
        </w:rPr>
        <w:t>band services</w:t>
      </w:r>
      <w:r w:rsidR="00481FCC" w:rsidRPr="00A85D75">
        <w:rPr>
          <w:rFonts w:cstheme="minorHAnsi"/>
        </w:rPr>
        <w:t>.</w:t>
      </w:r>
    </w:p>
    <w:p w14:paraId="1FC76F05" w14:textId="5466CB65" w:rsidR="00CC7D72" w:rsidRPr="00A85D75" w:rsidRDefault="00644AD1" w:rsidP="00644AD1">
      <w:pPr>
        <w:rPr>
          <w:szCs w:val="20"/>
        </w:rPr>
      </w:pPr>
      <w:r w:rsidRPr="00A85D75">
        <w:rPr>
          <w:rFonts w:cstheme="minorHAnsi"/>
        </w:rPr>
        <w:t xml:space="preserve">In considering requirements to facilitate sharing amongst users, the ACMA </w:t>
      </w:r>
      <w:r w:rsidR="007E5963" w:rsidRPr="00A85D75">
        <w:rPr>
          <w:rFonts w:cstheme="minorHAnsi"/>
        </w:rPr>
        <w:t>considers</w:t>
      </w:r>
      <w:r w:rsidRPr="00A85D75">
        <w:rPr>
          <w:rFonts w:cstheme="minorHAnsi"/>
        </w:rPr>
        <w:t xml:space="preserve"> its work in developing arrangements </w:t>
      </w:r>
      <w:r w:rsidR="007E5963" w:rsidRPr="00A85D75">
        <w:rPr>
          <w:rFonts w:cstheme="minorHAnsi"/>
        </w:rPr>
        <w:t xml:space="preserve">in the 928–935 MHz band </w:t>
      </w:r>
      <w:r w:rsidRPr="00A85D75">
        <w:rPr>
          <w:szCs w:val="20"/>
        </w:rPr>
        <w:t>to support low-power, wide-area network rollouts, including a range of emerging monitoring and control technologies, provide</w:t>
      </w:r>
      <w:r w:rsidR="00A15349">
        <w:rPr>
          <w:szCs w:val="20"/>
        </w:rPr>
        <w:t>s</w:t>
      </w:r>
      <w:r w:rsidRPr="00A85D75">
        <w:rPr>
          <w:szCs w:val="20"/>
        </w:rPr>
        <w:t xml:space="preserve"> a </w:t>
      </w:r>
      <w:r w:rsidR="006F0AE7" w:rsidRPr="00A85D75">
        <w:rPr>
          <w:szCs w:val="20"/>
        </w:rPr>
        <w:t xml:space="preserve">useful </w:t>
      </w:r>
      <w:r w:rsidR="00CC7D72" w:rsidRPr="00A85D75">
        <w:rPr>
          <w:szCs w:val="20"/>
        </w:rPr>
        <w:t xml:space="preserve">general </w:t>
      </w:r>
      <w:r w:rsidR="006F0AE7" w:rsidRPr="00A85D75">
        <w:rPr>
          <w:szCs w:val="20"/>
        </w:rPr>
        <w:t>reference</w:t>
      </w:r>
      <w:r w:rsidR="00CC7D72" w:rsidRPr="00A85D75">
        <w:rPr>
          <w:szCs w:val="20"/>
        </w:rPr>
        <w:t xml:space="preserve"> to the concept</w:t>
      </w:r>
      <w:r w:rsidR="00A15349">
        <w:rPr>
          <w:szCs w:val="20"/>
        </w:rPr>
        <w:t>.</w:t>
      </w:r>
      <w:r w:rsidR="00883009" w:rsidRPr="00A85D75">
        <w:rPr>
          <w:rStyle w:val="FootnoteReference"/>
          <w:szCs w:val="20"/>
        </w:rPr>
        <w:footnoteReference w:id="24"/>
      </w:r>
      <w:r w:rsidRPr="00A85D75">
        <w:rPr>
          <w:szCs w:val="20"/>
        </w:rPr>
        <w:t xml:space="preserve">  </w:t>
      </w:r>
      <w:r w:rsidR="00970F09" w:rsidRPr="00A85D75">
        <w:rPr>
          <w:szCs w:val="20"/>
        </w:rPr>
        <w:t>K</w:t>
      </w:r>
      <w:r w:rsidR="009D7D5B" w:rsidRPr="00A85D75">
        <w:rPr>
          <w:szCs w:val="20"/>
        </w:rPr>
        <w:t xml:space="preserve">ey </w:t>
      </w:r>
      <w:r w:rsidR="00F34985" w:rsidRPr="00A85D75">
        <w:rPr>
          <w:szCs w:val="20"/>
        </w:rPr>
        <w:t>parameter</w:t>
      </w:r>
      <w:r w:rsidR="00970F09" w:rsidRPr="00A85D75">
        <w:rPr>
          <w:szCs w:val="20"/>
        </w:rPr>
        <w:t>s</w:t>
      </w:r>
      <w:r w:rsidR="00F34985" w:rsidRPr="00A85D75">
        <w:rPr>
          <w:szCs w:val="20"/>
        </w:rPr>
        <w:t xml:space="preserve"> in </w:t>
      </w:r>
      <w:r w:rsidR="00970F09" w:rsidRPr="00A85D75">
        <w:rPr>
          <w:szCs w:val="20"/>
        </w:rPr>
        <w:t>this</w:t>
      </w:r>
      <w:r w:rsidR="00F34985" w:rsidRPr="00A85D75">
        <w:rPr>
          <w:szCs w:val="20"/>
        </w:rPr>
        <w:t xml:space="preserve"> sharing arrangement </w:t>
      </w:r>
      <w:r w:rsidR="00EF15DB" w:rsidRPr="00A85D75">
        <w:rPr>
          <w:szCs w:val="20"/>
        </w:rPr>
        <w:t>are</w:t>
      </w:r>
      <w:r w:rsidR="00F34985" w:rsidRPr="00A85D75">
        <w:rPr>
          <w:szCs w:val="20"/>
        </w:rPr>
        <w:t xml:space="preserve"> the use </w:t>
      </w:r>
      <w:r w:rsidR="00862F7B" w:rsidRPr="00A85D75">
        <w:rPr>
          <w:szCs w:val="20"/>
        </w:rPr>
        <w:t>of</w:t>
      </w:r>
      <w:r w:rsidR="00F34985" w:rsidRPr="00A85D75">
        <w:rPr>
          <w:szCs w:val="20"/>
        </w:rPr>
        <w:t xml:space="preserve"> </w:t>
      </w:r>
      <w:r w:rsidR="00970F09" w:rsidRPr="00A85D75">
        <w:rPr>
          <w:szCs w:val="20"/>
        </w:rPr>
        <w:t xml:space="preserve">low powers and </w:t>
      </w:r>
      <w:r w:rsidR="00F34985" w:rsidRPr="00A85D75">
        <w:rPr>
          <w:szCs w:val="20"/>
        </w:rPr>
        <w:t>low duty cycle</w:t>
      </w:r>
      <w:r w:rsidR="00970F09" w:rsidRPr="00A85D75">
        <w:rPr>
          <w:szCs w:val="20"/>
        </w:rPr>
        <w:t>s</w:t>
      </w:r>
      <w:r w:rsidR="004969EB" w:rsidRPr="00A85D75">
        <w:rPr>
          <w:szCs w:val="20"/>
        </w:rPr>
        <w:t>.</w:t>
      </w:r>
      <w:r w:rsidR="00EF15DB" w:rsidRPr="00A85D75">
        <w:rPr>
          <w:szCs w:val="20"/>
        </w:rPr>
        <w:t xml:space="preserve"> </w:t>
      </w:r>
      <w:r w:rsidR="00E853C6" w:rsidRPr="00A85D75">
        <w:rPr>
          <w:szCs w:val="20"/>
        </w:rPr>
        <w:t>While</w:t>
      </w:r>
      <w:r w:rsidR="00EF15DB" w:rsidRPr="00A85D75">
        <w:rPr>
          <w:szCs w:val="20"/>
        </w:rPr>
        <w:t xml:space="preserve"> not directly </w:t>
      </w:r>
      <w:r w:rsidR="00E853C6" w:rsidRPr="00A85D75">
        <w:rPr>
          <w:szCs w:val="20"/>
        </w:rPr>
        <w:t>transferable</w:t>
      </w:r>
      <w:r w:rsidR="00EF15DB" w:rsidRPr="00A85D75">
        <w:rPr>
          <w:szCs w:val="20"/>
        </w:rPr>
        <w:t xml:space="preserve"> to the satellite </w:t>
      </w:r>
      <w:r w:rsidR="00E853C6" w:rsidRPr="00A85D75">
        <w:rPr>
          <w:szCs w:val="20"/>
        </w:rPr>
        <w:t>scenario</w:t>
      </w:r>
      <w:r w:rsidR="00E84A61">
        <w:rPr>
          <w:szCs w:val="20"/>
        </w:rPr>
        <w:t>,</w:t>
      </w:r>
      <w:r w:rsidR="00E853C6" w:rsidRPr="00A85D75">
        <w:rPr>
          <w:szCs w:val="20"/>
        </w:rPr>
        <w:t xml:space="preserve"> it does provide some parallels. </w:t>
      </w:r>
    </w:p>
    <w:p w14:paraId="7861AB2B" w14:textId="01F42987" w:rsidR="00555BFD" w:rsidRPr="00A85D75" w:rsidRDefault="005B7DCA" w:rsidP="00CE0F08">
      <w:pPr>
        <w:rPr>
          <w:rFonts w:cstheme="minorHAnsi"/>
        </w:rPr>
      </w:pPr>
      <w:r w:rsidRPr="00A85D75">
        <w:rPr>
          <w:rFonts w:cstheme="minorHAnsi"/>
        </w:rPr>
        <w:t xml:space="preserve">While the ACMA acknowledges that </w:t>
      </w:r>
      <w:r w:rsidR="008E6871" w:rsidRPr="00A85D75">
        <w:t xml:space="preserve">ITU </w:t>
      </w:r>
      <w:r w:rsidR="003E1352" w:rsidRPr="00A85D75">
        <w:rPr>
          <w:rFonts w:cstheme="minorHAnsi"/>
        </w:rPr>
        <w:t>satellite coordination requirement</w:t>
      </w:r>
      <w:r w:rsidRPr="00A85D75">
        <w:rPr>
          <w:rFonts w:cstheme="minorHAnsi"/>
        </w:rPr>
        <w:t xml:space="preserve">s might limit the </w:t>
      </w:r>
      <w:r w:rsidR="001129CB" w:rsidRPr="00A85D75">
        <w:rPr>
          <w:rFonts w:cstheme="minorHAnsi"/>
        </w:rPr>
        <w:t xml:space="preserve">utility </w:t>
      </w:r>
      <w:r w:rsidR="00BC10A7" w:rsidRPr="00A85D75">
        <w:rPr>
          <w:rFonts w:cstheme="minorHAnsi"/>
        </w:rPr>
        <w:t xml:space="preserve">of </w:t>
      </w:r>
      <w:r w:rsidRPr="00A85D75">
        <w:rPr>
          <w:rFonts w:cstheme="minorHAnsi"/>
        </w:rPr>
        <w:t>these arrangements for new entrants</w:t>
      </w:r>
      <w:r w:rsidR="008E46C1" w:rsidRPr="00A85D75">
        <w:rPr>
          <w:rFonts w:cstheme="minorHAnsi"/>
        </w:rPr>
        <w:t xml:space="preserve"> outside of Australia, </w:t>
      </w:r>
      <w:r w:rsidR="00DF0FCD" w:rsidRPr="00A85D75">
        <w:rPr>
          <w:rFonts w:cstheme="minorHAnsi"/>
        </w:rPr>
        <w:t xml:space="preserve">the ACMA </w:t>
      </w:r>
      <w:r w:rsidR="00C6156B" w:rsidRPr="00A85D75">
        <w:rPr>
          <w:rFonts w:cstheme="minorHAnsi"/>
        </w:rPr>
        <w:t xml:space="preserve">considers </w:t>
      </w:r>
      <w:r w:rsidR="00AC1BB1" w:rsidRPr="00A85D75">
        <w:rPr>
          <w:rFonts w:cstheme="minorHAnsi"/>
        </w:rPr>
        <w:t xml:space="preserve">that </w:t>
      </w:r>
      <w:r w:rsidR="00DD7873">
        <w:rPr>
          <w:rFonts w:cstheme="minorHAnsi"/>
        </w:rPr>
        <w:t>providing</w:t>
      </w:r>
      <w:r w:rsidR="00AC1BB1" w:rsidRPr="00A85D75">
        <w:rPr>
          <w:rFonts w:cstheme="minorHAnsi"/>
        </w:rPr>
        <w:t xml:space="preserve"> </w:t>
      </w:r>
      <w:r w:rsidR="00AC1BB1" w:rsidRPr="00A85D75">
        <w:t xml:space="preserve">opportunities </w:t>
      </w:r>
      <w:r w:rsidR="00AC1BB1" w:rsidRPr="00A85D75">
        <w:rPr>
          <w:lang w:eastAsia="en-US"/>
        </w:rPr>
        <w:t>for new entrants</w:t>
      </w:r>
      <w:r w:rsidR="00AC1BB1" w:rsidRPr="00A85D75">
        <w:t xml:space="preserve"> </w:t>
      </w:r>
      <w:r w:rsidR="00007F54">
        <w:t xml:space="preserve">in Australia </w:t>
      </w:r>
      <w:r w:rsidR="00CB5590" w:rsidRPr="00A85D75">
        <w:t xml:space="preserve">will support </w:t>
      </w:r>
      <w:r w:rsidR="00CB5590" w:rsidRPr="00A85D75">
        <w:rPr>
          <w:lang w:eastAsia="en-US"/>
        </w:rPr>
        <w:t xml:space="preserve">growth </w:t>
      </w:r>
      <w:r w:rsidR="00007F54">
        <w:rPr>
          <w:lang w:eastAsia="en-US"/>
        </w:rPr>
        <w:t>of</w:t>
      </w:r>
      <w:r w:rsidR="00007F54" w:rsidRPr="00A85D75">
        <w:rPr>
          <w:lang w:eastAsia="en-US"/>
        </w:rPr>
        <w:t xml:space="preserve"> </w:t>
      </w:r>
      <w:r w:rsidR="00CB5590" w:rsidRPr="00A85D75">
        <w:rPr>
          <w:lang w:eastAsia="en-US"/>
        </w:rPr>
        <w:t>the Australia</w:t>
      </w:r>
      <w:r w:rsidR="00007F54">
        <w:rPr>
          <w:lang w:eastAsia="en-US"/>
        </w:rPr>
        <w:t>n</w:t>
      </w:r>
      <w:r w:rsidR="00CB5590" w:rsidRPr="00A85D75">
        <w:rPr>
          <w:lang w:eastAsia="en-US"/>
        </w:rPr>
        <w:t xml:space="preserve"> space industry</w:t>
      </w:r>
      <w:r w:rsidR="000D7B3D" w:rsidRPr="00A85D75">
        <w:rPr>
          <w:lang w:eastAsia="en-US"/>
        </w:rPr>
        <w:t xml:space="preserve">.  </w:t>
      </w:r>
    </w:p>
    <w:p w14:paraId="7114FAA6" w14:textId="77777777" w:rsidR="000F0C78" w:rsidRPr="00A85D75" w:rsidRDefault="000F0C78" w:rsidP="000F0C78">
      <w:pPr>
        <w:pStyle w:val="Heading3"/>
      </w:pPr>
      <w:bookmarkStart w:id="112" w:name="_Toc56965709"/>
      <w:bookmarkStart w:id="113" w:name="_Toc61364853"/>
      <w:r w:rsidRPr="00A85D75">
        <w:t>TOB transitional issues</w:t>
      </w:r>
      <w:bookmarkEnd w:id="112"/>
      <w:bookmarkEnd w:id="113"/>
    </w:p>
    <w:p w14:paraId="2BF7CCF7" w14:textId="06EB6509" w:rsidR="002D2004" w:rsidRPr="00A85D75" w:rsidRDefault="000F0C78" w:rsidP="002D2004">
      <w:r w:rsidRPr="00A85D75">
        <w:t>Our preliminary preferred view</w:t>
      </w:r>
      <w:r w:rsidR="0064646C" w:rsidRPr="00A85D75">
        <w:t xml:space="preserve"> on implementation</w:t>
      </w:r>
      <w:r w:rsidRPr="00A85D75">
        <w:t xml:space="preserve"> is that clearance of TOB services from the 2 GHz band should proceed over a </w:t>
      </w:r>
      <w:r w:rsidR="00E84A61">
        <w:t>5</w:t>
      </w:r>
      <w:r w:rsidRPr="00A85D75">
        <w:t xml:space="preserve">-year transition period. </w:t>
      </w:r>
      <w:r w:rsidR="002D2004" w:rsidRPr="00A85D75">
        <w:t>We are also considering the possibility of satellite services commencing earlier</w:t>
      </w:r>
      <w:r w:rsidR="00E84A61">
        <w:t>,</w:t>
      </w:r>
      <w:r w:rsidR="002D2004" w:rsidRPr="00A85D75">
        <w:t xml:space="preserve"> with a </w:t>
      </w:r>
      <w:r w:rsidR="00E84A61">
        <w:t>3</w:t>
      </w:r>
      <w:r w:rsidR="002D2004" w:rsidRPr="00A85D75">
        <w:t>-year transition in regional and remote areas where TOB usage is limited and infrequent.</w:t>
      </w:r>
    </w:p>
    <w:p w14:paraId="2A419CBB" w14:textId="0F8FB92E" w:rsidR="00E3607C" w:rsidRPr="00A85D75" w:rsidRDefault="00DC71CF" w:rsidP="00E3607C">
      <w:pPr>
        <w:pStyle w:val="Paragraph"/>
      </w:pPr>
      <w:r w:rsidRPr="00A85D75">
        <w:t>We anticipate that a</w:t>
      </w:r>
      <w:r w:rsidR="00E3607C" w:rsidRPr="00A85D75">
        <w:t xml:space="preserve"> </w:t>
      </w:r>
      <w:r w:rsidR="00E84A61">
        <w:t>5</w:t>
      </w:r>
      <w:r w:rsidR="00E3607C" w:rsidRPr="00A85D75">
        <w:t>-year period will allow ongoing TOB operators to relocate to alternative spectrum at</w:t>
      </w:r>
      <w:r w:rsidR="00E84A61">
        <w:t xml:space="preserve"> a</w:t>
      </w:r>
      <w:r w:rsidR="00E3607C" w:rsidRPr="00A85D75">
        <w:t xml:space="preserve"> time that aligns </w:t>
      </w:r>
      <w:r w:rsidR="00E13272">
        <w:t>to the extent possible</w:t>
      </w:r>
      <w:r w:rsidR="00E3607C" w:rsidRPr="00A85D75">
        <w:t xml:space="preserve"> with their equipment replacement lifecycles. While satellite services are expected to take some time to </w:t>
      </w:r>
      <w:r w:rsidRPr="00A85D75">
        <w:t xml:space="preserve">be </w:t>
      </w:r>
      <w:r w:rsidR="00E3607C" w:rsidRPr="00A85D75">
        <w:lastRenderedPageBreak/>
        <w:t xml:space="preserve">deployed, providing earlier access in regional and remote </w:t>
      </w:r>
      <w:r w:rsidR="003F2A23">
        <w:t>areas</w:t>
      </w:r>
      <w:r w:rsidR="00E3607C" w:rsidRPr="00A85D75">
        <w:t xml:space="preserve"> will support initial deployment in areas that are likely to benefit the most </w:t>
      </w:r>
      <w:r w:rsidR="003F2A23">
        <w:t>from</w:t>
      </w:r>
      <w:r w:rsidR="00E3607C" w:rsidRPr="00A85D75">
        <w:t xml:space="preserve"> new services with minimal impact on TOB</w:t>
      </w:r>
      <w:r w:rsidRPr="00A85D75">
        <w:t>.</w:t>
      </w:r>
      <w:r w:rsidR="00E3607C" w:rsidRPr="00A85D75">
        <w:t xml:space="preserve"> </w:t>
      </w:r>
    </w:p>
    <w:p w14:paraId="4CE09F66" w14:textId="17BFC1F3" w:rsidR="000F0C78" w:rsidRPr="00A85D75" w:rsidRDefault="000F0C78" w:rsidP="000F0C78">
      <w:r w:rsidRPr="00A85D75">
        <w:t xml:space="preserve">To avoid a transition occurring during the summer period where TOB activities are normally at a higher activity level due to coverage of sporting events, </w:t>
      </w:r>
      <w:r w:rsidR="00F5573A" w:rsidRPr="00A85D75">
        <w:t>our view is</w:t>
      </w:r>
      <w:r w:rsidRPr="00A85D75">
        <w:t xml:space="preserve"> that the </w:t>
      </w:r>
      <w:r w:rsidR="00E84A61">
        <w:t>5</w:t>
      </w:r>
      <w:r w:rsidRPr="00A85D75">
        <w:t xml:space="preserve">-year transition </w:t>
      </w:r>
      <w:r w:rsidR="00F5573A" w:rsidRPr="00A85D75">
        <w:t xml:space="preserve">period </w:t>
      </w:r>
      <w:r w:rsidRPr="00A85D75">
        <w:t>should commence from 1 March 2021. On this basis, no new TOB licen</w:t>
      </w:r>
      <w:r w:rsidR="00FF3E79">
        <w:t>c</w:t>
      </w:r>
      <w:r w:rsidRPr="00A85D75">
        <w:t>es would be issued with an expiry date after 1 March 2026.</w:t>
      </w:r>
    </w:p>
    <w:p w14:paraId="5228646F" w14:textId="32804F82" w:rsidR="000F0C78" w:rsidRPr="00A85D75" w:rsidRDefault="000F0C78" w:rsidP="000F0C78">
      <w:pPr>
        <w:pStyle w:val="Paragraph"/>
      </w:pPr>
      <w:r w:rsidRPr="00A85D75">
        <w:t>The ACMA</w:t>
      </w:r>
      <w:r w:rsidR="00E84A61">
        <w:t>’s</w:t>
      </w:r>
      <w:r w:rsidRPr="00A85D75">
        <w:t xml:space="preserve"> preliminary view </w:t>
      </w:r>
      <w:r w:rsidR="0064646C" w:rsidRPr="00A85D75">
        <w:t xml:space="preserve">on implementation </w:t>
      </w:r>
      <w:r w:rsidRPr="00A85D75">
        <w:t xml:space="preserve">is that transitional periods will need to be included in the </w:t>
      </w:r>
      <w:r w:rsidRPr="00A85D75">
        <w:rPr>
          <w:u w:color="0000FF"/>
        </w:rPr>
        <w:t>Television Outside Broadcast</w:t>
      </w:r>
      <w:r w:rsidRPr="00A85D75">
        <w:t xml:space="preserve"> (1980</w:t>
      </w:r>
      <w:r w:rsidR="0040728F" w:rsidRPr="00A85D75">
        <w:t>–</w:t>
      </w:r>
      <w:r w:rsidRPr="00A85D75">
        <w:t>2110 MHz and 2170</w:t>
      </w:r>
      <w:r w:rsidR="0040728F" w:rsidRPr="00A85D75">
        <w:t>–</w:t>
      </w:r>
      <w:r w:rsidRPr="00A85D75">
        <w:t>2300 MHz) Frequency Band Plan 2012</w:t>
      </w:r>
      <w:r w:rsidRPr="00A85D75">
        <w:rPr>
          <w:rStyle w:val="FootnoteReference"/>
        </w:rPr>
        <w:footnoteReference w:id="25"/>
      </w:r>
      <w:r w:rsidRPr="00A85D75">
        <w:t xml:space="preserve">, </w:t>
      </w:r>
      <w:hyperlink r:id="rId56" w:history="1">
        <w:r w:rsidRPr="00E84A61">
          <w:rPr>
            <w:rStyle w:val="Hyperlink"/>
          </w:rPr>
          <w:t>RALI FX21: Television Outside Broadcasting Services in the bands 1980</w:t>
        </w:r>
        <w:r w:rsidR="0040728F" w:rsidRPr="00E84A61">
          <w:rPr>
            <w:rStyle w:val="Hyperlink"/>
          </w:rPr>
          <w:t>–</w:t>
        </w:r>
        <w:r w:rsidRPr="00E84A61">
          <w:rPr>
            <w:rStyle w:val="Hyperlink"/>
          </w:rPr>
          <w:t>2110 MHz and 2170</w:t>
        </w:r>
        <w:r w:rsidR="0040728F" w:rsidRPr="00E84A61">
          <w:rPr>
            <w:rStyle w:val="Hyperlink"/>
          </w:rPr>
          <w:t>–</w:t>
        </w:r>
        <w:r w:rsidRPr="00E84A61">
          <w:rPr>
            <w:rStyle w:val="Hyperlink"/>
          </w:rPr>
          <w:t>2300 MHz</w:t>
        </w:r>
      </w:hyperlink>
      <w:r w:rsidRPr="00A85D75">
        <w:t xml:space="preserve"> and spectrum </w:t>
      </w:r>
      <w:r w:rsidR="00E84A61" w:rsidRPr="00A85D75">
        <w:t>embargo</w:t>
      </w:r>
      <w:r w:rsidR="00E84A61">
        <w:t> </w:t>
      </w:r>
      <w:r w:rsidRPr="00A85D75">
        <w:t>23.</w:t>
      </w:r>
    </w:p>
    <w:p w14:paraId="72A1D1CF" w14:textId="7F770BF5" w:rsidR="000F0C78" w:rsidRPr="00A85D75" w:rsidRDefault="000F0C78" w:rsidP="000F0C78">
      <w:pPr>
        <w:pStyle w:val="Paragraph"/>
      </w:pPr>
      <w:r w:rsidRPr="00A85D75">
        <w:t>We will consult further on specific timing</w:t>
      </w:r>
      <w:r w:rsidR="002B5422" w:rsidRPr="00A85D75">
        <w:t xml:space="preserve"> of these </w:t>
      </w:r>
      <w:r w:rsidR="007B7698" w:rsidRPr="00A85D75">
        <w:t>matters</w:t>
      </w:r>
      <w:r w:rsidR="00F63224" w:rsidRPr="00A85D75">
        <w:t xml:space="preserve"> in due course</w:t>
      </w:r>
      <w:r w:rsidR="00496159" w:rsidRPr="00A85D75">
        <w:t xml:space="preserve"> (see </w:t>
      </w:r>
      <w:r w:rsidR="00E84A61">
        <w:t>‘</w:t>
      </w:r>
      <w:hyperlink w:anchor="_Next_steps" w:history="1">
        <w:r w:rsidR="00E84A61" w:rsidRPr="00E84A61">
          <w:rPr>
            <w:rStyle w:val="Hyperlink"/>
          </w:rPr>
          <w:t>N</w:t>
        </w:r>
        <w:r w:rsidR="00496159" w:rsidRPr="00E84A61">
          <w:rPr>
            <w:rStyle w:val="Hyperlink"/>
          </w:rPr>
          <w:t>ext steps</w:t>
        </w:r>
      </w:hyperlink>
      <w:r w:rsidR="00E84A61">
        <w:t>’</w:t>
      </w:r>
      <w:r w:rsidR="00496159" w:rsidRPr="00A85D75">
        <w:t xml:space="preserve"> section below)</w:t>
      </w:r>
      <w:r w:rsidRPr="00A85D75">
        <w:t>.</w:t>
      </w:r>
    </w:p>
    <w:p w14:paraId="14022C59" w14:textId="56173C28" w:rsidR="0044543D" w:rsidRPr="00A85D75" w:rsidRDefault="0044543D" w:rsidP="0044543D">
      <w:pPr>
        <w:pStyle w:val="Heading3"/>
      </w:pPr>
      <w:bookmarkStart w:id="114" w:name="_Toc56965710"/>
      <w:bookmarkStart w:id="115" w:name="_Toc61364854"/>
      <w:r w:rsidRPr="00A85D75">
        <w:t>Radio Quiet Zone protection</w:t>
      </w:r>
      <w:bookmarkEnd w:id="114"/>
      <w:bookmarkEnd w:id="115"/>
    </w:p>
    <w:p w14:paraId="326C10F9" w14:textId="2F3BF38F" w:rsidR="0044543D" w:rsidRPr="00A85D75" w:rsidRDefault="0044543D" w:rsidP="0044543D">
      <w:pPr>
        <w:pStyle w:val="ACMANormalTabbed"/>
      </w:pPr>
      <w:r w:rsidRPr="00A85D75">
        <w:t xml:space="preserve">Other issues that need to be considered include protecting the Australian Radio Quiet Zone </w:t>
      </w:r>
      <w:r w:rsidR="00C71015">
        <w:t xml:space="preserve">in </w:t>
      </w:r>
      <w:r w:rsidRPr="00A85D75">
        <w:t xml:space="preserve">Western Australia (near </w:t>
      </w:r>
      <w:proofErr w:type="spellStart"/>
      <w:r w:rsidRPr="00A85D75">
        <w:t>Boolardy</w:t>
      </w:r>
      <w:proofErr w:type="spellEnd"/>
      <w:r w:rsidRPr="00A85D75">
        <w:t xml:space="preserve"> Station). These requirements are specified in the </w:t>
      </w:r>
      <w:hyperlink r:id="rId57" w:history="1">
        <w:r w:rsidRPr="00A85D75">
          <w:rPr>
            <w:rStyle w:val="Hyperlink"/>
          </w:rPr>
          <w:t>Radiocommunications (Mid-West Radio Quiet Zone) Frequency Band Plan 2011</w:t>
        </w:r>
      </w:hyperlink>
      <w:r w:rsidRPr="00A85D75">
        <w:t xml:space="preserve">, </w:t>
      </w:r>
      <w:hyperlink r:id="rId58" w:history="1">
        <w:r w:rsidRPr="00E84A61">
          <w:rPr>
            <w:rStyle w:val="Hyperlink"/>
          </w:rPr>
          <w:t>RALI MS 32</w:t>
        </w:r>
        <w:r w:rsidR="00B76F57" w:rsidRPr="00E84A61">
          <w:rPr>
            <w:rStyle w:val="Hyperlink"/>
          </w:rPr>
          <w:t xml:space="preserve">: </w:t>
        </w:r>
        <w:r w:rsidR="00A67D53" w:rsidRPr="00E84A61">
          <w:rPr>
            <w:rStyle w:val="Hyperlink"/>
          </w:rPr>
          <w:t>C</w:t>
        </w:r>
        <w:r w:rsidRPr="00E84A61">
          <w:rPr>
            <w:rStyle w:val="Hyperlink"/>
          </w:rPr>
          <w:t xml:space="preserve">oordination of apparatus licensed services within the Australian Radio Quiet Zone </w:t>
        </w:r>
        <w:r w:rsidR="008A1369" w:rsidRPr="00E84A61">
          <w:rPr>
            <w:rStyle w:val="Hyperlink"/>
          </w:rPr>
          <w:t xml:space="preserve">– </w:t>
        </w:r>
        <w:r w:rsidRPr="00E84A61">
          <w:rPr>
            <w:rStyle w:val="Hyperlink"/>
          </w:rPr>
          <w:t>Western Australia</w:t>
        </w:r>
      </w:hyperlink>
      <w:r w:rsidRPr="00A85D75">
        <w:t xml:space="preserve">, and spectrum </w:t>
      </w:r>
      <w:hyperlink r:id="rId59" w:history="1">
        <w:r w:rsidRPr="00A85D75">
          <w:rPr>
            <w:rStyle w:val="Hyperlink"/>
          </w:rPr>
          <w:t>embargo 41</w:t>
        </w:r>
      </w:hyperlink>
      <w:r w:rsidRPr="00A85D75">
        <w:t>, which covers the frequency range 70 MHz–25.25 GHz, and therefore applies to the 2 GHz band.</w:t>
      </w:r>
    </w:p>
    <w:p w14:paraId="76D3F499" w14:textId="5473AFFD" w:rsidR="0044543D" w:rsidRPr="00A85D75" w:rsidRDefault="0044543D" w:rsidP="0044543D">
      <w:pPr>
        <w:rPr>
          <w:rFonts w:cstheme="minorHAnsi"/>
        </w:rPr>
      </w:pPr>
      <w:r w:rsidRPr="00A85D75">
        <w:t>Currently under arrangements for TOB stations</w:t>
      </w:r>
      <w:r w:rsidR="0064646C" w:rsidRPr="00A85D75">
        <w:t>,</w:t>
      </w:r>
      <w:r w:rsidRPr="00A85D75">
        <w:t xml:space="preserve"> airborne transmitters are not </w:t>
      </w:r>
      <w:r w:rsidR="00374186" w:rsidRPr="00A85D75">
        <w:t>supported,</w:t>
      </w:r>
      <w:r w:rsidRPr="00A85D75">
        <w:t xml:space="preserve"> and no transmitters are to be operated within </w:t>
      </w:r>
      <w:r w:rsidRPr="00A85D75">
        <w:rPr>
          <w:rFonts w:cstheme="minorHAnsi"/>
        </w:rPr>
        <w:t>150 km of the Mid-West Radio Quiet Zone. These requirements would need to be considered in the context of any new services in the 2 GHz band.</w:t>
      </w:r>
    </w:p>
    <w:p w14:paraId="633BBD06" w14:textId="77777777" w:rsidR="000A7B99" w:rsidRPr="00A85D75" w:rsidRDefault="000A7B99" w:rsidP="000A7B99">
      <w:pPr>
        <w:pStyle w:val="Heading3"/>
      </w:pPr>
      <w:bookmarkStart w:id="116" w:name="_Toc56965711"/>
      <w:bookmarkStart w:id="117" w:name="_Toc61364855"/>
      <w:r w:rsidRPr="00A85D75">
        <w:t>Adjacent-band protection measures</w:t>
      </w:r>
      <w:bookmarkEnd w:id="116"/>
      <w:bookmarkEnd w:id="117"/>
    </w:p>
    <w:p w14:paraId="104F0607" w14:textId="1FE9AEBB" w:rsidR="0041729A" w:rsidRPr="00A85D75" w:rsidRDefault="0041729A" w:rsidP="0064710F">
      <w:r w:rsidRPr="00A85D75">
        <w:t>There are potential adjacent</w:t>
      </w:r>
      <w:r w:rsidR="00351D1B">
        <w:t>-</w:t>
      </w:r>
      <w:r w:rsidRPr="00A85D75">
        <w:t xml:space="preserve">band coordination issues at each </w:t>
      </w:r>
      <w:r w:rsidR="000F7AFC">
        <w:t>boundary</w:t>
      </w:r>
      <w:r w:rsidRPr="00A85D75">
        <w:t xml:space="preserve"> of the 2 GHz band.</w:t>
      </w:r>
    </w:p>
    <w:p w14:paraId="56386EFE" w14:textId="0C906897" w:rsidR="00B46F65" w:rsidRPr="00A85D75" w:rsidRDefault="004A79DE" w:rsidP="0064710F">
      <w:r w:rsidRPr="00A85D75">
        <w:t xml:space="preserve">For </w:t>
      </w:r>
      <w:r w:rsidR="000412EB" w:rsidRPr="00A85D75">
        <w:t>boundaries at 1980 and 2170 MHz</w:t>
      </w:r>
      <w:r w:rsidR="00FA3AF5" w:rsidRPr="00A85D75">
        <w:t>,</w:t>
      </w:r>
      <w:r w:rsidRPr="00A85D75">
        <w:t xml:space="preserve"> </w:t>
      </w:r>
      <w:r w:rsidR="003B03D9" w:rsidRPr="00A85D75">
        <w:t>coordination issues</w:t>
      </w:r>
      <w:r w:rsidR="00005CEE" w:rsidRPr="00A85D75">
        <w:t xml:space="preserve"> concern </w:t>
      </w:r>
      <w:r w:rsidR="003B03D9" w:rsidRPr="00A85D75">
        <w:t>adjacent</w:t>
      </w:r>
      <w:r w:rsidR="002571EF" w:rsidRPr="00A85D75">
        <w:t xml:space="preserve"> </w:t>
      </w:r>
      <w:r w:rsidR="0033062C" w:rsidRPr="00A85D75">
        <w:t xml:space="preserve">wireless broadband services operating </w:t>
      </w:r>
      <w:r w:rsidR="00861726" w:rsidRPr="00A85D75">
        <w:t>under spectrum</w:t>
      </w:r>
      <w:r w:rsidR="0033062C" w:rsidRPr="00A85D75">
        <w:t xml:space="preserve"> and </w:t>
      </w:r>
      <w:r w:rsidR="00861726" w:rsidRPr="00A85D75">
        <w:t>apparatus licensing arrangements</w:t>
      </w:r>
      <w:r w:rsidR="00FA3AF5" w:rsidRPr="00A85D75">
        <w:t>.</w:t>
      </w:r>
      <w:r w:rsidR="00FF0E44" w:rsidRPr="00A85D75">
        <w:rPr>
          <w:rStyle w:val="FootnoteReference"/>
        </w:rPr>
        <w:footnoteReference w:id="26"/>
      </w:r>
      <w:r w:rsidR="00861726" w:rsidRPr="00A85D75">
        <w:t xml:space="preserve"> </w:t>
      </w:r>
      <w:r w:rsidR="00775D5D" w:rsidRPr="00A85D75">
        <w:t>In part these issues are address</w:t>
      </w:r>
      <w:r w:rsidR="009A782D" w:rsidRPr="00A85D75">
        <w:t>e</w:t>
      </w:r>
      <w:r w:rsidR="00590D47" w:rsidRPr="00A85D75">
        <w:t>d</w:t>
      </w:r>
      <w:r w:rsidR="00775D5D" w:rsidRPr="00A85D75">
        <w:t xml:space="preserve"> </w:t>
      </w:r>
      <w:r w:rsidR="007D7527">
        <w:t>by current</w:t>
      </w:r>
      <w:r w:rsidR="00775D5D" w:rsidRPr="00A85D75">
        <w:t xml:space="preserve"> </w:t>
      </w:r>
      <w:r w:rsidR="005778FE" w:rsidRPr="00A85D75">
        <w:t xml:space="preserve">spectrum </w:t>
      </w:r>
      <w:r w:rsidR="007D7527">
        <w:t xml:space="preserve">planning </w:t>
      </w:r>
      <w:r w:rsidR="00EB625B">
        <w:t>arrangements</w:t>
      </w:r>
      <w:r w:rsidR="00775D5D" w:rsidRPr="00A85D75">
        <w:t xml:space="preserve"> </w:t>
      </w:r>
      <w:r w:rsidR="00EE30F5" w:rsidRPr="00A85D75">
        <w:t xml:space="preserve">whereby </w:t>
      </w:r>
      <w:r w:rsidR="00EF1322" w:rsidRPr="00A85D75">
        <w:t xml:space="preserve">there is </w:t>
      </w:r>
      <w:r w:rsidR="00865CBC">
        <w:t>compatibility</w:t>
      </w:r>
      <w:r w:rsidR="00865CBC" w:rsidRPr="00A85D75">
        <w:t xml:space="preserve"> </w:t>
      </w:r>
      <w:r w:rsidR="00CF7F40" w:rsidRPr="00A85D75">
        <w:t xml:space="preserve">in a </w:t>
      </w:r>
      <w:r w:rsidR="00504C02" w:rsidRPr="00A85D75">
        <w:t>freq</w:t>
      </w:r>
      <w:r w:rsidR="00D22B6A" w:rsidRPr="00A85D75">
        <w:t>uency sense</w:t>
      </w:r>
      <w:r w:rsidR="008B15D3" w:rsidRPr="00A85D75">
        <w:rPr>
          <w:rStyle w:val="FootnoteReference"/>
        </w:rPr>
        <w:footnoteReference w:id="27"/>
      </w:r>
      <w:r w:rsidR="00102EC4" w:rsidRPr="00A85D75">
        <w:t xml:space="preserve"> and no </w:t>
      </w:r>
      <w:r w:rsidR="00C24D6F" w:rsidRPr="00A85D75">
        <w:t xml:space="preserve">cross boundary </w:t>
      </w:r>
      <w:r w:rsidR="00DB50D7" w:rsidRPr="00A85D75">
        <w:t>transmit/receive issues</w:t>
      </w:r>
      <w:r w:rsidR="00A4019A">
        <w:t>. That is base transmit segments are adjacent to base transmit segmen</w:t>
      </w:r>
      <w:r w:rsidR="00DB6121">
        <w:t>ts</w:t>
      </w:r>
      <w:r w:rsidR="00DB50D7" w:rsidRPr="00A85D75">
        <w:t xml:space="preserve">. </w:t>
      </w:r>
      <w:r w:rsidR="00EC4994" w:rsidRPr="00A85D75">
        <w:t>The AC</w:t>
      </w:r>
      <w:r w:rsidR="00B40978" w:rsidRPr="00A85D75">
        <w:t>MA</w:t>
      </w:r>
      <w:r w:rsidR="00E84A61">
        <w:t>’s</w:t>
      </w:r>
      <w:r w:rsidR="00EC4994" w:rsidRPr="00A85D75">
        <w:t xml:space="preserve"> </w:t>
      </w:r>
      <w:r w:rsidR="00B40978" w:rsidRPr="00A85D75">
        <w:t>preliminary</w:t>
      </w:r>
      <w:r w:rsidR="00EC4994" w:rsidRPr="00A85D75">
        <w:t xml:space="preserve"> view is that given the </w:t>
      </w:r>
      <w:r w:rsidR="00B40978" w:rsidRPr="00A85D75">
        <w:t xml:space="preserve">spectrum arrangement and </w:t>
      </w:r>
      <w:r w:rsidR="00483230" w:rsidRPr="00A85D75">
        <w:t xml:space="preserve">consideration of </w:t>
      </w:r>
      <w:r w:rsidR="00FF28B5" w:rsidRPr="00A85D75">
        <w:t xml:space="preserve">3GPP standards </w:t>
      </w:r>
      <w:r w:rsidR="002A777E" w:rsidRPr="00A85D75">
        <w:t>(</w:t>
      </w:r>
      <w:r w:rsidR="00FF28B5" w:rsidRPr="00A85D75">
        <w:t xml:space="preserve">for earth stations and </w:t>
      </w:r>
      <w:r w:rsidR="00216959" w:rsidRPr="00A85D75">
        <w:t>complementary</w:t>
      </w:r>
      <w:r w:rsidR="008F7BCF" w:rsidRPr="00A85D75">
        <w:t xml:space="preserve"> ground component</w:t>
      </w:r>
      <w:r w:rsidR="00E84A61">
        <w:t>s</w:t>
      </w:r>
      <w:r w:rsidR="002A777E" w:rsidRPr="00A85D75">
        <w:t>)</w:t>
      </w:r>
      <w:r w:rsidR="00216959" w:rsidRPr="00A85D75">
        <w:t>,</w:t>
      </w:r>
      <w:r w:rsidR="008F7BCF" w:rsidRPr="00A85D75">
        <w:t xml:space="preserve"> </w:t>
      </w:r>
      <w:r w:rsidR="00F74F4D" w:rsidRPr="00A85D75">
        <w:t xml:space="preserve">it is unlikely that </w:t>
      </w:r>
      <w:r w:rsidR="00401B65" w:rsidRPr="00A85D75">
        <w:t xml:space="preserve">any </w:t>
      </w:r>
      <w:r w:rsidR="00191117" w:rsidRPr="00A85D75">
        <w:t>restrictions</w:t>
      </w:r>
      <w:r w:rsidR="00401B65" w:rsidRPr="00A85D75">
        <w:t xml:space="preserve"> will be require</w:t>
      </w:r>
      <w:r w:rsidR="00216959" w:rsidRPr="00A85D75">
        <w:t>d</w:t>
      </w:r>
      <w:r w:rsidR="00401B65" w:rsidRPr="00A85D75">
        <w:t xml:space="preserve"> on MSS </w:t>
      </w:r>
      <w:r w:rsidR="0042237A" w:rsidRPr="00A85D75">
        <w:t>to protect</w:t>
      </w:r>
      <w:r w:rsidR="00216959" w:rsidRPr="00A85D75">
        <w:t xml:space="preserve"> </w:t>
      </w:r>
      <w:r w:rsidR="0042237A" w:rsidRPr="00A85D75">
        <w:t>adjacent</w:t>
      </w:r>
      <w:r w:rsidR="00216959" w:rsidRPr="00A85D75">
        <w:t>-</w:t>
      </w:r>
      <w:r w:rsidR="0042237A" w:rsidRPr="00A85D75">
        <w:t>band wireless broadband services</w:t>
      </w:r>
      <w:r w:rsidR="00BB7B77" w:rsidRPr="00A85D75">
        <w:t xml:space="preserve">. </w:t>
      </w:r>
      <w:r w:rsidR="00DA74EA" w:rsidRPr="00A85D75">
        <w:t>Further consider</w:t>
      </w:r>
      <w:r w:rsidR="005205B3" w:rsidRPr="00A85D75">
        <w:t>ation is required for</w:t>
      </w:r>
      <w:r w:rsidR="00DA74EA" w:rsidRPr="00A85D75">
        <w:t xml:space="preserve"> direct air</w:t>
      </w:r>
      <w:r w:rsidR="00E30ACF" w:rsidRPr="00A85D75">
        <w:t>-</w:t>
      </w:r>
      <w:r w:rsidR="00DA74EA" w:rsidRPr="00A85D75">
        <w:t>to</w:t>
      </w:r>
      <w:r w:rsidR="00E30ACF" w:rsidRPr="00A85D75">
        <w:t>-</w:t>
      </w:r>
      <w:r w:rsidR="00DA74EA" w:rsidRPr="00A85D75">
        <w:t xml:space="preserve">ground </w:t>
      </w:r>
      <w:r w:rsidR="00865CBC">
        <w:t>services</w:t>
      </w:r>
      <w:r w:rsidR="00DA74EA" w:rsidRPr="00A85D75">
        <w:t xml:space="preserve"> and </w:t>
      </w:r>
      <w:r w:rsidR="0080664F" w:rsidRPr="00A85D75">
        <w:t xml:space="preserve">possible </w:t>
      </w:r>
      <w:r w:rsidR="00DC1E59" w:rsidRPr="00A85D75">
        <w:t>gateway earth</w:t>
      </w:r>
      <w:r w:rsidR="0080664F" w:rsidRPr="00A85D75">
        <w:t xml:space="preserve"> </w:t>
      </w:r>
      <w:r w:rsidR="000075A7" w:rsidRPr="00A85D75">
        <w:t xml:space="preserve">stations supporting </w:t>
      </w:r>
      <w:r w:rsidR="005205B3" w:rsidRPr="00A85D75">
        <w:t>MSS within the band.</w:t>
      </w:r>
      <w:r w:rsidR="00F32D2F" w:rsidRPr="00A85D75">
        <w:t xml:space="preserve"> </w:t>
      </w:r>
    </w:p>
    <w:p w14:paraId="6E7C1D06" w14:textId="467D339A" w:rsidR="008B100A" w:rsidRPr="00A85D75" w:rsidRDefault="000514BB" w:rsidP="0064710F">
      <w:r w:rsidRPr="00A85D75">
        <w:t>Consideration is</w:t>
      </w:r>
      <w:r w:rsidR="006D341B" w:rsidRPr="00A85D75">
        <w:t xml:space="preserve"> also </w:t>
      </w:r>
      <w:r w:rsidR="00E45426" w:rsidRPr="00A85D75">
        <w:t xml:space="preserve">required </w:t>
      </w:r>
      <w:r w:rsidRPr="00A85D75">
        <w:t xml:space="preserve">as </w:t>
      </w:r>
      <w:r w:rsidR="00E45426" w:rsidRPr="00A85D75">
        <w:t xml:space="preserve">to </w:t>
      </w:r>
      <w:r w:rsidRPr="00A85D75">
        <w:t>whether arrangement</w:t>
      </w:r>
      <w:r w:rsidR="0026210B">
        <w:t>s</w:t>
      </w:r>
      <w:r w:rsidRPr="00A85D75">
        <w:t xml:space="preserve"> for narrow</w:t>
      </w:r>
      <w:r w:rsidR="00E45426" w:rsidRPr="00A85D75">
        <w:t xml:space="preserve">band </w:t>
      </w:r>
      <w:r w:rsidRPr="00A85D75">
        <w:t>MSS in</w:t>
      </w:r>
      <w:r w:rsidR="00E45426" w:rsidRPr="00A85D75">
        <w:t xml:space="preserve"> the </w:t>
      </w:r>
      <w:r w:rsidRPr="00A85D75">
        <w:t>restricted</w:t>
      </w:r>
      <w:r w:rsidR="0064710F" w:rsidRPr="00A85D75">
        <w:t xml:space="preserve"> band</w:t>
      </w:r>
      <w:r w:rsidRPr="00A85D75">
        <w:t xml:space="preserve"> (</w:t>
      </w:r>
      <w:r w:rsidR="005E0718" w:rsidRPr="00A85D75">
        <w:t>2005</w:t>
      </w:r>
      <w:r w:rsidR="001A176E" w:rsidRPr="00A85D75">
        <w:t>–</w:t>
      </w:r>
      <w:r w:rsidR="000E6CEF" w:rsidRPr="00A85D75">
        <w:t>2010</w:t>
      </w:r>
      <w:r w:rsidR="001A176E" w:rsidRPr="00A85D75">
        <w:t xml:space="preserve"> </w:t>
      </w:r>
      <w:r w:rsidR="000E6CEF" w:rsidRPr="00A85D75">
        <w:t>/</w:t>
      </w:r>
      <w:r w:rsidR="001A176E" w:rsidRPr="00A85D75">
        <w:t xml:space="preserve"> </w:t>
      </w:r>
      <w:r w:rsidR="000E6CEF" w:rsidRPr="00A85D75">
        <w:t>2195</w:t>
      </w:r>
      <w:r w:rsidR="00FA3AF5" w:rsidRPr="00A85D75">
        <w:t>–</w:t>
      </w:r>
      <w:r w:rsidR="000E6CEF" w:rsidRPr="00A85D75">
        <w:t xml:space="preserve">2200 MHz) will be sufficient to </w:t>
      </w:r>
      <w:r w:rsidR="00877C6A" w:rsidRPr="00A85D75">
        <w:t>protect</w:t>
      </w:r>
      <w:r w:rsidR="00FA3AF5" w:rsidRPr="00A85D75">
        <w:t xml:space="preserve"> </w:t>
      </w:r>
      <w:r w:rsidR="006D4F28" w:rsidRPr="00A85D75">
        <w:t>adjacent</w:t>
      </w:r>
      <w:r w:rsidR="0026210B">
        <w:t>-</w:t>
      </w:r>
      <w:r w:rsidR="00CF6B68" w:rsidRPr="00A85D75">
        <w:lastRenderedPageBreak/>
        <w:t xml:space="preserve">band </w:t>
      </w:r>
      <w:r w:rsidR="006D341B" w:rsidRPr="00A85D75">
        <w:t>TOB</w:t>
      </w:r>
      <w:r w:rsidR="00877C6A" w:rsidRPr="00A85D75">
        <w:t xml:space="preserve"> services</w:t>
      </w:r>
      <w:r w:rsidR="006A2B66" w:rsidRPr="00A85D75">
        <w:t>, space research and space operations services operating above 2010 and 2200 MHz.</w:t>
      </w:r>
    </w:p>
    <w:p w14:paraId="1F28E0F7" w14:textId="42638853" w:rsidR="009F1EC5" w:rsidRPr="00A85D75" w:rsidRDefault="006D341B" w:rsidP="00AC602E">
      <w:r w:rsidRPr="00A85D75">
        <w:t>All</w:t>
      </w:r>
      <w:r w:rsidR="00877C6A" w:rsidRPr="00A85D75">
        <w:t xml:space="preserve"> </w:t>
      </w:r>
      <w:r w:rsidRPr="00A85D75">
        <w:t xml:space="preserve">these matters </w:t>
      </w:r>
      <w:r w:rsidR="003576E9">
        <w:t>will be</w:t>
      </w:r>
      <w:r w:rsidR="003576E9" w:rsidRPr="00A85D75">
        <w:t xml:space="preserve"> </w:t>
      </w:r>
      <w:r w:rsidRPr="00A85D75">
        <w:t>reviewed further when the ACMA develops the supporting technical framework.</w:t>
      </w:r>
    </w:p>
    <w:p w14:paraId="6914949E" w14:textId="77777777" w:rsidR="004A3FBE" w:rsidRPr="00A85D75" w:rsidRDefault="004A3FBE" w:rsidP="002422E5">
      <w:pPr>
        <w:pStyle w:val="Heading1"/>
      </w:pPr>
      <w:bookmarkStart w:id="118" w:name="_Next_steps"/>
      <w:bookmarkStart w:id="119" w:name="_Toc56965712"/>
      <w:bookmarkStart w:id="120" w:name="_Ref57214073"/>
      <w:bookmarkStart w:id="121" w:name="_Toc61364856"/>
      <w:bookmarkEnd w:id="118"/>
      <w:r w:rsidRPr="00A85D75">
        <w:lastRenderedPageBreak/>
        <w:t>Next steps</w:t>
      </w:r>
      <w:bookmarkEnd w:id="119"/>
      <w:bookmarkEnd w:id="120"/>
      <w:bookmarkEnd w:id="121"/>
    </w:p>
    <w:p w14:paraId="7FB0162E" w14:textId="4A7E10C8" w:rsidR="009C3E5D" w:rsidRPr="00A85D75" w:rsidRDefault="009C3E5D" w:rsidP="00862F7B">
      <w:pPr>
        <w:pStyle w:val="Paragraph"/>
      </w:pPr>
      <w:r w:rsidRPr="00A85D75">
        <w:t xml:space="preserve">To give effect to the planning decisions and preliminary views outlined in this paper, the ACMA </w:t>
      </w:r>
      <w:r w:rsidR="00620E19" w:rsidRPr="00A85D75">
        <w:t xml:space="preserve">has developed the indicative high level implementation plan set out in </w:t>
      </w:r>
      <w:r w:rsidRPr="00A85D75">
        <w:t>Table</w:t>
      </w:r>
      <w:r w:rsidR="00B94200" w:rsidRPr="00A85D75">
        <w:t> </w:t>
      </w:r>
      <w:r w:rsidRPr="00A85D75">
        <w:t>1 below.</w:t>
      </w:r>
      <w:r w:rsidR="005E4EA5" w:rsidRPr="00A85D75">
        <w:t xml:space="preserve"> </w:t>
      </w:r>
    </w:p>
    <w:p w14:paraId="61C84202" w14:textId="0B3AF1B0" w:rsidR="00320B3E" w:rsidRPr="00A85D75" w:rsidRDefault="00236E38" w:rsidP="00236E38">
      <w:pPr>
        <w:pStyle w:val="Paragraph"/>
      </w:pPr>
      <w:r w:rsidRPr="00A85D75">
        <w:t>The table shows the activities and estimated timing that will follow release of this paper. Completion of these activities is contingent on a variety of factors</w:t>
      </w:r>
      <w:r w:rsidR="00F45899">
        <w:t>,</w:t>
      </w:r>
      <w:r w:rsidRPr="00A85D75">
        <w:t xml:space="preserve"> including feedback received from stakeholders and consideration by the ACMA Authority.</w:t>
      </w:r>
      <w:r w:rsidR="00444237" w:rsidRPr="00A85D75">
        <w:t xml:space="preserve"> </w:t>
      </w:r>
      <w:r w:rsidR="007A385E">
        <w:t xml:space="preserve">Timeframes are indicative </w:t>
      </w:r>
      <w:r w:rsidR="00EF3CC2">
        <w:t xml:space="preserve">and intended to provide a guide to </w:t>
      </w:r>
      <w:r w:rsidR="009701E3">
        <w:t xml:space="preserve">the sequencing and commencement of particular streams of work. </w:t>
      </w:r>
      <w:r w:rsidR="00E13BE9">
        <w:t xml:space="preserve">A more detailed </w:t>
      </w:r>
      <w:r w:rsidR="000D10D6" w:rsidRPr="00A85D75">
        <w:t>implementation</w:t>
      </w:r>
      <w:r w:rsidR="00444237" w:rsidRPr="00A85D75">
        <w:t xml:space="preserve"> program will be </w:t>
      </w:r>
      <w:r w:rsidR="00800369" w:rsidRPr="00A85D75">
        <w:t xml:space="preserve">developed </w:t>
      </w:r>
      <w:r w:rsidR="007A385E">
        <w:t xml:space="preserve">and consulted </w:t>
      </w:r>
      <w:r w:rsidR="00E13BE9">
        <w:t xml:space="preserve">on </w:t>
      </w:r>
      <w:r w:rsidR="000D10D6" w:rsidRPr="00A85D75">
        <w:t xml:space="preserve">through the </w:t>
      </w:r>
      <w:r w:rsidR="00575BFF">
        <w:t xml:space="preserve">ACMA’s </w:t>
      </w:r>
      <w:r w:rsidR="007A385E">
        <w:t xml:space="preserve">annual </w:t>
      </w:r>
      <w:hyperlink r:id="rId60" w:history="1">
        <w:r w:rsidR="000D10D6" w:rsidRPr="00A85D75">
          <w:rPr>
            <w:rStyle w:val="Hyperlink"/>
          </w:rPr>
          <w:t>Five</w:t>
        </w:r>
        <w:r w:rsidR="00D60CD4" w:rsidRPr="00A85D75">
          <w:rPr>
            <w:rStyle w:val="Hyperlink"/>
          </w:rPr>
          <w:t>-y</w:t>
        </w:r>
        <w:r w:rsidR="000D10D6" w:rsidRPr="00A85D75">
          <w:rPr>
            <w:rStyle w:val="Hyperlink"/>
          </w:rPr>
          <w:t xml:space="preserve">ear </w:t>
        </w:r>
        <w:r w:rsidR="00D60CD4" w:rsidRPr="00A85D75">
          <w:rPr>
            <w:rStyle w:val="Hyperlink"/>
          </w:rPr>
          <w:t>s</w:t>
        </w:r>
        <w:r w:rsidR="000D10D6" w:rsidRPr="00A85D75">
          <w:rPr>
            <w:rStyle w:val="Hyperlink"/>
          </w:rPr>
          <w:t xml:space="preserve">pectrum </w:t>
        </w:r>
        <w:r w:rsidR="00D60CD4" w:rsidRPr="00A85D75">
          <w:rPr>
            <w:rStyle w:val="Hyperlink"/>
          </w:rPr>
          <w:t>o</w:t>
        </w:r>
        <w:r w:rsidR="000D10D6" w:rsidRPr="00A85D75">
          <w:rPr>
            <w:rStyle w:val="Hyperlink"/>
          </w:rPr>
          <w:t>utlook</w:t>
        </w:r>
      </w:hyperlink>
      <w:r w:rsidR="000D10D6" w:rsidRPr="00A85D75">
        <w:t xml:space="preserve"> </w:t>
      </w:r>
      <w:r w:rsidR="00F1636D" w:rsidRPr="00A85D75">
        <w:t xml:space="preserve">(FYSO) </w:t>
      </w:r>
      <w:r w:rsidR="000D10D6" w:rsidRPr="00A85D75">
        <w:t>process.</w:t>
      </w:r>
    </w:p>
    <w:p w14:paraId="3C6A1515" w14:textId="77777777" w:rsidR="00057DAC" w:rsidRPr="00A85D75" w:rsidRDefault="00057DAC" w:rsidP="00057DAC">
      <w:r w:rsidRPr="00A85D75">
        <w:t xml:space="preserve">Through the FYSO, the ACMA has an ongoing process to assess the effectiveness of the Australian spectrum management framework. While not formally placing the 2 GHz band back into the </w:t>
      </w:r>
      <w:r w:rsidRPr="00A85D75">
        <w:rPr>
          <w:i/>
          <w:iCs/>
        </w:rPr>
        <w:t xml:space="preserve">monitoring </w:t>
      </w:r>
      <w:r w:rsidRPr="00A85D75">
        <w:t>planning stage under the FYSO, the ACMA will continue to scan the environment in relation to the band both domestically and globally as part of its business-as-usual activities.</w:t>
      </w:r>
    </w:p>
    <w:p w14:paraId="4CB794DB" w14:textId="5CBD2189" w:rsidR="00057DAC" w:rsidRPr="00A85D75" w:rsidRDefault="00057DAC" w:rsidP="00057DAC">
      <w:pPr>
        <w:pStyle w:val="Paragraph"/>
      </w:pPr>
      <w:r w:rsidRPr="00A85D75">
        <w:t xml:space="preserve">In assessing specifically whether the proposed new arrangements for the 2 GHz band have been successfully implemented, the ACMA will consider whether transition arrangements for TOB have been developed, that arrangements for narrowband MSS have been developed and taken up, and the allocation of MSS licences in 1980–2005 and 2170–2195 MHz </w:t>
      </w:r>
      <w:r w:rsidR="009866DB">
        <w:t xml:space="preserve">bands </w:t>
      </w:r>
      <w:r w:rsidRPr="00A85D75">
        <w:t>has been completed.</w:t>
      </w:r>
    </w:p>
    <w:p w14:paraId="03CDFDF2" w14:textId="2787089B" w:rsidR="00236E38" w:rsidRPr="00A85D75" w:rsidRDefault="00236E38" w:rsidP="00841833">
      <w:pPr>
        <w:pStyle w:val="ACMATableHeader"/>
        <w:keepNext/>
        <w:tabs>
          <w:tab w:val="clear" w:pos="964"/>
          <w:tab w:val="num" w:pos="851"/>
          <w:tab w:val="num" w:pos="1957"/>
        </w:tabs>
        <w:ind w:left="0" w:firstLine="0"/>
      </w:pPr>
      <w:r w:rsidRPr="00A85D75">
        <w:t xml:space="preserve">Indicative timeline for </w:t>
      </w:r>
      <w:r w:rsidR="005C32BF" w:rsidRPr="00A85D75">
        <w:t>implementation of planning arrangement</w:t>
      </w:r>
      <w:r w:rsidR="00293E0A" w:rsidRPr="00A85D75">
        <w:t>s</w:t>
      </w:r>
      <w:r w:rsidR="005C32BF" w:rsidRPr="00A85D75">
        <w:t xml:space="preserve"> in </w:t>
      </w:r>
      <w:r w:rsidRPr="00A85D75">
        <w:t>the 2 GHz band</w:t>
      </w:r>
    </w:p>
    <w:tbl>
      <w:tblPr>
        <w:tblStyle w:val="TableGrid"/>
        <w:tblW w:w="7600" w:type="dxa"/>
        <w:tblLayout w:type="fixed"/>
        <w:tblCellMar>
          <w:top w:w="85" w:type="dxa"/>
          <w:left w:w="57" w:type="dxa"/>
          <w:bottom w:w="85" w:type="dxa"/>
          <w:right w:w="57" w:type="dxa"/>
        </w:tblCellMar>
        <w:tblLook w:val="04A0" w:firstRow="1" w:lastRow="0" w:firstColumn="1" w:lastColumn="0" w:noHBand="0" w:noVBand="1"/>
        <w:tblCaption w:val="Indicative timeline for the progression of one band through the process for consideration of additional spectrum for mobile borabdand services"/>
        <w:tblDescription w:val="includes stage, milestones and indicative timings."/>
      </w:tblPr>
      <w:tblGrid>
        <w:gridCol w:w="5600"/>
        <w:gridCol w:w="2000"/>
      </w:tblGrid>
      <w:tr w:rsidR="00057DAC" w:rsidRPr="00A85D75" w14:paraId="053B2D36" w14:textId="77777777" w:rsidTr="006C4220">
        <w:trPr>
          <w:cantSplit/>
          <w:trHeight w:val="86"/>
          <w:tblHeader/>
        </w:trPr>
        <w:tc>
          <w:tcPr>
            <w:tcW w:w="560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340EAB3E" w14:textId="77777777" w:rsidR="00057DAC" w:rsidRPr="00A85D75" w:rsidRDefault="00057DAC" w:rsidP="00064159">
            <w:pPr>
              <w:pStyle w:val="TableHeading0"/>
              <w:rPr>
                <w:color w:val="FFFFFF" w:themeColor="background1"/>
                <w:szCs w:val="20"/>
              </w:rPr>
            </w:pPr>
            <w:r w:rsidRPr="00A85D75">
              <w:rPr>
                <w:color w:val="FFFFFF" w:themeColor="background1"/>
                <w:szCs w:val="20"/>
              </w:rPr>
              <w:t>Action</w:t>
            </w:r>
          </w:p>
        </w:tc>
        <w:tc>
          <w:tcPr>
            <w:tcW w:w="200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31CC49E2" w14:textId="77777777" w:rsidR="00057DAC" w:rsidRPr="00A85D75" w:rsidRDefault="00057DAC" w:rsidP="00064159">
            <w:pPr>
              <w:pStyle w:val="TableHeading0"/>
              <w:rPr>
                <w:color w:val="FFFFFF" w:themeColor="background1"/>
                <w:szCs w:val="20"/>
              </w:rPr>
            </w:pPr>
            <w:r w:rsidRPr="00A85D75">
              <w:rPr>
                <w:color w:val="FFFFFF" w:themeColor="background1"/>
                <w:szCs w:val="20"/>
              </w:rPr>
              <w:t>Timeframe</w:t>
            </w:r>
          </w:p>
        </w:tc>
      </w:tr>
      <w:tr w:rsidR="00057DAC" w:rsidRPr="00A85D75" w14:paraId="09FAE9BB" w14:textId="77777777" w:rsidTr="006C4220">
        <w:trPr>
          <w:cantSplit/>
        </w:trPr>
        <w:tc>
          <w:tcPr>
            <w:tcW w:w="5600" w:type="dxa"/>
            <w:tcBorders>
              <w:top w:val="single" w:sz="4" w:space="0" w:color="auto"/>
              <w:left w:val="single" w:sz="4" w:space="0" w:color="auto"/>
              <w:bottom w:val="single" w:sz="4" w:space="0" w:color="auto"/>
              <w:right w:val="single" w:sz="4" w:space="0" w:color="auto"/>
            </w:tcBorders>
          </w:tcPr>
          <w:p w14:paraId="4A421661" w14:textId="41907CC7" w:rsidR="00057DAC" w:rsidRPr="00A85D75" w:rsidRDefault="00057DAC" w:rsidP="00064159">
            <w:pPr>
              <w:spacing w:after="0"/>
              <w:rPr>
                <w:rFonts w:cs="Arial"/>
                <w:szCs w:val="20"/>
              </w:rPr>
            </w:pPr>
            <w:r w:rsidRPr="00A85D75">
              <w:rPr>
                <w:rFonts w:cs="Arial"/>
                <w:szCs w:val="20"/>
              </w:rPr>
              <w:t xml:space="preserve">Review Embargo 23 and </w:t>
            </w:r>
            <w:hyperlink r:id="rId61" w:history="1">
              <w:r w:rsidRPr="00A85D75">
                <w:rPr>
                  <w:rStyle w:val="Hyperlink"/>
                  <w:rFonts w:cs="Arial"/>
                  <w:szCs w:val="20"/>
                </w:rPr>
                <w:t>RALI FX21</w:t>
              </w:r>
            </w:hyperlink>
            <w:r w:rsidRPr="00A85D75">
              <w:rPr>
                <w:rFonts w:cs="Arial"/>
                <w:szCs w:val="20"/>
              </w:rPr>
              <w:t>: Television Outside Broadcasting Services in the bands 1980</w:t>
            </w:r>
            <w:r w:rsidRPr="00A85D75">
              <w:rPr>
                <w:rFonts w:cs="Arial"/>
                <w:szCs w:val="20"/>
              </w:rPr>
              <w:softHyphen/>
              <w:t>–2110 MHz and 2170–2300 MHz to reflect ACMA planning decisions</w:t>
            </w:r>
          </w:p>
        </w:tc>
        <w:tc>
          <w:tcPr>
            <w:tcW w:w="2000" w:type="dxa"/>
            <w:tcBorders>
              <w:top w:val="single" w:sz="4" w:space="0" w:color="auto"/>
              <w:left w:val="single" w:sz="4" w:space="0" w:color="auto"/>
              <w:bottom w:val="single" w:sz="4" w:space="0" w:color="auto"/>
              <w:right w:val="single" w:sz="4" w:space="0" w:color="auto"/>
            </w:tcBorders>
          </w:tcPr>
          <w:p w14:paraId="6461760E" w14:textId="379D6557" w:rsidR="00057DAC" w:rsidRPr="00A85D75" w:rsidRDefault="00057DAC" w:rsidP="00064159">
            <w:pPr>
              <w:spacing w:after="0"/>
              <w:rPr>
                <w:rFonts w:cs="Arial"/>
                <w:szCs w:val="20"/>
              </w:rPr>
            </w:pPr>
            <w:r w:rsidRPr="00A85D75">
              <w:rPr>
                <w:rFonts w:cs="Arial"/>
                <w:szCs w:val="20"/>
              </w:rPr>
              <w:t>Q1</w:t>
            </w:r>
            <w:r w:rsidR="000D2659">
              <w:rPr>
                <w:rFonts w:cs="Arial"/>
                <w:szCs w:val="20"/>
              </w:rPr>
              <w:t>–</w:t>
            </w:r>
            <w:r w:rsidRPr="00A85D75">
              <w:rPr>
                <w:rFonts w:cs="Arial"/>
                <w:szCs w:val="20"/>
              </w:rPr>
              <w:t>Q2 2021</w:t>
            </w:r>
          </w:p>
        </w:tc>
      </w:tr>
      <w:tr w:rsidR="00057DAC" w:rsidRPr="00A85D75" w14:paraId="0E4F2B59" w14:textId="77777777" w:rsidTr="006C4220">
        <w:trPr>
          <w:cantSplit/>
        </w:trPr>
        <w:tc>
          <w:tcPr>
            <w:tcW w:w="5600" w:type="dxa"/>
            <w:tcBorders>
              <w:top w:val="single" w:sz="4" w:space="0" w:color="auto"/>
              <w:left w:val="single" w:sz="4" w:space="0" w:color="auto"/>
              <w:bottom w:val="single" w:sz="4" w:space="0" w:color="auto"/>
              <w:right w:val="single" w:sz="4" w:space="0" w:color="auto"/>
            </w:tcBorders>
          </w:tcPr>
          <w:p w14:paraId="5FE64E0D" w14:textId="518A87C5" w:rsidR="00163E76" w:rsidRDefault="00057DAC" w:rsidP="007F36D5">
            <w:pPr>
              <w:spacing w:after="120"/>
              <w:rPr>
                <w:rFonts w:cs="Arial"/>
                <w:szCs w:val="20"/>
              </w:rPr>
            </w:pPr>
            <w:r w:rsidRPr="00A85D75">
              <w:rPr>
                <w:rFonts w:cs="Arial"/>
                <w:szCs w:val="20"/>
              </w:rPr>
              <w:t>Review RALI FX3 7.2 GHz TOB arrangements to reflect current digital technologies used, including development of coordination arrangements to support the transition of 2 GHz TOB licensees</w:t>
            </w:r>
          </w:p>
          <w:p w14:paraId="79E55AF6" w14:textId="4A876D1A" w:rsidR="00057DAC" w:rsidRPr="00A85D75" w:rsidRDefault="00163E76" w:rsidP="00064159">
            <w:pPr>
              <w:spacing w:after="0"/>
              <w:rPr>
                <w:rFonts w:cs="Arial"/>
                <w:szCs w:val="20"/>
              </w:rPr>
            </w:pPr>
            <w:r>
              <w:rPr>
                <w:rFonts w:cs="Arial"/>
                <w:szCs w:val="20"/>
              </w:rPr>
              <w:t>C</w:t>
            </w:r>
            <w:r w:rsidR="00435077">
              <w:rPr>
                <w:rFonts w:cs="Arial"/>
                <w:szCs w:val="20"/>
              </w:rPr>
              <w:t xml:space="preserve">onsultation </w:t>
            </w:r>
            <w:r>
              <w:rPr>
                <w:rFonts w:cs="Arial"/>
                <w:szCs w:val="20"/>
              </w:rPr>
              <w:t>on proposed changes will occur once the review is completed</w:t>
            </w:r>
          </w:p>
        </w:tc>
        <w:tc>
          <w:tcPr>
            <w:tcW w:w="2000" w:type="dxa"/>
            <w:tcBorders>
              <w:top w:val="single" w:sz="4" w:space="0" w:color="auto"/>
              <w:left w:val="single" w:sz="4" w:space="0" w:color="auto"/>
              <w:bottom w:val="single" w:sz="4" w:space="0" w:color="auto"/>
              <w:right w:val="single" w:sz="4" w:space="0" w:color="auto"/>
            </w:tcBorders>
          </w:tcPr>
          <w:p w14:paraId="6EDF79C3" w14:textId="2C458935" w:rsidR="00057DAC" w:rsidRPr="00A85D75" w:rsidRDefault="00057DAC" w:rsidP="00064159">
            <w:pPr>
              <w:spacing w:after="0"/>
              <w:rPr>
                <w:rFonts w:cs="Arial"/>
                <w:szCs w:val="20"/>
              </w:rPr>
            </w:pPr>
            <w:r w:rsidRPr="00A85D75">
              <w:rPr>
                <w:rFonts w:cs="Arial"/>
                <w:szCs w:val="20"/>
              </w:rPr>
              <w:t>Q1</w:t>
            </w:r>
            <w:r w:rsidR="000D2659">
              <w:rPr>
                <w:rFonts w:cs="Arial"/>
                <w:szCs w:val="20"/>
              </w:rPr>
              <w:t>–</w:t>
            </w:r>
            <w:r w:rsidRPr="00A85D75">
              <w:rPr>
                <w:rFonts w:cs="Arial"/>
                <w:szCs w:val="20"/>
              </w:rPr>
              <w:t>Q2 2021</w:t>
            </w:r>
          </w:p>
        </w:tc>
      </w:tr>
      <w:tr w:rsidR="00057DAC" w:rsidRPr="00A85D75" w14:paraId="684DDC67" w14:textId="77777777" w:rsidTr="006C4220">
        <w:trPr>
          <w:cantSplit/>
          <w:trHeight w:val="716"/>
        </w:trPr>
        <w:tc>
          <w:tcPr>
            <w:tcW w:w="5600" w:type="dxa"/>
            <w:tcBorders>
              <w:top w:val="single" w:sz="4" w:space="0" w:color="auto"/>
              <w:left w:val="single" w:sz="4" w:space="0" w:color="auto"/>
              <w:right w:val="single" w:sz="4" w:space="0" w:color="auto"/>
            </w:tcBorders>
          </w:tcPr>
          <w:p w14:paraId="6BE1DF50" w14:textId="487164CC" w:rsidR="00163E76" w:rsidRDefault="00057DAC" w:rsidP="007F36D5">
            <w:pPr>
              <w:pStyle w:val="Paragraph"/>
              <w:spacing w:after="120"/>
              <w:rPr>
                <w:szCs w:val="20"/>
              </w:rPr>
            </w:pPr>
            <w:r w:rsidRPr="00A85D75">
              <w:rPr>
                <w:szCs w:val="20"/>
              </w:rPr>
              <w:t xml:space="preserve">Review the </w:t>
            </w:r>
            <w:hyperlink r:id="rId62" w:history="1">
              <w:r w:rsidRPr="00A85D75">
                <w:rPr>
                  <w:rStyle w:val="Hyperlink"/>
                  <w:szCs w:val="20"/>
                </w:rPr>
                <w:t>Television Outside Broadcast Service (1980–2110 MHz and 2170–2300 MHz) Frequency Band Plan 2012</w:t>
              </w:r>
            </w:hyperlink>
            <w:r w:rsidRPr="00A85D75">
              <w:rPr>
                <w:rStyle w:val="Hyperlink"/>
                <w:szCs w:val="20"/>
              </w:rPr>
              <w:t xml:space="preserve"> </w:t>
            </w:r>
            <w:r w:rsidRPr="00A85D75">
              <w:rPr>
                <w:szCs w:val="20"/>
              </w:rPr>
              <w:t>for inclusion of TOB transition timelines</w:t>
            </w:r>
          </w:p>
          <w:p w14:paraId="0E3EB267" w14:textId="4134C498" w:rsidR="00163E76" w:rsidRPr="00A85D75" w:rsidRDefault="00163E76" w:rsidP="00064159">
            <w:pPr>
              <w:pStyle w:val="Paragraph"/>
              <w:spacing w:after="0"/>
              <w:rPr>
                <w:szCs w:val="20"/>
              </w:rPr>
            </w:pPr>
            <w:r>
              <w:rPr>
                <w:szCs w:val="20"/>
              </w:rPr>
              <w:t>Consultation on proposed changes will occur once the review is completed</w:t>
            </w:r>
          </w:p>
        </w:tc>
        <w:tc>
          <w:tcPr>
            <w:tcW w:w="2000" w:type="dxa"/>
            <w:tcBorders>
              <w:top w:val="single" w:sz="4" w:space="0" w:color="auto"/>
              <w:left w:val="single" w:sz="4" w:space="0" w:color="auto"/>
              <w:right w:val="single" w:sz="4" w:space="0" w:color="auto"/>
            </w:tcBorders>
          </w:tcPr>
          <w:p w14:paraId="164ECE52" w14:textId="02AD7E7D" w:rsidR="00057DAC" w:rsidRPr="00A85D75" w:rsidRDefault="00057DAC" w:rsidP="00064159">
            <w:pPr>
              <w:spacing w:after="0"/>
              <w:rPr>
                <w:rFonts w:cs="Arial"/>
                <w:szCs w:val="20"/>
              </w:rPr>
            </w:pPr>
            <w:r w:rsidRPr="00A85D75">
              <w:rPr>
                <w:rFonts w:cs="Arial"/>
                <w:szCs w:val="20"/>
              </w:rPr>
              <w:t>Q2</w:t>
            </w:r>
            <w:r w:rsidR="000D2659">
              <w:rPr>
                <w:rFonts w:cs="Arial"/>
                <w:szCs w:val="20"/>
              </w:rPr>
              <w:t>–</w:t>
            </w:r>
            <w:r w:rsidRPr="00A85D75">
              <w:rPr>
                <w:rFonts w:cs="Arial"/>
                <w:szCs w:val="20"/>
              </w:rPr>
              <w:t>Q3 2021</w:t>
            </w:r>
          </w:p>
        </w:tc>
      </w:tr>
      <w:tr w:rsidR="00057DAC" w:rsidRPr="00A85D75" w14:paraId="423D38C1" w14:textId="77777777" w:rsidTr="006C4220">
        <w:trPr>
          <w:cantSplit/>
        </w:trPr>
        <w:tc>
          <w:tcPr>
            <w:tcW w:w="5600" w:type="dxa"/>
            <w:tcBorders>
              <w:top w:val="single" w:sz="4" w:space="0" w:color="auto"/>
              <w:left w:val="single" w:sz="4" w:space="0" w:color="auto"/>
              <w:bottom w:val="single" w:sz="4" w:space="0" w:color="auto"/>
              <w:right w:val="single" w:sz="4" w:space="0" w:color="auto"/>
            </w:tcBorders>
          </w:tcPr>
          <w:p w14:paraId="0E0D599A" w14:textId="77777777" w:rsidR="00057DAC" w:rsidRPr="00A85D75" w:rsidRDefault="00057DAC" w:rsidP="006C4220">
            <w:pPr>
              <w:pStyle w:val="Paragraphbeforelist"/>
            </w:pPr>
            <w:r w:rsidRPr="00A85D75">
              <w:lastRenderedPageBreak/>
              <w:t>Development of technical and licensing arrangements to support MSS narrowband use in 2005–2010/2195–2200 MHz. This would include:</w:t>
            </w:r>
          </w:p>
          <w:p w14:paraId="313317ED" w14:textId="77777777" w:rsidR="00057DAC" w:rsidRPr="006C4220" w:rsidRDefault="00057DAC" w:rsidP="006C4220">
            <w:pPr>
              <w:pStyle w:val="ListBullet"/>
            </w:pPr>
            <w:r w:rsidRPr="006C4220">
              <w:t>development of the necessary technical conditions such as power and duty cycle limits to facilitate sharing</w:t>
            </w:r>
          </w:p>
          <w:p w14:paraId="1029B4AB" w14:textId="77777777" w:rsidR="00057DAC" w:rsidRPr="006C4220" w:rsidRDefault="00057DAC" w:rsidP="006C4220">
            <w:pPr>
              <w:pStyle w:val="ListBullet"/>
            </w:pPr>
            <w:r w:rsidRPr="006C4220">
              <w:t xml:space="preserve">updates to the Communication with Space Object Class Licence </w:t>
            </w:r>
          </w:p>
          <w:p w14:paraId="2B04C83C" w14:textId="77777777" w:rsidR="00057DAC" w:rsidRPr="006C4220" w:rsidRDefault="00057DAC" w:rsidP="006C4220">
            <w:pPr>
              <w:pStyle w:val="ListBullet"/>
            </w:pPr>
            <w:r w:rsidRPr="006C4220">
              <w:t xml:space="preserve">updates (as necessary) to the Australian and Foreign Space Objects Determinations </w:t>
            </w:r>
          </w:p>
          <w:p w14:paraId="71825D8A" w14:textId="77777777" w:rsidR="00057DAC" w:rsidRPr="006C4220" w:rsidRDefault="00057DAC" w:rsidP="006C4220">
            <w:pPr>
              <w:pStyle w:val="ListBullet"/>
            </w:pPr>
            <w:r w:rsidRPr="006C4220">
              <w:t xml:space="preserve">updates to the Business Operating Procedures for space services, including development of licence assessment procedures of MSS narrowband applications </w:t>
            </w:r>
          </w:p>
          <w:p w14:paraId="314B7CBB" w14:textId="2066D6EF" w:rsidR="00057DAC" w:rsidRPr="00A85D75" w:rsidRDefault="00057DAC" w:rsidP="007F36D5">
            <w:pPr>
              <w:pStyle w:val="ListBulletLast"/>
              <w:spacing w:after="0"/>
              <w:rPr>
                <w:szCs w:val="20"/>
              </w:rPr>
            </w:pPr>
            <w:r w:rsidRPr="006C4220">
              <w:t>review of licence fees given shared arrangements</w:t>
            </w:r>
          </w:p>
        </w:tc>
        <w:tc>
          <w:tcPr>
            <w:tcW w:w="2000" w:type="dxa"/>
            <w:tcBorders>
              <w:top w:val="single" w:sz="4" w:space="0" w:color="auto"/>
              <w:left w:val="single" w:sz="4" w:space="0" w:color="auto"/>
              <w:bottom w:val="single" w:sz="4" w:space="0" w:color="auto"/>
              <w:right w:val="single" w:sz="4" w:space="0" w:color="auto"/>
            </w:tcBorders>
          </w:tcPr>
          <w:p w14:paraId="37FCE6AE" w14:textId="77777777" w:rsidR="00057DAC" w:rsidRPr="00A85D75" w:rsidRDefault="00057DAC" w:rsidP="00064159">
            <w:pPr>
              <w:spacing w:after="0"/>
              <w:rPr>
                <w:rFonts w:cs="Arial"/>
                <w:szCs w:val="20"/>
              </w:rPr>
            </w:pPr>
            <w:r w:rsidRPr="00A85D75">
              <w:rPr>
                <w:rFonts w:cs="Arial"/>
                <w:szCs w:val="20"/>
              </w:rPr>
              <w:t>Q2–Q4 2021</w:t>
            </w:r>
          </w:p>
          <w:p w14:paraId="7C2A6564" w14:textId="77777777" w:rsidR="00057DAC" w:rsidRPr="00A85D75" w:rsidRDefault="00057DAC" w:rsidP="00064159">
            <w:pPr>
              <w:spacing w:after="0"/>
              <w:rPr>
                <w:rFonts w:cs="Arial"/>
                <w:szCs w:val="20"/>
              </w:rPr>
            </w:pPr>
          </w:p>
          <w:p w14:paraId="0180B8C6" w14:textId="68C9648A" w:rsidR="00057DAC" w:rsidRPr="00A85D75" w:rsidRDefault="00057DAC" w:rsidP="00064159">
            <w:pPr>
              <w:spacing w:after="0"/>
              <w:rPr>
                <w:rFonts w:cs="Arial"/>
                <w:szCs w:val="20"/>
              </w:rPr>
            </w:pPr>
            <w:r w:rsidRPr="00A85D75">
              <w:rPr>
                <w:rFonts w:cs="Arial"/>
                <w:szCs w:val="20"/>
              </w:rPr>
              <w:t xml:space="preserve">Spectrum availability </w:t>
            </w:r>
            <w:r w:rsidR="00D42E44">
              <w:rPr>
                <w:rFonts w:cs="Arial"/>
                <w:szCs w:val="20"/>
              </w:rPr>
              <w:t>subject to TOB clearance timelines</w:t>
            </w:r>
            <w:r w:rsidR="00DA294B">
              <w:rPr>
                <w:rFonts w:cs="Arial"/>
                <w:szCs w:val="20"/>
              </w:rPr>
              <w:t xml:space="preserve">. Early access in regional </w:t>
            </w:r>
            <w:r w:rsidR="00EC594C">
              <w:rPr>
                <w:rFonts w:cs="Arial"/>
                <w:szCs w:val="20"/>
              </w:rPr>
              <w:t>areas to be considered.</w:t>
            </w:r>
          </w:p>
        </w:tc>
      </w:tr>
      <w:tr w:rsidR="00057DAC" w:rsidRPr="00A85D75" w14:paraId="1546F63E" w14:textId="77777777" w:rsidTr="006C4220">
        <w:trPr>
          <w:cantSplit/>
          <w:trHeight w:val="1920"/>
        </w:trPr>
        <w:tc>
          <w:tcPr>
            <w:tcW w:w="5600" w:type="dxa"/>
            <w:tcBorders>
              <w:top w:val="single" w:sz="4" w:space="0" w:color="auto"/>
              <w:left w:val="single" w:sz="4" w:space="0" w:color="auto"/>
              <w:right w:val="single" w:sz="4" w:space="0" w:color="auto"/>
            </w:tcBorders>
          </w:tcPr>
          <w:p w14:paraId="41B72020" w14:textId="6DE273D0" w:rsidR="00057DAC" w:rsidRPr="00A85D75" w:rsidRDefault="00057DAC" w:rsidP="006C4220">
            <w:pPr>
              <w:pStyle w:val="Paragraphbeforelist"/>
            </w:pPr>
            <w:r w:rsidRPr="00A85D75">
              <w:t>Development of technical and regulatory arrangements to support MSS (including complementary ground component) use in 1980–2005/2170–2195 MHz. This would include:</w:t>
            </w:r>
          </w:p>
          <w:p w14:paraId="29585307" w14:textId="77777777" w:rsidR="00057DAC" w:rsidRPr="00A85D75" w:rsidRDefault="00057DAC" w:rsidP="006C4220">
            <w:pPr>
              <w:pStyle w:val="ListBullet"/>
            </w:pPr>
            <w:r w:rsidRPr="00A85D75">
              <w:t>MSS earth station technical parameters</w:t>
            </w:r>
          </w:p>
          <w:p w14:paraId="3C76007F" w14:textId="77777777" w:rsidR="00057DAC" w:rsidRPr="00A85D75" w:rsidRDefault="00057DAC" w:rsidP="006C4220">
            <w:pPr>
              <w:pStyle w:val="ListBullet"/>
            </w:pPr>
            <w:r w:rsidRPr="00A85D75">
              <w:t xml:space="preserve">complementary ground component including direct air to ground arrangements  </w:t>
            </w:r>
          </w:p>
          <w:p w14:paraId="0D92E9D6" w14:textId="5E64AF5A" w:rsidR="00057DAC" w:rsidRDefault="00057DAC" w:rsidP="00A21634">
            <w:pPr>
              <w:pStyle w:val="ListBullet"/>
            </w:pPr>
            <w:r w:rsidRPr="00A85D75">
              <w:t xml:space="preserve">consideration of obligations on MSS licenses with respect to providing </w:t>
            </w:r>
            <w:r w:rsidRPr="00A85D75" w:rsidDel="009B4327">
              <w:t>complementary ground component</w:t>
            </w:r>
          </w:p>
          <w:p w14:paraId="15FDD085" w14:textId="24504EE4" w:rsidR="00CB5FE2" w:rsidRPr="00A85D75" w:rsidRDefault="001C2F45" w:rsidP="007F36D5">
            <w:pPr>
              <w:pStyle w:val="ListBulletLast"/>
              <w:spacing w:after="0" w:line="240" w:lineRule="auto"/>
            </w:pPr>
            <w:r>
              <w:t>d</w:t>
            </w:r>
            <w:r w:rsidRPr="00A21634">
              <w:t xml:space="preserve">evelopment of coordination requirements </w:t>
            </w:r>
            <w:r w:rsidR="00F84B0B" w:rsidRPr="00A21634">
              <w:t>between</w:t>
            </w:r>
            <w:r w:rsidRPr="00A21634">
              <w:t xml:space="preserve"> fixed point-to-point links </w:t>
            </w:r>
            <w:r w:rsidR="00F84B0B" w:rsidRPr="00A21634">
              <w:t xml:space="preserve">and </w:t>
            </w:r>
            <w:r w:rsidR="00DF7123" w:rsidRPr="00A21634">
              <w:t xml:space="preserve">complementary </w:t>
            </w:r>
            <w:r w:rsidR="00F84B0B" w:rsidRPr="00A21634">
              <w:t>ground component</w:t>
            </w:r>
            <w:r w:rsidR="0093744A">
              <w:t xml:space="preserve"> (including </w:t>
            </w:r>
            <w:r w:rsidR="0093744A" w:rsidRPr="00A21634">
              <w:t>direct air</w:t>
            </w:r>
            <w:r w:rsidR="0093744A">
              <w:t>-</w:t>
            </w:r>
            <w:r w:rsidR="0093744A" w:rsidRPr="00A21634">
              <w:t>to</w:t>
            </w:r>
            <w:r w:rsidR="0093744A">
              <w:t>-</w:t>
            </w:r>
            <w:r w:rsidR="0093744A" w:rsidRPr="00A21634">
              <w:t>ground</w:t>
            </w:r>
            <w:r w:rsidR="0093744A">
              <w:t xml:space="preserve"> services)</w:t>
            </w:r>
          </w:p>
        </w:tc>
        <w:tc>
          <w:tcPr>
            <w:tcW w:w="2000" w:type="dxa"/>
            <w:tcBorders>
              <w:top w:val="single" w:sz="4" w:space="0" w:color="auto"/>
              <w:left w:val="single" w:sz="4" w:space="0" w:color="auto"/>
              <w:right w:val="single" w:sz="4" w:space="0" w:color="auto"/>
            </w:tcBorders>
          </w:tcPr>
          <w:p w14:paraId="27702BA4" w14:textId="5CE55C82" w:rsidR="00057DAC" w:rsidRPr="00A85D75" w:rsidRDefault="00057DAC" w:rsidP="00064159">
            <w:pPr>
              <w:spacing w:after="0"/>
              <w:rPr>
                <w:rFonts w:cs="Arial"/>
                <w:szCs w:val="20"/>
              </w:rPr>
            </w:pPr>
            <w:r w:rsidRPr="00A85D75">
              <w:rPr>
                <w:rFonts w:cs="Arial"/>
                <w:szCs w:val="20"/>
              </w:rPr>
              <w:t>Q3 2022</w:t>
            </w:r>
            <w:r w:rsidR="00C040F0">
              <w:rPr>
                <w:rFonts w:cs="Arial"/>
                <w:szCs w:val="20"/>
              </w:rPr>
              <w:t xml:space="preserve"> (in parallel with the next stage below)</w:t>
            </w:r>
          </w:p>
        </w:tc>
      </w:tr>
      <w:tr w:rsidR="00057DAC" w:rsidRPr="00A85D75" w14:paraId="363B79D5" w14:textId="77777777" w:rsidTr="006C4220">
        <w:tblPrEx>
          <w:tblCellMar>
            <w:left w:w="108" w:type="dxa"/>
            <w:right w:w="108" w:type="dxa"/>
          </w:tblCellMar>
        </w:tblPrEx>
        <w:trPr>
          <w:cantSplit/>
          <w:trHeight w:val="840"/>
        </w:trPr>
        <w:tc>
          <w:tcPr>
            <w:tcW w:w="5600" w:type="dxa"/>
          </w:tcPr>
          <w:p w14:paraId="5E615CD2" w14:textId="37EF3FEB" w:rsidR="00057DAC" w:rsidRPr="00A85D75" w:rsidRDefault="00057DAC" w:rsidP="00064159">
            <w:pPr>
              <w:spacing w:after="0"/>
              <w:rPr>
                <w:rFonts w:cs="Arial"/>
                <w:szCs w:val="20"/>
              </w:rPr>
            </w:pPr>
            <w:r w:rsidRPr="00A85D75">
              <w:rPr>
                <w:rFonts w:cs="Arial"/>
                <w:szCs w:val="20"/>
              </w:rPr>
              <w:t>Development of framework for the allocation of licences in 1980–2005 MHz and 2170–2195 MHz</w:t>
            </w:r>
            <w:r w:rsidR="00C11EBF">
              <w:rPr>
                <w:rFonts w:cs="Arial"/>
                <w:szCs w:val="20"/>
              </w:rPr>
              <w:t xml:space="preserve"> bands</w:t>
            </w:r>
            <w:r w:rsidRPr="00A85D75">
              <w:rPr>
                <w:rFonts w:cs="Arial"/>
                <w:szCs w:val="20"/>
              </w:rPr>
              <w:t>. Timing assumes a price-based allocation</w:t>
            </w:r>
            <w:r w:rsidR="007C6E0C">
              <w:rPr>
                <w:rFonts w:cs="Arial"/>
                <w:szCs w:val="20"/>
              </w:rPr>
              <w:t xml:space="preserve"> </w:t>
            </w:r>
            <w:r w:rsidR="00297BE1">
              <w:rPr>
                <w:rFonts w:cs="Arial"/>
                <w:szCs w:val="20"/>
              </w:rPr>
              <w:t xml:space="preserve">of space licences </w:t>
            </w:r>
            <w:r w:rsidR="00B739EC">
              <w:rPr>
                <w:rFonts w:cs="Arial"/>
                <w:szCs w:val="20"/>
              </w:rPr>
              <w:t>in the latter band</w:t>
            </w:r>
            <w:r w:rsidR="00305232">
              <w:rPr>
                <w:rFonts w:cs="Arial"/>
                <w:szCs w:val="20"/>
              </w:rPr>
              <w:t xml:space="preserve"> and development of an area-wide apparatus licensing framework for the complementary ground component</w:t>
            </w:r>
          </w:p>
        </w:tc>
        <w:tc>
          <w:tcPr>
            <w:tcW w:w="2000" w:type="dxa"/>
          </w:tcPr>
          <w:p w14:paraId="323855AC" w14:textId="77777777" w:rsidR="00057DAC" w:rsidRPr="00A85D75" w:rsidRDefault="00057DAC" w:rsidP="00064159">
            <w:pPr>
              <w:spacing w:after="0"/>
              <w:rPr>
                <w:rFonts w:cs="Arial"/>
                <w:szCs w:val="20"/>
              </w:rPr>
            </w:pPr>
            <w:r w:rsidRPr="00A85D75">
              <w:rPr>
                <w:rFonts w:cs="Arial"/>
                <w:szCs w:val="20"/>
              </w:rPr>
              <w:t>Q3 2022</w:t>
            </w:r>
          </w:p>
        </w:tc>
      </w:tr>
      <w:tr w:rsidR="00057DAC" w:rsidRPr="00A85D75" w14:paraId="13F945F3" w14:textId="77777777" w:rsidTr="00890A2F">
        <w:tblPrEx>
          <w:tblCellMar>
            <w:left w:w="108" w:type="dxa"/>
            <w:right w:w="108" w:type="dxa"/>
          </w:tblCellMar>
        </w:tblPrEx>
        <w:trPr>
          <w:cantSplit/>
          <w:trHeight w:val="738"/>
        </w:trPr>
        <w:tc>
          <w:tcPr>
            <w:tcW w:w="5600" w:type="dxa"/>
          </w:tcPr>
          <w:p w14:paraId="22BDABC2" w14:textId="3734D2E2" w:rsidR="00057DAC" w:rsidRPr="00A85D75" w:rsidRDefault="00057DAC" w:rsidP="00064159">
            <w:pPr>
              <w:spacing w:after="0"/>
              <w:rPr>
                <w:rFonts w:cs="Arial"/>
                <w:szCs w:val="20"/>
              </w:rPr>
            </w:pPr>
            <w:r w:rsidRPr="00A85D75">
              <w:rPr>
                <w:rFonts w:cs="Arial"/>
                <w:szCs w:val="20"/>
              </w:rPr>
              <w:t>Allocation of MSS</w:t>
            </w:r>
            <w:r w:rsidR="00472BF1">
              <w:rPr>
                <w:rFonts w:cs="Arial"/>
                <w:szCs w:val="20"/>
              </w:rPr>
              <w:t xml:space="preserve"> and area-wide apparatus</w:t>
            </w:r>
            <w:r w:rsidRPr="00A85D75">
              <w:rPr>
                <w:rFonts w:cs="Arial"/>
                <w:szCs w:val="20"/>
              </w:rPr>
              <w:t xml:space="preserve"> licences in 1980</w:t>
            </w:r>
            <w:r w:rsidR="00472BF1">
              <w:rPr>
                <w:rFonts w:cs="Arial"/>
                <w:szCs w:val="20"/>
              </w:rPr>
              <w:softHyphen/>
            </w:r>
            <w:r w:rsidR="007578FF">
              <w:rPr>
                <w:rFonts w:cs="Arial"/>
                <w:szCs w:val="20"/>
              </w:rPr>
              <w:t>–</w:t>
            </w:r>
            <w:r w:rsidR="00472BF1">
              <w:rPr>
                <w:rFonts w:cs="Arial"/>
                <w:szCs w:val="20"/>
              </w:rPr>
              <w:t>2</w:t>
            </w:r>
            <w:r w:rsidRPr="00A85D75">
              <w:rPr>
                <w:rFonts w:cs="Arial"/>
                <w:szCs w:val="20"/>
              </w:rPr>
              <w:t>005 and 2170</w:t>
            </w:r>
            <w:r w:rsidR="007578FF">
              <w:rPr>
                <w:rFonts w:cs="Arial"/>
                <w:szCs w:val="20"/>
              </w:rPr>
              <w:t>–</w:t>
            </w:r>
            <w:r w:rsidRPr="00A85D75">
              <w:rPr>
                <w:rFonts w:cs="Arial"/>
                <w:szCs w:val="20"/>
              </w:rPr>
              <w:t>2195 MHz</w:t>
            </w:r>
            <w:r w:rsidR="006D01C0">
              <w:rPr>
                <w:rFonts w:cs="Arial"/>
                <w:szCs w:val="20"/>
              </w:rPr>
              <w:t xml:space="preserve"> </w:t>
            </w:r>
          </w:p>
        </w:tc>
        <w:tc>
          <w:tcPr>
            <w:tcW w:w="2000" w:type="dxa"/>
          </w:tcPr>
          <w:p w14:paraId="617300F9" w14:textId="0D4DB3A2" w:rsidR="00057DAC" w:rsidRPr="00A85D75" w:rsidRDefault="00057DAC" w:rsidP="00064159">
            <w:pPr>
              <w:spacing w:after="0"/>
              <w:rPr>
                <w:rFonts w:cs="Arial"/>
                <w:szCs w:val="20"/>
              </w:rPr>
            </w:pPr>
            <w:r w:rsidRPr="00A85D75">
              <w:rPr>
                <w:rFonts w:cs="Arial"/>
                <w:szCs w:val="20"/>
              </w:rPr>
              <w:t>To be determined</w:t>
            </w:r>
            <w:r w:rsidR="007A385E">
              <w:rPr>
                <w:rFonts w:cs="Arial"/>
                <w:szCs w:val="20"/>
              </w:rPr>
              <w:t xml:space="preserve"> through the annual FYSO process</w:t>
            </w:r>
          </w:p>
        </w:tc>
      </w:tr>
    </w:tbl>
    <w:p w14:paraId="1D70BEEE" w14:textId="77777777" w:rsidR="00B84488" w:rsidRPr="00A85D75" w:rsidRDefault="00B84488" w:rsidP="0036391C">
      <w:pPr>
        <w:pStyle w:val="Paragraph"/>
      </w:pPr>
    </w:p>
    <w:p w14:paraId="58776CB0" w14:textId="77777777" w:rsidR="0036391C" w:rsidRPr="00A85D75" w:rsidRDefault="0036391C" w:rsidP="0036391C">
      <w:pPr>
        <w:pStyle w:val="Paragraph"/>
      </w:pPr>
    </w:p>
    <w:p w14:paraId="3C6C6197" w14:textId="38A08973" w:rsidR="00240CE9" w:rsidRPr="00A85D75" w:rsidRDefault="00FF3C69" w:rsidP="00FF3C69">
      <w:pPr>
        <w:pStyle w:val="Heading1"/>
      </w:pPr>
      <w:bookmarkStart w:id="122" w:name="_Toc56965713"/>
      <w:bookmarkStart w:id="123" w:name="_Toc61364857"/>
      <w:r w:rsidRPr="00A85D75">
        <w:lastRenderedPageBreak/>
        <w:t>Appendix A</w:t>
      </w:r>
      <w:r w:rsidR="008B730E" w:rsidRPr="00A85D75">
        <w:t>: Responses to the options paper</w:t>
      </w:r>
      <w:bookmarkEnd w:id="122"/>
      <w:bookmarkEnd w:id="123"/>
    </w:p>
    <w:p w14:paraId="6F9C07EA" w14:textId="77777777" w:rsidR="00B80E06" w:rsidRPr="00A85D75" w:rsidRDefault="00B80E06" w:rsidP="00B80E06">
      <w:pPr>
        <w:pStyle w:val="Heading2"/>
      </w:pPr>
      <w:bookmarkStart w:id="124" w:name="_Toc32319559"/>
      <w:bookmarkStart w:id="125" w:name="_Toc46316380"/>
      <w:bookmarkStart w:id="126" w:name="_Toc56965714"/>
      <w:bookmarkStart w:id="127" w:name="_Toc61364858"/>
      <w:r w:rsidRPr="00A85D75">
        <w:t>Overview</w:t>
      </w:r>
      <w:bookmarkEnd w:id="124"/>
      <w:bookmarkEnd w:id="125"/>
      <w:bookmarkEnd w:id="126"/>
      <w:bookmarkEnd w:id="127"/>
    </w:p>
    <w:p w14:paraId="2C1C482E" w14:textId="6F56B637" w:rsidR="005F7406" w:rsidRPr="00A85D75" w:rsidRDefault="00236192" w:rsidP="007F36D5">
      <w:pPr>
        <w:pStyle w:val="CommentText"/>
        <w:spacing w:after="80"/>
      </w:pPr>
      <w:r w:rsidRPr="00A85D75">
        <w:t xml:space="preserve">The ACMA released </w:t>
      </w:r>
      <w:r w:rsidR="00575BFF">
        <w:t xml:space="preserve">the </w:t>
      </w:r>
      <w:hyperlink r:id="rId63" w:history="1">
        <w:r w:rsidR="00C35157" w:rsidRPr="00485EDB">
          <w:rPr>
            <w:rStyle w:val="Hyperlink"/>
            <w:i/>
            <w:iCs/>
          </w:rPr>
          <w:t xml:space="preserve">Replanning the 2 GHz band: </w:t>
        </w:r>
        <w:r w:rsidR="00575BFF">
          <w:rPr>
            <w:rStyle w:val="Hyperlink"/>
            <w:i/>
            <w:iCs/>
          </w:rPr>
          <w:t>O</w:t>
        </w:r>
        <w:r w:rsidR="00575BFF" w:rsidRPr="00485EDB">
          <w:rPr>
            <w:rStyle w:val="Hyperlink"/>
            <w:i/>
            <w:iCs/>
          </w:rPr>
          <w:t xml:space="preserve">ptions </w:t>
        </w:r>
        <w:r w:rsidR="00C35157" w:rsidRPr="00485EDB">
          <w:rPr>
            <w:rStyle w:val="Hyperlink"/>
            <w:i/>
            <w:iCs/>
          </w:rPr>
          <w:t>paper</w:t>
        </w:r>
      </w:hyperlink>
      <w:r w:rsidRPr="00A85D75">
        <w:t xml:space="preserve"> </w:t>
      </w:r>
      <w:r w:rsidR="005F7406" w:rsidRPr="00A85D75">
        <w:t>for public consultation from 22 July to 2 September 2020. Twenty-six submissions were received</w:t>
      </w:r>
      <w:r w:rsidR="00575BFF">
        <w:t>,</w:t>
      </w:r>
      <w:r w:rsidR="005F7406" w:rsidRPr="00A85D75">
        <w:t xml:space="preserve"> from:</w:t>
      </w:r>
    </w:p>
    <w:p w14:paraId="5922D48E" w14:textId="26C685C9" w:rsidR="00F8785B" w:rsidRPr="00A85D75" w:rsidRDefault="00F8785B" w:rsidP="00E7478F">
      <w:pPr>
        <w:pStyle w:val="ListBullet"/>
      </w:pPr>
      <w:r w:rsidRPr="00A85D75">
        <w:rPr>
          <w:u w:color="0000FF"/>
        </w:rPr>
        <w:t>Airbus Defence and Space</w:t>
      </w:r>
    </w:p>
    <w:p w14:paraId="28412474" w14:textId="1B0E07C9" w:rsidR="00F8785B" w:rsidRPr="00A85D75" w:rsidRDefault="00F8785B" w:rsidP="00E7478F">
      <w:pPr>
        <w:pStyle w:val="ListBullet"/>
      </w:pPr>
      <w:r w:rsidRPr="00A85D75">
        <w:rPr>
          <w:u w:color="0000FF"/>
        </w:rPr>
        <w:t>Australian Broadcasting Corporation</w:t>
      </w:r>
    </w:p>
    <w:p w14:paraId="662039F3" w14:textId="1C5DE8A0" w:rsidR="00F8785B" w:rsidRPr="00A85D75" w:rsidRDefault="00F8785B" w:rsidP="00E7478F">
      <w:pPr>
        <w:pStyle w:val="ListBullet"/>
      </w:pPr>
      <w:r w:rsidRPr="00A85D75">
        <w:rPr>
          <w:u w:color="0000FF"/>
        </w:rPr>
        <w:t>Australian Radio Communications Industry Association (ARCIA)</w:t>
      </w:r>
    </w:p>
    <w:p w14:paraId="7D5C07E0" w14:textId="2AAD1EB6" w:rsidR="00F8785B" w:rsidRPr="00A85D75" w:rsidRDefault="00F8785B" w:rsidP="00E7478F">
      <w:pPr>
        <w:pStyle w:val="ListBullet"/>
      </w:pPr>
      <w:r w:rsidRPr="00A85D75">
        <w:rPr>
          <w:u w:color="0000FF"/>
        </w:rPr>
        <w:t>BAI Communications</w:t>
      </w:r>
    </w:p>
    <w:p w14:paraId="4EA70C18" w14:textId="19A74615" w:rsidR="00F8785B" w:rsidRPr="00A85D75" w:rsidRDefault="00F8785B" w:rsidP="00E7478F">
      <w:pPr>
        <w:pStyle w:val="ListBullet"/>
      </w:pPr>
      <w:r w:rsidRPr="00A85D75">
        <w:rPr>
          <w:u w:color="0000FF"/>
        </w:rPr>
        <w:t>Broadcast Zone</w:t>
      </w:r>
    </w:p>
    <w:p w14:paraId="7987C7F6" w14:textId="4D241BC6" w:rsidR="00F8785B" w:rsidRPr="00A85D75" w:rsidRDefault="00F8785B" w:rsidP="00E7478F">
      <w:pPr>
        <w:pStyle w:val="ListBullet"/>
      </w:pPr>
      <w:r w:rsidRPr="00A85D75">
        <w:rPr>
          <w:u w:color="0000FF"/>
        </w:rPr>
        <w:t>Communications Alliance Satellite Services Working Group</w:t>
      </w:r>
      <w:r w:rsidR="00A254DC" w:rsidRPr="00A85D75">
        <w:rPr>
          <w:u w:color="0000FF"/>
        </w:rPr>
        <w:t xml:space="preserve"> (SSWG)</w:t>
      </w:r>
    </w:p>
    <w:p w14:paraId="690F2100" w14:textId="60961950" w:rsidR="00F8785B" w:rsidRPr="00A85D75" w:rsidRDefault="00F8785B" w:rsidP="00E7478F">
      <w:pPr>
        <w:pStyle w:val="ListBullet"/>
      </w:pPr>
      <w:r w:rsidRPr="00A85D75">
        <w:rPr>
          <w:u w:color="0000FF"/>
        </w:rPr>
        <w:t>Department of Defence</w:t>
      </w:r>
    </w:p>
    <w:p w14:paraId="0471E7ED" w14:textId="045F9528" w:rsidR="00F8785B" w:rsidRPr="00A85D75" w:rsidRDefault="00F8785B" w:rsidP="00E7478F">
      <w:pPr>
        <w:pStyle w:val="ListBullet"/>
      </w:pPr>
      <w:r w:rsidRPr="00A85D75">
        <w:rPr>
          <w:u w:color="0000FF"/>
        </w:rPr>
        <w:t>EchoStar Global Australia</w:t>
      </w:r>
    </w:p>
    <w:p w14:paraId="20DB2A4B" w14:textId="4BF1EB05" w:rsidR="00F8785B" w:rsidRPr="00A85D75" w:rsidRDefault="00F8785B" w:rsidP="00E7478F">
      <w:pPr>
        <w:pStyle w:val="ListBullet"/>
      </w:pPr>
      <w:r w:rsidRPr="00A85D75">
        <w:rPr>
          <w:u w:color="0000FF"/>
        </w:rPr>
        <w:t>Fleet Space Technologies</w:t>
      </w:r>
    </w:p>
    <w:p w14:paraId="12F245C2" w14:textId="225EE39F" w:rsidR="00F8785B" w:rsidRPr="00A85D75" w:rsidRDefault="00F8785B" w:rsidP="00E7478F">
      <w:pPr>
        <w:pStyle w:val="ListBullet"/>
      </w:pPr>
      <w:proofErr w:type="spellStart"/>
      <w:r w:rsidRPr="00A85D75">
        <w:rPr>
          <w:u w:color="0000FF"/>
        </w:rPr>
        <w:t>Flightcell</w:t>
      </w:r>
      <w:proofErr w:type="spellEnd"/>
      <w:r w:rsidRPr="00A85D75">
        <w:rPr>
          <w:u w:color="0000FF"/>
        </w:rPr>
        <w:t xml:space="preserve"> International</w:t>
      </w:r>
    </w:p>
    <w:p w14:paraId="736AD407" w14:textId="5D7AA46F" w:rsidR="00F8785B" w:rsidRPr="00A85D75" w:rsidRDefault="00F8785B" w:rsidP="00E7478F">
      <w:pPr>
        <w:pStyle w:val="ListBullet"/>
      </w:pPr>
      <w:r w:rsidRPr="00A85D75">
        <w:rPr>
          <w:u w:color="0000FF"/>
        </w:rPr>
        <w:t>Free TV</w:t>
      </w:r>
    </w:p>
    <w:p w14:paraId="6455055B" w14:textId="50A1D8F8" w:rsidR="00F8785B" w:rsidRPr="00A85D75" w:rsidRDefault="00F8785B" w:rsidP="00E7478F">
      <w:pPr>
        <w:pStyle w:val="ListBullet"/>
      </w:pPr>
      <w:r w:rsidRPr="00A85D75">
        <w:rPr>
          <w:u w:color="0000FF"/>
        </w:rPr>
        <w:t>Inmarsat</w:t>
      </w:r>
    </w:p>
    <w:p w14:paraId="2CBB54CB" w14:textId="132C8D95" w:rsidR="00F8785B" w:rsidRPr="00A85D75" w:rsidRDefault="00F8785B" w:rsidP="00E7478F">
      <w:pPr>
        <w:pStyle w:val="ListBullet"/>
      </w:pPr>
      <w:r w:rsidRPr="00A85D75">
        <w:rPr>
          <w:u w:color="0000FF"/>
        </w:rPr>
        <w:t>IVT Productions</w:t>
      </w:r>
    </w:p>
    <w:p w14:paraId="29B0B655" w14:textId="62F7268F" w:rsidR="00F8785B" w:rsidRPr="00A85D75" w:rsidRDefault="00F8785B" w:rsidP="00E7478F">
      <w:pPr>
        <w:pStyle w:val="ListBullet"/>
      </w:pPr>
      <w:r w:rsidRPr="00A85D75">
        <w:rPr>
          <w:u w:color="0000FF"/>
        </w:rPr>
        <w:t>Kepler Communications</w:t>
      </w:r>
    </w:p>
    <w:p w14:paraId="7B4F9266" w14:textId="3B9460B7" w:rsidR="00F8785B" w:rsidRPr="00A85D75" w:rsidRDefault="00F8785B" w:rsidP="00E7478F">
      <w:pPr>
        <w:pStyle w:val="ListBullet"/>
      </w:pPr>
      <w:proofErr w:type="spellStart"/>
      <w:r w:rsidRPr="00A85D75">
        <w:rPr>
          <w:u w:color="0000FF"/>
        </w:rPr>
        <w:t>LifeFlight</w:t>
      </w:r>
      <w:proofErr w:type="spellEnd"/>
    </w:p>
    <w:p w14:paraId="36B043BF" w14:textId="6892A64A" w:rsidR="00F8785B" w:rsidRPr="00A85D75" w:rsidRDefault="00F8785B" w:rsidP="00E7478F">
      <w:pPr>
        <w:pStyle w:val="ListBullet"/>
      </w:pPr>
      <w:r w:rsidRPr="00A85D75">
        <w:rPr>
          <w:u w:color="0000FF"/>
        </w:rPr>
        <w:t>NEP Australia</w:t>
      </w:r>
    </w:p>
    <w:p w14:paraId="2323D76C" w14:textId="42EE746C" w:rsidR="00F8785B" w:rsidRPr="00A85D75" w:rsidRDefault="00F8785B" w:rsidP="00E7478F">
      <w:pPr>
        <w:pStyle w:val="ListBullet"/>
      </w:pPr>
      <w:r w:rsidRPr="00A85D75">
        <w:rPr>
          <w:u w:color="0000FF"/>
        </w:rPr>
        <w:t>Nokia</w:t>
      </w:r>
    </w:p>
    <w:p w14:paraId="310C0654" w14:textId="6BDD9C20" w:rsidR="00F8785B" w:rsidRPr="00A85D75" w:rsidRDefault="00F8785B" w:rsidP="00E7478F">
      <w:pPr>
        <w:pStyle w:val="ListBullet"/>
      </w:pPr>
      <w:proofErr w:type="spellStart"/>
      <w:r w:rsidRPr="00A85D75">
        <w:rPr>
          <w:u w:color="0000FF"/>
        </w:rPr>
        <w:t>Omnispace</w:t>
      </w:r>
      <w:proofErr w:type="spellEnd"/>
    </w:p>
    <w:p w14:paraId="355B91EB" w14:textId="1400B089" w:rsidR="00F8785B" w:rsidRPr="00A85D75" w:rsidRDefault="00F8785B" w:rsidP="00E7478F">
      <w:pPr>
        <w:pStyle w:val="ListBullet"/>
      </w:pPr>
      <w:r w:rsidRPr="00A85D75">
        <w:rPr>
          <w:u w:color="0000FF"/>
        </w:rPr>
        <w:t>Optus</w:t>
      </w:r>
      <w:r w:rsidRPr="00A85D75">
        <w:t xml:space="preserve"> </w:t>
      </w:r>
    </w:p>
    <w:p w14:paraId="14F9B034" w14:textId="0F679665" w:rsidR="00F8785B" w:rsidRPr="00A85D75" w:rsidRDefault="00F8785B" w:rsidP="00E7478F">
      <w:pPr>
        <w:pStyle w:val="ListBullet"/>
      </w:pPr>
      <w:proofErr w:type="spellStart"/>
      <w:r w:rsidRPr="00A85D75">
        <w:rPr>
          <w:u w:color="0000FF"/>
        </w:rPr>
        <w:t>Pivotel</w:t>
      </w:r>
      <w:proofErr w:type="spellEnd"/>
    </w:p>
    <w:p w14:paraId="49E96779" w14:textId="2E9DFC58" w:rsidR="00F8785B" w:rsidRPr="00A85D75" w:rsidRDefault="00F8785B" w:rsidP="00E7478F">
      <w:pPr>
        <w:pStyle w:val="ListBullet"/>
      </w:pPr>
      <w:r w:rsidRPr="00A85D75">
        <w:rPr>
          <w:u w:color="0000FF"/>
        </w:rPr>
        <w:t>Regional Express</w:t>
      </w:r>
    </w:p>
    <w:p w14:paraId="1A3369B9" w14:textId="5BE17262" w:rsidR="00F8785B" w:rsidRPr="00A85D75" w:rsidRDefault="00F8785B" w:rsidP="00E7478F">
      <w:pPr>
        <w:pStyle w:val="ListBullet"/>
      </w:pPr>
      <w:r w:rsidRPr="00A85D75">
        <w:rPr>
          <w:u w:color="0000FF"/>
        </w:rPr>
        <w:t>Royal Flying Doctor Service</w:t>
      </w:r>
    </w:p>
    <w:p w14:paraId="416B8CBD" w14:textId="435F99AD" w:rsidR="00F8785B" w:rsidRPr="00A85D75" w:rsidRDefault="00F8785B" w:rsidP="00E7478F">
      <w:pPr>
        <w:pStyle w:val="ListBullet"/>
      </w:pPr>
      <w:proofErr w:type="spellStart"/>
      <w:r w:rsidRPr="00A85D75">
        <w:rPr>
          <w:u w:color="0000FF"/>
        </w:rPr>
        <w:t>SkyFive</w:t>
      </w:r>
      <w:proofErr w:type="spellEnd"/>
    </w:p>
    <w:p w14:paraId="560300C8" w14:textId="4501EAD3" w:rsidR="00F8785B" w:rsidRPr="00A85D75" w:rsidRDefault="00F8785B" w:rsidP="00E7478F">
      <w:pPr>
        <w:pStyle w:val="ListBullet"/>
      </w:pPr>
      <w:r w:rsidRPr="00A85D75">
        <w:rPr>
          <w:u w:color="0000FF"/>
        </w:rPr>
        <w:t>Total Events Co</w:t>
      </w:r>
    </w:p>
    <w:p w14:paraId="4C41D57E" w14:textId="7811799A" w:rsidR="00F8785B" w:rsidRPr="00A85D75" w:rsidRDefault="00F8785B" w:rsidP="00E7478F">
      <w:pPr>
        <w:pStyle w:val="ListBullet"/>
      </w:pPr>
      <w:r w:rsidRPr="00A85D75">
        <w:rPr>
          <w:u w:color="0000FF"/>
        </w:rPr>
        <w:t>TPG Telecom</w:t>
      </w:r>
    </w:p>
    <w:p w14:paraId="14A81EA3" w14:textId="69AC4A97" w:rsidR="00F8785B" w:rsidRPr="00A85D75" w:rsidRDefault="00F8785B" w:rsidP="00E7478F">
      <w:pPr>
        <w:pStyle w:val="ListBulletLast"/>
      </w:pPr>
      <w:r w:rsidRPr="00A85D75">
        <w:rPr>
          <w:u w:color="0000FF"/>
        </w:rPr>
        <w:t>Wireless Internet Service Provider Association Australia</w:t>
      </w:r>
      <w:r w:rsidRPr="00A85D75">
        <w:t xml:space="preserve"> (WISPAU)</w:t>
      </w:r>
      <w:r w:rsidR="00890A2F">
        <w:t>.</w:t>
      </w:r>
    </w:p>
    <w:p w14:paraId="24E8ADBB" w14:textId="69DD3B3C" w:rsidR="00FF3C69" w:rsidRPr="00A85D75" w:rsidRDefault="00DC4988" w:rsidP="0007153B">
      <w:pPr>
        <w:pStyle w:val="Paragraph"/>
      </w:pPr>
      <w:r w:rsidRPr="00A85D75">
        <w:t xml:space="preserve">Submissions are published at the ACMA’s </w:t>
      </w:r>
      <w:hyperlink r:id="rId64" w:history="1">
        <w:r w:rsidRPr="00A85D75">
          <w:rPr>
            <w:rStyle w:val="Hyperlink"/>
          </w:rPr>
          <w:t>2 GHz consultation</w:t>
        </w:r>
      </w:hyperlink>
      <w:r w:rsidRPr="00A85D75">
        <w:t xml:space="preserve"> page.</w:t>
      </w:r>
    </w:p>
    <w:p w14:paraId="76A6A7EA" w14:textId="77777777" w:rsidR="00567CDD" w:rsidRPr="00A85D75" w:rsidRDefault="00567CDD" w:rsidP="00485EDB">
      <w:pPr>
        <w:pStyle w:val="Heading2"/>
        <w:keepLines/>
      </w:pPr>
      <w:bookmarkStart w:id="128" w:name="_Toc46316381"/>
      <w:bookmarkStart w:id="129" w:name="_Toc56965715"/>
      <w:bookmarkStart w:id="130" w:name="_Toc61364859"/>
      <w:r w:rsidRPr="00A85D75">
        <w:lastRenderedPageBreak/>
        <w:t>Consultation questions</w:t>
      </w:r>
      <w:bookmarkEnd w:id="128"/>
      <w:bookmarkEnd w:id="129"/>
      <w:bookmarkEnd w:id="130"/>
    </w:p>
    <w:p w14:paraId="7284BE88" w14:textId="4B8BB289" w:rsidR="00567CDD" w:rsidRPr="00A85D75" w:rsidRDefault="00567CDD" w:rsidP="00485EDB">
      <w:pPr>
        <w:pStyle w:val="Paragraphbeforelist"/>
        <w:keepNext/>
        <w:keepLines/>
      </w:pPr>
      <w:r w:rsidRPr="00A85D75">
        <w:t>The options paper invited comment on:</w:t>
      </w:r>
    </w:p>
    <w:p w14:paraId="17DEF13A" w14:textId="77777777" w:rsidR="00A435FC" w:rsidRPr="00A85D75" w:rsidRDefault="00A435FC" w:rsidP="00485EDB">
      <w:pPr>
        <w:pStyle w:val="ListNumber"/>
        <w:keepNext/>
        <w:keepLines/>
        <w:numPr>
          <w:ilvl w:val="0"/>
          <w:numId w:val="29"/>
        </w:numPr>
      </w:pPr>
      <w:r w:rsidRPr="00A85D75">
        <w:t>The feasibility of the timing of any potential commencement of replanning.</w:t>
      </w:r>
    </w:p>
    <w:p w14:paraId="5ED8F73D" w14:textId="36064D8F" w:rsidR="00A435FC" w:rsidRPr="00A85D75" w:rsidRDefault="00A435FC" w:rsidP="00485EDB">
      <w:pPr>
        <w:pStyle w:val="ListNumber"/>
        <w:keepNext/>
        <w:keepLines/>
        <w:numPr>
          <w:ilvl w:val="0"/>
          <w:numId w:val="29"/>
        </w:numPr>
      </w:pPr>
      <w:r w:rsidRPr="00A85D75">
        <w:t>The case for action and desirable planning outcomes for the 2 GHz band, including the supporting appendices.</w:t>
      </w:r>
    </w:p>
    <w:p w14:paraId="4491CFB4" w14:textId="77777777" w:rsidR="00A435FC" w:rsidRPr="00A85D75" w:rsidRDefault="00A435FC" w:rsidP="00485EDB">
      <w:pPr>
        <w:pStyle w:val="ListNumber"/>
        <w:keepNext/>
        <w:keepLines/>
        <w:numPr>
          <w:ilvl w:val="0"/>
          <w:numId w:val="29"/>
        </w:numPr>
      </w:pPr>
      <w:r w:rsidRPr="00A85D75">
        <w:t>The proposed band replanning options, including appropriate values for frequency segment breakpoints as well as any alternative options.</w:t>
      </w:r>
    </w:p>
    <w:p w14:paraId="28D9FF7D" w14:textId="77777777" w:rsidR="00A435FC" w:rsidRPr="00A85D75" w:rsidRDefault="00A435FC" w:rsidP="00485EDB">
      <w:pPr>
        <w:pStyle w:val="ListNumber"/>
        <w:keepNext/>
        <w:keepLines/>
        <w:numPr>
          <w:ilvl w:val="0"/>
          <w:numId w:val="29"/>
        </w:numPr>
      </w:pPr>
      <w:r w:rsidRPr="00A85D75">
        <w:t>Variations to the proposed options and implementation considerations.</w:t>
      </w:r>
    </w:p>
    <w:p w14:paraId="4E2B22BF" w14:textId="77777777" w:rsidR="00A435FC" w:rsidRPr="00A85D75" w:rsidRDefault="00A435FC" w:rsidP="00485EDB">
      <w:pPr>
        <w:pStyle w:val="ListNumber"/>
        <w:keepNext/>
        <w:keepLines/>
        <w:numPr>
          <w:ilvl w:val="0"/>
          <w:numId w:val="29"/>
        </w:numPr>
      </w:pPr>
      <w:r w:rsidRPr="00A85D75">
        <w:t xml:space="preserve">Discussion and outcomes of the assessment of options, including the cost-benefit analysis and its assumptions. </w:t>
      </w:r>
    </w:p>
    <w:p w14:paraId="67E0C609" w14:textId="77777777" w:rsidR="00A435FC" w:rsidRPr="00A85D75" w:rsidRDefault="00A435FC" w:rsidP="00485EDB">
      <w:pPr>
        <w:pStyle w:val="ListNumber"/>
        <w:keepNext/>
        <w:keepLines/>
        <w:numPr>
          <w:ilvl w:val="0"/>
          <w:numId w:val="29"/>
        </w:numPr>
      </w:pPr>
      <w:r w:rsidRPr="00A85D75">
        <w:t>The ACMA’s preliminary preferred option.</w:t>
      </w:r>
    </w:p>
    <w:p w14:paraId="4B5DFBAB" w14:textId="41D29BC8" w:rsidR="00567CDD" w:rsidRPr="00A85D75" w:rsidRDefault="00567CDD" w:rsidP="00567CDD">
      <w:pPr>
        <w:pStyle w:val="Heading2"/>
      </w:pPr>
      <w:bookmarkStart w:id="131" w:name="_Toc46316382"/>
      <w:bookmarkStart w:id="132" w:name="_Toc56965716"/>
      <w:bookmarkStart w:id="133" w:name="_Toc61364860"/>
      <w:r w:rsidRPr="00A85D75">
        <w:t>Summary of responses</w:t>
      </w:r>
      <w:bookmarkEnd w:id="131"/>
      <w:bookmarkEnd w:id="132"/>
      <w:bookmarkEnd w:id="133"/>
    </w:p>
    <w:p w14:paraId="137D9D7D" w14:textId="5067205C" w:rsidR="008A020E" w:rsidRPr="00A85D75" w:rsidRDefault="008A020E" w:rsidP="008A020E">
      <w:pPr>
        <w:pStyle w:val="Paragraph"/>
      </w:pPr>
      <w:r w:rsidRPr="00A85D75">
        <w:t xml:space="preserve">Respondent views were generally divided </w:t>
      </w:r>
      <w:r w:rsidR="001875B3" w:rsidRPr="00A85D75">
        <w:t>between the options for</w:t>
      </w:r>
      <w:r w:rsidRPr="00A85D75">
        <w:t xml:space="preserve"> </w:t>
      </w:r>
      <w:r w:rsidR="001875B3" w:rsidRPr="00A85D75">
        <w:t>re</w:t>
      </w:r>
      <w:r w:rsidRPr="00A85D75">
        <w:t>planning the 2</w:t>
      </w:r>
      <w:r w:rsidR="001875B3" w:rsidRPr="00A85D75">
        <w:t> </w:t>
      </w:r>
      <w:r w:rsidRPr="00A85D75">
        <w:t xml:space="preserve">GHz band, with views on </w:t>
      </w:r>
      <w:r w:rsidR="001875B3" w:rsidRPr="00A85D75">
        <w:t xml:space="preserve">optimal </w:t>
      </w:r>
      <w:r w:rsidRPr="00A85D75">
        <w:t xml:space="preserve">future use aligned with each respondent’s industry type. </w:t>
      </w:r>
      <w:r w:rsidR="00DA2C93">
        <w:t>Therefore</w:t>
      </w:r>
      <w:r w:rsidRPr="00A85D75">
        <w:t xml:space="preserve">, we received submissions supporting </w:t>
      </w:r>
      <w:r w:rsidR="00BA73F4" w:rsidRPr="00A85D75">
        <w:t xml:space="preserve">each </w:t>
      </w:r>
      <w:r w:rsidRPr="00A85D75">
        <w:t xml:space="preserve">of the </w:t>
      </w:r>
      <w:r w:rsidR="00575BFF">
        <w:t>3</w:t>
      </w:r>
      <w:r w:rsidR="00575BFF" w:rsidRPr="00A85D75">
        <w:t xml:space="preserve"> </w:t>
      </w:r>
      <w:r w:rsidR="00FA3B65" w:rsidRPr="00A85D75">
        <w:t>options presented</w:t>
      </w:r>
      <w:r w:rsidR="00575BFF">
        <w:t>,</w:t>
      </w:r>
      <w:r w:rsidR="009D726A" w:rsidRPr="00A85D75">
        <w:t xml:space="preserve"> as well as variations </w:t>
      </w:r>
      <w:r w:rsidR="00446EFA" w:rsidRPr="00A85D75">
        <w:t>and hybrid approaches</w:t>
      </w:r>
      <w:r w:rsidRPr="00A85D75">
        <w:t>.</w:t>
      </w:r>
    </w:p>
    <w:p w14:paraId="550F7C9B" w14:textId="06AC373C" w:rsidR="008A020E" w:rsidRPr="00A85D75" w:rsidRDefault="008A020E" w:rsidP="008A020E">
      <w:pPr>
        <w:pStyle w:val="Paragraph"/>
      </w:pPr>
      <w:r w:rsidRPr="00A85D75">
        <w:t xml:space="preserve">Responses are summarised into groups below according to the </w:t>
      </w:r>
      <w:r w:rsidR="00446EFA" w:rsidRPr="00A85D75">
        <w:t>option</w:t>
      </w:r>
      <w:r w:rsidRPr="00A85D75">
        <w:t xml:space="preserve"> that each respondent supported. </w:t>
      </w:r>
    </w:p>
    <w:p w14:paraId="262E9DE4" w14:textId="26BF6BDD" w:rsidR="00402898" w:rsidRPr="00A85D75" w:rsidRDefault="00446EFA" w:rsidP="00402898">
      <w:pPr>
        <w:pStyle w:val="Heading3"/>
        <w:spacing w:before="240"/>
      </w:pPr>
      <w:bookmarkStart w:id="134" w:name="_Toc56965717"/>
      <w:bookmarkStart w:id="135" w:name="_Toc61364861"/>
      <w:r w:rsidRPr="00A85D75">
        <w:t xml:space="preserve">Option 1: </w:t>
      </w:r>
      <w:r w:rsidR="00402898" w:rsidRPr="00A85D75">
        <w:t>Television outside broadcasting</w:t>
      </w:r>
      <w:bookmarkEnd w:id="134"/>
      <w:bookmarkEnd w:id="135"/>
    </w:p>
    <w:p w14:paraId="1B89D8C6" w14:textId="1CB1D6EA" w:rsidR="009D726A" w:rsidRPr="00A85D75" w:rsidRDefault="009E624E" w:rsidP="009D726A">
      <w:r w:rsidRPr="00A85D75">
        <w:t xml:space="preserve">Responses </w:t>
      </w:r>
      <w:r w:rsidR="007E2AE0" w:rsidRPr="00A85D75">
        <w:t>supporting option 1</w:t>
      </w:r>
      <w:r w:rsidRPr="00A85D75">
        <w:t xml:space="preserve"> were received from</w:t>
      </w:r>
      <w:r w:rsidR="00575BFF">
        <w:t>:</w:t>
      </w:r>
      <w:r w:rsidR="006E539B" w:rsidRPr="00A85D75">
        <w:t xml:space="preserve"> ABC, </w:t>
      </w:r>
      <w:r w:rsidR="007C5E3A" w:rsidRPr="00A85D75">
        <w:t>Broadcast Zone, Free TV, IVT Productions, NEP Group and Total Events Co.</w:t>
      </w:r>
      <w:r w:rsidR="00A1593D" w:rsidRPr="00A85D75">
        <w:t xml:space="preserve"> </w:t>
      </w:r>
    </w:p>
    <w:p w14:paraId="3D674B16" w14:textId="09F60561" w:rsidR="008D45C0" w:rsidRPr="00A85D75" w:rsidRDefault="004B1F85" w:rsidP="009D726A">
      <w:r w:rsidRPr="00A85D75">
        <w:t xml:space="preserve">With the exception of ABC and Free TV, </w:t>
      </w:r>
      <w:r w:rsidR="00664714" w:rsidRPr="00A85D75">
        <w:t xml:space="preserve">the remaining </w:t>
      </w:r>
      <w:r w:rsidR="00575BFF">
        <w:t>4</w:t>
      </w:r>
      <w:r w:rsidR="00575BFF" w:rsidRPr="00A85D75">
        <w:t xml:space="preserve"> </w:t>
      </w:r>
      <w:r w:rsidRPr="00A85D75">
        <w:t xml:space="preserve">respondents </w:t>
      </w:r>
      <w:r w:rsidR="00EE53B8" w:rsidRPr="00A85D75">
        <w:t>were</w:t>
      </w:r>
      <w:r w:rsidRPr="00A85D75">
        <w:t xml:space="preserve"> independent </w:t>
      </w:r>
      <w:r w:rsidR="00664714" w:rsidRPr="00A85D75">
        <w:t xml:space="preserve">TOB production firms. </w:t>
      </w:r>
      <w:r w:rsidR="009D1087" w:rsidRPr="00A85D75">
        <w:t>Of these, only NEP Group explicit</w:t>
      </w:r>
      <w:r w:rsidR="001A4093" w:rsidRPr="00A85D75">
        <w:t>l</w:t>
      </w:r>
      <w:r w:rsidR="009D1087" w:rsidRPr="00A85D75">
        <w:t xml:space="preserve">y </w:t>
      </w:r>
      <w:r w:rsidR="001A4093" w:rsidRPr="00A85D75">
        <w:t xml:space="preserve">opposed </w:t>
      </w:r>
      <w:r w:rsidR="008D45C0" w:rsidRPr="00A85D75">
        <w:t>any change to current arrangements in the band</w:t>
      </w:r>
      <w:r w:rsidR="0059761A" w:rsidRPr="00A85D75">
        <w:t xml:space="preserve">. </w:t>
      </w:r>
      <w:r w:rsidR="00F82CB7" w:rsidRPr="00A85D75">
        <w:t xml:space="preserve">In support of this, </w:t>
      </w:r>
      <w:r w:rsidR="00C07721" w:rsidRPr="00A85D75">
        <w:t xml:space="preserve">NEP reported </w:t>
      </w:r>
      <w:r w:rsidR="00120FA6" w:rsidRPr="00A85D75">
        <w:t>a trend of increased scale and demand for concurrent wireless cameras in live broadcast events</w:t>
      </w:r>
      <w:r w:rsidR="00F82CB7" w:rsidRPr="00A85D75">
        <w:t>.</w:t>
      </w:r>
      <w:r w:rsidR="009F2640" w:rsidRPr="00A85D75">
        <w:t xml:space="preserve"> </w:t>
      </w:r>
      <w:r w:rsidR="00FD3EA2" w:rsidRPr="00A85D75">
        <w:t xml:space="preserve">NEP </w:t>
      </w:r>
      <w:r w:rsidR="00800B16" w:rsidRPr="00A85D75">
        <w:t>noted that r</w:t>
      </w:r>
      <w:r w:rsidR="00FD3EA2" w:rsidRPr="00A85D75">
        <w:t>elocation to an alternative band such as 7</w:t>
      </w:r>
      <w:r w:rsidR="009B4A85">
        <w:t>.2</w:t>
      </w:r>
      <w:r w:rsidR="00FD3EA2" w:rsidRPr="00A85D75">
        <w:t xml:space="preserve"> GHz would require replacement of the majority of </w:t>
      </w:r>
      <w:r w:rsidR="00610740" w:rsidRPr="00A85D75">
        <w:t>their</w:t>
      </w:r>
      <w:r w:rsidR="00FD3EA2" w:rsidRPr="00A85D75">
        <w:t xml:space="preserve"> broadcast equipment</w:t>
      </w:r>
      <w:r w:rsidR="00800B16" w:rsidRPr="00A85D75">
        <w:t xml:space="preserve">, </w:t>
      </w:r>
      <w:r w:rsidR="00610740" w:rsidRPr="00A85D75">
        <w:t xml:space="preserve">therefore would </w:t>
      </w:r>
      <w:r w:rsidR="00FD3EA2" w:rsidRPr="00A85D75">
        <w:t>seek assistance or compensation to transition to an alternative band.</w:t>
      </w:r>
    </w:p>
    <w:p w14:paraId="79A7B897" w14:textId="2F34671E" w:rsidR="00BA7E8F" w:rsidRPr="00A85D75" w:rsidRDefault="003B5368" w:rsidP="003B5368">
      <w:r w:rsidRPr="00A85D75">
        <w:t xml:space="preserve">Broadcast Zone, IVT Productions and Total Events Co </w:t>
      </w:r>
      <w:r w:rsidR="00805F8A" w:rsidRPr="00A85D75">
        <w:t xml:space="preserve">also </w:t>
      </w:r>
      <w:r w:rsidR="002F1F80" w:rsidRPr="00A85D75">
        <w:t xml:space="preserve">advocated for some form of compensation </w:t>
      </w:r>
      <w:r w:rsidR="009E28BF" w:rsidRPr="00A85D75">
        <w:t>to relocate to another band</w:t>
      </w:r>
      <w:r w:rsidR="001C2790" w:rsidRPr="00A85D75">
        <w:t xml:space="preserve">. Both Broadcast Zone and Total Events Co recommended this be borne by incoming licensees. </w:t>
      </w:r>
      <w:r w:rsidR="008C05CF" w:rsidRPr="00A85D75">
        <w:t xml:space="preserve">These </w:t>
      </w:r>
      <w:r w:rsidR="00575BFF">
        <w:t>2</w:t>
      </w:r>
      <w:r w:rsidR="00575BFF" w:rsidRPr="00A85D75">
        <w:t xml:space="preserve"> </w:t>
      </w:r>
      <w:r w:rsidR="008C05CF" w:rsidRPr="00A85D75">
        <w:t xml:space="preserve">firms also </w:t>
      </w:r>
      <w:r w:rsidR="00A80FE6" w:rsidRPr="00A85D75">
        <w:t>highlighted the effect of the COVID</w:t>
      </w:r>
      <w:r w:rsidR="00575BFF">
        <w:t>-19</w:t>
      </w:r>
      <w:r w:rsidR="00A80FE6" w:rsidRPr="00A85D75">
        <w:t xml:space="preserve"> pandemic on their businesses, which has substantially reduced their income. They advised that in this environment, a requirement to upgrade equipment for use in a new spectrum band would be detrimental to their </w:t>
      </w:r>
      <w:proofErr w:type="gramStart"/>
      <w:r w:rsidR="00A80FE6" w:rsidRPr="00A85D75">
        <w:t>operations</w:t>
      </w:r>
      <w:r w:rsidR="00365675">
        <w:t>,</w:t>
      </w:r>
      <w:r w:rsidR="00A80FE6" w:rsidRPr="00A85D75">
        <w:t xml:space="preserve"> and</w:t>
      </w:r>
      <w:proofErr w:type="gramEnd"/>
      <w:r w:rsidR="00A80FE6" w:rsidRPr="00A85D75">
        <w:t xml:space="preserve"> recommended</w:t>
      </w:r>
      <w:r w:rsidR="00833BAF">
        <w:t xml:space="preserve"> a transition period of at least </w:t>
      </w:r>
      <w:r w:rsidR="00575BFF">
        <w:t xml:space="preserve">5 </w:t>
      </w:r>
      <w:r w:rsidR="00833BAF">
        <w:t>years</w:t>
      </w:r>
      <w:r w:rsidR="006066CC" w:rsidRPr="00A85D75">
        <w:t xml:space="preserve">. </w:t>
      </w:r>
    </w:p>
    <w:p w14:paraId="5E5B1A35" w14:textId="0864B701" w:rsidR="00A80FE6" w:rsidRPr="00A85D75" w:rsidRDefault="00BA7E8F" w:rsidP="003B5368">
      <w:r w:rsidRPr="00A85D75">
        <w:t xml:space="preserve">All TOB firms responding to the consultation requested a reasonable </w:t>
      </w:r>
      <w:r w:rsidR="00A80FE6" w:rsidRPr="00A85D75">
        <w:t xml:space="preserve">transition period </w:t>
      </w:r>
      <w:r w:rsidR="00DD6FF0" w:rsidRPr="00A85D75">
        <w:t xml:space="preserve">to relocate to an alternative spectrum band, with </w:t>
      </w:r>
      <w:r w:rsidR="002952BA" w:rsidRPr="00A85D75">
        <w:t xml:space="preserve">Total Events Co recommending the period should be at least </w:t>
      </w:r>
      <w:r w:rsidR="00575BFF">
        <w:t>5</w:t>
      </w:r>
      <w:r w:rsidR="00575BFF" w:rsidRPr="00A85D75">
        <w:t xml:space="preserve"> </w:t>
      </w:r>
      <w:r w:rsidR="002952BA" w:rsidRPr="00A85D75">
        <w:t xml:space="preserve">years. </w:t>
      </w:r>
      <w:r w:rsidR="00DD6FF0" w:rsidRPr="00A85D75">
        <w:t xml:space="preserve"> </w:t>
      </w:r>
    </w:p>
    <w:p w14:paraId="0EE68145" w14:textId="51B573DB" w:rsidR="00575455" w:rsidRPr="00A85D75" w:rsidRDefault="00575455" w:rsidP="009D726A">
      <w:r w:rsidRPr="00A85D75">
        <w:t>Free TV co</w:t>
      </w:r>
      <w:r w:rsidR="008F1845" w:rsidRPr="00A85D75">
        <w:t xml:space="preserve">nveyed </w:t>
      </w:r>
      <w:r w:rsidR="00575BFF">
        <w:t>2</w:t>
      </w:r>
      <w:r w:rsidR="00575BFF" w:rsidRPr="00A85D75">
        <w:t xml:space="preserve"> </w:t>
      </w:r>
      <w:r w:rsidRPr="00A85D75">
        <w:t>primary concerns</w:t>
      </w:r>
      <w:r w:rsidR="00A04661" w:rsidRPr="00A85D75">
        <w:t xml:space="preserve">. Firstly, </w:t>
      </w:r>
      <w:r w:rsidRPr="00A85D75">
        <w:t>the potential for interference from new services to adjacent-band TOB services operated by Free TV members</w:t>
      </w:r>
      <w:r w:rsidR="00341BE1" w:rsidRPr="00A85D75">
        <w:t xml:space="preserve"> needs to be </w:t>
      </w:r>
      <w:r w:rsidR="003C2253" w:rsidRPr="00A85D75">
        <w:t>addressed with appropriate measures. Secondly</w:t>
      </w:r>
      <w:r w:rsidRPr="00A85D75">
        <w:t>, the potential reallocation of TOB services to the 7.2 GHz band should be avoided given the complexity of existing arrangements in that band involving CSIRO, Defence and existing TOB licensees.</w:t>
      </w:r>
    </w:p>
    <w:p w14:paraId="23F8E34F" w14:textId="6BC5C5EB" w:rsidR="00863CA3" w:rsidRPr="00A85D75" w:rsidRDefault="006F4421" w:rsidP="009D726A">
      <w:r w:rsidRPr="00A85D75">
        <w:t xml:space="preserve">The ABC </w:t>
      </w:r>
      <w:r w:rsidR="00601C40" w:rsidRPr="00A85D75">
        <w:t>reported</w:t>
      </w:r>
      <w:r w:rsidRPr="00A85D75">
        <w:t xml:space="preserve"> that any change to the utility of </w:t>
      </w:r>
      <w:r w:rsidR="00FB016A">
        <w:t xml:space="preserve">the </w:t>
      </w:r>
      <w:r w:rsidRPr="00A85D75">
        <w:t xml:space="preserve">2 GHz band for TOB use could create significant risk to the ongoing reliability of its outside broadcast operations. </w:t>
      </w:r>
      <w:r w:rsidRPr="00A85D75">
        <w:lastRenderedPageBreak/>
        <w:t>However, the ACMA</w:t>
      </w:r>
      <w:r w:rsidR="00601C40" w:rsidRPr="00A85D75">
        <w:t xml:space="preserve"> </w:t>
      </w:r>
      <w:r w:rsidR="00A94651" w:rsidRPr="00A85D75">
        <w:t xml:space="preserve">has </w:t>
      </w:r>
      <w:r w:rsidRPr="00A85D75">
        <w:t xml:space="preserve">no record of </w:t>
      </w:r>
      <w:r w:rsidR="00601C40" w:rsidRPr="00A85D75">
        <w:t>ABC licences in the 2 GHz band</w:t>
      </w:r>
      <w:r w:rsidR="00A94651" w:rsidRPr="00A85D75">
        <w:t xml:space="preserve"> and </w:t>
      </w:r>
      <w:r w:rsidR="0040630F" w:rsidRPr="00A85D75">
        <w:t>would</w:t>
      </w:r>
      <w:r w:rsidR="00A94651" w:rsidRPr="00A85D75">
        <w:t xml:space="preserve"> therefore </w:t>
      </w:r>
      <w:r w:rsidR="0040630F" w:rsidRPr="00A85D75">
        <w:t xml:space="preserve">not be directly affected by </w:t>
      </w:r>
      <w:r w:rsidR="00853066" w:rsidRPr="00A85D75">
        <w:t>any future changes to planning arrangements in the band.</w:t>
      </w:r>
    </w:p>
    <w:p w14:paraId="7CEEB451" w14:textId="67820AC4" w:rsidR="009D726A" w:rsidRPr="00A85D75" w:rsidRDefault="00446EFA" w:rsidP="009D726A">
      <w:pPr>
        <w:pStyle w:val="Heading3"/>
        <w:spacing w:before="240"/>
      </w:pPr>
      <w:bookmarkStart w:id="136" w:name="_Toc56965718"/>
      <w:bookmarkStart w:id="137" w:name="_Toc61364862"/>
      <w:r w:rsidRPr="00A85D75">
        <w:t xml:space="preserve">Option 2: </w:t>
      </w:r>
      <w:r w:rsidR="009D726A" w:rsidRPr="00A85D75">
        <w:t>Wireless broadband</w:t>
      </w:r>
      <w:bookmarkEnd w:id="136"/>
      <w:bookmarkEnd w:id="137"/>
    </w:p>
    <w:p w14:paraId="037DCD06" w14:textId="2F7D4059" w:rsidR="00F46AA0" w:rsidRPr="00A85D75" w:rsidRDefault="006A15DC" w:rsidP="00F46AA0">
      <w:pPr>
        <w:pStyle w:val="Paragraph"/>
      </w:pPr>
      <w:r w:rsidRPr="00A85D75">
        <w:t xml:space="preserve">There were no responses that directly supported </w:t>
      </w:r>
      <w:r w:rsidR="001B42EC" w:rsidRPr="00A85D75">
        <w:t xml:space="preserve">option 2. </w:t>
      </w:r>
    </w:p>
    <w:p w14:paraId="554C0F1C" w14:textId="39A56377" w:rsidR="00446EFA" w:rsidRPr="00A85D75" w:rsidRDefault="00446EFA" w:rsidP="00446EFA">
      <w:pPr>
        <w:pStyle w:val="Heading3"/>
        <w:spacing w:before="240"/>
      </w:pPr>
      <w:bookmarkStart w:id="138" w:name="_Toc56965719"/>
      <w:bookmarkStart w:id="139" w:name="_Toc61364863"/>
      <w:r w:rsidRPr="00A85D75">
        <w:t xml:space="preserve">Option 3: </w:t>
      </w:r>
      <w:r w:rsidR="00241234" w:rsidRPr="00A85D75">
        <w:t>Mobile satellite</w:t>
      </w:r>
      <w:bookmarkEnd w:id="138"/>
      <w:bookmarkEnd w:id="139"/>
    </w:p>
    <w:p w14:paraId="18E59404" w14:textId="13601910" w:rsidR="006C2ACA" w:rsidRPr="00A85D75" w:rsidRDefault="006C2ACA" w:rsidP="00A254DC">
      <w:r w:rsidRPr="00A85D75">
        <w:t xml:space="preserve">Responses supporting option 3 </w:t>
      </w:r>
      <w:r w:rsidR="005B2CBA" w:rsidRPr="00A85D75">
        <w:t>were received from Airbus Defence and Space, Department of Defence</w:t>
      </w:r>
      <w:r w:rsidR="00A254DC" w:rsidRPr="00A85D75">
        <w:t>, Comm</w:t>
      </w:r>
      <w:r w:rsidR="00C41583" w:rsidRPr="00A85D75">
        <w:t>unication</w:t>
      </w:r>
      <w:r w:rsidR="00A254DC" w:rsidRPr="00A85D75">
        <w:t>s Alliance SSWG</w:t>
      </w:r>
      <w:r w:rsidR="00C41583" w:rsidRPr="00A85D75">
        <w:t xml:space="preserve">, </w:t>
      </w:r>
      <w:r w:rsidR="00A254DC" w:rsidRPr="00A85D75">
        <w:t>EchoStar Global Australia</w:t>
      </w:r>
      <w:r w:rsidR="00C41583" w:rsidRPr="00A85D75">
        <w:t xml:space="preserve">, </w:t>
      </w:r>
      <w:r w:rsidR="00A254DC" w:rsidRPr="00A85D75">
        <w:t>Fleet Space Technologies</w:t>
      </w:r>
      <w:r w:rsidR="00C41583" w:rsidRPr="00A85D75">
        <w:t xml:space="preserve">, </w:t>
      </w:r>
      <w:r w:rsidR="00A254DC" w:rsidRPr="00A85D75">
        <w:t>Inmarsat</w:t>
      </w:r>
      <w:r w:rsidR="00C41583" w:rsidRPr="00A85D75">
        <w:t xml:space="preserve">, </w:t>
      </w:r>
      <w:r w:rsidR="00A254DC" w:rsidRPr="00A85D75">
        <w:t>Kepler Communications</w:t>
      </w:r>
      <w:r w:rsidR="00C41583" w:rsidRPr="00A85D75">
        <w:t xml:space="preserve"> and </w:t>
      </w:r>
      <w:proofErr w:type="spellStart"/>
      <w:r w:rsidR="00A254DC" w:rsidRPr="00A85D75">
        <w:t>Omnispace</w:t>
      </w:r>
      <w:proofErr w:type="spellEnd"/>
      <w:r w:rsidR="00D853B2" w:rsidRPr="00A85D75">
        <w:t>.</w:t>
      </w:r>
    </w:p>
    <w:p w14:paraId="1138AC22" w14:textId="6109F47F" w:rsidR="00241234" w:rsidRPr="00A85D75" w:rsidRDefault="008332F1" w:rsidP="00241234">
      <w:r w:rsidRPr="00A85D75">
        <w:t xml:space="preserve">Airbus Defence and Space </w:t>
      </w:r>
      <w:r w:rsidR="007244D0" w:rsidRPr="00A85D75">
        <w:t xml:space="preserve">suggested that implementation of </w:t>
      </w:r>
      <w:r w:rsidRPr="00A85D75">
        <w:t>option 3</w:t>
      </w:r>
      <w:r w:rsidR="007244D0" w:rsidRPr="00A85D75">
        <w:t xml:space="preserve"> should have </w:t>
      </w:r>
      <w:r w:rsidRPr="00A85D75">
        <w:t>a focus on airborne connectivity</w:t>
      </w:r>
      <w:r w:rsidR="000246F0" w:rsidRPr="00A85D75">
        <w:t xml:space="preserve">. Their submission </w:t>
      </w:r>
      <w:r w:rsidRPr="00A85D75">
        <w:t>encouraged the ACMA to not restrict considerations to commercial aircraft, but also consider other types of flying platforms such as helicopters and drones.</w:t>
      </w:r>
    </w:p>
    <w:p w14:paraId="55F59243" w14:textId="4A47DF04" w:rsidR="00072D42" w:rsidRPr="00A85D75" w:rsidRDefault="00072D42" w:rsidP="00072D42">
      <w:r w:rsidRPr="00A85D75">
        <w:t xml:space="preserve">The Department of Defence expects the ACMA to ensure equitable access of spectrum </w:t>
      </w:r>
      <w:r w:rsidR="008A7A61" w:rsidRPr="00A85D75">
        <w:t>for</w:t>
      </w:r>
      <w:r w:rsidRPr="00A85D75">
        <w:t xml:space="preserve"> MSS operators and that only the minimum necessary spectrum is accessed by each licensee.</w:t>
      </w:r>
      <w:r w:rsidR="00EB0EF6" w:rsidRPr="00A85D75">
        <w:t xml:space="preserve"> </w:t>
      </w:r>
      <w:r w:rsidRPr="00A85D75">
        <w:t>Defence request</w:t>
      </w:r>
      <w:r w:rsidR="00EB0EF6" w:rsidRPr="00A85D75">
        <w:t>ed the</w:t>
      </w:r>
      <w:r w:rsidRPr="00A85D75">
        <w:t xml:space="preserve"> ACMA to </w:t>
      </w:r>
      <w:proofErr w:type="gramStart"/>
      <w:r w:rsidRPr="00A85D75">
        <w:t>take into account</w:t>
      </w:r>
      <w:proofErr w:type="gramEnd"/>
      <w:r w:rsidRPr="00A85D75">
        <w:t xml:space="preserve"> protection of services in the adjacent band 2200–2290 MHz, in particular</w:t>
      </w:r>
      <w:r w:rsidR="00EB0EF6" w:rsidRPr="00A85D75">
        <w:t>,</w:t>
      </w:r>
      <w:r w:rsidRPr="00A85D75">
        <w:t xml:space="preserve"> Defence unmanned systems (air, ground and maritime) and telemetry, tracking and command (TT&amp;C) applications under the allocation made for space operation services.</w:t>
      </w:r>
      <w:r w:rsidR="00EB0EF6" w:rsidRPr="00A85D75">
        <w:t xml:space="preserve"> </w:t>
      </w:r>
      <w:r w:rsidRPr="00A85D75">
        <w:t>Defence</w:t>
      </w:r>
      <w:r w:rsidR="00EB0EF6" w:rsidRPr="00A85D75">
        <w:t xml:space="preserve"> also conveyed </w:t>
      </w:r>
      <w:r w:rsidRPr="00A85D75">
        <w:t xml:space="preserve">concerns about coordinating with </w:t>
      </w:r>
      <w:r w:rsidR="00EB0EF6" w:rsidRPr="00A85D75">
        <w:t xml:space="preserve">potential </w:t>
      </w:r>
      <w:r w:rsidR="00E91DA3" w:rsidRPr="00A85D75">
        <w:t xml:space="preserve">future </w:t>
      </w:r>
      <w:r w:rsidRPr="00A85D75">
        <w:t xml:space="preserve">TOB operators in several </w:t>
      </w:r>
      <w:r w:rsidR="00E91DA3" w:rsidRPr="00A85D75">
        <w:t xml:space="preserve">alternative </w:t>
      </w:r>
      <w:r w:rsidRPr="00A85D75">
        <w:t>bands, who may be required to relocate should their access to the 2 GHz band be revoked.</w:t>
      </w:r>
    </w:p>
    <w:p w14:paraId="42438BB9" w14:textId="392A73D2" w:rsidR="00610C37" w:rsidRPr="00A85D75" w:rsidRDefault="00610C37" w:rsidP="00601F35">
      <w:pPr>
        <w:pStyle w:val="Paragraphbeforelist"/>
      </w:pPr>
      <w:r w:rsidRPr="00A85D75">
        <w:t xml:space="preserve">The remaining </w:t>
      </w:r>
      <w:r w:rsidR="00575BFF">
        <w:t>6</w:t>
      </w:r>
      <w:r w:rsidR="00575BFF" w:rsidRPr="00A85D75">
        <w:t xml:space="preserve"> </w:t>
      </w:r>
      <w:r w:rsidRPr="00A85D75">
        <w:t xml:space="preserve">submissions </w:t>
      </w:r>
      <w:r w:rsidR="00CA0F45" w:rsidRPr="00A85D75">
        <w:t xml:space="preserve">supporting option 3 </w:t>
      </w:r>
      <w:r w:rsidRPr="00A85D75">
        <w:t xml:space="preserve">were </w:t>
      </w:r>
      <w:r w:rsidR="00455BC2" w:rsidRPr="00A85D75">
        <w:t xml:space="preserve">made by </w:t>
      </w:r>
      <w:r w:rsidR="00CA0F45" w:rsidRPr="00A85D75">
        <w:t>organisations in the satellite industry</w:t>
      </w:r>
      <w:r w:rsidR="006C654D" w:rsidRPr="00A85D75">
        <w:t>, who</w:t>
      </w:r>
      <w:r w:rsidR="00455BC2" w:rsidRPr="00A85D75">
        <w:t xml:space="preserve"> generally advocated</w:t>
      </w:r>
      <w:r w:rsidR="00D82D21" w:rsidRPr="00A85D75">
        <w:t xml:space="preserve"> for:</w:t>
      </w:r>
    </w:p>
    <w:p w14:paraId="0D24E41E" w14:textId="03778E9B" w:rsidR="00D82D21" w:rsidRPr="00A85D75" w:rsidRDefault="00601F35" w:rsidP="00601F35">
      <w:pPr>
        <w:pStyle w:val="ListBullet"/>
      </w:pPr>
      <w:r w:rsidRPr="00A85D75">
        <w:t>urgent replanning of the 2 GHz band for mobile</w:t>
      </w:r>
      <w:r w:rsidR="00351D1B">
        <w:t>-</w:t>
      </w:r>
      <w:r w:rsidRPr="00A85D75">
        <w:t>satellite services, including a complementary ground component</w:t>
      </w:r>
    </w:p>
    <w:p w14:paraId="440FAE91" w14:textId="2CACC666" w:rsidR="00601F35" w:rsidRPr="00A85D75" w:rsidRDefault="006C654D" w:rsidP="00601F35">
      <w:pPr>
        <w:pStyle w:val="ListBullet"/>
      </w:pPr>
      <w:r w:rsidRPr="00A85D75">
        <w:t xml:space="preserve">a merit-based allocation of licences rather than </w:t>
      </w:r>
      <w:r w:rsidR="00724DBC" w:rsidRPr="00A85D75">
        <w:t>a price-based allocation at auction</w:t>
      </w:r>
    </w:p>
    <w:p w14:paraId="162FA55E" w14:textId="21A59656" w:rsidR="00DA153C" w:rsidRPr="00A85D75" w:rsidRDefault="00AE35F6" w:rsidP="00686B0B">
      <w:pPr>
        <w:pStyle w:val="ListBulletLast"/>
      </w:pPr>
      <w:r w:rsidRPr="00A85D75">
        <w:t>exclusion of a dedicated</w:t>
      </w:r>
      <w:r w:rsidR="002B125B" w:rsidRPr="00A85D75">
        <w:t xml:space="preserve"> shared segment for narrowband, low-duty-cycle services such as sat</w:t>
      </w:r>
      <w:r w:rsidR="00C449B0" w:rsidRPr="00A85D75">
        <w:t xml:space="preserve">ellite IoT, preferring instead </w:t>
      </w:r>
      <w:r w:rsidR="00DA153C" w:rsidRPr="00A85D75">
        <w:t>the band to be equally apportioned for exclusive licensed use</w:t>
      </w:r>
      <w:r w:rsidR="00686B0B" w:rsidRPr="00A85D75">
        <w:t>.</w:t>
      </w:r>
    </w:p>
    <w:p w14:paraId="38ABC8C4" w14:textId="77777777" w:rsidR="00F8005B" w:rsidRPr="00A85D75" w:rsidRDefault="007E2AD6" w:rsidP="00485EDB">
      <w:pPr>
        <w:pStyle w:val="Paragraphbeforelist"/>
      </w:pPr>
      <w:r w:rsidRPr="00A85D75">
        <w:t>The Communications Alliance SSWG</w:t>
      </w:r>
      <w:r w:rsidR="00780303" w:rsidRPr="00A85D75">
        <w:t xml:space="preserve"> </w:t>
      </w:r>
      <w:r w:rsidR="006221D4" w:rsidRPr="00A85D75">
        <w:t xml:space="preserve">considers option 3 to be the highest value use of the band. </w:t>
      </w:r>
      <w:r w:rsidR="00F8005B" w:rsidRPr="00A85D75">
        <w:t>The SSWG advocates the following arrangements for any new regulatory framework:</w:t>
      </w:r>
    </w:p>
    <w:p w14:paraId="3141D129" w14:textId="2CAA2245" w:rsidR="00F8005B" w:rsidRPr="00A85D75" w:rsidRDefault="00F8005B" w:rsidP="00F8005B">
      <w:pPr>
        <w:pStyle w:val="ListBullet"/>
      </w:pPr>
      <w:r w:rsidRPr="00A85D75">
        <w:t xml:space="preserve">assign at least </w:t>
      </w:r>
      <w:r w:rsidR="00320BF9">
        <w:t>2</w:t>
      </w:r>
      <w:r w:rsidR="00320BF9" w:rsidRPr="00A85D75">
        <w:t xml:space="preserve"> </w:t>
      </w:r>
      <w:r w:rsidRPr="00A85D75">
        <w:t>licences of paired spectrum, preferably 15 MHz each</w:t>
      </w:r>
    </w:p>
    <w:p w14:paraId="4501D016" w14:textId="77777777" w:rsidR="00F8005B" w:rsidRPr="00A85D75" w:rsidRDefault="00F8005B" w:rsidP="00F8005B">
      <w:pPr>
        <w:pStyle w:val="ListBullet"/>
      </w:pPr>
      <w:r w:rsidRPr="00A85D75">
        <w:t>MSS remains primary and CGC is ancillary to the MSS</w:t>
      </w:r>
    </w:p>
    <w:p w14:paraId="7198ACB0" w14:textId="77777777" w:rsidR="00F8005B" w:rsidRPr="00A85D75" w:rsidRDefault="00F8005B" w:rsidP="00F8005B">
      <w:pPr>
        <w:pStyle w:val="ListBullet"/>
      </w:pPr>
      <w:r w:rsidRPr="00A85D75">
        <w:t>the MSS operator manages the use of the frequencies for CGC within its assignment to achieve spectrum efficiency and prevent CGC interference with MSS operations</w:t>
      </w:r>
    </w:p>
    <w:p w14:paraId="0925CDD5" w14:textId="15F188E3" w:rsidR="00F8005B" w:rsidRPr="00A85D75" w:rsidRDefault="00320BF9" w:rsidP="00F8005B">
      <w:pPr>
        <w:pStyle w:val="ListBullet"/>
      </w:pPr>
      <w:r>
        <w:t>n</w:t>
      </w:r>
      <w:r w:rsidR="00F8005B" w:rsidRPr="00A85D75">
        <w:t>o part of the band should be assigned to a specific application</w:t>
      </w:r>
      <w:r>
        <w:t>,</w:t>
      </w:r>
      <w:r w:rsidR="00F8005B" w:rsidRPr="00A85D75">
        <w:t xml:space="preserve"> such as IoT</w:t>
      </w:r>
    </w:p>
    <w:p w14:paraId="0A561B74" w14:textId="77777777" w:rsidR="00F8005B" w:rsidRPr="00A85D75" w:rsidRDefault="00F8005B" w:rsidP="00F8005B">
      <w:pPr>
        <w:pStyle w:val="ListBulletLast"/>
      </w:pPr>
      <w:r w:rsidRPr="00A85D75">
        <w:t>MSS coverage should be nationwide.</w:t>
      </w:r>
    </w:p>
    <w:p w14:paraId="2467F806" w14:textId="60B000DC" w:rsidR="00F8005B" w:rsidRPr="00A85D75" w:rsidRDefault="00F8005B" w:rsidP="00052447">
      <w:pPr>
        <w:pStyle w:val="Paragraph"/>
      </w:pPr>
      <w:r w:rsidRPr="00A85D75">
        <w:t>The SSWG does not believe an auction for this spectrum would be efficient, due to the multiple price and regulatory pressures borne by MSS operators</w:t>
      </w:r>
      <w:r w:rsidR="00C13F06" w:rsidRPr="00A85D75">
        <w:t xml:space="preserve">, which includes </w:t>
      </w:r>
      <w:r w:rsidR="00052447" w:rsidRPr="00A85D75">
        <w:t xml:space="preserve">the very high investment needed to launch and operate an MSS constellation </w:t>
      </w:r>
      <w:r w:rsidRPr="00A85D75">
        <w:t>and the linkage between Australian and international spectrum allocations. Rather, a direct method to a qualified operator would be best</w:t>
      </w:r>
      <w:r w:rsidR="00CC73DD" w:rsidRPr="00A85D75">
        <w:t>.</w:t>
      </w:r>
    </w:p>
    <w:p w14:paraId="5B1DEF35" w14:textId="6DB2B9FB" w:rsidR="00585C76" w:rsidRPr="00A85D75" w:rsidRDefault="00585C76" w:rsidP="00052447">
      <w:pPr>
        <w:pStyle w:val="Paragraph"/>
      </w:pPr>
      <w:r w:rsidRPr="00A85D75">
        <w:t>EchoStar</w:t>
      </w:r>
      <w:r w:rsidR="00941DF8" w:rsidRPr="00A85D75">
        <w:t xml:space="preserve">, Inmarsat and </w:t>
      </w:r>
      <w:proofErr w:type="spellStart"/>
      <w:r w:rsidR="00941DF8" w:rsidRPr="00A85D75">
        <w:t>Omnispace</w:t>
      </w:r>
      <w:proofErr w:type="spellEnd"/>
      <w:r w:rsidR="00941DF8" w:rsidRPr="00A85D75">
        <w:t xml:space="preserve"> </w:t>
      </w:r>
      <w:r w:rsidR="008870B8" w:rsidRPr="00A85D75">
        <w:t xml:space="preserve">advocated </w:t>
      </w:r>
      <w:r w:rsidR="00FD167B" w:rsidRPr="00A85D75">
        <w:t xml:space="preserve">dividing </w:t>
      </w:r>
      <w:r w:rsidR="00EC429C" w:rsidRPr="00A85D75">
        <w:t xml:space="preserve">the band into </w:t>
      </w:r>
      <w:r w:rsidR="00320BF9">
        <w:t>2</w:t>
      </w:r>
      <w:r w:rsidR="00320BF9" w:rsidRPr="00A85D75">
        <w:t xml:space="preserve"> </w:t>
      </w:r>
      <w:r w:rsidR="00EC429C" w:rsidRPr="00A85D75">
        <w:t>paired segments</w:t>
      </w:r>
      <w:r w:rsidR="006A2641" w:rsidRPr="00A85D75">
        <w:t xml:space="preserve"> of 1</w:t>
      </w:r>
      <w:r w:rsidR="008D174D" w:rsidRPr="00A85D75">
        <w:t xml:space="preserve">5 MHz </w:t>
      </w:r>
      <w:r w:rsidR="00EC429C" w:rsidRPr="00A85D75">
        <w:t xml:space="preserve">each, </w:t>
      </w:r>
      <w:r w:rsidR="006A2641" w:rsidRPr="00A85D75">
        <w:t xml:space="preserve">which </w:t>
      </w:r>
      <w:r w:rsidR="003109F9" w:rsidRPr="00A85D75">
        <w:t xml:space="preserve">would support operation of </w:t>
      </w:r>
      <w:r w:rsidR="00320BF9">
        <w:t>2</w:t>
      </w:r>
      <w:r w:rsidR="00320BF9" w:rsidRPr="00A85D75">
        <w:t xml:space="preserve"> </w:t>
      </w:r>
      <w:r w:rsidR="003109F9" w:rsidRPr="00A85D75">
        <w:t>licensees</w:t>
      </w:r>
      <w:r w:rsidR="00FD167B" w:rsidRPr="00A85D75">
        <w:t xml:space="preserve">. </w:t>
      </w:r>
      <w:r w:rsidR="00DE38E3" w:rsidRPr="00A85D75">
        <w:t>Each of these responden</w:t>
      </w:r>
      <w:r w:rsidR="007B49B5" w:rsidRPr="00A85D75">
        <w:t xml:space="preserve">ts also opposed a separate shared segment for satellite IoT, as </w:t>
      </w:r>
      <w:r w:rsidR="006225C9" w:rsidRPr="00A85D75">
        <w:t>IoT services</w:t>
      </w:r>
      <w:r w:rsidR="007B49B5" w:rsidRPr="00A85D75">
        <w:t xml:space="preserve"> can be provided as a vertical application by the MSS operator within its own dedicated allocation</w:t>
      </w:r>
      <w:r w:rsidR="006225C9" w:rsidRPr="00A85D75">
        <w:t xml:space="preserve"> subject to demand.</w:t>
      </w:r>
    </w:p>
    <w:p w14:paraId="462216E5" w14:textId="57CC0AFC" w:rsidR="00E565F0" w:rsidRPr="00A85D75" w:rsidRDefault="00E565F0" w:rsidP="00052447">
      <w:pPr>
        <w:pStyle w:val="Paragraph"/>
      </w:pPr>
      <w:r w:rsidRPr="00A85D75">
        <w:t xml:space="preserve">Fleet Space Technologies </w:t>
      </w:r>
      <w:r w:rsidR="00350170" w:rsidRPr="00A85D75">
        <w:t xml:space="preserve">advised that the </w:t>
      </w:r>
      <w:r w:rsidRPr="00A85D75">
        <w:t>2 GHz band is a valuable resource which should be allocated to MSS because there is a compelling business case and strong growth potential. Fleet opposes the grandfathering of existing TOB licences in urban areas, as the separation distance of 20 km would deny significant business opportunities.</w:t>
      </w:r>
      <w:r w:rsidR="00EA365F" w:rsidRPr="00A85D75">
        <w:t xml:space="preserve"> Fleet provided in-principle support </w:t>
      </w:r>
      <w:r w:rsidR="00EC54C2" w:rsidRPr="00A85D75">
        <w:t>for a dedicated segment for</w:t>
      </w:r>
      <w:r w:rsidR="00EA365F" w:rsidRPr="00A85D75">
        <w:t xml:space="preserve"> low-powered, low-duty-cycle </w:t>
      </w:r>
      <w:r w:rsidR="00EC54C2" w:rsidRPr="00A85D75">
        <w:t xml:space="preserve">IoT applications, subject to </w:t>
      </w:r>
      <w:r w:rsidR="002666C2" w:rsidRPr="00A85D75">
        <w:t>further consideration of</w:t>
      </w:r>
      <w:r w:rsidR="00111115" w:rsidRPr="00A85D75">
        <w:t xml:space="preserve"> a proposal on how this arrangement would operate.</w:t>
      </w:r>
    </w:p>
    <w:p w14:paraId="17953E99" w14:textId="177916F6" w:rsidR="00B272D4" w:rsidRPr="00A85D75" w:rsidRDefault="00B272D4" w:rsidP="00CD2274">
      <w:pPr>
        <w:pStyle w:val="Paragraph"/>
      </w:pPr>
      <w:r w:rsidRPr="00A85D75">
        <w:t xml:space="preserve">Kepler Communications </w:t>
      </w:r>
      <w:r w:rsidR="00CD2274" w:rsidRPr="00A85D75">
        <w:t>advised</w:t>
      </w:r>
      <w:r w:rsidRPr="00A85D75">
        <w:t xml:space="preserve"> that satellite operators expressing interest in the band will ultimately abandon their commitment to deliver satellite services and seek to repurpose the spectrum for mobile broadband. Kepler encourage</w:t>
      </w:r>
      <w:r w:rsidR="00CD2274" w:rsidRPr="00A85D75">
        <w:t>d</w:t>
      </w:r>
      <w:r w:rsidRPr="00A85D75">
        <w:t xml:space="preserve"> the ACMA to consider a well-segmented band plan that supports </w:t>
      </w:r>
      <w:r w:rsidR="00320BF9">
        <w:t>4</w:t>
      </w:r>
      <w:r w:rsidR="00320BF9" w:rsidRPr="00A85D75">
        <w:t xml:space="preserve"> </w:t>
      </w:r>
      <w:r w:rsidRPr="00A85D75">
        <w:t xml:space="preserve">to </w:t>
      </w:r>
      <w:r w:rsidR="00320BF9">
        <w:t>5</w:t>
      </w:r>
      <w:r w:rsidR="00320BF9" w:rsidRPr="00A85D75">
        <w:t xml:space="preserve"> </w:t>
      </w:r>
      <w:r w:rsidRPr="00A85D75">
        <w:t xml:space="preserve">operators providing variety of real systems. This would provide a framework for growth of new services while resisting calls for monopoly or duopoly rights. </w:t>
      </w:r>
    </w:p>
    <w:p w14:paraId="1CCF43D6" w14:textId="2411FBB8" w:rsidR="00241234" w:rsidRPr="00A85D75" w:rsidRDefault="0072207F" w:rsidP="00241234">
      <w:pPr>
        <w:pStyle w:val="Heading3"/>
        <w:spacing w:before="240"/>
      </w:pPr>
      <w:bookmarkStart w:id="140" w:name="_Toc56965720"/>
      <w:bookmarkStart w:id="141" w:name="_Toc61364864"/>
      <w:r w:rsidRPr="00A85D75">
        <w:t>Direct air-to-ground communications</w:t>
      </w:r>
      <w:bookmarkEnd w:id="140"/>
      <w:bookmarkEnd w:id="141"/>
    </w:p>
    <w:p w14:paraId="3DEE1DF5" w14:textId="3150625A" w:rsidR="000A3E43" w:rsidRPr="00A85D75" w:rsidRDefault="00B0610B" w:rsidP="004F1285">
      <w:r w:rsidRPr="00A85D75">
        <w:t xml:space="preserve">Several </w:t>
      </w:r>
      <w:r w:rsidR="00B06C29" w:rsidRPr="00A85D75">
        <w:t>respondents</w:t>
      </w:r>
      <w:r w:rsidRPr="00A85D75">
        <w:t xml:space="preserve"> </w:t>
      </w:r>
      <w:r w:rsidR="00C82DEF" w:rsidRPr="00A85D75">
        <w:t>supported a dedicated allocat</w:t>
      </w:r>
      <w:r w:rsidR="00EC4838" w:rsidRPr="00A85D75">
        <w:t>ion to direct air-to-ground communications</w:t>
      </w:r>
      <w:r w:rsidR="00832D22" w:rsidRPr="00A85D75">
        <w:t xml:space="preserve">. These comprised direct air-to-ground equipment suppliers </w:t>
      </w:r>
      <w:proofErr w:type="spellStart"/>
      <w:r w:rsidR="00832D22" w:rsidRPr="00A85D75">
        <w:t>Flightcell</w:t>
      </w:r>
      <w:proofErr w:type="spellEnd"/>
      <w:r w:rsidR="00832D22" w:rsidRPr="00A85D75">
        <w:t xml:space="preserve">, Nokia and </w:t>
      </w:r>
      <w:proofErr w:type="spellStart"/>
      <w:r w:rsidR="00832D22" w:rsidRPr="00A85D75">
        <w:t>SkyFive</w:t>
      </w:r>
      <w:proofErr w:type="spellEnd"/>
      <w:r w:rsidR="00832D22" w:rsidRPr="00A85D75">
        <w:t xml:space="preserve">, as well as aviation industry organisations </w:t>
      </w:r>
      <w:proofErr w:type="spellStart"/>
      <w:r w:rsidR="004F1285" w:rsidRPr="00A85D75">
        <w:t>LifeFlight</w:t>
      </w:r>
      <w:proofErr w:type="spellEnd"/>
      <w:r w:rsidR="004D7CE3" w:rsidRPr="00A85D75">
        <w:t xml:space="preserve">, </w:t>
      </w:r>
      <w:r w:rsidR="004F1285" w:rsidRPr="00A85D75">
        <w:t>Regional Express</w:t>
      </w:r>
      <w:r w:rsidR="004D7CE3" w:rsidRPr="00A85D75">
        <w:t xml:space="preserve"> </w:t>
      </w:r>
      <w:r w:rsidR="00832D22" w:rsidRPr="00A85D75">
        <w:t xml:space="preserve">and the </w:t>
      </w:r>
      <w:r w:rsidR="004F1285" w:rsidRPr="00A85D75">
        <w:t>Royal Flying Doctor Service</w:t>
      </w:r>
      <w:r w:rsidR="00CC1CC2" w:rsidRPr="00A85D75">
        <w:t xml:space="preserve">. </w:t>
      </w:r>
      <w:r w:rsidR="009463FE" w:rsidRPr="00A85D75">
        <w:t>All supported an allocation of 2</w:t>
      </w:r>
      <w:r w:rsidR="00461D6F" w:rsidRPr="00A85D75">
        <w:t> </w:t>
      </w:r>
      <w:r w:rsidR="009463FE" w:rsidRPr="00A85D75">
        <w:t>x</w:t>
      </w:r>
      <w:r w:rsidR="00461D6F" w:rsidRPr="00A85D75">
        <w:t> </w:t>
      </w:r>
      <w:r w:rsidR="009463FE" w:rsidRPr="00A85D75">
        <w:t>15</w:t>
      </w:r>
      <w:r w:rsidR="00461D6F" w:rsidRPr="00A85D75">
        <w:t> </w:t>
      </w:r>
      <w:r w:rsidR="009463FE" w:rsidRPr="00A85D75">
        <w:t xml:space="preserve">MHz </w:t>
      </w:r>
      <w:r w:rsidR="008E7200" w:rsidRPr="00A85D75">
        <w:t>in the lower half of the ban</w:t>
      </w:r>
      <w:r w:rsidR="00754EE4" w:rsidRPr="00A85D75">
        <w:t xml:space="preserve">d to enable </w:t>
      </w:r>
      <w:r w:rsidR="000E6104" w:rsidRPr="00A85D75">
        <w:t>high-availability, high-bandwidth connectivity for aircraft operations.</w:t>
      </w:r>
    </w:p>
    <w:p w14:paraId="3DEA08FF" w14:textId="1234C08E" w:rsidR="007F1193" w:rsidRPr="00A85D75" w:rsidRDefault="000E6104" w:rsidP="007F1193">
      <w:r w:rsidRPr="00A85D75">
        <w:t xml:space="preserve">Nokia </w:t>
      </w:r>
      <w:r w:rsidR="00E264A1" w:rsidRPr="00A85D75">
        <w:t>suggested</w:t>
      </w:r>
      <w:r w:rsidRPr="00A85D75">
        <w:t xml:space="preserve"> that any allocation to direct air-to-ground services in the 2 GHz </w:t>
      </w:r>
      <w:r w:rsidR="00890A2F" w:rsidRPr="00A85D75">
        <w:t>band must</w:t>
      </w:r>
      <w:r w:rsidR="00607140" w:rsidRPr="00A85D75">
        <w:t xml:space="preserve"> align with the European Aviation Network which uses the lower half of the band. </w:t>
      </w:r>
      <w:r w:rsidR="006B0950" w:rsidRPr="00A85D75">
        <w:t>This would allow aircraft already fitted with equipment to operate on an Australian network, as well as enabling the use of existing certified equipment for new installations on Australian aircraft.</w:t>
      </w:r>
      <w:r w:rsidR="007F1193" w:rsidRPr="00A85D75">
        <w:t xml:space="preserve"> Nokia </w:t>
      </w:r>
      <w:r w:rsidR="004B0AB7" w:rsidRPr="00A85D75">
        <w:t>further advised that c</w:t>
      </w:r>
      <w:r w:rsidR="007F1193" w:rsidRPr="00A85D75">
        <w:t xml:space="preserve">overage should not be restricted to commercial air routes, rather it should be made available over larger areas </w:t>
      </w:r>
      <w:r w:rsidR="00320BF9">
        <w:t>to</w:t>
      </w:r>
      <w:r w:rsidR="00320BF9" w:rsidRPr="00A85D75">
        <w:t xml:space="preserve"> </w:t>
      </w:r>
      <w:r w:rsidR="007F1193" w:rsidRPr="00A85D75">
        <w:t xml:space="preserve">enable use of direct air-to-ground networks by Defence, public safety aircraft, </w:t>
      </w:r>
      <w:r w:rsidR="00320BF9">
        <w:t xml:space="preserve">the </w:t>
      </w:r>
      <w:r w:rsidR="007F1193" w:rsidRPr="00A85D75">
        <w:t>Royal Flying Doctor Service, drones, flying taxis, etc.</w:t>
      </w:r>
    </w:p>
    <w:p w14:paraId="6D0D3E45" w14:textId="10DC9060" w:rsidR="0072207F" w:rsidRPr="00A85D75" w:rsidRDefault="00B238F7" w:rsidP="0072207F">
      <w:proofErr w:type="spellStart"/>
      <w:r w:rsidRPr="00A85D75">
        <w:t>SkyFive</w:t>
      </w:r>
      <w:proofErr w:type="spellEnd"/>
      <w:r w:rsidRPr="00A85D75">
        <w:t xml:space="preserve"> </w:t>
      </w:r>
      <w:r w:rsidR="00E264A1" w:rsidRPr="00A85D75">
        <w:t xml:space="preserve">argued that </w:t>
      </w:r>
      <w:r w:rsidR="00485BC9" w:rsidRPr="00A85D75">
        <w:t xml:space="preserve">existing Ku and Ka band satellite services cannot meet the current and future demands of the aviation industry. There is currently low penetration across aircraft fleets due to high capex and </w:t>
      </w:r>
      <w:proofErr w:type="spellStart"/>
      <w:r w:rsidR="00485BC9" w:rsidRPr="00A85D75">
        <w:t>opex</w:t>
      </w:r>
      <w:proofErr w:type="spellEnd"/>
      <w:r w:rsidR="00485BC9" w:rsidRPr="00A85D75">
        <w:t xml:space="preserve"> (high volume-based data charges, higher fuel consumption due to weight and drag of external equipment, lack of open standards requires long-term contract with proprietary service providers looking to protect investment in costly satellite systems).</w:t>
      </w:r>
    </w:p>
    <w:p w14:paraId="789B8046" w14:textId="09E948F0" w:rsidR="00BC1570" w:rsidRPr="00A85D75" w:rsidRDefault="000A1472" w:rsidP="0072207F">
      <w:proofErr w:type="spellStart"/>
      <w:r w:rsidRPr="00A85D75">
        <w:t>LifeFlight</w:t>
      </w:r>
      <w:proofErr w:type="spellEnd"/>
      <w:r w:rsidRPr="00A85D75">
        <w:t xml:space="preserve"> </w:t>
      </w:r>
      <w:r w:rsidR="005D69F1" w:rsidRPr="00A85D75">
        <w:t>advised that a dedicated air-to-ground communications service would enable live transmission of patient data and imagery in flight, as well as high-bandwidth audio and video downlink for law enforcement.</w:t>
      </w:r>
    </w:p>
    <w:p w14:paraId="559FDDB7" w14:textId="234897C8" w:rsidR="005D69F1" w:rsidRPr="00A85D75" w:rsidRDefault="005D69F1" w:rsidP="0072207F">
      <w:r w:rsidRPr="00A85D75">
        <w:t xml:space="preserve">Regional Express </w:t>
      </w:r>
      <w:r w:rsidR="004B0582">
        <w:t>(Rex)</w:t>
      </w:r>
      <w:r w:rsidRPr="00A85D75">
        <w:t xml:space="preserve"> </w:t>
      </w:r>
      <w:r w:rsidR="00927ED4" w:rsidRPr="00A85D75">
        <w:t>submitted the view that this technology will act as a catalyst for the recovery of the Australian airline industry post COVID-19 by allowing cost rationalisation, improved passenger experience and improved operational efficiency. Rex considers satellite solutions are not feasible due to bulky equipment fitted to aircraft (not suited to small planes), limited bandwidth and high cost.</w:t>
      </w:r>
    </w:p>
    <w:p w14:paraId="3249D83C" w14:textId="695A783D" w:rsidR="0072207F" w:rsidRPr="00A85D75" w:rsidRDefault="0072207F" w:rsidP="0072207F">
      <w:pPr>
        <w:pStyle w:val="Heading3"/>
        <w:spacing w:before="240"/>
      </w:pPr>
      <w:bookmarkStart w:id="142" w:name="_Toc56965721"/>
      <w:bookmarkStart w:id="143" w:name="_Toc61364865"/>
      <w:r w:rsidRPr="00A85D75">
        <w:t>Variations and hybrid approaches</w:t>
      </w:r>
      <w:bookmarkEnd w:id="142"/>
      <w:bookmarkEnd w:id="143"/>
    </w:p>
    <w:p w14:paraId="471AAC59" w14:textId="27FDCFE0" w:rsidR="00241234" w:rsidRPr="00A85D75" w:rsidRDefault="007E2AE0" w:rsidP="007E2AE0">
      <w:r w:rsidRPr="00A85D75">
        <w:t xml:space="preserve">Submissions advocating </w:t>
      </w:r>
      <w:r w:rsidR="003D5E9A" w:rsidRPr="00A85D75">
        <w:t xml:space="preserve">significant variations </w:t>
      </w:r>
      <w:r w:rsidR="00C616BF" w:rsidRPr="00A85D75">
        <w:t xml:space="preserve">to the options presented </w:t>
      </w:r>
      <w:r w:rsidR="003D5E9A" w:rsidRPr="00A85D75">
        <w:t xml:space="preserve">or hybrid approaches were received from </w:t>
      </w:r>
      <w:r w:rsidRPr="00A85D75">
        <w:t>ARCIA</w:t>
      </w:r>
      <w:r w:rsidR="003D5E9A" w:rsidRPr="00A85D75">
        <w:t xml:space="preserve">, </w:t>
      </w:r>
      <w:r w:rsidRPr="00A85D75">
        <w:t>BAI Communications</w:t>
      </w:r>
      <w:r w:rsidR="003D5E9A" w:rsidRPr="00A85D75">
        <w:t xml:space="preserve"> and </w:t>
      </w:r>
      <w:proofErr w:type="spellStart"/>
      <w:r w:rsidRPr="00A85D75">
        <w:t>Pivotel</w:t>
      </w:r>
      <w:proofErr w:type="spellEnd"/>
      <w:r w:rsidR="003D5E9A" w:rsidRPr="00A85D75">
        <w:t>.</w:t>
      </w:r>
    </w:p>
    <w:p w14:paraId="06FDE522" w14:textId="157FBEE7" w:rsidR="00446EFA" w:rsidRPr="00A85D75" w:rsidRDefault="000F6494" w:rsidP="009D726A">
      <w:r w:rsidRPr="00A85D75">
        <w:t xml:space="preserve">ARCIA indicated that retaining the band for TOB is not the highest value option. However, they contend that allocating spectrum for specific technologies or applications is not always successful, </w:t>
      </w:r>
      <w:r w:rsidR="00DA2C93">
        <w:t>therefore</w:t>
      </w:r>
      <w:r w:rsidR="00DA2C93" w:rsidRPr="00A85D75">
        <w:t xml:space="preserve"> </w:t>
      </w:r>
      <w:r w:rsidRPr="00A85D75">
        <w:t>the best replanning option would be a hybrid of options 2 and 3. In addition to MSS, the band should also be made available under apparatus licensing for loca</w:t>
      </w:r>
      <w:r w:rsidR="00C77B56" w:rsidRPr="00A85D75">
        <w:t>l-</w:t>
      </w:r>
      <w:r w:rsidRPr="00A85D75">
        <w:t>area wireless broadband and direct air-to-ground communications, as well as satellite IoT in the guard band.</w:t>
      </w:r>
    </w:p>
    <w:p w14:paraId="25312780" w14:textId="4A2D60E6" w:rsidR="00FD2DBA" w:rsidRPr="00A85D75" w:rsidRDefault="00FD2DBA" w:rsidP="00FD2DBA">
      <w:pPr>
        <w:pStyle w:val="CommentText"/>
      </w:pPr>
      <w:r w:rsidRPr="00A85D75">
        <w:t>BAI Communications supports a hybrid of options 2 and 3, providing capacity for Australia-wide direct air-to-ground communications (2 x 15 MHz), MSS (2 x 10 MHz) and dedicated satellite IoT services (2 x 5 MHz). BAI also considers there may be potential for TOB and direct air-to-ground to coexist, subject to appropriate sharing studies. Direct air-to-ground access could be licensed either via spectrum licensing or administratively through an area-wide apparatus licence, depending upon demand once replanning is complete.</w:t>
      </w:r>
    </w:p>
    <w:p w14:paraId="47AF1834" w14:textId="6104069E" w:rsidR="00705C0A" w:rsidRPr="00A85D75" w:rsidRDefault="003B25A6" w:rsidP="00705C0A">
      <w:pPr>
        <w:pStyle w:val="Paragraph"/>
      </w:pPr>
      <w:proofErr w:type="spellStart"/>
      <w:r w:rsidRPr="00A85D75">
        <w:t>Pivotel</w:t>
      </w:r>
      <w:proofErr w:type="spellEnd"/>
      <w:r w:rsidRPr="00A85D75">
        <w:t xml:space="preserve"> </w:t>
      </w:r>
      <w:r w:rsidR="003176B2" w:rsidRPr="00A85D75">
        <w:t xml:space="preserve">indicated </w:t>
      </w:r>
      <w:r w:rsidRPr="00A85D75">
        <w:t>support</w:t>
      </w:r>
      <w:r w:rsidR="00770AC2" w:rsidRPr="00A85D75">
        <w:t xml:space="preserve"> for</w:t>
      </w:r>
      <w:r w:rsidRPr="00A85D75">
        <w:t xml:space="preserve"> option 3</w:t>
      </w:r>
      <w:r w:rsidR="00770AC2" w:rsidRPr="00A85D75">
        <w:t xml:space="preserve"> (MSS)</w:t>
      </w:r>
      <w:r w:rsidRPr="00A85D75">
        <w:t xml:space="preserve">, including the proposed segmentation for dedicated satellite IoT services. </w:t>
      </w:r>
      <w:r w:rsidR="00770AC2" w:rsidRPr="00A85D75">
        <w:t xml:space="preserve">However, </w:t>
      </w:r>
      <w:proofErr w:type="spellStart"/>
      <w:r w:rsidRPr="00A85D75">
        <w:t>Pivotel</w:t>
      </w:r>
      <w:proofErr w:type="spellEnd"/>
      <w:r w:rsidRPr="00A85D75">
        <w:t xml:space="preserve"> </w:t>
      </w:r>
      <w:r w:rsidR="00FD1D61" w:rsidRPr="00A85D75">
        <w:t>argued that</w:t>
      </w:r>
      <w:r w:rsidRPr="00A85D75">
        <w:t xml:space="preserve"> 2 x 10 MHz </w:t>
      </w:r>
      <w:r w:rsidR="00FD1D61" w:rsidRPr="00A85D75">
        <w:t>should be allocated</w:t>
      </w:r>
      <w:r w:rsidR="00412580">
        <w:t xml:space="preserve"> to</w:t>
      </w:r>
      <w:r w:rsidRPr="00A85D75">
        <w:t xml:space="preserve"> terrestrial services on a primary basis, with an MSS overlay operating on a secondary basis</w:t>
      </w:r>
      <w:r w:rsidR="00BC245F" w:rsidRPr="00A85D75">
        <w:t xml:space="preserve">. </w:t>
      </w:r>
      <w:proofErr w:type="spellStart"/>
      <w:r w:rsidR="00EE7ABC" w:rsidRPr="00A85D75">
        <w:t>Pivotel</w:t>
      </w:r>
      <w:proofErr w:type="spellEnd"/>
      <w:r w:rsidR="00EE7ABC" w:rsidRPr="00A85D75">
        <w:t xml:space="preserve"> does not see it as essential </w:t>
      </w:r>
      <w:r w:rsidR="009A76B2" w:rsidRPr="00A85D75">
        <w:t>for the same operator to deploy both components</w:t>
      </w:r>
      <w:r w:rsidR="00EE7ABC" w:rsidRPr="00A85D75">
        <w:t xml:space="preserve">, </w:t>
      </w:r>
      <w:r w:rsidR="00F51A57" w:rsidRPr="00A85D75">
        <w:t xml:space="preserve">as there are many mechanisms that could be employed to allow roaming between systems. </w:t>
      </w:r>
      <w:r w:rsidRPr="00A85D75">
        <w:t xml:space="preserve">This </w:t>
      </w:r>
      <w:r w:rsidR="00F51A57" w:rsidRPr="00A85D75">
        <w:t xml:space="preserve">arrangement </w:t>
      </w:r>
      <w:r w:rsidRPr="00A85D75">
        <w:t>would enable isolated terrestrial networks to be established immediately, with the complementing MSS deployed once suitable satellite systems have been put in place.</w:t>
      </w:r>
      <w:r w:rsidR="00CD29E3" w:rsidRPr="00A85D75">
        <w:t xml:space="preserve"> </w:t>
      </w:r>
      <w:proofErr w:type="spellStart"/>
      <w:r w:rsidR="00CD29E3" w:rsidRPr="00A85D75">
        <w:t>Pivotel</w:t>
      </w:r>
      <w:proofErr w:type="spellEnd"/>
      <w:r w:rsidR="00CD29E3" w:rsidRPr="00A85D75">
        <w:t xml:space="preserve"> further suggested that the</w:t>
      </w:r>
      <w:r w:rsidRPr="00A85D75">
        <w:t xml:space="preserve"> ACMA should retain flexibility by utilising existing shorter-term apparatus licensing arrangements</w:t>
      </w:r>
      <w:r w:rsidR="00CD29E3" w:rsidRPr="00A85D75">
        <w:t xml:space="preserve"> (rather than long-term spectrum licences)</w:t>
      </w:r>
      <w:r w:rsidRPr="00A85D75">
        <w:t xml:space="preserve">, with some form of ‘use it or lose it’ provision to avoid spectrum hoarding. </w:t>
      </w:r>
    </w:p>
    <w:p w14:paraId="40F69CE3" w14:textId="51CAB10E" w:rsidR="001872AF" w:rsidRPr="00A85D75" w:rsidRDefault="001872AF" w:rsidP="001872AF">
      <w:pPr>
        <w:pStyle w:val="Heading1"/>
      </w:pPr>
      <w:bookmarkStart w:id="144" w:name="_Appendix_B:_Desirable"/>
      <w:bookmarkStart w:id="145" w:name="_Toc56965722"/>
      <w:bookmarkStart w:id="146" w:name="_Toc61364866"/>
      <w:bookmarkEnd w:id="144"/>
      <w:r w:rsidRPr="00A85D75">
        <w:t>Appendix B: Desirable planning outcomes</w:t>
      </w:r>
      <w:bookmarkEnd w:id="145"/>
      <w:bookmarkEnd w:id="146"/>
    </w:p>
    <w:p w14:paraId="75D435E0" w14:textId="3E5B124F" w:rsidR="00570411" w:rsidRPr="00A85D75" w:rsidRDefault="00570411" w:rsidP="00570411">
      <w:pPr>
        <w:pStyle w:val="Paragraphbeforelist"/>
        <w:rPr>
          <w:b/>
          <w:bCs/>
        </w:rPr>
      </w:pPr>
      <w:bookmarkStart w:id="147" w:name="_Hlk57272525"/>
      <w:r w:rsidRPr="00A85D75">
        <w:t xml:space="preserve">The </w:t>
      </w:r>
      <w:r w:rsidR="00A132C6" w:rsidRPr="00A85D75">
        <w:t xml:space="preserve">ACMA’s </w:t>
      </w:r>
      <w:r w:rsidRPr="00A85D75">
        <w:t xml:space="preserve">desirable planning outcomes for the review of the 2 GHz band </w:t>
      </w:r>
      <w:r w:rsidR="0091673E" w:rsidRPr="00A85D75">
        <w:t>are:</w:t>
      </w:r>
    </w:p>
    <w:p w14:paraId="6923CD8E" w14:textId="77777777" w:rsidR="00570411" w:rsidRPr="00A85D75" w:rsidRDefault="00570411" w:rsidP="005A3783">
      <w:pPr>
        <w:pStyle w:val="ListNumber"/>
        <w:numPr>
          <w:ilvl w:val="0"/>
          <w:numId w:val="31"/>
        </w:numPr>
      </w:pPr>
      <w:r w:rsidRPr="00A85D75">
        <w:t>Support new uses of the band consistent with international harmonisation and domestic considerations which includes some mix of MSS uses (including for IoT) and possible wireless broadband uses, including MSS complementary ground component usage.</w:t>
      </w:r>
    </w:p>
    <w:p w14:paraId="1D91B21B" w14:textId="77777777" w:rsidR="00570411" w:rsidRPr="00A85D75" w:rsidRDefault="00570411" w:rsidP="005A3783">
      <w:pPr>
        <w:pStyle w:val="ListNumber"/>
        <w:numPr>
          <w:ilvl w:val="0"/>
          <w:numId w:val="31"/>
        </w:numPr>
      </w:pPr>
      <w:r w:rsidRPr="00A85D75">
        <w:t xml:space="preserve">Resolve the interim nature of arrangements in the band to provide increased certainty for future uses of the band. </w:t>
      </w:r>
    </w:p>
    <w:p w14:paraId="796A7066" w14:textId="6D32FF73" w:rsidR="00570411" w:rsidRPr="00A85D75" w:rsidRDefault="00570411" w:rsidP="005A3783">
      <w:pPr>
        <w:pStyle w:val="ListNumber"/>
        <w:numPr>
          <w:ilvl w:val="0"/>
          <w:numId w:val="31"/>
        </w:numPr>
        <w:spacing w:after="240"/>
      </w:pPr>
      <w:bookmarkStart w:id="148" w:name="_Hlk42847889"/>
      <w:r w:rsidRPr="00A85D75">
        <w:t>Ensure coexistence with adjacent</w:t>
      </w:r>
      <w:r w:rsidR="00351D1B">
        <w:t>-</w:t>
      </w:r>
      <w:r w:rsidRPr="00A85D75">
        <w:t xml:space="preserve">band services is addressed. </w:t>
      </w:r>
      <w:bookmarkEnd w:id="148"/>
      <w:r w:rsidRPr="00A85D75">
        <w:t xml:space="preserve">These include wireless broadband services operating below 1980 and 2170 MHz, and TOB / space research / space operations operating above 2010 and 2200 MHz. </w:t>
      </w:r>
    </w:p>
    <w:bookmarkEnd w:id="147"/>
    <w:p w14:paraId="12658E6E" w14:textId="7F89E77E" w:rsidR="0091673E" w:rsidRPr="00A85D75" w:rsidRDefault="0091673E" w:rsidP="0091673E">
      <w:pPr>
        <w:pStyle w:val="Paragraphbeforelist"/>
      </w:pPr>
      <w:r w:rsidRPr="00A85D75">
        <w:t xml:space="preserve">These were </w:t>
      </w:r>
      <w:r w:rsidR="008601F5" w:rsidRPr="00A85D75">
        <w:t xml:space="preserve">first </w:t>
      </w:r>
      <w:r w:rsidRPr="00A85D75">
        <w:t>articulated in</w:t>
      </w:r>
      <w:r w:rsidR="00320BF9">
        <w:t xml:space="preserve"> the</w:t>
      </w:r>
      <w:r w:rsidRPr="00A85D75">
        <w:t xml:space="preserve"> </w:t>
      </w:r>
      <w:hyperlink r:id="rId65" w:history="1">
        <w:r w:rsidRPr="00485EDB">
          <w:rPr>
            <w:rStyle w:val="Hyperlink"/>
            <w:i/>
            <w:iCs/>
          </w:rPr>
          <w:t>Replanning the 2 GHz band: options paper</w:t>
        </w:r>
      </w:hyperlink>
      <w:r w:rsidR="00AF66D4" w:rsidRPr="00A85D75">
        <w:t xml:space="preserve"> and were developed having regard to </w:t>
      </w:r>
      <w:r w:rsidR="005E2FA8" w:rsidRPr="00A85D75">
        <w:t>the national legislative and policy environment, technological developments, international harmonisation issues, relevant domestic considerations and feedback from submissions to the 2019 discussion paper.</w:t>
      </w:r>
    </w:p>
    <w:p w14:paraId="6D8A8037" w14:textId="5D15DFF6" w:rsidR="00E7478F" w:rsidRDefault="00E7478F" w:rsidP="005F7406">
      <w:pPr>
        <w:pStyle w:val="Paragraphbeforelist"/>
      </w:pPr>
    </w:p>
    <w:p w14:paraId="0B00ECC8" w14:textId="77777777" w:rsidR="00262CEF" w:rsidRDefault="00262CEF" w:rsidP="005F7406">
      <w:pPr>
        <w:pStyle w:val="Paragraphbeforelist"/>
      </w:pPr>
    </w:p>
    <w:p w14:paraId="3A77A620" w14:textId="512DB687" w:rsidR="00262CEF" w:rsidRDefault="00262CEF" w:rsidP="00262CEF">
      <w:pPr>
        <w:pStyle w:val="Heading1"/>
      </w:pPr>
      <w:bookmarkStart w:id="149" w:name="_Toc5000090"/>
      <w:bookmarkStart w:id="150" w:name="_Ref40264484"/>
      <w:bookmarkStart w:id="151" w:name="_Toc40268690"/>
      <w:bookmarkStart w:id="152" w:name="_Ref43890280"/>
      <w:bookmarkStart w:id="153" w:name="_Toc46316401"/>
      <w:bookmarkStart w:id="154" w:name="_Toc61364867"/>
      <w:r w:rsidRPr="003D36EB">
        <w:t xml:space="preserve">Appendix </w:t>
      </w:r>
      <w:r>
        <w:t>C</w:t>
      </w:r>
      <w:r w:rsidRPr="003D36EB">
        <w:t>: Geographical area descriptions</w:t>
      </w:r>
      <w:bookmarkEnd w:id="149"/>
      <w:bookmarkEnd w:id="150"/>
      <w:bookmarkEnd w:id="151"/>
      <w:bookmarkEnd w:id="152"/>
      <w:bookmarkEnd w:id="153"/>
      <w:bookmarkEnd w:id="154"/>
    </w:p>
    <w:p w14:paraId="04BC11FF" w14:textId="04981FF1" w:rsidR="00B26688" w:rsidRDefault="00B26688" w:rsidP="00B26688">
      <w:pPr>
        <w:spacing w:after="80"/>
      </w:pPr>
      <w:r>
        <w:t xml:space="preserve">The ACMA has defined geographical areas to assist in the analysis of </w:t>
      </w:r>
      <w:r w:rsidR="00AB6F88" w:rsidRPr="00512E4C">
        <w:t>replanning</w:t>
      </w:r>
      <w:r>
        <w:t xml:space="preserve"> of the </w:t>
      </w:r>
      <w:r w:rsidR="00AB6F88" w:rsidRPr="00512E4C">
        <w:t>2 GHz</w:t>
      </w:r>
      <w:r>
        <w:t xml:space="preserve"> band</w:t>
      </w:r>
      <w:r w:rsidR="00A939FC">
        <w:t>.</w:t>
      </w:r>
      <w:r>
        <w:t xml:space="preserve"> </w:t>
      </w:r>
      <w:r w:rsidR="008119CB">
        <w:t>The areas mi</w:t>
      </w:r>
      <w:r w:rsidR="00485EDB">
        <w:t>rro</w:t>
      </w:r>
      <w:r w:rsidR="008119CB">
        <w:t xml:space="preserve">r those used for </w:t>
      </w:r>
      <w:hyperlink r:id="rId66" w:history="1">
        <w:r w:rsidR="008119CB" w:rsidRPr="0091018C">
          <w:rPr>
            <w:rStyle w:val="Hyperlink"/>
          </w:rPr>
          <w:t>2 GHz spectr</w:t>
        </w:r>
        <w:bookmarkStart w:id="155" w:name="_Hlt57890100"/>
        <w:bookmarkStart w:id="156" w:name="_Hlt57890101"/>
        <w:r w:rsidR="008119CB" w:rsidRPr="0091018C">
          <w:rPr>
            <w:rStyle w:val="Hyperlink"/>
          </w:rPr>
          <w:t>u</w:t>
        </w:r>
        <w:bookmarkEnd w:id="155"/>
        <w:bookmarkEnd w:id="156"/>
        <w:r w:rsidR="008119CB" w:rsidRPr="0091018C">
          <w:rPr>
            <w:rStyle w:val="Hyperlink"/>
          </w:rPr>
          <w:t>m licensing</w:t>
        </w:r>
      </w:hyperlink>
      <w:r w:rsidR="008119CB">
        <w:t xml:space="preserve">. </w:t>
      </w:r>
      <w:r w:rsidR="003A0FC5">
        <w:t>They are</w:t>
      </w:r>
      <w:r>
        <w:t>:</w:t>
      </w:r>
    </w:p>
    <w:p w14:paraId="3E0B141E" w14:textId="60CB5658" w:rsidR="00B26688" w:rsidRPr="008337C7" w:rsidRDefault="000E01E0" w:rsidP="00B26688">
      <w:pPr>
        <w:pStyle w:val="ListBullet"/>
        <w:rPr>
          <w:rFonts w:cs="Arial"/>
        </w:rPr>
      </w:pPr>
      <w:r>
        <w:t xml:space="preserve">Capital city </w:t>
      </w:r>
      <w:r w:rsidR="000C44EF">
        <w:t xml:space="preserve">– </w:t>
      </w:r>
      <w:r w:rsidR="00B26688">
        <w:t>all capital cities</w:t>
      </w:r>
      <w:r w:rsidR="00B26688" w:rsidRPr="000464E2">
        <w:rPr>
          <w:rFonts w:cs="Arial"/>
          <w:i/>
        </w:rPr>
        <w:t>.</w:t>
      </w:r>
    </w:p>
    <w:p w14:paraId="4A0F8A61" w14:textId="44A27ABF" w:rsidR="00B26688" w:rsidRDefault="00B26688" w:rsidP="00B26688">
      <w:pPr>
        <w:pStyle w:val="ListBullet"/>
      </w:pPr>
      <w:r>
        <w:t>Regional</w:t>
      </w:r>
      <w:r w:rsidR="006155FF">
        <w:t xml:space="preserve"> </w:t>
      </w:r>
      <w:r w:rsidR="00501D25">
        <w:t>–</w:t>
      </w:r>
      <w:r w:rsidR="006155FF">
        <w:t xml:space="preserve"> </w:t>
      </w:r>
      <w:r w:rsidR="00501D25">
        <w:t>western and eastern Australia 2 G</w:t>
      </w:r>
      <w:r w:rsidR="00533652">
        <w:t>H</w:t>
      </w:r>
      <w:r w:rsidR="00501D25">
        <w:t xml:space="preserve">z spectrum licensing areas. </w:t>
      </w:r>
      <w:r>
        <w:t xml:space="preserve"> </w:t>
      </w:r>
    </w:p>
    <w:p w14:paraId="513C9004" w14:textId="73BC512C" w:rsidR="00B26688" w:rsidRDefault="00B26688" w:rsidP="00B26688">
      <w:pPr>
        <w:pStyle w:val="ListBullet"/>
      </w:pPr>
      <w:r>
        <w:t>Remote</w:t>
      </w:r>
      <w:r w:rsidR="000C44EF">
        <w:t xml:space="preserve"> – </w:t>
      </w:r>
      <w:r>
        <w:t xml:space="preserve">includes those areas of Australia not covered by </w:t>
      </w:r>
      <w:r w:rsidR="00612A06">
        <w:t>capital city</w:t>
      </w:r>
      <w:r>
        <w:t xml:space="preserve"> and </w:t>
      </w:r>
      <w:r w:rsidR="00612A06">
        <w:t>regional</w:t>
      </w:r>
      <w:r>
        <w:t xml:space="preserve"> areas. </w:t>
      </w:r>
    </w:p>
    <w:p w14:paraId="1B6DCF0F" w14:textId="1A82F1B5" w:rsidR="00B26688" w:rsidRDefault="00B26688" w:rsidP="00B26688">
      <w:pPr>
        <w:pStyle w:val="ListBulletLast"/>
        <w:keepLines/>
      </w:pPr>
      <w:r>
        <w:t>Australia-wide</w:t>
      </w:r>
      <w:r w:rsidR="000C44EF">
        <w:t xml:space="preserve"> – </w:t>
      </w:r>
      <w:r>
        <w:t>covers all of Australia but excludes Australian external territories.</w:t>
      </w:r>
    </w:p>
    <w:p w14:paraId="5EAD319D" w14:textId="521ECAB5" w:rsidR="00B26688" w:rsidRPr="00776DBC" w:rsidRDefault="00B26688" w:rsidP="00B26688">
      <w:pPr>
        <w:rPr>
          <w:szCs w:val="20"/>
        </w:rPr>
      </w:pPr>
      <w:r>
        <w:t>The Australian Spectrum Map Grid (</w:t>
      </w:r>
      <w:r w:rsidRPr="00577B3E">
        <w:t>ASMG</w:t>
      </w:r>
      <w:r>
        <w:t xml:space="preserve">) is used to define geographical areas over which spectrum licences are issued. </w:t>
      </w:r>
      <w:r w:rsidRPr="00577B3E">
        <w:t xml:space="preserve">The Hierarchical Cell Identification Scheme (HCIS) is a naming convention developed by the ACMA that applies unique ‘names’ to each of the cells </w:t>
      </w:r>
      <w:r>
        <w:t>that make up</w:t>
      </w:r>
      <w:r w:rsidRPr="00577B3E">
        <w:t xml:space="preserve"> the</w:t>
      </w:r>
      <w:r>
        <w:t xml:space="preserve"> ASMG</w:t>
      </w:r>
      <w:r w:rsidRPr="00577B3E">
        <w:t>.</w:t>
      </w:r>
      <w:r>
        <w:t xml:space="preserve"> The ASMG and HCIS are described in detail in the </w:t>
      </w:r>
      <w:hyperlink r:id="rId67" w:history="1">
        <w:r w:rsidRPr="00485EDB">
          <w:rPr>
            <w:rStyle w:val="Hyperlink"/>
            <w:rFonts w:cs="Arial"/>
          </w:rPr>
          <w:t>Australian spectrum map grid</w:t>
        </w:r>
      </w:hyperlink>
      <w:r>
        <w:t>.</w:t>
      </w:r>
    </w:p>
    <w:p w14:paraId="35553298" w14:textId="47EE118D" w:rsidR="00B26688" w:rsidRDefault="00B26688" w:rsidP="00B26688">
      <w:pPr>
        <w:rPr>
          <w:rFonts w:cs="Arial"/>
        </w:rPr>
      </w:pPr>
      <w:r w:rsidRPr="006006B1">
        <w:t xml:space="preserve">The HCIS coordinates </w:t>
      </w:r>
      <w:r>
        <w:t xml:space="preserve">in </w:t>
      </w:r>
      <w:r>
        <w:fldChar w:fldCharType="begin"/>
      </w:r>
      <w:r>
        <w:instrText xml:space="preserve"> REF _Ref29365178 \h </w:instrText>
      </w:r>
      <w:r>
        <w:fldChar w:fldCharType="separate"/>
      </w:r>
      <w:r w:rsidR="005F5F48" w:rsidRPr="00B714DE">
        <w:t>HCIS description of areas</w:t>
      </w:r>
      <w:r>
        <w:fldChar w:fldCharType="end"/>
      </w:r>
      <w:r>
        <w:t xml:space="preserve"> </w:t>
      </w:r>
      <w:r w:rsidRPr="006006B1">
        <w:t xml:space="preserve">can be converted into a </w:t>
      </w:r>
      <w:r w:rsidRPr="00C650D6">
        <w:t>Placemark</w:t>
      </w:r>
      <w:r>
        <w:t xml:space="preserve"> file (viewable in Google Earth)</w:t>
      </w:r>
      <w:r w:rsidRPr="00C650D6">
        <w:t xml:space="preserve"> </w:t>
      </w:r>
      <w:r w:rsidRPr="006006B1">
        <w:t xml:space="preserve">through a facility on the </w:t>
      </w:r>
      <w:hyperlink r:id="rId68" w:history="1">
        <w:r w:rsidRPr="00DB6F54">
          <w:rPr>
            <w:rStyle w:val="Hyperlink"/>
          </w:rPr>
          <w:t>ACMA website</w:t>
        </w:r>
      </w:hyperlink>
      <w:r>
        <w:t>.</w:t>
      </w:r>
      <w:r w:rsidRPr="00C650D6">
        <w:t xml:space="preserve"> </w:t>
      </w:r>
    </w:p>
    <w:p w14:paraId="52C7A5B5" w14:textId="77777777" w:rsidR="00F95090" w:rsidRPr="00450C98" w:rsidRDefault="00F95090" w:rsidP="00F95090">
      <w:pPr>
        <w:pStyle w:val="ACMATableHeader"/>
        <w:keepNext/>
        <w:tabs>
          <w:tab w:val="clear" w:pos="964"/>
          <w:tab w:val="num" w:pos="1134"/>
        </w:tabs>
        <w:ind w:left="1134" w:hanging="1134"/>
      </w:pPr>
      <w:bookmarkStart w:id="157" w:name="_Ref29365178"/>
      <w:r w:rsidRPr="00B714DE">
        <w:t>HCIS description of areas</w:t>
      </w:r>
      <w:bookmarkEnd w:id="157"/>
    </w:p>
    <w:tbl>
      <w:tblPr>
        <w:tblStyle w:val="TableGrid"/>
        <w:tblW w:w="9495" w:type="dxa"/>
        <w:tblLayout w:type="fixed"/>
        <w:tblCellMar>
          <w:top w:w="57" w:type="dxa"/>
          <w:bottom w:w="57" w:type="dxa"/>
        </w:tblCellMar>
        <w:tblLook w:val="04A0" w:firstRow="1" w:lastRow="0" w:firstColumn="1" w:lastColumn="0" w:noHBand="0" w:noVBand="1"/>
      </w:tblPr>
      <w:tblGrid>
        <w:gridCol w:w="1696"/>
        <w:gridCol w:w="1276"/>
        <w:gridCol w:w="6523"/>
      </w:tblGrid>
      <w:tr w:rsidR="00F95090" w14:paraId="15B48141" w14:textId="77777777" w:rsidTr="004E2A09">
        <w:trPr>
          <w:tblHeader/>
        </w:trPr>
        <w:tc>
          <w:tcPr>
            <w:tcW w:w="1696"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502D027F" w14:textId="77777777" w:rsidR="00F95090" w:rsidRPr="00233424" w:rsidRDefault="00F95090" w:rsidP="004E2A09">
            <w:pPr>
              <w:pStyle w:val="TableHeading0"/>
              <w:rPr>
                <w:color w:val="FFFFFF" w:themeColor="background1"/>
              </w:rPr>
            </w:pPr>
            <w:r w:rsidRPr="00233424">
              <w:rPr>
                <w:color w:val="FFFFFF" w:themeColor="background1"/>
              </w:rPr>
              <w:t xml:space="preserve">Spectrum </w:t>
            </w:r>
            <w:r>
              <w:rPr>
                <w:color w:val="FFFFFF" w:themeColor="background1"/>
              </w:rPr>
              <w:t>l</w:t>
            </w:r>
            <w:r w:rsidRPr="00233424">
              <w:rPr>
                <w:color w:val="FFFFFF" w:themeColor="background1"/>
              </w:rPr>
              <w:t xml:space="preserve">icence </w:t>
            </w:r>
            <w:r>
              <w:rPr>
                <w:color w:val="FFFFFF" w:themeColor="background1"/>
              </w:rPr>
              <w:t>a</w:t>
            </w:r>
            <w:r w:rsidRPr="00233424">
              <w:rPr>
                <w:color w:val="FFFFFF" w:themeColor="background1"/>
              </w:rPr>
              <w:t xml:space="preserve">rea </w:t>
            </w:r>
            <w:r>
              <w:rPr>
                <w:color w:val="FFFFFF" w:themeColor="background1"/>
              </w:rPr>
              <w:t>f</w:t>
            </w:r>
            <w:r w:rsidRPr="00233424">
              <w:rPr>
                <w:color w:val="FFFFFF" w:themeColor="background1"/>
              </w:rPr>
              <w:t xml:space="preserve">requency </w:t>
            </w:r>
            <w:r>
              <w:rPr>
                <w:color w:val="FFFFFF" w:themeColor="background1"/>
              </w:rPr>
              <w:t>r</w:t>
            </w:r>
            <w:r w:rsidRPr="00233424">
              <w:rPr>
                <w:color w:val="FFFFFF" w:themeColor="background1"/>
              </w:rPr>
              <w:t>ange</w:t>
            </w:r>
          </w:p>
        </w:tc>
        <w:tc>
          <w:tcPr>
            <w:tcW w:w="1276"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69C591A2" w14:textId="77777777" w:rsidR="00F95090" w:rsidRPr="00233424" w:rsidRDefault="00F95090" w:rsidP="004E2A09">
            <w:pPr>
              <w:pStyle w:val="TableHeading0"/>
              <w:rPr>
                <w:color w:val="FFFFFF" w:themeColor="background1"/>
              </w:rPr>
            </w:pPr>
            <w:r w:rsidRPr="00233424">
              <w:rPr>
                <w:color w:val="FFFFFF" w:themeColor="background1"/>
              </w:rPr>
              <w:t xml:space="preserve">Area </w:t>
            </w:r>
            <w:r>
              <w:rPr>
                <w:color w:val="FFFFFF" w:themeColor="background1"/>
              </w:rPr>
              <w:t>n</w:t>
            </w:r>
            <w:r w:rsidRPr="00233424">
              <w:rPr>
                <w:color w:val="FFFFFF" w:themeColor="background1"/>
              </w:rPr>
              <w:t>ame</w:t>
            </w:r>
          </w:p>
        </w:tc>
        <w:tc>
          <w:tcPr>
            <w:tcW w:w="6523"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5B70E956" w14:textId="77777777" w:rsidR="00F95090" w:rsidRPr="00233424" w:rsidRDefault="00F95090" w:rsidP="004E2A09">
            <w:pPr>
              <w:pStyle w:val="TableHeading0"/>
              <w:rPr>
                <w:color w:val="FFFFFF" w:themeColor="background1"/>
              </w:rPr>
            </w:pPr>
            <w:r w:rsidRPr="00233424">
              <w:rPr>
                <w:color w:val="FFFFFF" w:themeColor="background1"/>
              </w:rPr>
              <w:t>HCIS</w:t>
            </w:r>
          </w:p>
        </w:tc>
      </w:tr>
      <w:tr w:rsidR="00F95090" w14:paraId="768CCE57" w14:textId="77777777" w:rsidTr="004E2A09">
        <w:tc>
          <w:tcPr>
            <w:tcW w:w="1696" w:type="dxa"/>
            <w:vMerge w:val="restart"/>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14:paraId="48CF5B80" w14:textId="49686781" w:rsidR="00F95090" w:rsidRDefault="00173C43" w:rsidP="004E2A09">
            <w:pPr>
              <w:pStyle w:val="TableBody"/>
              <w:spacing w:line="240" w:lineRule="atLeast"/>
              <w:ind w:firstLine="127"/>
            </w:pPr>
            <w:r>
              <w:t xml:space="preserve">Capital city </w:t>
            </w:r>
          </w:p>
        </w:tc>
        <w:tc>
          <w:tcPr>
            <w:tcW w:w="1276" w:type="dxa"/>
            <w:tcBorders>
              <w:top w:val="single" w:sz="4" w:space="0" w:color="auto"/>
              <w:left w:val="single" w:sz="4" w:space="0" w:color="auto"/>
              <w:bottom w:val="single" w:sz="4" w:space="0" w:color="auto"/>
              <w:right w:val="single" w:sz="4" w:space="0" w:color="auto"/>
            </w:tcBorders>
            <w:hideMark/>
          </w:tcPr>
          <w:p w14:paraId="55F622E1" w14:textId="77777777" w:rsidR="00F95090" w:rsidRDefault="00F95090" w:rsidP="004E2A09">
            <w:pPr>
              <w:pStyle w:val="TableBody"/>
              <w:spacing w:line="240" w:lineRule="atLeast"/>
            </w:pPr>
            <w:r>
              <w:t xml:space="preserve">Adelaide </w:t>
            </w:r>
          </w:p>
        </w:tc>
        <w:tc>
          <w:tcPr>
            <w:tcW w:w="6523" w:type="dxa"/>
            <w:tcBorders>
              <w:top w:val="single" w:sz="4" w:space="0" w:color="auto"/>
              <w:left w:val="single" w:sz="4" w:space="0" w:color="auto"/>
              <w:bottom w:val="single" w:sz="4" w:space="0" w:color="auto"/>
              <w:right w:val="single" w:sz="4" w:space="0" w:color="auto"/>
            </w:tcBorders>
            <w:vAlign w:val="center"/>
            <w:hideMark/>
          </w:tcPr>
          <w:p w14:paraId="5EA4E25C" w14:textId="77777777" w:rsidR="00F95090" w:rsidRDefault="00F95090" w:rsidP="004E2A09">
            <w:pPr>
              <w:pStyle w:val="TableBody"/>
              <w:spacing w:line="240" w:lineRule="atLeast"/>
            </w:pPr>
            <w:r>
              <w:t>IW3J, IW3K, IW3L, IW3N, IW3O, IW3P, IW6B, IW6C, IW6D, IW6F, IW6G, IW6H, IW3E5, IW3E6, IW3E8, IW3E9, IW3F4, IW3F5, IW3F6, IW3F7, IW3F8, IW3F9, IW3G4, IW3G5, IW3G6, IW3G7, IW3G8, IW3G9, IW3H4, IW3H5, IW3H6, IW3H7, IW3H8, IW3H9, IW3I2, IW3I3, IW3I5, IW3I6, IW3I8, IW3I9, IW3M2, IW3M3, IW3M5, IW3M6, IW3M8, IW3M9, IW6A2, IW6A3, IW6A5, IW6A6, IW6A8, IW6A9, IW6E2, IW6E3, IW6E5, IW6E6, IW6E8, IW6E9, JW1E4, JW1E7, JW1I1, JW1I4, JW1I7, JW1M1, JW1M4</w:t>
            </w:r>
          </w:p>
        </w:tc>
      </w:tr>
      <w:tr w:rsidR="00F95090" w14:paraId="5F0D6B4F" w14:textId="77777777" w:rsidTr="004E2A09">
        <w:tc>
          <w:tcPr>
            <w:tcW w:w="1696" w:type="dxa"/>
            <w:vMerge/>
            <w:vAlign w:val="center"/>
            <w:hideMark/>
          </w:tcPr>
          <w:p w14:paraId="12D4E787"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0CC2ECB4" w14:textId="77777777" w:rsidR="00F95090" w:rsidRDefault="00F95090" w:rsidP="004E2A09">
            <w:pPr>
              <w:pStyle w:val="TableBody"/>
              <w:spacing w:line="240" w:lineRule="atLeast"/>
            </w:pPr>
            <w:r>
              <w:t xml:space="preserve">Brisbane </w:t>
            </w:r>
          </w:p>
        </w:tc>
        <w:tc>
          <w:tcPr>
            <w:tcW w:w="6523" w:type="dxa"/>
            <w:tcBorders>
              <w:top w:val="single" w:sz="4" w:space="0" w:color="auto"/>
              <w:left w:val="single" w:sz="4" w:space="0" w:color="auto"/>
              <w:bottom w:val="single" w:sz="4" w:space="0" w:color="auto"/>
              <w:right w:val="single" w:sz="4" w:space="0" w:color="auto"/>
            </w:tcBorders>
            <w:vAlign w:val="center"/>
            <w:hideMark/>
          </w:tcPr>
          <w:p w14:paraId="2CFF73E2" w14:textId="77777777" w:rsidR="00F95090" w:rsidRDefault="00F95090" w:rsidP="004E2A09">
            <w:pPr>
              <w:pStyle w:val="TableBody"/>
              <w:spacing w:line="240" w:lineRule="atLeast"/>
            </w:pPr>
            <w:r>
              <w:t>NT9, NT5G, NT5H, NT5K, NT5L, NT5O, NT5P, NT6E, NT6F, NT6G, NT6H, NT6I, NT6J, NT6K, NT6L, NT6M, NT6N, NT6O, NT6P, NT8C, NT8D, NT8G, NT8H, NT8K, NT8L, NT8O, NT8P, NU3A, NU3B, NU3C, NU3D, NU3F, NU3G, NU3H, NT5C4, NT5C5, NT5C6, NT5C7, NT5C8, NT5C9, NT5D4, NT5D5, NT5D6, NT5D7, NT5D8, NT5D9, NT6A4, NT6A5, NT6A6, NT6A7, NT6A8, NT6A9, NT6B4, NT6B5, NT6B6, NT6B7, NT6B8, NT6B9, NT6C4, NT6C5, NT6C6, NT6C7, NT6C8, NT6C9, NT6D4, NT6D5, NT6D6, NT6D7, NT6D8, NT6D9, NU2C1, NU2C2, NU2C3, NU2D1, NU2D2, NU2D3, NU2D5, NU2D6, NU2D8, NU2D9, NU2H2, NU2H3, NU3E1, NU3E2, NU3E3, NU3E5, NU3E6, NU3E8, NU3E9, NU3I2, NU3I3, NU3J1, NU3J2, NU3J3, NU3K1, NU3K2, NU3K3, NU3L1, NU3L2, NU3L3</w:t>
            </w:r>
          </w:p>
        </w:tc>
      </w:tr>
      <w:tr w:rsidR="00F95090" w14:paraId="4E6F7DED" w14:textId="77777777" w:rsidTr="004E2A09">
        <w:tc>
          <w:tcPr>
            <w:tcW w:w="1696" w:type="dxa"/>
            <w:vMerge/>
            <w:vAlign w:val="center"/>
            <w:hideMark/>
          </w:tcPr>
          <w:p w14:paraId="20DA971C"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7CE3C5BD" w14:textId="77777777" w:rsidR="00F95090" w:rsidRDefault="00F95090" w:rsidP="004E2A09">
            <w:pPr>
              <w:pStyle w:val="TableBody"/>
              <w:spacing w:line="240" w:lineRule="atLeast"/>
            </w:pPr>
            <w:r>
              <w:t>Canberra</w:t>
            </w:r>
          </w:p>
        </w:tc>
        <w:tc>
          <w:tcPr>
            <w:tcW w:w="6523" w:type="dxa"/>
            <w:tcBorders>
              <w:top w:val="single" w:sz="4" w:space="0" w:color="auto"/>
              <w:left w:val="single" w:sz="4" w:space="0" w:color="auto"/>
              <w:bottom w:val="single" w:sz="4" w:space="0" w:color="auto"/>
              <w:right w:val="single" w:sz="4" w:space="0" w:color="auto"/>
            </w:tcBorders>
            <w:vAlign w:val="bottom"/>
            <w:hideMark/>
          </w:tcPr>
          <w:p w14:paraId="4925E92F" w14:textId="77777777" w:rsidR="00F95090" w:rsidRDefault="00F95090" w:rsidP="004E2A09">
            <w:pPr>
              <w:pStyle w:val="TableBody"/>
              <w:spacing w:line="240" w:lineRule="atLeast"/>
            </w:pPr>
            <w:r>
              <w:t>MW4D, MW4H, MW4L, MW5A, MW5B, MW5E, MW5F, MW5I, MW5J, MW1P4, MW1P5, MW1P6, MW1P7, MW1P8, MW1P9, MW2M4, MW2M5, MW2M6, MW2M7, MW2M8, MW2M9, MW2N4, MW2N5, MW2N6, MW2N7, MW2N8, MW2N9, MW4P1, MW4P2, MW4P3, MW5M1, MW5M2, MW5M3, MW5N1, MW5N2, MW5N3</w:t>
            </w:r>
          </w:p>
        </w:tc>
      </w:tr>
      <w:tr w:rsidR="00F95090" w14:paraId="079A71B4" w14:textId="77777777" w:rsidTr="004E2A09">
        <w:trPr>
          <w:trHeight w:val="70"/>
        </w:trPr>
        <w:tc>
          <w:tcPr>
            <w:tcW w:w="1696" w:type="dxa"/>
            <w:vMerge/>
            <w:vAlign w:val="center"/>
            <w:hideMark/>
          </w:tcPr>
          <w:p w14:paraId="263EBC60"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4FCD6918" w14:textId="77777777" w:rsidR="00F95090" w:rsidRDefault="00F95090" w:rsidP="004E2A09">
            <w:pPr>
              <w:pStyle w:val="TableBody"/>
              <w:spacing w:line="240" w:lineRule="atLeast"/>
            </w:pPr>
            <w:r>
              <w:t>Darwin</w:t>
            </w:r>
          </w:p>
        </w:tc>
        <w:tc>
          <w:tcPr>
            <w:tcW w:w="6523" w:type="dxa"/>
            <w:tcBorders>
              <w:top w:val="single" w:sz="4" w:space="0" w:color="auto"/>
              <w:left w:val="single" w:sz="4" w:space="0" w:color="auto"/>
              <w:bottom w:val="single" w:sz="4" w:space="0" w:color="auto"/>
              <w:right w:val="single" w:sz="4" w:space="0" w:color="auto"/>
            </w:tcBorders>
            <w:hideMark/>
          </w:tcPr>
          <w:p w14:paraId="16459CBB" w14:textId="77777777" w:rsidR="00F95090" w:rsidRDefault="00F95090" w:rsidP="004E2A09">
            <w:pPr>
              <w:pStyle w:val="TableBody"/>
              <w:spacing w:line="240" w:lineRule="atLeast"/>
            </w:pPr>
            <w:r>
              <w:t>GO7C, GO7D, GO7G, GO7H, GO7K, GO7L, GO8A, GO8E, GO8I</w:t>
            </w:r>
          </w:p>
        </w:tc>
      </w:tr>
      <w:tr w:rsidR="00F95090" w14:paraId="6CD850EF" w14:textId="77777777" w:rsidTr="004E2A09">
        <w:tc>
          <w:tcPr>
            <w:tcW w:w="1696" w:type="dxa"/>
            <w:vMerge/>
            <w:vAlign w:val="center"/>
            <w:hideMark/>
          </w:tcPr>
          <w:p w14:paraId="4B08A99B"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265F8763" w14:textId="77777777" w:rsidR="00F95090" w:rsidRDefault="00F95090" w:rsidP="004E2A09">
            <w:pPr>
              <w:pStyle w:val="TableBody"/>
              <w:spacing w:line="240" w:lineRule="atLeast"/>
            </w:pPr>
            <w:r>
              <w:t>Hobart</w:t>
            </w:r>
          </w:p>
        </w:tc>
        <w:tc>
          <w:tcPr>
            <w:tcW w:w="6523" w:type="dxa"/>
            <w:tcBorders>
              <w:top w:val="single" w:sz="4" w:space="0" w:color="auto"/>
              <w:left w:val="single" w:sz="4" w:space="0" w:color="auto"/>
              <w:bottom w:val="single" w:sz="4" w:space="0" w:color="auto"/>
              <w:right w:val="single" w:sz="4" w:space="0" w:color="auto"/>
            </w:tcBorders>
            <w:vAlign w:val="center"/>
            <w:hideMark/>
          </w:tcPr>
          <w:p w14:paraId="39D99FE8" w14:textId="77777777" w:rsidR="00F95090" w:rsidRDefault="00F95090" w:rsidP="004E2A09">
            <w:pPr>
              <w:pStyle w:val="TableBody"/>
              <w:spacing w:line="240" w:lineRule="atLeast"/>
            </w:pPr>
            <w:r>
              <w:t>LY8L, LY8P, LY9I, LY9J, LY9K, LY9L, LY9M, LY9N, LY9O, LY9P, LZ2D, LZ2H, LZ3A, LZ3B, LZ3C, LZ3D, LZ3E, LZ3F, LZ3G, LZ3H, LY8H4, LY8H5, LY8H6, LY8H7, LY8H8, LY8H9, LY9E4, LY9E5, LY9E6, LY9E7, LY9E8, LY9E9, LY9F4, LY9F5, LY9F6, LY9F7, LY9F8, LY9F9, LY9G4, LY9G5, LY9G6, LY9G7, LY9G8, LY9G9, LY9H4, LY9H5, LY9H6, LY9H7, LY9H8, LY9H9, LZ2L1, LZ2L2, LZ2L3, LZ3I1, LZ3I2, LZ3I3, LZ3J1, LZ3J2, LZ3J3, LZ3K1, LZ3K2, LZ3K3, LZ3L1, LZ3L2, LZ3L3</w:t>
            </w:r>
          </w:p>
        </w:tc>
      </w:tr>
      <w:tr w:rsidR="00F95090" w14:paraId="6C462E15" w14:textId="77777777" w:rsidTr="004E2A09">
        <w:tc>
          <w:tcPr>
            <w:tcW w:w="1696" w:type="dxa"/>
            <w:vMerge/>
            <w:vAlign w:val="center"/>
            <w:hideMark/>
          </w:tcPr>
          <w:p w14:paraId="41A5CFDE"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112458FC" w14:textId="77777777" w:rsidR="00F95090" w:rsidRDefault="00F95090" w:rsidP="004E2A09">
            <w:pPr>
              <w:pStyle w:val="TableBody"/>
              <w:spacing w:line="240" w:lineRule="atLeast"/>
            </w:pPr>
            <w:r>
              <w:t>Melbourne</w:t>
            </w:r>
          </w:p>
        </w:tc>
        <w:tc>
          <w:tcPr>
            <w:tcW w:w="6523" w:type="dxa"/>
            <w:tcBorders>
              <w:top w:val="single" w:sz="4" w:space="0" w:color="auto"/>
              <w:left w:val="single" w:sz="4" w:space="0" w:color="auto"/>
              <w:bottom w:val="single" w:sz="4" w:space="0" w:color="auto"/>
              <w:right w:val="single" w:sz="4" w:space="0" w:color="auto"/>
            </w:tcBorders>
            <w:vAlign w:val="center"/>
            <w:hideMark/>
          </w:tcPr>
          <w:p w14:paraId="3A766D26" w14:textId="77777777" w:rsidR="00F95090" w:rsidRDefault="00F95090" w:rsidP="004E2A09">
            <w:pPr>
              <w:pStyle w:val="TableBody"/>
              <w:spacing w:line="240" w:lineRule="atLeast"/>
            </w:pPr>
            <w:r>
              <w:t>KX3J, KX3K, KX3L, KX3N, KX3O, KX3P, KX6B, KX6C, KX6D, KX6F, KX6G, KX6H, KX6J, KX6K, KX6L, LX1I, LX1M, LX1N, LX1O, LX4A, LX4B, LX4C, LX4E, LX4I, KX3F7, KX3F8, KX3F9, KX3G7, KX3G8, KX3G9, KX3H4, KX3H5, KX3H6, KX3H7, KX3H8, KX3H9, KX3M6, KX3M8, KX3M9, KX6A2, KX6A3, KX6A5, KX6A6, KX6A8, KX6A9, KX6E2, KX6E3, KX6E5, KX6E6, KX6E8, KX6E9, KX6I2, KX6I3, KX6I5, KX6I6, KX6I8, KX6I9, LX1E4, LX1E7, LX1E8, LX1E9, LX1J1, LX1J4, LX1J5, LX1J6, LX1J7, LX1J8, LX1J9, LX1K4, LX1K7, LX4F1, LX4F2, LX4F4, LX4F5, LX4F7, LX4F8, LX4J1, LX4J2, LX4J4, LX4J5, LX4J7, LX4J8</w:t>
            </w:r>
          </w:p>
        </w:tc>
      </w:tr>
      <w:tr w:rsidR="00F95090" w14:paraId="60A09D0C" w14:textId="77777777" w:rsidTr="004E2A09">
        <w:tc>
          <w:tcPr>
            <w:tcW w:w="1696" w:type="dxa"/>
            <w:vMerge/>
            <w:vAlign w:val="center"/>
            <w:hideMark/>
          </w:tcPr>
          <w:p w14:paraId="5B62CF51"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78B841A5" w14:textId="77777777" w:rsidR="00F95090" w:rsidRDefault="00F95090" w:rsidP="004E2A09">
            <w:pPr>
              <w:pStyle w:val="TableBody"/>
              <w:spacing w:line="240" w:lineRule="atLeast"/>
            </w:pPr>
            <w:r>
              <w:t xml:space="preserve">Perth </w:t>
            </w:r>
          </w:p>
        </w:tc>
        <w:tc>
          <w:tcPr>
            <w:tcW w:w="6523" w:type="dxa"/>
            <w:tcBorders>
              <w:top w:val="single" w:sz="4" w:space="0" w:color="auto"/>
              <w:left w:val="single" w:sz="4" w:space="0" w:color="auto"/>
              <w:bottom w:val="single" w:sz="4" w:space="0" w:color="auto"/>
              <w:right w:val="single" w:sz="4" w:space="0" w:color="auto"/>
            </w:tcBorders>
            <w:hideMark/>
          </w:tcPr>
          <w:p w14:paraId="4FBB545F" w14:textId="77777777" w:rsidR="00F95090" w:rsidRDefault="00F95090" w:rsidP="004E2A09">
            <w:pPr>
              <w:pStyle w:val="TableBody"/>
              <w:spacing w:line="240" w:lineRule="atLeast"/>
            </w:pPr>
            <w:r>
              <w:t>BV1I, BV1J, BV1K, BV1L, BV1M, BV1N, BV1O, BV1P, BV2I, BV2J, BV2M, BV2N, BV4A, BV4B, BV4C, BV4D, BV4E, BV4F, BV4G, BV4H, BV4I, BV4J, BV4K, BV4L, BV5A, BV5B, BV5E, BV5F, BV5I, BV5J, BV1E7, BV1E8, BV1E9, BV1F7, BV1F8, BV1F9, BV1G7, BV1G8, BV1G9, BV1H7, BV1H8, BV1H9, BV2E7, BV2E8, BV2E9, BV2F7, BV2F8, BV2F9, BV4M1, BV4M2, BV4M3, BV4N1, BV4N2, BV4N3, BV4O1, BV4O2, BV4O3, BV4P1, BV4P2, BV4P3, BV5M1, BV5M2, BV5M3, BV5N1, BV5N2, BV5N3</w:t>
            </w:r>
          </w:p>
        </w:tc>
      </w:tr>
      <w:tr w:rsidR="00F95090" w14:paraId="786AD175" w14:textId="77777777" w:rsidTr="004E2A09">
        <w:tc>
          <w:tcPr>
            <w:tcW w:w="1696" w:type="dxa"/>
            <w:vMerge/>
            <w:vAlign w:val="center"/>
            <w:hideMark/>
          </w:tcPr>
          <w:p w14:paraId="0CB5BBB7"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32EF139A" w14:textId="77777777" w:rsidR="00F95090" w:rsidRDefault="00F95090" w:rsidP="004E2A09">
            <w:pPr>
              <w:pStyle w:val="TableBody"/>
              <w:spacing w:line="240" w:lineRule="atLeast"/>
            </w:pPr>
            <w:r>
              <w:t xml:space="preserve">Sydney </w:t>
            </w:r>
          </w:p>
        </w:tc>
        <w:tc>
          <w:tcPr>
            <w:tcW w:w="6523" w:type="dxa"/>
            <w:tcBorders>
              <w:top w:val="single" w:sz="4" w:space="0" w:color="auto"/>
              <w:left w:val="single" w:sz="4" w:space="0" w:color="auto"/>
              <w:bottom w:val="single" w:sz="4" w:space="0" w:color="auto"/>
              <w:right w:val="single" w:sz="4" w:space="0" w:color="auto"/>
            </w:tcBorders>
            <w:hideMark/>
          </w:tcPr>
          <w:p w14:paraId="18CFD6A9" w14:textId="77777777" w:rsidR="00F95090" w:rsidRDefault="00F95090" w:rsidP="004E2A09">
            <w:pPr>
              <w:pStyle w:val="TableBody"/>
              <w:spacing w:line="240" w:lineRule="atLeast"/>
            </w:pPr>
            <w:r>
              <w:t>NW1, MV9I, MV9J, MV9K, MV9L, MV9M, MV9N, MV9O, MV9P, MW3C, MW3D, MW3G, MW3H, MW3K, MW3L, MW3O, MW3P, NV4N, NV4O, NV4P, NV5M, NV5N, NV5O, NV5P, NV7B, NV7C, NV7D, NV7E, NV7F, NV7G, NV7H, NV7I, NV7J, NV7K, NV7L, NV7M, NV7N, NV7O, NV7P, MV9D6, MV9D9, MV9E4, MV9E5, MV9E6, MV9E7, MV9E8, MV9E9, MV9F4, MV9F5, MV9F6, MV9F7, MV9F8, MV9F9, MV9G4, MV9G5, MV9G6, MV9G7, MV9G8, MV9G9, MV9H3, MV9H4, MV9H5, MV9H6, MV9H7, MV9H8, MV9H9, MW3B2, MW3B3, MW3B5, MW3B6, MW3B8, MW3B9, MW3F2, MW3F3, MW3F5, MW3F6, MW3F8, MW3F9, MW3J2, MW3J3, NV4I5, NV4I6, NV4I8, NV4I9, NV4J4, NV4J5, NV4J6, NV4J7, NV4J8, NV4J9, NV4K4, NV4K5, NV4K6, NV4K7, NV4K8, NV4K9, NV4L4, NV4L5, NV4L6, NV4L7, NV4L8, NV4L9, NV4M2, NV4M3, NV4M5, NV4M6, NV4M8, NV4M9, NV5I4, NV5I5, NV5I6, NV5I7, NV5I8, NV5I9, NV5J4, NV5J5, NV5J6, NV5J7, NV5J8, NV5J9, NV5K4, NV5K5, NV5K6, NV5K7, NV5K8, NV5K9, NV5L4, NV5L5, NV5L6, NV5L7, NV5L8, NV5L9, NV7A2, NV7A3, NV7A4, NV7A5, NV7A6, NV7A7, NV7A8, NV7A9</w:t>
            </w:r>
          </w:p>
        </w:tc>
      </w:tr>
      <w:tr w:rsidR="00F95090" w14:paraId="0E2EEB88" w14:textId="77777777" w:rsidTr="004E2A09">
        <w:tc>
          <w:tcPr>
            <w:tcW w:w="1696" w:type="dxa"/>
            <w:tcBorders>
              <w:top w:val="single" w:sz="4" w:space="0" w:color="auto"/>
              <w:left w:val="single" w:sz="4" w:space="0" w:color="auto"/>
              <w:bottom w:val="single" w:sz="4" w:space="0" w:color="auto"/>
              <w:right w:val="single" w:sz="4" w:space="0" w:color="auto"/>
            </w:tcBorders>
            <w:hideMark/>
          </w:tcPr>
          <w:p w14:paraId="34F25AF5" w14:textId="72682883" w:rsidR="00F95090" w:rsidRDefault="00046F6A" w:rsidP="004E2A09">
            <w:pPr>
              <w:pStyle w:val="TableBody"/>
              <w:spacing w:line="240" w:lineRule="atLeast"/>
            </w:pPr>
            <w:r>
              <w:t xml:space="preserve">Regional </w:t>
            </w:r>
          </w:p>
        </w:tc>
        <w:tc>
          <w:tcPr>
            <w:tcW w:w="1276" w:type="dxa"/>
            <w:tcBorders>
              <w:top w:val="single" w:sz="4" w:space="0" w:color="auto"/>
              <w:left w:val="single" w:sz="4" w:space="0" w:color="auto"/>
              <w:bottom w:val="single" w:sz="4" w:space="0" w:color="auto"/>
              <w:right w:val="single" w:sz="4" w:space="0" w:color="auto"/>
            </w:tcBorders>
            <w:hideMark/>
          </w:tcPr>
          <w:p w14:paraId="509840BF" w14:textId="3E338444" w:rsidR="00F95090" w:rsidRDefault="00C71CF3" w:rsidP="004E2A09">
            <w:pPr>
              <w:pStyle w:val="TableBody"/>
              <w:spacing w:line="240" w:lineRule="atLeast"/>
            </w:pPr>
            <w:hyperlink r:id="rId69" w:history="1">
              <w:r w:rsidR="00F95090" w:rsidRPr="003364D0">
                <w:rPr>
                  <w:rStyle w:val="Hyperlink"/>
                </w:rPr>
                <w:t>West coast</w:t>
              </w:r>
            </w:hyperlink>
          </w:p>
        </w:tc>
        <w:tc>
          <w:tcPr>
            <w:tcW w:w="6523" w:type="dxa"/>
            <w:tcBorders>
              <w:top w:val="single" w:sz="4" w:space="0" w:color="auto"/>
              <w:left w:val="single" w:sz="4" w:space="0" w:color="auto"/>
              <w:bottom w:val="single" w:sz="4" w:space="0" w:color="auto"/>
              <w:right w:val="single" w:sz="4" w:space="0" w:color="auto"/>
            </w:tcBorders>
            <w:hideMark/>
          </w:tcPr>
          <w:p w14:paraId="7BF8ADC2" w14:textId="0388B837" w:rsidR="00F95090" w:rsidRDefault="00FD14E8" w:rsidP="004E2A09">
            <w:pPr>
              <w:pStyle w:val="TableBody"/>
              <w:spacing w:line="240" w:lineRule="atLeast"/>
            </w:pPr>
            <w:r w:rsidRPr="007F36D5">
              <w:t>BV1E3, BV1E4, BV1E5, BV1E6, BV1F1, BV1F2, BV1F3, BV1F4, BV1F5, BV1F6, BV1G1, BV1G2, BV1G3, BV1G4, BV1G5, BV1G6, BV1H1, BV1H2, BV1H3, BV1H4, BV1H5, BV1H6, BV2E1, BV2E2, BV2E3, BV2E4, BV2E5, BV2E6, BV2F1, BV2F2, BV2F3, BV2F4, BV2F5, BV2F6, BV4M4, BV4M5, BV4M6, BV4M7, BV4M8, BV4M9, BV4N4, BV4N5, BV4N6, BV4N7, BV4N8, BV4N9, BV4O4, BV4O5, BV4O6, BV4O7, BV4O8, BV4O9, BV4P4, BV4P5, BV4P6, BV4P7, BV4P8, BV4P9, BV5M4, BV5M5, BV5M6, BV5M7, BV5M8, BV5M9, BV5N4, BV5N5, BV5N6, BV5N7, BV5N8, BV5N9, AU2, AU3, AU6, AU9, AV9, AW3, BU1, BU2, BU4, BU5, BU7, BU8, BU9, BV3, BV6, BV7, BV8, BV9, BW1, BW2, BW3, BW5, BW6, CV4, CV7, CW1, CW4, BV1A, BV1B, BV1C, BV1D, BV2A, BV2B, BV2C, BV2D, BV2G, BV2H, BV2K, BV2L, BV2O, BV2P, BV5C, BV5D, BV5G, BV5H, BV5K, BV5L, BV5O, BV5P, BV1E1, BV1E2</w:t>
            </w:r>
          </w:p>
        </w:tc>
      </w:tr>
      <w:tr w:rsidR="00F95090" w14:paraId="28405B4B" w14:textId="77777777" w:rsidTr="004E2A09">
        <w:tc>
          <w:tcPr>
            <w:tcW w:w="1696" w:type="dxa"/>
            <w:tcBorders>
              <w:top w:val="single" w:sz="4" w:space="0" w:color="auto"/>
              <w:left w:val="single" w:sz="4" w:space="0" w:color="auto"/>
              <w:bottom w:val="single" w:sz="4" w:space="0" w:color="auto"/>
              <w:right w:val="single" w:sz="4" w:space="0" w:color="auto"/>
            </w:tcBorders>
          </w:tcPr>
          <w:p w14:paraId="390E8438" w14:textId="77777777" w:rsidR="00F95090" w:rsidRDefault="00F95090" w:rsidP="004E2A09">
            <w:pPr>
              <w:pStyle w:val="TableBody"/>
              <w:spacing w:line="240" w:lineRule="atLeast"/>
            </w:pPr>
          </w:p>
        </w:tc>
        <w:tc>
          <w:tcPr>
            <w:tcW w:w="1276" w:type="dxa"/>
            <w:tcBorders>
              <w:top w:val="single" w:sz="4" w:space="0" w:color="auto"/>
              <w:left w:val="single" w:sz="4" w:space="0" w:color="auto"/>
              <w:bottom w:val="single" w:sz="4" w:space="0" w:color="auto"/>
              <w:right w:val="single" w:sz="4" w:space="0" w:color="auto"/>
            </w:tcBorders>
            <w:hideMark/>
          </w:tcPr>
          <w:p w14:paraId="7CF31A94" w14:textId="7F5EE60E" w:rsidR="00F95090" w:rsidRDefault="00C71CF3" w:rsidP="004E2A09">
            <w:pPr>
              <w:pStyle w:val="TableBody"/>
              <w:spacing w:line="240" w:lineRule="atLeast"/>
            </w:pPr>
            <w:hyperlink r:id="rId70" w:history="1">
              <w:r w:rsidR="00F95090" w:rsidRPr="00512A16">
                <w:rPr>
                  <w:rStyle w:val="Hyperlink"/>
                </w:rPr>
                <w:t>South and east coast</w:t>
              </w:r>
            </w:hyperlink>
          </w:p>
        </w:tc>
        <w:tc>
          <w:tcPr>
            <w:tcW w:w="6523" w:type="dxa"/>
            <w:tcBorders>
              <w:top w:val="single" w:sz="4" w:space="0" w:color="auto"/>
              <w:left w:val="single" w:sz="4" w:space="0" w:color="auto"/>
              <w:bottom w:val="single" w:sz="4" w:space="0" w:color="auto"/>
              <w:right w:val="single" w:sz="4" w:space="0" w:color="auto"/>
            </w:tcBorders>
            <w:hideMark/>
          </w:tcPr>
          <w:p w14:paraId="154F8F7D" w14:textId="4B420DCB" w:rsidR="00F95090" w:rsidRDefault="000309F5" w:rsidP="004E2A09">
            <w:pPr>
              <w:pStyle w:val="TableBody"/>
              <w:spacing w:line="240" w:lineRule="atLeast"/>
            </w:pPr>
            <w:r w:rsidRPr="007F36D5">
              <w:t>NU3L7, NU3L8, NU3L9, NV4I1, NV4I2, NV4I3, NV4I4, NV4M1, NV4M4, NV4M7, NV5I1, NV5I2, NV5I3, NV5J1, NV5J2, NV5J3, NV5K1, NV5K2, NV5K3, NV5L1, NV5L2, NV5L3, NV7A1, NV4I7, NV4J1, NV4J2, NV4J3, NV4K1, NV4K2, NV4K3, NV4L1, NV4L2, NV4L3, KW, LW, GV1, GV2, GV3, GV6, HV1, HV2, HV4, MW4F, MW4G, MW4I, MW4J, MW4K, MW4M, MW4N, MW4O, MW5C, MW5D, MW5G, MW5H, MW5K, MW5L, MW5O, MW5P, NT5A, NT5B, NT5E, NT5F, NT5I, NT5J, NT5M, NT5N, NT8A, NT8B, NT8E, NT8F, NT8I, NT8J, NT8M, NT8N, NU2A, NU2B, NU2E, NU2F, HV5, HV6, HV8, HV9, HW3, IV4, IV5, NV5G, NV5H, IW3E1, IW3E2, IW3E3, IW3E4, IW3E7, IW3F1, IW3F2, IW3F3, IW3G1, IW3G2, IW3G3, IW3H1, IW3H2, IW3H3, IW3I1, IW3I4, IW3I7, IW3M1, IW3M4, IW3M7, IW6A1, IW6A4, IW6A7, IV6, IV7, IV8, IV9, IW1, IW2, IW4, IW5, IW7, IW8, IW9, JV4, JV5, JV7, JV8, JV9, JW2, JW3, JW4, JW5, JW6, JW7, JW8, JW9, JX1, JX2, JX3, JX5, JX6, KV7, KX1, KX2, KX4, KX5, KX8, KX9, KY2, KY3, KY6, LQ1, LQ2, LQ4, LQ5, LQ7, LQ8, LR2, LR3, LR5, LR6, LV9, LX2, LX3, LX5, LX6, LX7, LX8, LX9, LY1, LY2, LY3, LY4, LY5, LY6, LY7, LZ1, MR1, MR4, MR5, MR7, MR8, MR9, MS1, MS2, MS3, MS4, MS5, MS6, MS8, MS9, MT3, MT6, MT9, MU3, MU5, MU6, MU8, MU9, MV1, MV2, MV3, MV4, MV5, MV6, MV7, MV8, MW6, MW7, MW8, MW9, MX1, MX2, MX3, MX4, MX7, MY1, MY4, MY7, MZ1, NS4, NS7, NS8, NS9, NT1, NT2, NT3, NT4, NT7, NU1, NU4, NU5, NU6, NU7, NU8, NU9, NV1, NV2, NV3, IW3A, IW3B, IW3C, IW3D, IW6I, IW6J, IW6K, IW6L, IW6M, IW6N, IW6O, IW6P, JW1A, JW1B, JW1C, JW1D, JW1F, JW1G, JW1H, JW1J, JW1K, JW1L, JW1N, JW1O, JW1P, KX3A, KX3B, KX3C, KX3D, KX3E, KX3I, KX6M, KX6N, KX6O, KX6P, LX1A, LX1B, LX1C, LX1D, LX1F, LX1G, LX1H, LX1L, LX1P, LX4D, LX4G, LX4H, LX4K, LX4L, LX4M, LX4N, LX4O, LX4P, LY8A, LY8B, LY8C, LY8D, LY8E, LY8F, LY8G, LY8I, LY8J, LY8K, LY8M, LY8N, LY8O, LY9A, LY9B, LY9C, LY9D, LZ2A, LZ2B, LZ2C, LZ2E, LZ2F, LZ2G, LZ2I, LZ2J, LZ2K, LZ2M, LZ2N, LZ2O, LZ2P, LZ3M, LZ3N, LZ3O, LZ3P, MV9A, MV9B, MV9C, MW1A, MW1B, MW1C, MW1D, MW1E, MW1F, MW1G, MW1H, MW1I, MW1J, MW1K, MW1L, MW1M, MW1N, MW1O, MW2A, MW2B, MW2C, MW2D, MW2E, MW2F, MW2G, MW2H, MW2I, MW2J, MW2K, MW2L, MW2O, MW2P, MW3A, MW3E, MW3I, MW3M, MW3N, MW4A, MW4B, MW4C, MW4E, NU2G, NU2I, NU2J, NU2K, NU2L, NU2M, NU2N, NU2O, NU2P, NU3M, NU3N, NU3O, NU3P, NV4A, NV4B, NV4C, NV4D, NV4E, NV4F, NV4G, NV4H, NV5A, NV5B, NV5C, NV5D, NV5E, NV5F, IW6E1, IW6E4, IW6E7, JW1E1, JW1E2, JW1E3, JW1E5, JW1E6, JW1E8, JW1E9, JW1I2, JW1I3, JW1I5, JW1I6, JW1I8, JW1I9, JW1M2, JW1M3, JW1M5, JW1M6, JW1M7, JW1M8, JW1M9, KX3F1, KX3F2, KX3F3, KX3F4, KX3F5, KX3F6, KX3G1, KX3G2, KX3G3, KX3G4, KX3G5, KX3G6, KX3H1, KX3H2, KX3H3, KX3M1, KX3M2, KX3M3, KX3M4, KX3M5, KX3M7, KX6A1, KX6A4, KX6A7, KX6E1, KX6E4, KX6E7, KX6I1, KX6I4, KX6I7, LX1E1, LX1E2, LX1E3, LX1E5, LX1E6, LX1J2, LX1J3, LX1K1, LX1K2, LX1K3, LX1K5, LX1K6, LX1K8, LX1K9, LX4F3, LX4F6, LX4F9, LX4J3, LX4J6, LX4J9, LY8H1, LY8H2, LY8H3, LY9E1, LY9E2, LY9E3, LY9F1, LY9F2, LY9F3, LY9G1, LY9G2, LY9G3, LY9H1, LY9H2, LY9H3, LZ2L4, LZ2L5, LZ2L6, LZ2L7, LZ2L8, LZ2L9, LZ3I4, LZ3I5, LZ3I6, LZ3I7, LZ3I8, LZ3I9, LZ3J4, LZ3J5, LZ3J6, LZ3J7, LZ3J8, LZ3J9, LZ3K4, LZ3K5, LZ3K6, LZ3K7, LZ3K8, LZ3K9, LZ3L4, LZ3L5, LZ3L6, LZ3L7, LZ3L8, LZ3L9, MV9D1, MV9D2, MV9D3, MV9D4, MV9D5, MV9D7, MV9D8, MV9E1, MV9E2, MV9E3, MV9F1, MV9F2, MV9F3, MV9G1, MV9G2, MV9G3, MV9H1, MV9H2, MW1P1, MW1P2, MW1P3, MW2M1, MW2M2, MW2M3, MW2N1, MW2N2, MW2N3, MW3B1, MW3B4, MW3B7, MW3F1, MW3F4, MW3F7, MW3J1, MW3J4, MW3J5, MW3J6, MW3J7, MW3J8, MW3J9, MW4P4, MW4P5, MW4P6, MW4P7, MW4P8, MW4P9, MW5M4, MW5M5, MW5M6, MW5M7, MW5M8, MW5M9, MW5N4, MW5N5, MW5N6, MW5N7, MW5N8, MW5N9, NT5C1, NT5C2, NT5C3, NT5D1, NT5D2, NT5D3, NT6A1, NT6A2, NT6A3, NT6B1, NT6B2, NT6B3, NT6C1, NT6C2, NT6C3, NT6D1, NT6D2, NT6D3, NU2C4, NU2C5, NU2C6, NU2C7, NU2C8, NU2C9, NU2D4, NU2D7, NU2H1, NU2H4, NU2H5, NU2H6, NU2H7, NU2H8, NU2H9, NU3E4, NU3E7, NU3I1, NU3I4, NU3I5, NU3I6, NU3I7, NU3I8, NU3I9, NU3J4, NU3J5, NU3J6, NU3J7, NU3J8, NU3J9, NU3K4, NU3K5, NU3K6, NU3K7, NU3K8, NU3K9, NU3L4, NU3L5, NU3L6</w:t>
            </w:r>
          </w:p>
        </w:tc>
      </w:tr>
    </w:tbl>
    <w:p w14:paraId="47FB1E84" w14:textId="77777777" w:rsidR="00F95090" w:rsidRPr="00664128" w:rsidRDefault="00F95090" w:rsidP="00F95090">
      <w:pPr>
        <w:pStyle w:val="CommentText"/>
      </w:pPr>
    </w:p>
    <w:p w14:paraId="32F34A56" w14:textId="77777777" w:rsidR="0060149B" w:rsidRPr="0060149B" w:rsidRDefault="0060149B" w:rsidP="0060149B">
      <w:pPr>
        <w:pStyle w:val="Paragraphbeforelist"/>
      </w:pPr>
    </w:p>
    <w:sectPr w:rsidR="0060149B" w:rsidRPr="0060149B" w:rsidSect="00C77380">
      <w:headerReference w:type="even" r:id="rId71"/>
      <w:headerReference w:type="default" r:id="rId72"/>
      <w:footerReference w:type="even" r:id="rId73"/>
      <w:footerReference w:type="default" r:id="rId74"/>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C3F641" w14:textId="77777777" w:rsidR="00374186" w:rsidRDefault="00374186">
      <w:r>
        <w:separator/>
      </w:r>
    </w:p>
  </w:endnote>
  <w:endnote w:type="continuationSeparator" w:id="0">
    <w:p w14:paraId="2787DCB4" w14:textId="77777777" w:rsidR="00374186" w:rsidRDefault="00374186">
      <w:r>
        <w:continuationSeparator/>
      </w:r>
    </w:p>
  </w:endnote>
  <w:endnote w:type="continuationNotice" w:id="1">
    <w:p w14:paraId="5A566A5E" w14:textId="77777777" w:rsidR="00374186" w:rsidRDefault="0037418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60"/>
      <w:gridCol w:w="3260"/>
      <w:gridCol w:w="3260"/>
    </w:tblGrid>
    <w:tr w:rsidR="00374186" w14:paraId="57A3E24F" w14:textId="77777777" w:rsidTr="7697FD89">
      <w:tc>
        <w:tcPr>
          <w:tcW w:w="3260" w:type="dxa"/>
        </w:tcPr>
        <w:p w14:paraId="39001D93" w14:textId="4970428C" w:rsidR="00374186" w:rsidRDefault="00374186" w:rsidP="7697FD89">
          <w:pPr>
            <w:pStyle w:val="Header"/>
            <w:ind w:left="-115"/>
          </w:pPr>
        </w:p>
      </w:tc>
      <w:tc>
        <w:tcPr>
          <w:tcW w:w="3260" w:type="dxa"/>
        </w:tcPr>
        <w:p w14:paraId="55C4D3A1" w14:textId="74F36FEA" w:rsidR="00374186" w:rsidRDefault="00374186" w:rsidP="7697FD89">
          <w:pPr>
            <w:pStyle w:val="Header"/>
            <w:jc w:val="center"/>
          </w:pPr>
        </w:p>
      </w:tc>
      <w:tc>
        <w:tcPr>
          <w:tcW w:w="3260" w:type="dxa"/>
        </w:tcPr>
        <w:p w14:paraId="64B62491" w14:textId="2B3ECA35" w:rsidR="00374186" w:rsidRDefault="00374186" w:rsidP="7697FD89">
          <w:pPr>
            <w:pStyle w:val="Header"/>
            <w:ind w:right="-115"/>
            <w:jc w:val="right"/>
          </w:pPr>
        </w:p>
      </w:tc>
    </w:tr>
  </w:tbl>
  <w:p w14:paraId="36A714F3" w14:textId="7C7676BA" w:rsidR="00374186" w:rsidRDefault="003741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64714E" w14:textId="77777777" w:rsidR="00374186" w:rsidRDefault="00374186" w:rsidP="005E250B">
    <w:pPr>
      <w:pStyle w:val="Footer"/>
      <w:jc w:val="right"/>
    </w:pPr>
    <w:r>
      <w:rPr>
        <w:noProof/>
      </w:rPr>
      <w:drawing>
        <wp:inline distT="0" distB="0" distL="0" distR="0" wp14:anchorId="6197918A" wp14:editId="0F5B4DA5">
          <wp:extent cx="1066800" cy="277368"/>
          <wp:effectExtent l="0" t="0" r="0" b="0"/>
          <wp:docPr id="3" name="Picture 3"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01349D" w14:textId="77777777" w:rsidR="00374186" w:rsidRDefault="0037418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C4D087" w14:textId="77777777" w:rsidR="00374186" w:rsidRDefault="0037418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211F02" w14:textId="77777777" w:rsidR="00374186" w:rsidRPr="00622A3B" w:rsidRDefault="00374186"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4AF5781" w14:textId="77777777" w:rsidR="00374186" w:rsidRPr="00A5474E" w:rsidRDefault="0037418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3CD26" w14:textId="77777777" w:rsidR="00374186" w:rsidRPr="00622A3B" w:rsidRDefault="00374186"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BC1F26F" w14:textId="77777777" w:rsidR="00374186" w:rsidRPr="00A5474E" w:rsidRDefault="0037418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C7FFF" w14:textId="77777777" w:rsidR="00374186" w:rsidRPr="00622A3B" w:rsidRDefault="00374186"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327198D" w14:textId="77777777" w:rsidR="00374186" w:rsidRPr="00A5474E" w:rsidRDefault="00374186"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079B8" w14:textId="77777777" w:rsidR="00374186" w:rsidRPr="00622A3B" w:rsidRDefault="00374186"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8DA5506" w14:textId="77777777" w:rsidR="00374186" w:rsidRPr="00A5474E" w:rsidRDefault="00374186"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7E8AC2" w14:textId="77777777" w:rsidR="00374186" w:rsidRPr="00622A3B" w:rsidRDefault="0037418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489DE9C0" w14:textId="77777777" w:rsidR="00374186" w:rsidRPr="00A5474E" w:rsidRDefault="00374186"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E42D0E" w14:textId="77777777" w:rsidR="00374186" w:rsidRDefault="00374186" w:rsidP="00374186">
      <w:pPr>
        <w:spacing w:after="120"/>
      </w:pPr>
      <w:r>
        <w:separator/>
      </w:r>
    </w:p>
  </w:footnote>
  <w:footnote w:type="continuationSeparator" w:id="0">
    <w:p w14:paraId="1F4BCDD8" w14:textId="77777777" w:rsidR="00374186" w:rsidRDefault="00374186">
      <w:r>
        <w:continuationSeparator/>
      </w:r>
    </w:p>
  </w:footnote>
  <w:footnote w:type="continuationNotice" w:id="1">
    <w:p w14:paraId="2AB62C43" w14:textId="77777777" w:rsidR="00374186" w:rsidRDefault="00374186">
      <w:pPr>
        <w:spacing w:after="0" w:line="240" w:lineRule="auto"/>
      </w:pPr>
    </w:p>
  </w:footnote>
  <w:footnote w:id="2">
    <w:p w14:paraId="22803297" w14:textId="26225861" w:rsidR="00374186" w:rsidRPr="00C06817" w:rsidRDefault="00374186">
      <w:pPr>
        <w:pStyle w:val="FootnoteText"/>
        <w:rPr>
          <w:lang w:val="en-US"/>
        </w:rPr>
      </w:pPr>
      <w:r>
        <w:rPr>
          <w:rStyle w:val="FootnoteReference"/>
        </w:rPr>
        <w:footnoteRef/>
      </w:r>
      <w:r>
        <w:t xml:space="preserve"> A c</w:t>
      </w:r>
      <w:r w:rsidRPr="003B2A41">
        <w:t xml:space="preserve">omplementary ground component </w:t>
      </w:r>
      <w:r>
        <w:t xml:space="preserve">refers to </w:t>
      </w:r>
      <w:r w:rsidRPr="003B2A41">
        <w:t xml:space="preserve">a terrestrial wireless broadband network </w:t>
      </w:r>
      <w:r>
        <w:t xml:space="preserve">that is deployed to </w:t>
      </w:r>
      <w:r w:rsidRPr="003B2A41">
        <w:t xml:space="preserve">supplement mobile-satellite coverage. </w:t>
      </w:r>
      <w:r>
        <w:t xml:space="preserve">It is also sometimes referred to as </w:t>
      </w:r>
      <w:r w:rsidRPr="00C246CE">
        <w:t>ancillary terrestrial component</w:t>
      </w:r>
      <w:r>
        <w:t>.</w:t>
      </w:r>
    </w:p>
  </w:footnote>
  <w:footnote w:id="3">
    <w:p w14:paraId="158B9BBF" w14:textId="4E8C7BA0" w:rsidR="00374186" w:rsidRPr="00F3000D" w:rsidRDefault="00374186">
      <w:pPr>
        <w:pStyle w:val="FootnoteText"/>
        <w:rPr>
          <w:lang w:val="en-US"/>
        </w:rPr>
      </w:pPr>
      <w:r>
        <w:rPr>
          <w:rStyle w:val="FootnoteReference"/>
        </w:rPr>
        <w:footnoteRef/>
      </w:r>
      <w:r>
        <w:t xml:space="preserve"> </w:t>
      </w:r>
      <w:r>
        <w:rPr>
          <w:lang w:val="en-US"/>
        </w:rPr>
        <w:t xml:space="preserve">For definitions of geographical terms including </w:t>
      </w:r>
      <w:r w:rsidRPr="00150E2A">
        <w:rPr>
          <w:i/>
          <w:iCs/>
          <w:lang w:val="en-US"/>
        </w:rPr>
        <w:t>capital city</w:t>
      </w:r>
      <w:r>
        <w:rPr>
          <w:lang w:val="en-US"/>
        </w:rPr>
        <w:t xml:space="preserve">, </w:t>
      </w:r>
      <w:r w:rsidRPr="00150E2A">
        <w:rPr>
          <w:i/>
          <w:iCs/>
          <w:lang w:val="en-US"/>
        </w:rPr>
        <w:t>regional</w:t>
      </w:r>
      <w:r>
        <w:rPr>
          <w:lang w:val="en-US"/>
        </w:rPr>
        <w:t xml:space="preserve"> and </w:t>
      </w:r>
      <w:r w:rsidRPr="00150E2A">
        <w:rPr>
          <w:i/>
          <w:iCs/>
          <w:lang w:val="en-US"/>
        </w:rPr>
        <w:t>remote</w:t>
      </w:r>
      <w:r>
        <w:rPr>
          <w:lang w:val="en-US"/>
        </w:rPr>
        <w:t xml:space="preserve"> see Appendix C: Geographical areas descriptions</w:t>
      </w:r>
    </w:p>
  </w:footnote>
  <w:footnote w:id="4">
    <w:p w14:paraId="4F409FDF" w14:textId="400DB26D" w:rsidR="00374186" w:rsidRPr="00BD29B5" w:rsidRDefault="00374186" w:rsidP="00673660">
      <w:pPr>
        <w:pStyle w:val="FootnoteText"/>
        <w:rPr>
          <w:lang w:val="en-US"/>
        </w:rPr>
      </w:pPr>
      <w:r>
        <w:rPr>
          <w:rStyle w:val="FootnoteReference"/>
        </w:rPr>
        <w:footnoteRef/>
      </w:r>
      <w:r>
        <w:t xml:space="preserve"> As of</w:t>
      </w:r>
      <w:r w:rsidRPr="00BD29B5">
        <w:t xml:space="preserve"> </w:t>
      </w:r>
      <w:r>
        <w:t>November</w:t>
      </w:r>
      <w:r w:rsidRPr="00BD29B5">
        <w:t xml:space="preserve"> 2020</w:t>
      </w:r>
      <w:r>
        <w:t xml:space="preserve">. </w:t>
      </w:r>
    </w:p>
  </w:footnote>
  <w:footnote w:id="5">
    <w:p w14:paraId="6E7B9495" w14:textId="0C28E5CB" w:rsidR="00374186" w:rsidRPr="00800460" w:rsidRDefault="00374186">
      <w:pPr>
        <w:pStyle w:val="FootnoteText"/>
        <w:rPr>
          <w:lang w:val="en-US"/>
        </w:rPr>
      </w:pPr>
      <w:r>
        <w:rPr>
          <w:rStyle w:val="FootnoteReference"/>
        </w:rPr>
        <w:footnoteRef/>
      </w:r>
      <w:r>
        <w:t xml:space="preserve"> </w:t>
      </w:r>
      <w:r w:rsidRPr="00800460">
        <w:t>The implementation stage concludes the ACMA’s band planning activities and identifies planning outcomes expected to maximise the overall public benefit derived from use of the band. This stage includes future development of detailed technical planning frameworks (including further consultation where necessary). Planning outcomes identified at this stage include both ACMA replanning decisions as well as preliminary views on future activities</w:t>
      </w:r>
      <w:r>
        <w:t xml:space="preserve"> in a band</w:t>
      </w:r>
      <w:r w:rsidRPr="00800460">
        <w:t>, some of which may be subject to legislative or consultative processes</w:t>
      </w:r>
      <w:r>
        <w:t>.</w:t>
      </w:r>
    </w:p>
  </w:footnote>
  <w:footnote w:id="6">
    <w:p w14:paraId="438578BB" w14:textId="6AC834F0" w:rsidR="00374186" w:rsidRDefault="00374186" w:rsidP="00E2254B">
      <w:pPr>
        <w:pStyle w:val="FootnoteText"/>
      </w:pPr>
      <w:r>
        <w:rPr>
          <w:rStyle w:val="FootnoteReference"/>
        </w:rPr>
        <w:footnoteRef/>
      </w:r>
      <w:r>
        <w:t xml:space="preserve"> ACMA </w:t>
      </w:r>
      <w:hyperlink r:id="rId1" w:history="1">
        <w:r w:rsidRPr="00E2254B">
          <w:rPr>
            <w:rStyle w:val="Hyperlink"/>
            <w:i/>
            <w:iCs/>
          </w:rPr>
          <w:t>Corporate plan 2019</w:t>
        </w:r>
        <w:r>
          <w:rPr>
            <w:rStyle w:val="Hyperlink"/>
            <w:i/>
            <w:iCs/>
          </w:rPr>
          <w:t>–</w:t>
        </w:r>
        <w:r w:rsidRPr="00E2254B">
          <w:rPr>
            <w:rStyle w:val="Hyperlink"/>
            <w:i/>
            <w:iCs/>
          </w:rPr>
          <w:t>20</w:t>
        </w:r>
      </w:hyperlink>
      <w:r w:rsidRPr="00800460">
        <w:t>.</w:t>
      </w:r>
    </w:p>
  </w:footnote>
  <w:footnote w:id="7">
    <w:p w14:paraId="72758435" w14:textId="77777777" w:rsidR="00374186" w:rsidRDefault="00374186" w:rsidP="000C0D21">
      <w:pPr>
        <w:pStyle w:val="FootnoteText"/>
      </w:pPr>
      <w:r>
        <w:rPr>
          <w:rStyle w:val="FootnoteReference"/>
        </w:rPr>
        <w:footnoteRef/>
      </w:r>
      <w:r>
        <w:t xml:space="preserve"> Technical conditions include maximum power, frequency range, out-of-band emissions limits, and geographical licence area. </w:t>
      </w:r>
    </w:p>
  </w:footnote>
  <w:footnote w:id="8">
    <w:p w14:paraId="55F8E00E" w14:textId="300F10F8" w:rsidR="00374186" w:rsidRPr="00874020" w:rsidRDefault="00374186">
      <w:pPr>
        <w:pStyle w:val="FootnoteText"/>
        <w:rPr>
          <w:lang w:val="en-US"/>
        </w:rPr>
      </w:pPr>
      <w:r>
        <w:rPr>
          <w:rStyle w:val="FootnoteReference"/>
        </w:rPr>
        <w:footnoteRef/>
      </w:r>
      <w:r>
        <w:t xml:space="preserve"> </w:t>
      </w:r>
      <w:hyperlink r:id="rId2" w:history="1">
        <w:r w:rsidRPr="0099578E">
          <w:rPr>
            <w:rStyle w:val="Hyperlink"/>
            <w:lang w:val="en-US"/>
          </w:rPr>
          <w:t>Replanning the 2 GHz band: options paper</w:t>
        </w:r>
      </w:hyperlink>
      <w:r>
        <w:rPr>
          <w:lang w:val="en-US"/>
        </w:rPr>
        <w:t>, p. 15</w:t>
      </w:r>
    </w:p>
  </w:footnote>
  <w:footnote w:id="9">
    <w:p w14:paraId="2E31FCFA" w14:textId="77777777" w:rsidR="00374186" w:rsidRPr="00AB20F0" w:rsidRDefault="00374186" w:rsidP="00C85C88">
      <w:pPr>
        <w:pStyle w:val="FootnoteText"/>
        <w:rPr>
          <w:lang w:val="en-US"/>
        </w:rPr>
      </w:pPr>
      <w:r>
        <w:rPr>
          <w:rStyle w:val="FootnoteReference"/>
        </w:rPr>
        <w:footnoteRef/>
      </w:r>
      <w:r>
        <w:t xml:space="preserve"> </w:t>
      </w:r>
      <w:hyperlink r:id="rId3" w:history="1">
        <w:r w:rsidRPr="0099578E">
          <w:rPr>
            <w:rStyle w:val="Hyperlink"/>
            <w:lang w:val="en-US"/>
          </w:rPr>
          <w:t>Replanning the 2 GHz band: options paper</w:t>
        </w:r>
      </w:hyperlink>
      <w:r>
        <w:rPr>
          <w:lang w:val="en-US"/>
        </w:rPr>
        <w:t>, p. 69</w:t>
      </w:r>
    </w:p>
  </w:footnote>
  <w:footnote w:id="10">
    <w:p w14:paraId="5BD94749" w14:textId="77777777" w:rsidR="00374186" w:rsidRDefault="00374186" w:rsidP="009D4F57">
      <w:pPr>
        <w:pStyle w:val="FootnoteText"/>
      </w:pPr>
      <w:r>
        <w:rPr>
          <w:rStyle w:val="FootnoteReference"/>
        </w:rPr>
        <w:footnoteRef/>
      </w:r>
      <w:r>
        <w:t xml:space="preserve"> </w:t>
      </w:r>
      <w:hyperlink r:id="rId4" w:history="1">
        <w:r w:rsidRPr="006D7B26">
          <w:rPr>
            <w:rStyle w:val="Hyperlink"/>
          </w:rPr>
          <w:t>ECC Decision ECC/DEC</w:t>
        </w:r>
        <w:r w:rsidRPr="006D7B26">
          <w:rPr>
            <w:rStyle w:val="Hyperlink"/>
          </w:rPr>
          <w:t>/(06)09</w:t>
        </w:r>
      </w:hyperlink>
      <w:r>
        <w:t xml:space="preserve">: </w:t>
      </w:r>
      <w:r w:rsidRPr="006D7B26">
        <w:t>ECC Decision of 1 December 2006 on the designation of the bands 1980-2010 MHz and 2170-2200 MHz for use by systems in the Mobile-Satellite Service</w:t>
      </w:r>
      <w:r>
        <w:t>,</w:t>
      </w:r>
      <w:r w:rsidRPr="006D7B26">
        <w:t xml:space="preserve"> including those supplemented by a </w:t>
      </w:r>
      <w:r>
        <w:t>c</w:t>
      </w:r>
      <w:r w:rsidRPr="006D7B26">
        <w:t xml:space="preserve">omplementary </w:t>
      </w:r>
      <w:r>
        <w:t>g</w:t>
      </w:r>
      <w:r w:rsidRPr="006D7B26">
        <w:t xml:space="preserve">round </w:t>
      </w:r>
      <w:r>
        <w:t>c</w:t>
      </w:r>
      <w:r w:rsidRPr="006D7B26">
        <w:t>omponent</w:t>
      </w:r>
      <w:r>
        <w:t>.</w:t>
      </w:r>
    </w:p>
  </w:footnote>
  <w:footnote w:id="11">
    <w:p w14:paraId="3990A64B" w14:textId="77777777" w:rsidR="00374186" w:rsidRDefault="00374186" w:rsidP="009D4F57">
      <w:pPr>
        <w:pStyle w:val="FootnoteText"/>
      </w:pPr>
      <w:r>
        <w:rPr>
          <w:rStyle w:val="FootnoteReference"/>
        </w:rPr>
        <w:footnoteRef/>
      </w:r>
      <w:r>
        <w:t xml:space="preserve"> Inmarsat and EchoStar Mobile Limited (formerly Solaris Mobile Limited) see </w:t>
      </w:r>
      <w:hyperlink r:id="rId5" w:history="1">
        <w:r w:rsidRPr="00934E30">
          <w:rPr>
            <w:rStyle w:val="Hyperlink"/>
          </w:rPr>
          <w:t>2009/449/EC</w:t>
        </w:r>
      </w:hyperlink>
      <w:r w:rsidRPr="00934E30">
        <w:t>: Commission Decision of 13 May 2009 on the selection of operators of pan-European systems providing mobile</w:t>
      </w:r>
      <w:r>
        <w:t>-</w:t>
      </w:r>
      <w:r w:rsidRPr="00934E30">
        <w:t>satellite services (MSS)</w:t>
      </w:r>
      <w:r>
        <w:t>.</w:t>
      </w:r>
    </w:p>
  </w:footnote>
  <w:footnote w:id="12">
    <w:p w14:paraId="6EC4C59F" w14:textId="5D004C75" w:rsidR="00374186" w:rsidRPr="00F27FBB" w:rsidRDefault="00374186">
      <w:pPr>
        <w:pStyle w:val="FootnoteText"/>
        <w:rPr>
          <w:lang w:val="en-US"/>
        </w:rPr>
      </w:pPr>
      <w:r>
        <w:rPr>
          <w:rStyle w:val="FootnoteReference"/>
        </w:rPr>
        <w:footnoteRef/>
      </w:r>
      <w:r>
        <w:t xml:space="preserve"> </w:t>
      </w:r>
      <w:hyperlink r:id="rId6" w:history="1">
        <w:r w:rsidRPr="0099578E">
          <w:rPr>
            <w:rStyle w:val="Hyperlink"/>
            <w:lang w:val="en-US"/>
          </w:rPr>
          <w:t>Replanning the 2 GHz band: options paper</w:t>
        </w:r>
      </w:hyperlink>
      <w:r>
        <w:rPr>
          <w:lang w:val="en-US"/>
        </w:rPr>
        <w:t>, p. 70</w:t>
      </w:r>
    </w:p>
  </w:footnote>
  <w:footnote w:id="13">
    <w:p w14:paraId="0A009E70" w14:textId="77777777" w:rsidR="00374186" w:rsidRPr="00882917" w:rsidRDefault="00374186">
      <w:pPr>
        <w:pStyle w:val="FootnoteText"/>
        <w:rPr>
          <w:lang w:val="en-US"/>
        </w:rPr>
      </w:pPr>
      <w:r>
        <w:rPr>
          <w:rStyle w:val="FootnoteReference"/>
        </w:rPr>
        <w:footnoteRef/>
      </w:r>
      <w:r>
        <w:t xml:space="preserve"> The </w:t>
      </w:r>
      <w:r>
        <w:rPr>
          <w:lang w:val="en-US"/>
        </w:rPr>
        <w:t xml:space="preserve">desirable planning outcomes are reproduced at </w:t>
      </w:r>
      <w:hyperlink w:anchor="_Appendix_B:_Desirable" w:history="1">
        <w:r w:rsidRPr="00882917">
          <w:rPr>
            <w:rStyle w:val="Hyperlink"/>
            <w:lang w:val="en-US"/>
          </w:rPr>
          <w:t>Appendix B</w:t>
        </w:r>
      </w:hyperlink>
      <w:r>
        <w:rPr>
          <w:lang w:val="en-US"/>
        </w:rPr>
        <w:t>.</w:t>
      </w:r>
    </w:p>
  </w:footnote>
  <w:footnote w:id="14">
    <w:p w14:paraId="36771309" w14:textId="77777777" w:rsidR="00374186" w:rsidRDefault="00374186" w:rsidP="00D35383">
      <w:pPr>
        <w:pStyle w:val="FootnoteText"/>
      </w:pPr>
      <w:r>
        <w:rPr>
          <w:rStyle w:val="FootnoteReference"/>
        </w:rPr>
        <w:footnoteRef/>
      </w:r>
      <w:r>
        <w:t xml:space="preserve"> Refer channel arrangements for these bands in </w:t>
      </w:r>
      <w:hyperlink r:id="rId7" w:history="1">
        <w:r w:rsidRPr="00141323">
          <w:rPr>
            <w:rStyle w:val="Hyperlink"/>
          </w:rPr>
          <w:t>RALI FX3</w:t>
        </w:r>
      </w:hyperlink>
      <w:r w:rsidRPr="00A23B22">
        <w:t xml:space="preserve">: </w:t>
      </w:r>
      <w:r>
        <w:t>M</w:t>
      </w:r>
      <w:r w:rsidRPr="00A23B22">
        <w:t>icrowave fixed services</w:t>
      </w:r>
      <w:r>
        <w:t xml:space="preserve">. </w:t>
      </w:r>
    </w:p>
  </w:footnote>
  <w:footnote w:id="15">
    <w:p w14:paraId="7158C889" w14:textId="071DA959" w:rsidR="00374186" w:rsidRPr="00DB2A5A" w:rsidRDefault="00374186">
      <w:pPr>
        <w:pStyle w:val="FootnoteText"/>
        <w:rPr>
          <w:lang w:val="en-US"/>
        </w:rPr>
      </w:pPr>
      <w:r>
        <w:rPr>
          <w:rStyle w:val="FootnoteReference"/>
        </w:rPr>
        <w:footnoteRef/>
      </w:r>
      <w:r>
        <w:t xml:space="preserve"> </w:t>
      </w:r>
      <w:r w:rsidRPr="00D10789">
        <w:t>The 3rd Generation Partnership Project (3GPP) is an umbrella for a number of international standards organisations which develop protocols for mobile telecommunications.</w:t>
      </w:r>
    </w:p>
  </w:footnote>
  <w:footnote w:id="16">
    <w:p w14:paraId="353A6748" w14:textId="77777777" w:rsidR="00374186" w:rsidRDefault="00374186" w:rsidP="00227545">
      <w:pPr>
        <w:pStyle w:val="FootnoteText"/>
      </w:pPr>
      <w:r>
        <w:rPr>
          <w:rStyle w:val="FootnoteReference"/>
        </w:rPr>
        <w:footnoteRef/>
      </w:r>
      <w:r>
        <w:t xml:space="preserve"> </w:t>
      </w:r>
      <w:hyperlink r:id="rId8" w:history="1">
        <w:r w:rsidRPr="00465153">
          <w:rPr>
            <w:rStyle w:val="Hyperlink"/>
          </w:rPr>
          <w:t>https://www.3gpp.org/DynaReport/38-series.htm</w:t>
        </w:r>
      </w:hyperlink>
      <w:r>
        <w:t xml:space="preserve">, </w:t>
      </w:r>
      <w:r w:rsidRPr="00F911D7">
        <w:rPr>
          <w:rFonts w:cs="Arial"/>
          <w:color w:val="2D2D2D"/>
          <w:shd w:val="clear" w:color="auto" w:fill="F5F5F5"/>
        </w:rPr>
        <w:t>TS </w:t>
      </w:r>
      <w:hyperlink r:id="rId9" w:tgtFrame="_blank" w:history="1">
        <w:r w:rsidRPr="00F911D7">
          <w:rPr>
            <w:rStyle w:val="Hyperlink"/>
            <w:rFonts w:cs="Arial"/>
            <w:shd w:val="clear" w:color="auto" w:fill="F5F5F5"/>
          </w:rPr>
          <w:t>38.101</w:t>
        </w:r>
      </w:hyperlink>
      <w:r w:rsidRPr="00F911D7">
        <w:rPr>
          <w:rFonts w:cs="Arial"/>
          <w:color w:val="2D2D2D"/>
          <w:shd w:val="clear" w:color="auto" w:fill="F5F5F5"/>
        </w:rPr>
        <w:t xml:space="preserve"> </w:t>
      </w:r>
      <w:r w:rsidRPr="005A2C84">
        <w:t>NR; User Equipment (UE) radio transmission and reception</w:t>
      </w:r>
      <w:r>
        <w:t xml:space="preserve"> and </w:t>
      </w:r>
      <w:r w:rsidRPr="00377E0B">
        <w:t>TS </w:t>
      </w:r>
      <w:hyperlink r:id="rId10" w:tgtFrame="_blank" w:history="1">
        <w:r w:rsidRPr="00377E0B">
          <w:rPr>
            <w:rStyle w:val="Hyperlink"/>
          </w:rPr>
          <w:t>38.104</w:t>
        </w:r>
      </w:hyperlink>
      <w:r>
        <w:t xml:space="preserve"> </w:t>
      </w:r>
      <w:r w:rsidRPr="00F3647B">
        <w:t>NR; Base Station (BS) radio transmission and reception</w:t>
      </w:r>
    </w:p>
  </w:footnote>
  <w:footnote w:id="17">
    <w:p w14:paraId="5EC129B4" w14:textId="77777777" w:rsidR="00374186" w:rsidRDefault="00374186" w:rsidP="00CB17EC">
      <w:pPr>
        <w:pStyle w:val="FootnoteText"/>
      </w:pPr>
      <w:r>
        <w:rPr>
          <w:rStyle w:val="FootnoteReference"/>
        </w:rPr>
        <w:footnoteRef/>
      </w:r>
      <w:r>
        <w:t xml:space="preserve"> </w:t>
      </w:r>
      <w:hyperlink r:id="rId11" w:history="1">
        <w:r w:rsidRPr="00465153">
          <w:rPr>
            <w:rStyle w:val="Hyperlink"/>
          </w:rPr>
          <w:t>https://www.3gpp.org/DynaReport/36-series.htm</w:t>
        </w:r>
      </w:hyperlink>
      <w:r>
        <w:t xml:space="preserve"> </w:t>
      </w:r>
    </w:p>
  </w:footnote>
  <w:footnote w:id="18">
    <w:p w14:paraId="3369B77B" w14:textId="77777777" w:rsidR="00374186" w:rsidRDefault="00374186" w:rsidP="00CB17EC">
      <w:pPr>
        <w:pStyle w:val="FootnoteText"/>
      </w:pPr>
      <w:r>
        <w:rPr>
          <w:rStyle w:val="FootnoteReference"/>
        </w:rPr>
        <w:footnoteRef/>
      </w:r>
      <w:r>
        <w:t xml:space="preserve"> </w:t>
      </w:r>
      <w:hyperlink r:id="rId12" w:history="1">
        <w:r w:rsidRPr="00465153">
          <w:rPr>
            <w:rStyle w:val="Hyperlink"/>
          </w:rPr>
          <w:t>https://www.3gpp.org/DynaReport/38-series.htm</w:t>
        </w:r>
      </w:hyperlink>
      <w:r>
        <w:t xml:space="preserve"> </w:t>
      </w:r>
    </w:p>
  </w:footnote>
  <w:footnote w:id="19">
    <w:p w14:paraId="5B3A160B" w14:textId="77777777" w:rsidR="00374186" w:rsidRDefault="00374186" w:rsidP="00F26AAB">
      <w:pPr>
        <w:pStyle w:val="FootnoteText"/>
      </w:pPr>
      <w:r>
        <w:rPr>
          <w:rStyle w:val="FootnoteReference"/>
        </w:rPr>
        <w:footnoteRef/>
      </w:r>
      <w:r>
        <w:t xml:space="preserve"> Refer list of </w:t>
      </w:r>
      <w:hyperlink r:id="rId13" w:history="1">
        <w:r w:rsidRPr="00682EE8">
          <w:rPr>
            <w:rStyle w:val="Hyperlink"/>
          </w:rPr>
          <w:t>spectrum auctions</w:t>
        </w:r>
      </w:hyperlink>
      <w:r>
        <w:t xml:space="preserve"> on the ACMA website and the 2001 auction </w:t>
      </w:r>
      <w:r>
        <w:t xml:space="preserve">of  11.7–12.2 GHz for </w:t>
      </w:r>
      <w:hyperlink r:id="rId14" w:history="1">
        <w:r w:rsidRPr="002A4906">
          <w:rPr>
            <w:rStyle w:val="Hyperlink"/>
            <w:rFonts w:cs="Arial"/>
            <w:color w:val="1A1A1A"/>
            <w:u w:val="none"/>
          </w:rPr>
          <w:t>Space Licences - Apparatus licences</w:t>
        </w:r>
      </w:hyperlink>
      <w:r w:rsidRPr="00A456EE">
        <w:rPr>
          <w:rStyle w:val="Hyperlink"/>
          <w:rFonts w:cs="Arial"/>
          <w:color w:val="auto"/>
          <w:u w:val="none"/>
        </w:rPr>
        <w:t>.</w:t>
      </w:r>
    </w:p>
  </w:footnote>
  <w:footnote w:id="20">
    <w:p w14:paraId="005E74F7" w14:textId="77777777" w:rsidR="00374186" w:rsidRDefault="00374186" w:rsidP="000B03FD">
      <w:pPr>
        <w:pStyle w:val="FootnoteText"/>
      </w:pPr>
      <w:r>
        <w:rPr>
          <w:rStyle w:val="FootnoteReference"/>
        </w:rPr>
        <w:footnoteRef/>
      </w:r>
      <w:r>
        <w:t xml:space="preserve"> The ITU defines a </w:t>
      </w:r>
      <w:r w:rsidRPr="00F8544E">
        <w:t>satellite system</w:t>
      </w:r>
      <w:r>
        <w:t xml:space="preserve"> as a </w:t>
      </w:r>
      <w:r w:rsidRPr="00F8544E">
        <w:t>space system using one or more artificial earth satellites</w:t>
      </w:r>
      <w:r>
        <w:t>. A space system is defined as any group of cooperating earth stations and/or space stations employing space radiocommunication for specific purposes.</w:t>
      </w:r>
    </w:p>
  </w:footnote>
  <w:footnote w:id="21">
    <w:p w14:paraId="42B9E266" w14:textId="77777777" w:rsidR="00374186" w:rsidRDefault="00374186" w:rsidP="000B03FD">
      <w:pPr>
        <w:pStyle w:val="FootnoteText"/>
      </w:pPr>
      <w:r>
        <w:rPr>
          <w:rStyle w:val="FootnoteReference"/>
        </w:rPr>
        <w:footnoteRef/>
      </w:r>
      <w:r>
        <w:t xml:space="preserve"> Refer ITU Radio Regulations Article 9 &amp; 11, and ITU Rules of Procedures.</w:t>
      </w:r>
    </w:p>
  </w:footnote>
  <w:footnote w:id="22">
    <w:p w14:paraId="39FBC670" w14:textId="77777777" w:rsidR="00374186" w:rsidRDefault="00374186" w:rsidP="001D1203">
      <w:pPr>
        <w:pStyle w:val="FootnoteText"/>
      </w:pPr>
      <w:r>
        <w:rPr>
          <w:rStyle w:val="FootnoteReference"/>
        </w:rPr>
        <w:footnoteRef/>
      </w:r>
      <w:r>
        <w:t xml:space="preserve"> </w:t>
      </w:r>
      <w:hyperlink r:id="rId15" w:history="1">
        <w:r w:rsidRPr="006D7B26">
          <w:rPr>
            <w:rStyle w:val="Hyperlink"/>
          </w:rPr>
          <w:t>ECC Decision ECC/DEC</w:t>
        </w:r>
        <w:r w:rsidRPr="006D7B26">
          <w:rPr>
            <w:rStyle w:val="Hyperlink"/>
          </w:rPr>
          <w:t>/(06)09</w:t>
        </w:r>
      </w:hyperlink>
      <w:r>
        <w:t xml:space="preserve">: </w:t>
      </w:r>
      <w:r w:rsidRPr="006D7B26">
        <w:t>ECC Decision of 1 December 2006 on the designation of the bands 1980-2010 MHz and 2170-2200 MHz for use by systems in the Mobile-Satellite Service</w:t>
      </w:r>
      <w:r>
        <w:t>,</w:t>
      </w:r>
      <w:r w:rsidRPr="006D7B26">
        <w:t xml:space="preserve"> including those supplemented by a </w:t>
      </w:r>
      <w:r>
        <w:t>c</w:t>
      </w:r>
      <w:r w:rsidRPr="006D7B26">
        <w:t xml:space="preserve">omplementary </w:t>
      </w:r>
      <w:r>
        <w:t>g</w:t>
      </w:r>
      <w:r w:rsidRPr="006D7B26">
        <w:t xml:space="preserve">round </w:t>
      </w:r>
      <w:r>
        <w:t>c</w:t>
      </w:r>
      <w:r w:rsidRPr="006D7B26">
        <w:t>omponent</w:t>
      </w:r>
      <w:r>
        <w:t>.</w:t>
      </w:r>
    </w:p>
  </w:footnote>
  <w:footnote w:id="23">
    <w:p w14:paraId="2EAC1788" w14:textId="6379BAE4" w:rsidR="00374186" w:rsidRPr="009230E6" w:rsidRDefault="00374186">
      <w:pPr>
        <w:pStyle w:val="FootnoteText"/>
        <w:rPr>
          <w:i/>
          <w:iCs/>
        </w:rPr>
      </w:pPr>
      <w:r>
        <w:rPr>
          <w:rStyle w:val="FootnoteReference"/>
        </w:rPr>
        <w:footnoteRef/>
      </w:r>
      <w:r>
        <w:t xml:space="preserve"> </w:t>
      </w:r>
      <w:r>
        <w:rPr>
          <w:rFonts w:cs="Arial"/>
          <w:szCs w:val="20"/>
        </w:rPr>
        <w:t>Refer RALI</w:t>
      </w:r>
      <w:r w:rsidRPr="00367FDE">
        <w:rPr>
          <w:rFonts w:cs="Arial"/>
          <w:szCs w:val="20"/>
        </w:rPr>
        <w:t xml:space="preserve"> </w:t>
      </w:r>
      <w:hyperlink r:id="rId16" w:history="1">
        <w:r w:rsidRPr="009230E6">
          <w:rPr>
            <w:rStyle w:val="Hyperlink"/>
            <w:rFonts w:cs="Arial"/>
            <w:szCs w:val="20"/>
          </w:rPr>
          <w:t>FX21</w:t>
        </w:r>
      </w:hyperlink>
      <w:r w:rsidRPr="009230E6">
        <w:rPr>
          <w:rFonts w:cs="Arial"/>
          <w:szCs w:val="20"/>
        </w:rPr>
        <w:t xml:space="preserve"> </w:t>
      </w:r>
      <w:r w:rsidRPr="009230E6">
        <w:rPr>
          <w:rStyle w:val="Emphasis"/>
          <w:rFonts w:cs="Arial"/>
          <w:i w:val="0"/>
          <w:iCs w:val="0"/>
          <w:szCs w:val="20"/>
        </w:rPr>
        <w:t>Television Outside Broadcasting Services in the Bands 1980–2110 MHz and 2170–2300 M</w:t>
      </w:r>
      <w:r>
        <w:rPr>
          <w:rStyle w:val="Emphasis"/>
          <w:rFonts w:cs="Arial"/>
          <w:i w:val="0"/>
          <w:iCs w:val="0"/>
          <w:szCs w:val="20"/>
        </w:rPr>
        <w:t>Hz</w:t>
      </w:r>
    </w:p>
  </w:footnote>
  <w:footnote w:id="24">
    <w:p w14:paraId="5896CF61" w14:textId="3A395D03" w:rsidR="00374186" w:rsidRDefault="00374186">
      <w:pPr>
        <w:pStyle w:val="FootnoteText"/>
      </w:pPr>
      <w:r>
        <w:rPr>
          <w:rStyle w:val="FootnoteReference"/>
        </w:rPr>
        <w:footnoteRef/>
      </w:r>
      <w:r>
        <w:t xml:space="preserve"> See </w:t>
      </w:r>
      <w:r w:rsidRPr="005D4511">
        <w:t>New arrangements for low interference potential devices</w:t>
      </w:r>
      <w:r>
        <w:t>, ACMA</w:t>
      </w:r>
      <w:r w:rsidRPr="005D4511">
        <w:t xml:space="preserve"> consultation </w:t>
      </w:r>
      <w:hyperlink r:id="rId17" w:history="1">
        <w:r w:rsidRPr="00AE3CE0">
          <w:rPr>
            <w:rStyle w:val="Hyperlink"/>
          </w:rPr>
          <w:t>28/2020</w:t>
        </w:r>
      </w:hyperlink>
      <w:r>
        <w:t xml:space="preserve"> and proposed ar</w:t>
      </w:r>
      <w:r w:rsidRPr="00A008B5">
        <w:t>rangements for IoT devices in the 928–935 MHz band</w:t>
      </w:r>
      <w:r>
        <w:t>.</w:t>
      </w:r>
    </w:p>
  </w:footnote>
  <w:footnote w:id="25">
    <w:p w14:paraId="44FAEA16" w14:textId="77777777" w:rsidR="00374186" w:rsidRDefault="00374186" w:rsidP="000F0C78">
      <w:pPr>
        <w:pStyle w:val="FootnoteText"/>
      </w:pPr>
      <w:r>
        <w:rPr>
          <w:rStyle w:val="FootnoteReference"/>
        </w:rPr>
        <w:footnoteRef/>
      </w:r>
      <w:r>
        <w:t xml:space="preserve"> Refer </w:t>
      </w:r>
      <w:hyperlink r:id="rId18" w:history="1">
        <w:r w:rsidRPr="006E7AD1">
          <w:rPr>
            <w:rStyle w:val="Hyperlink"/>
          </w:rPr>
          <w:t>https://www.legislation.gov.au/Series/F2012L00731</w:t>
        </w:r>
      </w:hyperlink>
      <w:r>
        <w:rPr>
          <w:u w:color="0000FF"/>
        </w:rPr>
        <w:t xml:space="preserve"> </w:t>
      </w:r>
    </w:p>
  </w:footnote>
  <w:footnote w:id="26">
    <w:p w14:paraId="62B18BC9" w14:textId="2C148579" w:rsidR="00374186" w:rsidRDefault="00374186" w:rsidP="00FF0E44">
      <w:pPr>
        <w:pStyle w:val="FootnoteText"/>
      </w:pPr>
      <w:r>
        <w:rPr>
          <w:rStyle w:val="FootnoteReference"/>
        </w:rPr>
        <w:footnoteRef/>
      </w:r>
      <w:r>
        <w:t xml:space="preserve"> For current technical requirements see  </w:t>
      </w:r>
      <w:hyperlink r:id="rId19" w:history="1">
        <w:r w:rsidRPr="00F11D1A">
          <w:rPr>
            <w:rStyle w:val="Hyperlink"/>
          </w:rPr>
          <w:t>2 GHz</w:t>
        </w:r>
      </w:hyperlink>
      <w:r>
        <w:t xml:space="preserve"> spectrum licensing </w:t>
      </w:r>
      <w:r w:rsidRPr="00D370A2">
        <w:t xml:space="preserve"> technical framework</w:t>
      </w:r>
      <w:r>
        <w:t xml:space="preserve"> and </w:t>
      </w:r>
      <w:hyperlink r:id="rId20" w:history="1">
        <w:r w:rsidRPr="007C0094">
          <w:rPr>
            <w:rStyle w:val="Hyperlink"/>
          </w:rPr>
          <w:t>RALI MS 33</w:t>
        </w:r>
      </w:hyperlink>
      <w:r>
        <w:t xml:space="preserve">: Frequency Coordination and Licensing Procedures for Apparatus Licensed Public Telecommunications Services in the 2 GHz Band.  </w:t>
      </w:r>
    </w:p>
  </w:footnote>
  <w:footnote w:id="27">
    <w:p w14:paraId="3AE1D9A6" w14:textId="67A1F945" w:rsidR="00374186" w:rsidRDefault="00374186">
      <w:pPr>
        <w:pStyle w:val="FootnoteText"/>
      </w:pPr>
      <w:r>
        <w:rPr>
          <w:rStyle w:val="FootnoteReference"/>
        </w:rPr>
        <w:footnoteRef/>
      </w:r>
      <w:r>
        <w:t xml:space="preserve"> For example, uplink bands (the segment for </w:t>
      </w:r>
      <w:r>
        <w:t xml:space="preserve">users terminal/handset transmit) for both bands are adjacent to each other meaning no crossband compatibility site sense issues.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60"/>
      <w:gridCol w:w="3260"/>
      <w:gridCol w:w="3260"/>
    </w:tblGrid>
    <w:tr w:rsidR="00374186" w14:paraId="73D0709E" w14:textId="77777777" w:rsidTr="7697FD89">
      <w:tc>
        <w:tcPr>
          <w:tcW w:w="3260" w:type="dxa"/>
        </w:tcPr>
        <w:p w14:paraId="05CF2453" w14:textId="41476194" w:rsidR="00374186" w:rsidRDefault="00374186" w:rsidP="7697FD89">
          <w:pPr>
            <w:pStyle w:val="Header"/>
            <w:ind w:left="-115"/>
          </w:pPr>
        </w:p>
      </w:tc>
      <w:tc>
        <w:tcPr>
          <w:tcW w:w="3260" w:type="dxa"/>
        </w:tcPr>
        <w:p w14:paraId="177F06E5" w14:textId="68A6EF89" w:rsidR="00374186" w:rsidRDefault="00374186" w:rsidP="7697FD89">
          <w:pPr>
            <w:pStyle w:val="Header"/>
            <w:jc w:val="center"/>
          </w:pPr>
        </w:p>
      </w:tc>
      <w:tc>
        <w:tcPr>
          <w:tcW w:w="3260" w:type="dxa"/>
        </w:tcPr>
        <w:p w14:paraId="10C59E72" w14:textId="6A0BDE94" w:rsidR="00374186" w:rsidRDefault="00374186" w:rsidP="7697FD89">
          <w:pPr>
            <w:pStyle w:val="Header"/>
            <w:ind w:right="-115"/>
            <w:jc w:val="right"/>
          </w:pPr>
        </w:p>
      </w:tc>
    </w:tr>
  </w:tbl>
  <w:p w14:paraId="62148C5D" w14:textId="23C24541" w:rsidR="00374186" w:rsidRDefault="003741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F838F" w14:textId="77777777" w:rsidR="00374186" w:rsidRPr="00A5474E" w:rsidRDefault="00374186" w:rsidP="00A5474E">
    <w:pPr>
      <w:pStyle w:val="Header"/>
    </w:pPr>
    <w:r>
      <w:rPr>
        <w:noProof/>
      </w:rPr>
      <w:drawing>
        <wp:inline distT="0" distB="0" distL="0" distR="0" wp14:anchorId="0BBCE850" wp14:editId="5272A2FA">
          <wp:extent cx="6210298" cy="571134"/>
          <wp:effectExtent l="0" t="0" r="0"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CD3A0" w14:textId="77777777" w:rsidR="00374186" w:rsidRPr="00A5474E" w:rsidRDefault="00374186"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EF7E2" w14:textId="77777777" w:rsidR="00374186" w:rsidRDefault="0037418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9A4EEE" w14:textId="77777777" w:rsidR="00374186" w:rsidRDefault="0037418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74186" w14:paraId="3E88EDE2" w14:textId="77777777" w:rsidTr="00816D2B">
      <w:trPr>
        <w:trHeight w:hRule="exact" w:val="988"/>
      </w:trPr>
      <w:tc>
        <w:tcPr>
          <w:tcW w:w="7678" w:type="dxa"/>
          <w:shd w:val="clear" w:color="auto" w:fill="auto"/>
        </w:tcPr>
        <w:p w14:paraId="7E5FDC07" w14:textId="77777777" w:rsidR="00374186" w:rsidRDefault="00374186" w:rsidP="00971914">
          <w:pPr>
            <w:pStyle w:val="Header"/>
          </w:pPr>
        </w:p>
      </w:tc>
    </w:tr>
    <w:tr w:rsidR="00374186" w14:paraId="6AA9A36E" w14:textId="77777777" w:rsidTr="00816D2B">
      <w:tc>
        <w:tcPr>
          <w:tcW w:w="7678" w:type="dxa"/>
          <w:shd w:val="clear" w:color="auto" w:fill="auto"/>
        </w:tcPr>
        <w:p w14:paraId="261ABBF6" w14:textId="77777777" w:rsidR="00374186" w:rsidRDefault="00374186" w:rsidP="00971914">
          <w:pPr>
            <w:pStyle w:val="GridTable31"/>
          </w:pPr>
          <w:r>
            <w:t xml:space="preserve">Contents </w:t>
          </w:r>
          <w:r w:rsidRPr="00915B1C">
            <w:rPr>
              <w:b w:val="0"/>
              <w:spacing w:val="0"/>
              <w:sz w:val="28"/>
              <w:szCs w:val="28"/>
            </w:rPr>
            <w:t>(Continued)</w:t>
          </w:r>
        </w:p>
      </w:tc>
    </w:tr>
    <w:tr w:rsidR="00374186" w14:paraId="6F1ADF88" w14:textId="77777777" w:rsidTr="00816D2B">
      <w:trPr>
        <w:trHeight w:val="1220"/>
      </w:trPr>
      <w:tc>
        <w:tcPr>
          <w:tcW w:w="7678" w:type="dxa"/>
          <w:shd w:val="clear" w:color="auto" w:fill="auto"/>
        </w:tcPr>
        <w:p w14:paraId="08EFB5B7" w14:textId="77777777" w:rsidR="00374186" w:rsidRDefault="00374186" w:rsidP="00971914"/>
      </w:tc>
    </w:tr>
  </w:tbl>
  <w:p w14:paraId="74FE4B21" w14:textId="77777777" w:rsidR="00374186" w:rsidRDefault="00374186"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74186" w14:paraId="2741D778" w14:textId="77777777" w:rsidTr="00816D2B">
      <w:trPr>
        <w:trHeight w:hRule="exact" w:val="988"/>
      </w:trPr>
      <w:tc>
        <w:tcPr>
          <w:tcW w:w="7678" w:type="dxa"/>
          <w:shd w:val="clear" w:color="auto" w:fill="auto"/>
        </w:tcPr>
        <w:p w14:paraId="28BAF47B" w14:textId="77777777" w:rsidR="00374186" w:rsidRDefault="00374186" w:rsidP="00971914">
          <w:pPr>
            <w:pStyle w:val="Header"/>
          </w:pPr>
        </w:p>
      </w:tc>
    </w:tr>
    <w:tr w:rsidR="00374186" w14:paraId="5EE5F4CF" w14:textId="77777777" w:rsidTr="00816D2B">
      <w:tc>
        <w:tcPr>
          <w:tcW w:w="7678" w:type="dxa"/>
          <w:shd w:val="clear" w:color="auto" w:fill="auto"/>
        </w:tcPr>
        <w:p w14:paraId="23F3E6B2" w14:textId="77777777" w:rsidR="00374186" w:rsidRDefault="00374186" w:rsidP="00971914">
          <w:pPr>
            <w:pStyle w:val="GridTable31"/>
          </w:pPr>
          <w:r>
            <w:t xml:space="preserve">Contents </w:t>
          </w:r>
          <w:r w:rsidRPr="00915B1C">
            <w:rPr>
              <w:b w:val="0"/>
              <w:spacing w:val="0"/>
              <w:sz w:val="28"/>
              <w:szCs w:val="28"/>
            </w:rPr>
            <w:t>(Continued)</w:t>
          </w:r>
        </w:p>
      </w:tc>
    </w:tr>
    <w:tr w:rsidR="00374186" w14:paraId="5083EB68" w14:textId="77777777" w:rsidTr="00816D2B">
      <w:trPr>
        <w:trHeight w:val="1220"/>
      </w:trPr>
      <w:tc>
        <w:tcPr>
          <w:tcW w:w="7678" w:type="dxa"/>
          <w:shd w:val="clear" w:color="auto" w:fill="auto"/>
        </w:tcPr>
        <w:p w14:paraId="36ED813E" w14:textId="77777777" w:rsidR="00374186" w:rsidRDefault="00374186" w:rsidP="00971914"/>
      </w:tc>
    </w:tr>
  </w:tbl>
  <w:p w14:paraId="6FEAE459" w14:textId="77777777" w:rsidR="00374186" w:rsidRPr="00A5474E" w:rsidRDefault="00374186"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7EB7F" w14:textId="77777777" w:rsidR="00374186" w:rsidRDefault="003741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855A1" w14:textId="77777777" w:rsidR="00374186" w:rsidRDefault="003741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8EC2D1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4D0E8A1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6504F6"/>
    <w:multiLevelType w:val="hybridMultilevel"/>
    <w:tmpl w:val="FC1C44E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000AA0"/>
    <w:multiLevelType w:val="hybridMultilevel"/>
    <w:tmpl w:val="F77A98A8"/>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BC4272"/>
    <w:multiLevelType w:val="hybridMultilevel"/>
    <w:tmpl w:val="68D63238"/>
    <w:lvl w:ilvl="0" w:tplc="C9D8093A">
      <w:start w:val="200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C3511C"/>
    <w:multiLevelType w:val="hybridMultilevel"/>
    <w:tmpl w:val="C9E257BC"/>
    <w:lvl w:ilvl="0" w:tplc="2EC246CE">
      <w:numFmt w:val="bullet"/>
      <w:lvlText w:val=""/>
      <w:lvlJc w:val="left"/>
      <w:pPr>
        <w:ind w:left="360" w:hanging="360"/>
      </w:pPr>
      <w:rPr>
        <w:rFonts w:ascii="Symbol" w:eastAsia="Times New Roman" w:hAnsi="Symbo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3400C29"/>
    <w:multiLevelType w:val="hybridMultilevel"/>
    <w:tmpl w:val="725EE75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A3270E3"/>
    <w:multiLevelType w:val="hybridMultilevel"/>
    <w:tmpl w:val="8F1C9F22"/>
    <w:lvl w:ilvl="0" w:tplc="0C090001">
      <w:start w:val="6"/>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E301DD4"/>
    <w:multiLevelType w:val="hybridMultilevel"/>
    <w:tmpl w:val="04090023"/>
    <w:lvl w:ilvl="0" w:tplc="CEA89E52">
      <w:start w:val="1"/>
      <w:numFmt w:val="upperRoman"/>
      <w:lvlText w:val="Article %1."/>
      <w:lvlJc w:val="left"/>
      <w:pPr>
        <w:ind w:left="0" w:firstLine="0"/>
      </w:pPr>
    </w:lvl>
    <w:lvl w:ilvl="1" w:tplc="2068AB90">
      <w:start w:val="1"/>
      <w:numFmt w:val="decimalZero"/>
      <w:isLgl/>
      <w:lvlText w:val="Section %1.%2"/>
      <w:lvlJc w:val="left"/>
      <w:pPr>
        <w:ind w:left="0" w:firstLine="0"/>
      </w:pPr>
    </w:lvl>
    <w:lvl w:ilvl="2" w:tplc="476C4638">
      <w:start w:val="1"/>
      <w:numFmt w:val="lowerLetter"/>
      <w:lvlText w:val="(%3)"/>
      <w:lvlJc w:val="left"/>
      <w:pPr>
        <w:ind w:left="720" w:hanging="432"/>
      </w:pPr>
    </w:lvl>
    <w:lvl w:ilvl="3" w:tplc="3F982BD6">
      <w:start w:val="1"/>
      <w:numFmt w:val="lowerRoman"/>
      <w:lvlText w:val="(%4)"/>
      <w:lvlJc w:val="right"/>
      <w:pPr>
        <w:ind w:left="864" w:hanging="144"/>
      </w:pPr>
    </w:lvl>
    <w:lvl w:ilvl="4" w:tplc="02B40772">
      <w:start w:val="1"/>
      <w:numFmt w:val="decimal"/>
      <w:pStyle w:val="Heading5"/>
      <w:lvlText w:val="%5)"/>
      <w:lvlJc w:val="left"/>
      <w:pPr>
        <w:ind w:left="1008" w:hanging="432"/>
      </w:pPr>
    </w:lvl>
    <w:lvl w:ilvl="5" w:tplc="D98ED55C">
      <w:start w:val="1"/>
      <w:numFmt w:val="lowerLetter"/>
      <w:pStyle w:val="Heading6"/>
      <w:lvlText w:val="%6)"/>
      <w:lvlJc w:val="left"/>
      <w:pPr>
        <w:ind w:left="1152" w:hanging="432"/>
      </w:pPr>
    </w:lvl>
    <w:lvl w:ilvl="6" w:tplc="B188484A">
      <w:start w:val="1"/>
      <w:numFmt w:val="lowerRoman"/>
      <w:pStyle w:val="Heading7"/>
      <w:lvlText w:val="%7)"/>
      <w:lvlJc w:val="right"/>
      <w:pPr>
        <w:ind w:left="1296" w:hanging="288"/>
      </w:pPr>
    </w:lvl>
    <w:lvl w:ilvl="7" w:tplc="D69E0B50">
      <w:start w:val="1"/>
      <w:numFmt w:val="lowerLetter"/>
      <w:pStyle w:val="Heading8"/>
      <w:lvlText w:val="%8."/>
      <w:lvlJc w:val="left"/>
      <w:pPr>
        <w:ind w:left="1440" w:hanging="432"/>
      </w:pPr>
    </w:lvl>
    <w:lvl w:ilvl="8" w:tplc="7C80CB8C">
      <w:start w:val="1"/>
      <w:numFmt w:val="lowerRoman"/>
      <w:pStyle w:val="Heading9"/>
      <w:lvlText w:val="%9."/>
      <w:lvlJc w:val="right"/>
      <w:pPr>
        <w:ind w:left="1584" w:hanging="144"/>
      </w:pPr>
    </w:lvl>
  </w:abstractNum>
  <w:abstractNum w:abstractNumId="13"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35C17C6A"/>
    <w:multiLevelType w:val="hybridMultilevel"/>
    <w:tmpl w:val="A2B68D64"/>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D90703"/>
    <w:multiLevelType w:val="hybridMultilevel"/>
    <w:tmpl w:val="4F92F0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1D81084"/>
    <w:multiLevelType w:val="hybridMultilevel"/>
    <w:tmpl w:val="4C6E978A"/>
    <w:lvl w:ilvl="0" w:tplc="111A779E">
      <w:start w:val="200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670402"/>
    <w:multiLevelType w:val="hybridMultilevel"/>
    <w:tmpl w:val="FA0053FE"/>
    <w:lvl w:ilvl="0" w:tplc="ADEEFA2E">
      <w:start w:val="1"/>
      <w:numFmt w:val="decimal"/>
      <w:lvlText w:val="%1."/>
      <w:lvlJc w:val="left"/>
      <w:pPr>
        <w:ind w:left="360" w:hanging="360"/>
      </w:pPr>
      <w:rPr>
        <w:rFonts w:ascii="Arial" w:hAnsi="Arial" w:cs="Arial" w:hint="default"/>
        <w:b w:val="0"/>
        <w:b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E02196"/>
    <w:multiLevelType w:val="hybridMultilevel"/>
    <w:tmpl w:val="3C6C5BAC"/>
    <w:lvl w:ilvl="0" w:tplc="E444AD82">
      <w:start w:val="1"/>
      <w:numFmt w:val="lowerRoman"/>
      <w:lvlText w:val="(%1)"/>
      <w:lvlJc w:val="left"/>
      <w:pPr>
        <w:ind w:left="655" w:hanging="360"/>
      </w:pPr>
      <w:rPr>
        <w:rFonts w:hint="default"/>
      </w:rPr>
    </w:lvl>
    <w:lvl w:ilvl="1" w:tplc="0C090019" w:tentative="1">
      <w:start w:val="1"/>
      <w:numFmt w:val="lowerLetter"/>
      <w:lvlText w:val="%2."/>
      <w:lvlJc w:val="left"/>
      <w:pPr>
        <w:ind w:left="1375" w:hanging="360"/>
      </w:pPr>
    </w:lvl>
    <w:lvl w:ilvl="2" w:tplc="0C09001B" w:tentative="1">
      <w:start w:val="1"/>
      <w:numFmt w:val="lowerRoman"/>
      <w:lvlText w:val="%3."/>
      <w:lvlJc w:val="right"/>
      <w:pPr>
        <w:ind w:left="2095" w:hanging="180"/>
      </w:pPr>
    </w:lvl>
    <w:lvl w:ilvl="3" w:tplc="0C09000F" w:tentative="1">
      <w:start w:val="1"/>
      <w:numFmt w:val="decimal"/>
      <w:lvlText w:val="%4."/>
      <w:lvlJc w:val="left"/>
      <w:pPr>
        <w:ind w:left="2815" w:hanging="360"/>
      </w:pPr>
    </w:lvl>
    <w:lvl w:ilvl="4" w:tplc="0C090019" w:tentative="1">
      <w:start w:val="1"/>
      <w:numFmt w:val="lowerLetter"/>
      <w:lvlText w:val="%5."/>
      <w:lvlJc w:val="left"/>
      <w:pPr>
        <w:ind w:left="3535" w:hanging="360"/>
      </w:pPr>
    </w:lvl>
    <w:lvl w:ilvl="5" w:tplc="0C09001B" w:tentative="1">
      <w:start w:val="1"/>
      <w:numFmt w:val="lowerRoman"/>
      <w:lvlText w:val="%6."/>
      <w:lvlJc w:val="right"/>
      <w:pPr>
        <w:ind w:left="4255" w:hanging="180"/>
      </w:pPr>
    </w:lvl>
    <w:lvl w:ilvl="6" w:tplc="0C09000F" w:tentative="1">
      <w:start w:val="1"/>
      <w:numFmt w:val="decimal"/>
      <w:lvlText w:val="%7."/>
      <w:lvlJc w:val="left"/>
      <w:pPr>
        <w:ind w:left="4975" w:hanging="360"/>
      </w:pPr>
    </w:lvl>
    <w:lvl w:ilvl="7" w:tplc="0C090019" w:tentative="1">
      <w:start w:val="1"/>
      <w:numFmt w:val="lowerLetter"/>
      <w:lvlText w:val="%8."/>
      <w:lvlJc w:val="left"/>
      <w:pPr>
        <w:ind w:left="5695" w:hanging="360"/>
      </w:pPr>
    </w:lvl>
    <w:lvl w:ilvl="8" w:tplc="0C09001B" w:tentative="1">
      <w:start w:val="1"/>
      <w:numFmt w:val="lowerRoman"/>
      <w:lvlText w:val="%9."/>
      <w:lvlJc w:val="right"/>
      <w:pPr>
        <w:ind w:left="6415" w:hanging="180"/>
      </w:pPr>
    </w:lvl>
  </w:abstractNum>
  <w:abstractNum w:abstractNumId="23" w15:restartNumberingAfterBreak="0">
    <w:nsid w:val="70E96108"/>
    <w:multiLevelType w:val="hybridMultilevel"/>
    <w:tmpl w:val="62F82558"/>
    <w:lvl w:ilvl="0" w:tplc="3392CF0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2"/>
  </w:num>
  <w:num w:numId="6">
    <w:abstractNumId w:val="20"/>
  </w:num>
  <w:num w:numId="7">
    <w:abstractNumId w:val="17"/>
  </w:num>
  <w:num w:numId="8">
    <w:abstractNumId w:val="19"/>
  </w:num>
  <w:num w:numId="9">
    <w:abstractNumId w:val="21"/>
  </w:num>
  <w:num w:numId="10">
    <w:abstractNumId w:val="6"/>
  </w:num>
  <w:num w:numId="11">
    <w:abstractNumId w:val="5"/>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3"/>
  </w:num>
  <w:num w:numId="17">
    <w:abstractNumId w:val="22"/>
  </w:num>
  <w:num w:numId="18">
    <w:abstractNumId w:val="23"/>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11"/>
  </w:num>
  <w:num w:numId="22">
    <w:abstractNumId w:val="18"/>
  </w:num>
  <w:num w:numId="23">
    <w:abstractNumId w:val="7"/>
  </w:num>
  <w:num w:numId="24">
    <w:abstractNumId w:val="8"/>
  </w:num>
  <w:num w:numId="25">
    <w:abstractNumId w:val="16"/>
  </w:num>
  <w:num w:numId="26">
    <w:abstractNumId w:val="4"/>
  </w:num>
  <w:num w:numId="27">
    <w:abstractNumId w:val="15"/>
  </w:num>
  <w:num w:numId="28">
    <w:abstractNumId w:val="14"/>
  </w:num>
  <w:num w:numId="29">
    <w:abstractNumId w:val="2"/>
    <w:lvlOverride w:ilvl="0">
      <w:startOverride w:val="1"/>
    </w:lvlOverride>
  </w:num>
  <w:num w:numId="30">
    <w:abstractNumId w:val="2"/>
    <w:lvlOverride w:ilvl="0">
      <w:startOverride w:val="1"/>
    </w:lvlOverride>
  </w:num>
  <w:num w:numId="31">
    <w:abstractNumId w:val="10"/>
  </w:num>
  <w:num w:numId="3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843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C48"/>
    <w:rsid w:val="000007F2"/>
    <w:rsid w:val="00002E18"/>
    <w:rsid w:val="00003BA4"/>
    <w:rsid w:val="000047DF"/>
    <w:rsid w:val="00004BB7"/>
    <w:rsid w:val="00004DDF"/>
    <w:rsid w:val="00005616"/>
    <w:rsid w:val="000058E6"/>
    <w:rsid w:val="00005CEE"/>
    <w:rsid w:val="00006E49"/>
    <w:rsid w:val="000075A7"/>
    <w:rsid w:val="000075CD"/>
    <w:rsid w:val="00007F54"/>
    <w:rsid w:val="00007F9A"/>
    <w:rsid w:val="00007FAE"/>
    <w:rsid w:val="00010667"/>
    <w:rsid w:val="00010972"/>
    <w:rsid w:val="00010C06"/>
    <w:rsid w:val="00011069"/>
    <w:rsid w:val="0001110A"/>
    <w:rsid w:val="00011A68"/>
    <w:rsid w:val="00011F02"/>
    <w:rsid w:val="00012090"/>
    <w:rsid w:val="00012535"/>
    <w:rsid w:val="000126DF"/>
    <w:rsid w:val="000129D5"/>
    <w:rsid w:val="00012C96"/>
    <w:rsid w:val="000131B5"/>
    <w:rsid w:val="0001356A"/>
    <w:rsid w:val="00013E95"/>
    <w:rsid w:val="00013EB5"/>
    <w:rsid w:val="000144FA"/>
    <w:rsid w:val="0001450D"/>
    <w:rsid w:val="000145F6"/>
    <w:rsid w:val="00014AEC"/>
    <w:rsid w:val="000150FD"/>
    <w:rsid w:val="00015970"/>
    <w:rsid w:val="00015AE7"/>
    <w:rsid w:val="00016E21"/>
    <w:rsid w:val="00016FF8"/>
    <w:rsid w:val="0001719C"/>
    <w:rsid w:val="000177B4"/>
    <w:rsid w:val="00020393"/>
    <w:rsid w:val="0002224E"/>
    <w:rsid w:val="00022C05"/>
    <w:rsid w:val="00022E7C"/>
    <w:rsid w:val="00023D92"/>
    <w:rsid w:val="000242ED"/>
    <w:rsid w:val="000245E5"/>
    <w:rsid w:val="00024678"/>
    <w:rsid w:val="000246F0"/>
    <w:rsid w:val="000249A1"/>
    <w:rsid w:val="00024C51"/>
    <w:rsid w:val="00024E88"/>
    <w:rsid w:val="00025630"/>
    <w:rsid w:val="00025881"/>
    <w:rsid w:val="00025B77"/>
    <w:rsid w:val="00026068"/>
    <w:rsid w:val="000262D7"/>
    <w:rsid w:val="000265CA"/>
    <w:rsid w:val="0002678B"/>
    <w:rsid w:val="000269FB"/>
    <w:rsid w:val="00026D8E"/>
    <w:rsid w:val="00026F91"/>
    <w:rsid w:val="00027543"/>
    <w:rsid w:val="00027760"/>
    <w:rsid w:val="00027AC9"/>
    <w:rsid w:val="00027B26"/>
    <w:rsid w:val="00027F2C"/>
    <w:rsid w:val="00027F59"/>
    <w:rsid w:val="000304D9"/>
    <w:rsid w:val="000307ED"/>
    <w:rsid w:val="000309F5"/>
    <w:rsid w:val="00030AA4"/>
    <w:rsid w:val="00031A43"/>
    <w:rsid w:val="00031FEB"/>
    <w:rsid w:val="000322EC"/>
    <w:rsid w:val="00032621"/>
    <w:rsid w:val="00032BE7"/>
    <w:rsid w:val="000330B6"/>
    <w:rsid w:val="000336B4"/>
    <w:rsid w:val="00033860"/>
    <w:rsid w:val="00035210"/>
    <w:rsid w:val="00036412"/>
    <w:rsid w:val="0003719C"/>
    <w:rsid w:val="000377CE"/>
    <w:rsid w:val="0004073C"/>
    <w:rsid w:val="00040E79"/>
    <w:rsid w:val="000412EB"/>
    <w:rsid w:val="0004133B"/>
    <w:rsid w:val="00041545"/>
    <w:rsid w:val="0004154B"/>
    <w:rsid w:val="00041A8B"/>
    <w:rsid w:val="00042EDE"/>
    <w:rsid w:val="0004380E"/>
    <w:rsid w:val="000447D7"/>
    <w:rsid w:val="0004488B"/>
    <w:rsid w:val="000453FA"/>
    <w:rsid w:val="000456F3"/>
    <w:rsid w:val="00045957"/>
    <w:rsid w:val="00045E51"/>
    <w:rsid w:val="000460AB"/>
    <w:rsid w:val="0004674F"/>
    <w:rsid w:val="00046F6A"/>
    <w:rsid w:val="00047399"/>
    <w:rsid w:val="00047549"/>
    <w:rsid w:val="0004764C"/>
    <w:rsid w:val="0004774A"/>
    <w:rsid w:val="00047B57"/>
    <w:rsid w:val="00047C06"/>
    <w:rsid w:val="00047D4D"/>
    <w:rsid w:val="0005011A"/>
    <w:rsid w:val="0005045A"/>
    <w:rsid w:val="00050BB7"/>
    <w:rsid w:val="00050D00"/>
    <w:rsid w:val="000511CF"/>
    <w:rsid w:val="000514BB"/>
    <w:rsid w:val="00051635"/>
    <w:rsid w:val="00051C1E"/>
    <w:rsid w:val="00052266"/>
    <w:rsid w:val="00052447"/>
    <w:rsid w:val="00052B5D"/>
    <w:rsid w:val="0005300A"/>
    <w:rsid w:val="000539F9"/>
    <w:rsid w:val="00053A33"/>
    <w:rsid w:val="00053A9F"/>
    <w:rsid w:val="00053C57"/>
    <w:rsid w:val="00053C7C"/>
    <w:rsid w:val="00053DD7"/>
    <w:rsid w:val="00054045"/>
    <w:rsid w:val="000544B2"/>
    <w:rsid w:val="00054C27"/>
    <w:rsid w:val="00054F5B"/>
    <w:rsid w:val="00055331"/>
    <w:rsid w:val="00055A0B"/>
    <w:rsid w:val="00055A98"/>
    <w:rsid w:val="00055ACE"/>
    <w:rsid w:val="00055EC3"/>
    <w:rsid w:val="0005624E"/>
    <w:rsid w:val="000563CE"/>
    <w:rsid w:val="000579E8"/>
    <w:rsid w:val="00057B15"/>
    <w:rsid w:val="00057DAC"/>
    <w:rsid w:val="0006075E"/>
    <w:rsid w:val="00060E9D"/>
    <w:rsid w:val="00061973"/>
    <w:rsid w:val="00061AE3"/>
    <w:rsid w:val="00062987"/>
    <w:rsid w:val="000636C9"/>
    <w:rsid w:val="00063727"/>
    <w:rsid w:val="00063780"/>
    <w:rsid w:val="00064159"/>
    <w:rsid w:val="000659B6"/>
    <w:rsid w:val="00065F22"/>
    <w:rsid w:val="00066046"/>
    <w:rsid w:val="0006686F"/>
    <w:rsid w:val="0006687F"/>
    <w:rsid w:val="00066BA1"/>
    <w:rsid w:val="0006722A"/>
    <w:rsid w:val="00067A67"/>
    <w:rsid w:val="000700B8"/>
    <w:rsid w:val="00070109"/>
    <w:rsid w:val="00070269"/>
    <w:rsid w:val="000707DC"/>
    <w:rsid w:val="00070AEC"/>
    <w:rsid w:val="0007153B"/>
    <w:rsid w:val="0007173B"/>
    <w:rsid w:val="0007198E"/>
    <w:rsid w:val="00072791"/>
    <w:rsid w:val="00072B32"/>
    <w:rsid w:val="00072D42"/>
    <w:rsid w:val="0007323B"/>
    <w:rsid w:val="000732CF"/>
    <w:rsid w:val="000733AD"/>
    <w:rsid w:val="000736C0"/>
    <w:rsid w:val="0007386D"/>
    <w:rsid w:val="000742CF"/>
    <w:rsid w:val="0007449F"/>
    <w:rsid w:val="00074B5A"/>
    <w:rsid w:val="00074BEA"/>
    <w:rsid w:val="00074FA6"/>
    <w:rsid w:val="00074FB8"/>
    <w:rsid w:val="00075A8B"/>
    <w:rsid w:val="00075B96"/>
    <w:rsid w:val="00075DAD"/>
    <w:rsid w:val="00076414"/>
    <w:rsid w:val="000768D2"/>
    <w:rsid w:val="00076F31"/>
    <w:rsid w:val="00077419"/>
    <w:rsid w:val="000807D7"/>
    <w:rsid w:val="00080982"/>
    <w:rsid w:val="000810AD"/>
    <w:rsid w:val="0008196A"/>
    <w:rsid w:val="00081D8B"/>
    <w:rsid w:val="00083B49"/>
    <w:rsid w:val="00083E1F"/>
    <w:rsid w:val="00084D7E"/>
    <w:rsid w:val="000851E5"/>
    <w:rsid w:val="000853FC"/>
    <w:rsid w:val="00085558"/>
    <w:rsid w:val="00085C3E"/>
    <w:rsid w:val="00086307"/>
    <w:rsid w:val="00086480"/>
    <w:rsid w:val="00086948"/>
    <w:rsid w:val="00086DE2"/>
    <w:rsid w:val="000877D5"/>
    <w:rsid w:val="0008799F"/>
    <w:rsid w:val="0009036D"/>
    <w:rsid w:val="000906F8"/>
    <w:rsid w:val="0009075C"/>
    <w:rsid w:val="00090A90"/>
    <w:rsid w:val="00090E0B"/>
    <w:rsid w:val="00090F64"/>
    <w:rsid w:val="000910EB"/>
    <w:rsid w:val="00091331"/>
    <w:rsid w:val="000915ED"/>
    <w:rsid w:val="000917A0"/>
    <w:rsid w:val="0009207A"/>
    <w:rsid w:val="0009209D"/>
    <w:rsid w:val="00092253"/>
    <w:rsid w:val="00092671"/>
    <w:rsid w:val="00092821"/>
    <w:rsid w:val="00092F93"/>
    <w:rsid w:val="0009320A"/>
    <w:rsid w:val="000932F6"/>
    <w:rsid w:val="0009463C"/>
    <w:rsid w:val="000946AF"/>
    <w:rsid w:val="00094A56"/>
    <w:rsid w:val="00094D59"/>
    <w:rsid w:val="000969BD"/>
    <w:rsid w:val="000969BF"/>
    <w:rsid w:val="00096A46"/>
    <w:rsid w:val="00096A7E"/>
    <w:rsid w:val="00096D3E"/>
    <w:rsid w:val="000979FB"/>
    <w:rsid w:val="000A06F0"/>
    <w:rsid w:val="000A07CE"/>
    <w:rsid w:val="000A0C22"/>
    <w:rsid w:val="000A1400"/>
    <w:rsid w:val="000A1472"/>
    <w:rsid w:val="000A21D6"/>
    <w:rsid w:val="000A244E"/>
    <w:rsid w:val="000A2A2A"/>
    <w:rsid w:val="000A31AD"/>
    <w:rsid w:val="000A3C43"/>
    <w:rsid w:val="000A3E43"/>
    <w:rsid w:val="000A4058"/>
    <w:rsid w:val="000A41D8"/>
    <w:rsid w:val="000A44C4"/>
    <w:rsid w:val="000A4A51"/>
    <w:rsid w:val="000A4B3A"/>
    <w:rsid w:val="000A524C"/>
    <w:rsid w:val="000A5669"/>
    <w:rsid w:val="000A571D"/>
    <w:rsid w:val="000A5D2B"/>
    <w:rsid w:val="000A5F76"/>
    <w:rsid w:val="000A6574"/>
    <w:rsid w:val="000A6836"/>
    <w:rsid w:val="000A6946"/>
    <w:rsid w:val="000A6CCA"/>
    <w:rsid w:val="000A7558"/>
    <w:rsid w:val="000A7B38"/>
    <w:rsid w:val="000A7B99"/>
    <w:rsid w:val="000B01AD"/>
    <w:rsid w:val="000B03FD"/>
    <w:rsid w:val="000B0536"/>
    <w:rsid w:val="000B0619"/>
    <w:rsid w:val="000B0689"/>
    <w:rsid w:val="000B0B60"/>
    <w:rsid w:val="000B0CAB"/>
    <w:rsid w:val="000B2FF3"/>
    <w:rsid w:val="000B300A"/>
    <w:rsid w:val="000B3532"/>
    <w:rsid w:val="000B3605"/>
    <w:rsid w:val="000B3B04"/>
    <w:rsid w:val="000B3B40"/>
    <w:rsid w:val="000B3C8E"/>
    <w:rsid w:val="000B3E23"/>
    <w:rsid w:val="000B4664"/>
    <w:rsid w:val="000B47DF"/>
    <w:rsid w:val="000B5A7F"/>
    <w:rsid w:val="000B5C86"/>
    <w:rsid w:val="000B5DE3"/>
    <w:rsid w:val="000B5F5F"/>
    <w:rsid w:val="000B6B28"/>
    <w:rsid w:val="000B70AF"/>
    <w:rsid w:val="000B70DF"/>
    <w:rsid w:val="000B7557"/>
    <w:rsid w:val="000B7BE6"/>
    <w:rsid w:val="000C049C"/>
    <w:rsid w:val="000C08A2"/>
    <w:rsid w:val="000C0A57"/>
    <w:rsid w:val="000C0D21"/>
    <w:rsid w:val="000C0E15"/>
    <w:rsid w:val="000C13FB"/>
    <w:rsid w:val="000C1E3F"/>
    <w:rsid w:val="000C230C"/>
    <w:rsid w:val="000C28E5"/>
    <w:rsid w:val="000C44EF"/>
    <w:rsid w:val="000C486B"/>
    <w:rsid w:val="000C585B"/>
    <w:rsid w:val="000C62BE"/>
    <w:rsid w:val="000C631D"/>
    <w:rsid w:val="000C6661"/>
    <w:rsid w:val="000C6907"/>
    <w:rsid w:val="000C6A1A"/>
    <w:rsid w:val="000C6AB4"/>
    <w:rsid w:val="000C6F5D"/>
    <w:rsid w:val="000C6F6D"/>
    <w:rsid w:val="000C700B"/>
    <w:rsid w:val="000C71EB"/>
    <w:rsid w:val="000C7775"/>
    <w:rsid w:val="000C7AF4"/>
    <w:rsid w:val="000C7D04"/>
    <w:rsid w:val="000D080A"/>
    <w:rsid w:val="000D0870"/>
    <w:rsid w:val="000D10D6"/>
    <w:rsid w:val="000D129C"/>
    <w:rsid w:val="000D1700"/>
    <w:rsid w:val="000D2430"/>
    <w:rsid w:val="000D2659"/>
    <w:rsid w:val="000D279E"/>
    <w:rsid w:val="000D2D45"/>
    <w:rsid w:val="000D3171"/>
    <w:rsid w:val="000D3408"/>
    <w:rsid w:val="000D396A"/>
    <w:rsid w:val="000D3B36"/>
    <w:rsid w:val="000D42DE"/>
    <w:rsid w:val="000D4D0B"/>
    <w:rsid w:val="000D5248"/>
    <w:rsid w:val="000D5444"/>
    <w:rsid w:val="000D71D9"/>
    <w:rsid w:val="000D766F"/>
    <w:rsid w:val="000D76E0"/>
    <w:rsid w:val="000D7B3D"/>
    <w:rsid w:val="000D7C23"/>
    <w:rsid w:val="000D7DAA"/>
    <w:rsid w:val="000D7E8B"/>
    <w:rsid w:val="000E01E0"/>
    <w:rsid w:val="000E044F"/>
    <w:rsid w:val="000E140B"/>
    <w:rsid w:val="000E19A0"/>
    <w:rsid w:val="000E2568"/>
    <w:rsid w:val="000E2E26"/>
    <w:rsid w:val="000E37D3"/>
    <w:rsid w:val="000E3A0D"/>
    <w:rsid w:val="000E4201"/>
    <w:rsid w:val="000E4449"/>
    <w:rsid w:val="000E47DC"/>
    <w:rsid w:val="000E5592"/>
    <w:rsid w:val="000E588A"/>
    <w:rsid w:val="000E5FF2"/>
    <w:rsid w:val="000E6097"/>
    <w:rsid w:val="000E6104"/>
    <w:rsid w:val="000E6706"/>
    <w:rsid w:val="000E6858"/>
    <w:rsid w:val="000E6CEF"/>
    <w:rsid w:val="000E6E74"/>
    <w:rsid w:val="000E6ED1"/>
    <w:rsid w:val="000E73DA"/>
    <w:rsid w:val="000E76BA"/>
    <w:rsid w:val="000E79EA"/>
    <w:rsid w:val="000F037A"/>
    <w:rsid w:val="000F0C78"/>
    <w:rsid w:val="000F1054"/>
    <w:rsid w:val="000F181A"/>
    <w:rsid w:val="000F288D"/>
    <w:rsid w:val="000F36CD"/>
    <w:rsid w:val="000F3809"/>
    <w:rsid w:val="000F3D8F"/>
    <w:rsid w:val="000F5049"/>
    <w:rsid w:val="000F534C"/>
    <w:rsid w:val="000F6494"/>
    <w:rsid w:val="000F7584"/>
    <w:rsid w:val="000F7AFC"/>
    <w:rsid w:val="000F7FD6"/>
    <w:rsid w:val="001001F1"/>
    <w:rsid w:val="00100A91"/>
    <w:rsid w:val="001014CF"/>
    <w:rsid w:val="00101C42"/>
    <w:rsid w:val="00101EE9"/>
    <w:rsid w:val="00102401"/>
    <w:rsid w:val="001029C4"/>
    <w:rsid w:val="00102B05"/>
    <w:rsid w:val="00102B3C"/>
    <w:rsid w:val="00102BE7"/>
    <w:rsid w:val="00102EC4"/>
    <w:rsid w:val="001030F2"/>
    <w:rsid w:val="001034CF"/>
    <w:rsid w:val="00103829"/>
    <w:rsid w:val="00103BB2"/>
    <w:rsid w:val="001043B6"/>
    <w:rsid w:val="00104AB2"/>
    <w:rsid w:val="001057A7"/>
    <w:rsid w:val="00105AC5"/>
    <w:rsid w:val="001063DD"/>
    <w:rsid w:val="00106AA9"/>
    <w:rsid w:val="00106B5F"/>
    <w:rsid w:val="00107580"/>
    <w:rsid w:val="0010770B"/>
    <w:rsid w:val="00107E99"/>
    <w:rsid w:val="00110307"/>
    <w:rsid w:val="00111115"/>
    <w:rsid w:val="00111AC4"/>
    <w:rsid w:val="00111C80"/>
    <w:rsid w:val="00111F81"/>
    <w:rsid w:val="00111FCE"/>
    <w:rsid w:val="00112340"/>
    <w:rsid w:val="0011243B"/>
    <w:rsid w:val="001124B8"/>
    <w:rsid w:val="00112810"/>
    <w:rsid w:val="001129CB"/>
    <w:rsid w:val="00112ED6"/>
    <w:rsid w:val="00113504"/>
    <w:rsid w:val="0011376B"/>
    <w:rsid w:val="001144E2"/>
    <w:rsid w:val="0011493E"/>
    <w:rsid w:val="00114AB6"/>
    <w:rsid w:val="00114E24"/>
    <w:rsid w:val="00115015"/>
    <w:rsid w:val="001160BB"/>
    <w:rsid w:val="001161ED"/>
    <w:rsid w:val="0011629A"/>
    <w:rsid w:val="00116639"/>
    <w:rsid w:val="00116930"/>
    <w:rsid w:val="00117317"/>
    <w:rsid w:val="00117326"/>
    <w:rsid w:val="001178CE"/>
    <w:rsid w:val="00120E5D"/>
    <w:rsid w:val="00120ED9"/>
    <w:rsid w:val="00120FA6"/>
    <w:rsid w:val="001215E4"/>
    <w:rsid w:val="001229A5"/>
    <w:rsid w:val="00123470"/>
    <w:rsid w:val="001238EA"/>
    <w:rsid w:val="0012489B"/>
    <w:rsid w:val="00124BD0"/>
    <w:rsid w:val="00124EB0"/>
    <w:rsid w:val="00125EDE"/>
    <w:rsid w:val="00125F28"/>
    <w:rsid w:val="001260A9"/>
    <w:rsid w:val="00126981"/>
    <w:rsid w:val="00126F2E"/>
    <w:rsid w:val="001271B5"/>
    <w:rsid w:val="001277F5"/>
    <w:rsid w:val="00127BE9"/>
    <w:rsid w:val="00130017"/>
    <w:rsid w:val="00130A9C"/>
    <w:rsid w:val="00130F91"/>
    <w:rsid w:val="001313F7"/>
    <w:rsid w:val="00131F78"/>
    <w:rsid w:val="001325B8"/>
    <w:rsid w:val="00132907"/>
    <w:rsid w:val="00132928"/>
    <w:rsid w:val="00132935"/>
    <w:rsid w:val="00132C50"/>
    <w:rsid w:val="00133019"/>
    <w:rsid w:val="001333A4"/>
    <w:rsid w:val="00134625"/>
    <w:rsid w:val="001349ED"/>
    <w:rsid w:val="00134CD1"/>
    <w:rsid w:val="001351FD"/>
    <w:rsid w:val="0013583A"/>
    <w:rsid w:val="00136020"/>
    <w:rsid w:val="001369E3"/>
    <w:rsid w:val="00136B02"/>
    <w:rsid w:val="00136D25"/>
    <w:rsid w:val="00136F02"/>
    <w:rsid w:val="00137424"/>
    <w:rsid w:val="001378D1"/>
    <w:rsid w:val="001379CB"/>
    <w:rsid w:val="00140318"/>
    <w:rsid w:val="00140B07"/>
    <w:rsid w:val="00140BEF"/>
    <w:rsid w:val="00140BFF"/>
    <w:rsid w:val="00140EFD"/>
    <w:rsid w:val="00141098"/>
    <w:rsid w:val="001414AE"/>
    <w:rsid w:val="00141924"/>
    <w:rsid w:val="00141AD9"/>
    <w:rsid w:val="00142728"/>
    <w:rsid w:val="00142BB6"/>
    <w:rsid w:val="0014327F"/>
    <w:rsid w:val="00143925"/>
    <w:rsid w:val="00143A47"/>
    <w:rsid w:val="00143C64"/>
    <w:rsid w:val="00143E11"/>
    <w:rsid w:val="001440F0"/>
    <w:rsid w:val="001445A9"/>
    <w:rsid w:val="00145609"/>
    <w:rsid w:val="00145F97"/>
    <w:rsid w:val="001461B9"/>
    <w:rsid w:val="0014690F"/>
    <w:rsid w:val="00146C6B"/>
    <w:rsid w:val="00146CE6"/>
    <w:rsid w:val="00150095"/>
    <w:rsid w:val="00150E2A"/>
    <w:rsid w:val="0015135C"/>
    <w:rsid w:val="00151F72"/>
    <w:rsid w:val="0015233B"/>
    <w:rsid w:val="00152903"/>
    <w:rsid w:val="001536D2"/>
    <w:rsid w:val="001537F5"/>
    <w:rsid w:val="001538DD"/>
    <w:rsid w:val="00153ABD"/>
    <w:rsid w:val="00153D68"/>
    <w:rsid w:val="00153FD5"/>
    <w:rsid w:val="001551C2"/>
    <w:rsid w:val="00155247"/>
    <w:rsid w:val="0015603F"/>
    <w:rsid w:val="0015614F"/>
    <w:rsid w:val="001566D8"/>
    <w:rsid w:val="001577C2"/>
    <w:rsid w:val="00157D2C"/>
    <w:rsid w:val="001600A4"/>
    <w:rsid w:val="001601C8"/>
    <w:rsid w:val="0016080A"/>
    <w:rsid w:val="001613D5"/>
    <w:rsid w:val="00161729"/>
    <w:rsid w:val="00161970"/>
    <w:rsid w:val="00162A02"/>
    <w:rsid w:val="00162DB3"/>
    <w:rsid w:val="0016325C"/>
    <w:rsid w:val="001633C4"/>
    <w:rsid w:val="00163ADA"/>
    <w:rsid w:val="00163E76"/>
    <w:rsid w:val="001641D0"/>
    <w:rsid w:val="00164244"/>
    <w:rsid w:val="0016444B"/>
    <w:rsid w:val="00164804"/>
    <w:rsid w:val="00165737"/>
    <w:rsid w:val="0016574D"/>
    <w:rsid w:val="00165885"/>
    <w:rsid w:val="00165FF5"/>
    <w:rsid w:val="001661A8"/>
    <w:rsid w:val="001670A7"/>
    <w:rsid w:val="00167433"/>
    <w:rsid w:val="00167AD0"/>
    <w:rsid w:val="00167BEA"/>
    <w:rsid w:val="00167F46"/>
    <w:rsid w:val="00170451"/>
    <w:rsid w:val="001704D5"/>
    <w:rsid w:val="001708B0"/>
    <w:rsid w:val="00171167"/>
    <w:rsid w:val="00171591"/>
    <w:rsid w:val="00171F22"/>
    <w:rsid w:val="001727E9"/>
    <w:rsid w:val="00173512"/>
    <w:rsid w:val="00173981"/>
    <w:rsid w:val="00173A41"/>
    <w:rsid w:val="00173A4D"/>
    <w:rsid w:val="00173BDB"/>
    <w:rsid w:val="00173C43"/>
    <w:rsid w:val="001742BF"/>
    <w:rsid w:val="0017460E"/>
    <w:rsid w:val="00174887"/>
    <w:rsid w:val="00174A32"/>
    <w:rsid w:val="0017521D"/>
    <w:rsid w:val="0017556D"/>
    <w:rsid w:val="00175F9F"/>
    <w:rsid w:val="001760A0"/>
    <w:rsid w:val="00176788"/>
    <w:rsid w:val="00176F0D"/>
    <w:rsid w:val="001770A4"/>
    <w:rsid w:val="0017719D"/>
    <w:rsid w:val="00177723"/>
    <w:rsid w:val="00177B16"/>
    <w:rsid w:val="00177CDE"/>
    <w:rsid w:val="0018035E"/>
    <w:rsid w:val="00181242"/>
    <w:rsid w:val="00181A03"/>
    <w:rsid w:val="00182063"/>
    <w:rsid w:val="00182113"/>
    <w:rsid w:val="00182ADA"/>
    <w:rsid w:val="001832FE"/>
    <w:rsid w:val="00183934"/>
    <w:rsid w:val="00183AEC"/>
    <w:rsid w:val="00183FD7"/>
    <w:rsid w:val="001842E8"/>
    <w:rsid w:val="00185CAB"/>
    <w:rsid w:val="00186756"/>
    <w:rsid w:val="00186769"/>
    <w:rsid w:val="0018689A"/>
    <w:rsid w:val="00186919"/>
    <w:rsid w:val="00186B68"/>
    <w:rsid w:val="00186EE1"/>
    <w:rsid w:val="001872AF"/>
    <w:rsid w:val="001875B3"/>
    <w:rsid w:val="001875B7"/>
    <w:rsid w:val="00187C0A"/>
    <w:rsid w:val="00187CB3"/>
    <w:rsid w:val="00187E2B"/>
    <w:rsid w:val="00190086"/>
    <w:rsid w:val="0019049D"/>
    <w:rsid w:val="001904AB"/>
    <w:rsid w:val="0019050A"/>
    <w:rsid w:val="001905AE"/>
    <w:rsid w:val="00190A4A"/>
    <w:rsid w:val="001910D4"/>
    <w:rsid w:val="00191117"/>
    <w:rsid w:val="00193601"/>
    <w:rsid w:val="00193C68"/>
    <w:rsid w:val="00193DE8"/>
    <w:rsid w:val="00195B8B"/>
    <w:rsid w:val="00195CEF"/>
    <w:rsid w:val="00195D48"/>
    <w:rsid w:val="00196183"/>
    <w:rsid w:val="00196442"/>
    <w:rsid w:val="001976E3"/>
    <w:rsid w:val="001A01DE"/>
    <w:rsid w:val="001A0471"/>
    <w:rsid w:val="001A16BE"/>
    <w:rsid w:val="001A176E"/>
    <w:rsid w:val="001A25C3"/>
    <w:rsid w:val="001A288C"/>
    <w:rsid w:val="001A29AE"/>
    <w:rsid w:val="001A2C7D"/>
    <w:rsid w:val="001A32EC"/>
    <w:rsid w:val="001A3567"/>
    <w:rsid w:val="001A3E6B"/>
    <w:rsid w:val="001A403E"/>
    <w:rsid w:val="001A4093"/>
    <w:rsid w:val="001A44EC"/>
    <w:rsid w:val="001A4A35"/>
    <w:rsid w:val="001A4DF2"/>
    <w:rsid w:val="001A518C"/>
    <w:rsid w:val="001A55CF"/>
    <w:rsid w:val="001A5897"/>
    <w:rsid w:val="001A7DD1"/>
    <w:rsid w:val="001A7F80"/>
    <w:rsid w:val="001B13E7"/>
    <w:rsid w:val="001B1EEF"/>
    <w:rsid w:val="001B20AC"/>
    <w:rsid w:val="001B2355"/>
    <w:rsid w:val="001B2D70"/>
    <w:rsid w:val="001B2E50"/>
    <w:rsid w:val="001B31CA"/>
    <w:rsid w:val="001B33E2"/>
    <w:rsid w:val="001B3E6A"/>
    <w:rsid w:val="001B41B2"/>
    <w:rsid w:val="001B42EC"/>
    <w:rsid w:val="001B4790"/>
    <w:rsid w:val="001B4C2C"/>
    <w:rsid w:val="001B4CB4"/>
    <w:rsid w:val="001B5416"/>
    <w:rsid w:val="001B58AA"/>
    <w:rsid w:val="001B5F37"/>
    <w:rsid w:val="001B614C"/>
    <w:rsid w:val="001B6791"/>
    <w:rsid w:val="001B6D32"/>
    <w:rsid w:val="001B7A54"/>
    <w:rsid w:val="001B7E48"/>
    <w:rsid w:val="001C03F9"/>
    <w:rsid w:val="001C0823"/>
    <w:rsid w:val="001C1197"/>
    <w:rsid w:val="001C1738"/>
    <w:rsid w:val="001C17CE"/>
    <w:rsid w:val="001C19A3"/>
    <w:rsid w:val="001C2790"/>
    <w:rsid w:val="001C2F45"/>
    <w:rsid w:val="001C36CA"/>
    <w:rsid w:val="001C3793"/>
    <w:rsid w:val="001C3E08"/>
    <w:rsid w:val="001C44D1"/>
    <w:rsid w:val="001C4A7E"/>
    <w:rsid w:val="001C4BD8"/>
    <w:rsid w:val="001C4F02"/>
    <w:rsid w:val="001C5806"/>
    <w:rsid w:val="001C5960"/>
    <w:rsid w:val="001C5E0F"/>
    <w:rsid w:val="001C6238"/>
    <w:rsid w:val="001C63CB"/>
    <w:rsid w:val="001C6728"/>
    <w:rsid w:val="001C6AB6"/>
    <w:rsid w:val="001C6AEE"/>
    <w:rsid w:val="001C70AB"/>
    <w:rsid w:val="001C70C4"/>
    <w:rsid w:val="001C74A3"/>
    <w:rsid w:val="001C7609"/>
    <w:rsid w:val="001C7630"/>
    <w:rsid w:val="001D01E2"/>
    <w:rsid w:val="001D05AC"/>
    <w:rsid w:val="001D0A22"/>
    <w:rsid w:val="001D1065"/>
    <w:rsid w:val="001D1203"/>
    <w:rsid w:val="001D1240"/>
    <w:rsid w:val="001D1368"/>
    <w:rsid w:val="001D14F3"/>
    <w:rsid w:val="001D1621"/>
    <w:rsid w:val="001D1A5A"/>
    <w:rsid w:val="001D1B94"/>
    <w:rsid w:val="001D1F48"/>
    <w:rsid w:val="001D2217"/>
    <w:rsid w:val="001D28DE"/>
    <w:rsid w:val="001D2D5A"/>
    <w:rsid w:val="001D2F8E"/>
    <w:rsid w:val="001D3795"/>
    <w:rsid w:val="001D3A73"/>
    <w:rsid w:val="001D539E"/>
    <w:rsid w:val="001D53B2"/>
    <w:rsid w:val="001D5512"/>
    <w:rsid w:val="001D558D"/>
    <w:rsid w:val="001D58BF"/>
    <w:rsid w:val="001D5D0E"/>
    <w:rsid w:val="001D616B"/>
    <w:rsid w:val="001D61CD"/>
    <w:rsid w:val="001D6322"/>
    <w:rsid w:val="001D6BC0"/>
    <w:rsid w:val="001D6D15"/>
    <w:rsid w:val="001D6EA9"/>
    <w:rsid w:val="001D70C4"/>
    <w:rsid w:val="001D728B"/>
    <w:rsid w:val="001D7631"/>
    <w:rsid w:val="001D7B58"/>
    <w:rsid w:val="001E04E9"/>
    <w:rsid w:val="001E0A60"/>
    <w:rsid w:val="001E0E3A"/>
    <w:rsid w:val="001E0E6F"/>
    <w:rsid w:val="001E1336"/>
    <w:rsid w:val="001E1BA5"/>
    <w:rsid w:val="001E268F"/>
    <w:rsid w:val="001E3968"/>
    <w:rsid w:val="001E47B3"/>
    <w:rsid w:val="001E4FF0"/>
    <w:rsid w:val="001E5A83"/>
    <w:rsid w:val="001E71A2"/>
    <w:rsid w:val="001E7732"/>
    <w:rsid w:val="001E79FA"/>
    <w:rsid w:val="001E7FB7"/>
    <w:rsid w:val="001F0A84"/>
    <w:rsid w:val="001F138C"/>
    <w:rsid w:val="001F17B3"/>
    <w:rsid w:val="001F22F7"/>
    <w:rsid w:val="001F2488"/>
    <w:rsid w:val="001F2521"/>
    <w:rsid w:val="001F3800"/>
    <w:rsid w:val="001F3889"/>
    <w:rsid w:val="001F3A39"/>
    <w:rsid w:val="001F4390"/>
    <w:rsid w:val="001F449D"/>
    <w:rsid w:val="001F48E7"/>
    <w:rsid w:val="001F4F4C"/>
    <w:rsid w:val="001F4F94"/>
    <w:rsid w:val="001F50F7"/>
    <w:rsid w:val="001F63A0"/>
    <w:rsid w:val="001F6771"/>
    <w:rsid w:val="001F6E98"/>
    <w:rsid w:val="001F7067"/>
    <w:rsid w:val="001F7558"/>
    <w:rsid w:val="001F75F8"/>
    <w:rsid w:val="001F7A4F"/>
    <w:rsid w:val="001F7EB8"/>
    <w:rsid w:val="00200826"/>
    <w:rsid w:val="00200B15"/>
    <w:rsid w:val="002016D1"/>
    <w:rsid w:val="00201896"/>
    <w:rsid w:val="00201D10"/>
    <w:rsid w:val="00201EE2"/>
    <w:rsid w:val="00202432"/>
    <w:rsid w:val="00202537"/>
    <w:rsid w:val="00202671"/>
    <w:rsid w:val="002033AA"/>
    <w:rsid w:val="00203614"/>
    <w:rsid w:val="0020368E"/>
    <w:rsid w:val="002042A2"/>
    <w:rsid w:val="00204DFF"/>
    <w:rsid w:val="002056F0"/>
    <w:rsid w:val="0020572D"/>
    <w:rsid w:val="00205B57"/>
    <w:rsid w:val="00205D76"/>
    <w:rsid w:val="00205F9F"/>
    <w:rsid w:val="0020669E"/>
    <w:rsid w:val="002067C6"/>
    <w:rsid w:val="00207674"/>
    <w:rsid w:val="0020770A"/>
    <w:rsid w:val="00207C5F"/>
    <w:rsid w:val="00207E2C"/>
    <w:rsid w:val="00207F57"/>
    <w:rsid w:val="002113BE"/>
    <w:rsid w:val="00211B9C"/>
    <w:rsid w:val="00211E47"/>
    <w:rsid w:val="002121E4"/>
    <w:rsid w:val="00213A19"/>
    <w:rsid w:val="0021426C"/>
    <w:rsid w:val="00214758"/>
    <w:rsid w:val="00214C0F"/>
    <w:rsid w:val="00215358"/>
    <w:rsid w:val="0021564B"/>
    <w:rsid w:val="002157D8"/>
    <w:rsid w:val="002157E0"/>
    <w:rsid w:val="00215EA8"/>
    <w:rsid w:val="00216959"/>
    <w:rsid w:val="00216A57"/>
    <w:rsid w:val="00216CC0"/>
    <w:rsid w:val="00217448"/>
    <w:rsid w:val="00217A6A"/>
    <w:rsid w:val="00217B7B"/>
    <w:rsid w:val="00217D70"/>
    <w:rsid w:val="002213BF"/>
    <w:rsid w:val="002214BB"/>
    <w:rsid w:val="002214FB"/>
    <w:rsid w:val="00221B26"/>
    <w:rsid w:val="00221B6E"/>
    <w:rsid w:val="00222675"/>
    <w:rsid w:val="00222730"/>
    <w:rsid w:val="00222AA1"/>
    <w:rsid w:val="0022334F"/>
    <w:rsid w:val="00223E84"/>
    <w:rsid w:val="002249F6"/>
    <w:rsid w:val="00224AED"/>
    <w:rsid w:val="00224B97"/>
    <w:rsid w:val="0022634A"/>
    <w:rsid w:val="00226819"/>
    <w:rsid w:val="0022686D"/>
    <w:rsid w:val="00226E3F"/>
    <w:rsid w:val="00227545"/>
    <w:rsid w:val="0022783F"/>
    <w:rsid w:val="00227FF2"/>
    <w:rsid w:val="002309CF"/>
    <w:rsid w:val="002309D9"/>
    <w:rsid w:val="00230AF4"/>
    <w:rsid w:val="00230C7E"/>
    <w:rsid w:val="0023107C"/>
    <w:rsid w:val="0023126D"/>
    <w:rsid w:val="00231945"/>
    <w:rsid w:val="00231CB3"/>
    <w:rsid w:val="00231F36"/>
    <w:rsid w:val="00232183"/>
    <w:rsid w:val="002321D9"/>
    <w:rsid w:val="0023287C"/>
    <w:rsid w:val="00232E7F"/>
    <w:rsid w:val="00232EA5"/>
    <w:rsid w:val="00232FCF"/>
    <w:rsid w:val="00233101"/>
    <w:rsid w:val="00233663"/>
    <w:rsid w:val="00233817"/>
    <w:rsid w:val="002340BD"/>
    <w:rsid w:val="00234934"/>
    <w:rsid w:val="00234DE7"/>
    <w:rsid w:val="0023516F"/>
    <w:rsid w:val="00235312"/>
    <w:rsid w:val="00235DB0"/>
    <w:rsid w:val="00236192"/>
    <w:rsid w:val="0023631B"/>
    <w:rsid w:val="002367FF"/>
    <w:rsid w:val="00236E38"/>
    <w:rsid w:val="00240172"/>
    <w:rsid w:val="002401C6"/>
    <w:rsid w:val="00240A5D"/>
    <w:rsid w:val="00240CE9"/>
    <w:rsid w:val="00241234"/>
    <w:rsid w:val="002412C9"/>
    <w:rsid w:val="002422E5"/>
    <w:rsid w:val="00242759"/>
    <w:rsid w:val="002434BA"/>
    <w:rsid w:val="002439BE"/>
    <w:rsid w:val="002446FA"/>
    <w:rsid w:val="00244D95"/>
    <w:rsid w:val="00244E9A"/>
    <w:rsid w:val="00244EA1"/>
    <w:rsid w:val="00244ECB"/>
    <w:rsid w:val="00244F95"/>
    <w:rsid w:val="00245151"/>
    <w:rsid w:val="002451EE"/>
    <w:rsid w:val="00245C9B"/>
    <w:rsid w:val="00245E32"/>
    <w:rsid w:val="00245EEE"/>
    <w:rsid w:val="00246089"/>
    <w:rsid w:val="00246093"/>
    <w:rsid w:val="00246702"/>
    <w:rsid w:val="002468A7"/>
    <w:rsid w:val="002468ED"/>
    <w:rsid w:val="00247121"/>
    <w:rsid w:val="00247C59"/>
    <w:rsid w:val="00247F2E"/>
    <w:rsid w:val="0025057C"/>
    <w:rsid w:val="00250ABE"/>
    <w:rsid w:val="00250ADC"/>
    <w:rsid w:val="00250B07"/>
    <w:rsid w:val="00251005"/>
    <w:rsid w:val="002511FC"/>
    <w:rsid w:val="002514E1"/>
    <w:rsid w:val="00251843"/>
    <w:rsid w:val="0025211C"/>
    <w:rsid w:val="0025231F"/>
    <w:rsid w:val="0025276F"/>
    <w:rsid w:val="00252BF3"/>
    <w:rsid w:val="002530B5"/>
    <w:rsid w:val="002537FA"/>
    <w:rsid w:val="00253D6E"/>
    <w:rsid w:val="002540BB"/>
    <w:rsid w:val="00254D95"/>
    <w:rsid w:val="00254FA3"/>
    <w:rsid w:val="002557AE"/>
    <w:rsid w:val="0025647E"/>
    <w:rsid w:val="00256565"/>
    <w:rsid w:val="00256C63"/>
    <w:rsid w:val="00256CA9"/>
    <w:rsid w:val="002571EF"/>
    <w:rsid w:val="00257553"/>
    <w:rsid w:val="00257B87"/>
    <w:rsid w:val="00257E60"/>
    <w:rsid w:val="00257E8F"/>
    <w:rsid w:val="00257F3E"/>
    <w:rsid w:val="00260054"/>
    <w:rsid w:val="002602DA"/>
    <w:rsid w:val="00260379"/>
    <w:rsid w:val="00260533"/>
    <w:rsid w:val="00260EDF"/>
    <w:rsid w:val="00260FB2"/>
    <w:rsid w:val="002613DB"/>
    <w:rsid w:val="00261A03"/>
    <w:rsid w:val="0026210B"/>
    <w:rsid w:val="00262128"/>
    <w:rsid w:val="002621E7"/>
    <w:rsid w:val="00262CEF"/>
    <w:rsid w:val="002631FA"/>
    <w:rsid w:val="002635AE"/>
    <w:rsid w:val="00264155"/>
    <w:rsid w:val="00264272"/>
    <w:rsid w:val="00264535"/>
    <w:rsid w:val="00264654"/>
    <w:rsid w:val="00265377"/>
    <w:rsid w:val="00265AD9"/>
    <w:rsid w:val="002666C2"/>
    <w:rsid w:val="00266F26"/>
    <w:rsid w:val="0026705F"/>
    <w:rsid w:val="00267E52"/>
    <w:rsid w:val="002702EA"/>
    <w:rsid w:val="00270754"/>
    <w:rsid w:val="00270F4D"/>
    <w:rsid w:val="00271501"/>
    <w:rsid w:val="0027165D"/>
    <w:rsid w:val="002729D1"/>
    <w:rsid w:val="00272FDA"/>
    <w:rsid w:val="00273242"/>
    <w:rsid w:val="00273624"/>
    <w:rsid w:val="00273999"/>
    <w:rsid w:val="00273CEB"/>
    <w:rsid w:val="0027455D"/>
    <w:rsid w:val="002753E7"/>
    <w:rsid w:val="00275F79"/>
    <w:rsid w:val="00276910"/>
    <w:rsid w:val="00276965"/>
    <w:rsid w:val="00276F37"/>
    <w:rsid w:val="002800E0"/>
    <w:rsid w:val="002800E5"/>
    <w:rsid w:val="002804BE"/>
    <w:rsid w:val="00280920"/>
    <w:rsid w:val="00280B48"/>
    <w:rsid w:val="00280C8A"/>
    <w:rsid w:val="002811D7"/>
    <w:rsid w:val="002812EE"/>
    <w:rsid w:val="00281C89"/>
    <w:rsid w:val="00281CC8"/>
    <w:rsid w:val="00281EDA"/>
    <w:rsid w:val="00282536"/>
    <w:rsid w:val="00282620"/>
    <w:rsid w:val="0028282F"/>
    <w:rsid w:val="002829FA"/>
    <w:rsid w:val="00282BEF"/>
    <w:rsid w:val="002831FC"/>
    <w:rsid w:val="0028328A"/>
    <w:rsid w:val="00283530"/>
    <w:rsid w:val="00283859"/>
    <w:rsid w:val="00283906"/>
    <w:rsid w:val="00284735"/>
    <w:rsid w:val="0028483E"/>
    <w:rsid w:val="00284BDB"/>
    <w:rsid w:val="002853C2"/>
    <w:rsid w:val="0028628B"/>
    <w:rsid w:val="00286350"/>
    <w:rsid w:val="002867BA"/>
    <w:rsid w:val="002868E3"/>
    <w:rsid w:val="00286922"/>
    <w:rsid w:val="00286B2F"/>
    <w:rsid w:val="00286B3D"/>
    <w:rsid w:val="00286F95"/>
    <w:rsid w:val="002901FC"/>
    <w:rsid w:val="0029082E"/>
    <w:rsid w:val="00291312"/>
    <w:rsid w:val="00292289"/>
    <w:rsid w:val="002922D7"/>
    <w:rsid w:val="00292AAD"/>
    <w:rsid w:val="00292BA8"/>
    <w:rsid w:val="00292C26"/>
    <w:rsid w:val="002939EE"/>
    <w:rsid w:val="00293C65"/>
    <w:rsid w:val="00293E0A"/>
    <w:rsid w:val="002946B6"/>
    <w:rsid w:val="002946E4"/>
    <w:rsid w:val="002948B7"/>
    <w:rsid w:val="00294CC9"/>
    <w:rsid w:val="002952BA"/>
    <w:rsid w:val="002956C5"/>
    <w:rsid w:val="002956CD"/>
    <w:rsid w:val="0029593B"/>
    <w:rsid w:val="00295B5E"/>
    <w:rsid w:val="00295BC3"/>
    <w:rsid w:val="00296174"/>
    <w:rsid w:val="00296F24"/>
    <w:rsid w:val="0029709A"/>
    <w:rsid w:val="00297215"/>
    <w:rsid w:val="00297541"/>
    <w:rsid w:val="00297648"/>
    <w:rsid w:val="002977E1"/>
    <w:rsid w:val="00297BE1"/>
    <w:rsid w:val="00297E39"/>
    <w:rsid w:val="00297FC0"/>
    <w:rsid w:val="00297FC5"/>
    <w:rsid w:val="002A0417"/>
    <w:rsid w:val="002A127A"/>
    <w:rsid w:val="002A16D8"/>
    <w:rsid w:val="002A1806"/>
    <w:rsid w:val="002A1BC8"/>
    <w:rsid w:val="002A20C2"/>
    <w:rsid w:val="002A2586"/>
    <w:rsid w:val="002A2823"/>
    <w:rsid w:val="002A2C46"/>
    <w:rsid w:val="002A2ED7"/>
    <w:rsid w:val="002A38FA"/>
    <w:rsid w:val="002A3D40"/>
    <w:rsid w:val="002A3EF2"/>
    <w:rsid w:val="002A4845"/>
    <w:rsid w:val="002A4DDD"/>
    <w:rsid w:val="002A58D1"/>
    <w:rsid w:val="002A59CC"/>
    <w:rsid w:val="002A5B51"/>
    <w:rsid w:val="002A5BC5"/>
    <w:rsid w:val="002A5FE1"/>
    <w:rsid w:val="002A61CD"/>
    <w:rsid w:val="002A6607"/>
    <w:rsid w:val="002A6F8E"/>
    <w:rsid w:val="002A7458"/>
    <w:rsid w:val="002A777E"/>
    <w:rsid w:val="002B0DED"/>
    <w:rsid w:val="002B0F69"/>
    <w:rsid w:val="002B125B"/>
    <w:rsid w:val="002B1859"/>
    <w:rsid w:val="002B1873"/>
    <w:rsid w:val="002B1899"/>
    <w:rsid w:val="002B19A2"/>
    <w:rsid w:val="002B1CD7"/>
    <w:rsid w:val="002B2F8B"/>
    <w:rsid w:val="002B381A"/>
    <w:rsid w:val="002B479F"/>
    <w:rsid w:val="002B4FCC"/>
    <w:rsid w:val="002B50D5"/>
    <w:rsid w:val="002B51BB"/>
    <w:rsid w:val="002B5202"/>
    <w:rsid w:val="002B52E5"/>
    <w:rsid w:val="002B5422"/>
    <w:rsid w:val="002B54D9"/>
    <w:rsid w:val="002B555E"/>
    <w:rsid w:val="002B55E0"/>
    <w:rsid w:val="002B60AE"/>
    <w:rsid w:val="002B683F"/>
    <w:rsid w:val="002B6CD5"/>
    <w:rsid w:val="002B6E87"/>
    <w:rsid w:val="002B7405"/>
    <w:rsid w:val="002B7408"/>
    <w:rsid w:val="002B7CFD"/>
    <w:rsid w:val="002B7D5F"/>
    <w:rsid w:val="002C01A6"/>
    <w:rsid w:val="002C0530"/>
    <w:rsid w:val="002C0B9F"/>
    <w:rsid w:val="002C0F59"/>
    <w:rsid w:val="002C0F87"/>
    <w:rsid w:val="002C14AA"/>
    <w:rsid w:val="002C1C3C"/>
    <w:rsid w:val="002C210F"/>
    <w:rsid w:val="002C3740"/>
    <w:rsid w:val="002C3E64"/>
    <w:rsid w:val="002C3F11"/>
    <w:rsid w:val="002C4459"/>
    <w:rsid w:val="002C457B"/>
    <w:rsid w:val="002C4887"/>
    <w:rsid w:val="002C4E6B"/>
    <w:rsid w:val="002C5045"/>
    <w:rsid w:val="002C5A30"/>
    <w:rsid w:val="002C5E61"/>
    <w:rsid w:val="002C686A"/>
    <w:rsid w:val="002C6AED"/>
    <w:rsid w:val="002C6BB5"/>
    <w:rsid w:val="002C6E7E"/>
    <w:rsid w:val="002C7806"/>
    <w:rsid w:val="002C7A1D"/>
    <w:rsid w:val="002C7D8C"/>
    <w:rsid w:val="002D02F0"/>
    <w:rsid w:val="002D03B5"/>
    <w:rsid w:val="002D0983"/>
    <w:rsid w:val="002D0BCC"/>
    <w:rsid w:val="002D0FD0"/>
    <w:rsid w:val="002D10A9"/>
    <w:rsid w:val="002D10FD"/>
    <w:rsid w:val="002D2004"/>
    <w:rsid w:val="002D2A31"/>
    <w:rsid w:val="002D3108"/>
    <w:rsid w:val="002D3521"/>
    <w:rsid w:val="002D35FD"/>
    <w:rsid w:val="002D3600"/>
    <w:rsid w:val="002D37AD"/>
    <w:rsid w:val="002D4A66"/>
    <w:rsid w:val="002D5083"/>
    <w:rsid w:val="002D54B3"/>
    <w:rsid w:val="002D554F"/>
    <w:rsid w:val="002D6127"/>
    <w:rsid w:val="002D63A8"/>
    <w:rsid w:val="002D65D2"/>
    <w:rsid w:val="002D6853"/>
    <w:rsid w:val="002D6D8A"/>
    <w:rsid w:val="002D7DC4"/>
    <w:rsid w:val="002E084A"/>
    <w:rsid w:val="002E219D"/>
    <w:rsid w:val="002E21EE"/>
    <w:rsid w:val="002E23AD"/>
    <w:rsid w:val="002E2B8B"/>
    <w:rsid w:val="002E3024"/>
    <w:rsid w:val="002E3E0D"/>
    <w:rsid w:val="002E4445"/>
    <w:rsid w:val="002E48CB"/>
    <w:rsid w:val="002E4C92"/>
    <w:rsid w:val="002E4DC9"/>
    <w:rsid w:val="002E4DDC"/>
    <w:rsid w:val="002E4EA8"/>
    <w:rsid w:val="002E57E1"/>
    <w:rsid w:val="002E5D97"/>
    <w:rsid w:val="002E6A04"/>
    <w:rsid w:val="002E6A17"/>
    <w:rsid w:val="002E6A6A"/>
    <w:rsid w:val="002E6B2B"/>
    <w:rsid w:val="002E788A"/>
    <w:rsid w:val="002E78AD"/>
    <w:rsid w:val="002E7A99"/>
    <w:rsid w:val="002F0884"/>
    <w:rsid w:val="002F0BBE"/>
    <w:rsid w:val="002F0D22"/>
    <w:rsid w:val="002F116A"/>
    <w:rsid w:val="002F11D5"/>
    <w:rsid w:val="002F1617"/>
    <w:rsid w:val="002F1BBD"/>
    <w:rsid w:val="002F1C96"/>
    <w:rsid w:val="002F1D86"/>
    <w:rsid w:val="002F1F79"/>
    <w:rsid w:val="002F1F80"/>
    <w:rsid w:val="002F22DD"/>
    <w:rsid w:val="002F2AAB"/>
    <w:rsid w:val="002F3A3A"/>
    <w:rsid w:val="002F5523"/>
    <w:rsid w:val="002F55F1"/>
    <w:rsid w:val="002F61DC"/>
    <w:rsid w:val="002F6B81"/>
    <w:rsid w:val="002F6B9F"/>
    <w:rsid w:val="002F6C6F"/>
    <w:rsid w:val="002F6F37"/>
    <w:rsid w:val="002F6F80"/>
    <w:rsid w:val="002F7295"/>
    <w:rsid w:val="002F74A7"/>
    <w:rsid w:val="002F7526"/>
    <w:rsid w:val="002F752E"/>
    <w:rsid w:val="002F77B0"/>
    <w:rsid w:val="002F7EAC"/>
    <w:rsid w:val="003007BA"/>
    <w:rsid w:val="00300EF7"/>
    <w:rsid w:val="0030114E"/>
    <w:rsid w:val="00301CFB"/>
    <w:rsid w:val="00301E17"/>
    <w:rsid w:val="00302153"/>
    <w:rsid w:val="00302480"/>
    <w:rsid w:val="003026E5"/>
    <w:rsid w:val="00302758"/>
    <w:rsid w:val="00303D64"/>
    <w:rsid w:val="00303F23"/>
    <w:rsid w:val="0030471C"/>
    <w:rsid w:val="00305232"/>
    <w:rsid w:val="003069DF"/>
    <w:rsid w:val="00307318"/>
    <w:rsid w:val="00310944"/>
    <w:rsid w:val="003109BE"/>
    <w:rsid w:val="003109F9"/>
    <w:rsid w:val="00310AE9"/>
    <w:rsid w:val="00311E83"/>
    <w:rsid w:val="003126F1"/>
    <w:rsid w:val="00312A9E"/>
    <w:rsid w:val="00312D65"/>
    <w:rsid w:val="003136E0"/>
    <w:rsid w:val="003138B0"/>
    <w:rsid w:val="00314558"/>
    <w:rsid w:val="00314838"/>
    <w:rsid w:val="00314F99"/>
    <w:rsid w:val="003153F8"/>
    <w:rsid w:val="003153FB"/>
    <w:rsid w:val="00315CE3"/>
    <w:rsid w:val="003163DB"/>
    <w:rsid w:val="003165E6"/>
    <w:rsid w:val="00316868"/>
    <w:rsid w:val="003176B2"/>
    <w:rsid w:val="00320207"/>
    <w:rsid w:val="003205A7"/>
    <w:rsid w:val="00320771"/>
    <w:rsid w:val="003207C0"/>
    <w:rsid w:val="00320B3E"/>
    <w:rsid w:val="00320BF9"/>
    <w:rsid w:val="00320D32"/>
    <w:rsid w:val="00321309"/>
    <w:rsid w:val="003215B5"/>
    <w:rsid w:val="00321B15"/>
    <w:rsid w:val="00321CB1"/>
    <w:rsid w:val="00321DA8"/>
    <w:rsid w:val="003221CF"/>
    <w:rsid w:val="003229DF"/>
    <w:rsid w:val="00322A96"/>
    <w:rsid w:val="00322D9D"/>
    <w:rsid w:val="003233ED"/>
    <w:rsid w:val="00323E91"/>
    <w:rsid w:val="00324D9F"/>
    <w:rsid w:val="003260A0"/>
    <w:rsid w:val="00326C93"/>
    <w:rsid w:val="00326E41"/>
    <w:rsid w:val="0032743E"/>
    <w:rsid w:val="003274A9"/>
    <w:rsid w:val="00327804"/>
    <w:rsid w:val="00327907"/>
    <w:rsid w:val="00327948"/>
    <w:rsid w:val="0033000F"/>
    <w:rsid w:val="003300A2"/>
    <w:rsid w:val="0033062C"/>
    <w:rsid w:val="00330723"/>
    <w:rsid w:val="0033096A"/>
    <w:rsid w:val="003311AB"/>
    <w:rsid w:val="003317BA"/>
    <w:rsid w:val="003317F2"/>
    <w:rsid w:val="00331B00"/>
    <w:rsid w:val="00331BF7"/>
    <w:rsid w:val="00331DB7"/>
    <w:rsid w:val="00332011"/>
    <w:rsid w:val="00332518"/>
    <w:rsid w:val="00332520"/>
    <w:rsid w:val="00332522"/>
    <w:rsid w:val="00332925"/>
    <w:rsid w:val="00332AB3"/>
    <w:rsid w:val="00332B1A"/>
    <w:rsid w:val="00332CAF"/>
    <w:rsid w:val="00332E3F"/>
    <w:rsid w:val="003332ED"/>
    <w:rsid w:val="00333638"/>
    <w:rsid w:val="00333BD3"/>
    <w:rsid w:val="00333C7D"/>
    <w:rsid w:val="00333F6F"/>
    <w:rsid w:val="00334C72"/>
    <w:rsid w:val="003364D0"/>
    <w:rsid w:val="003368DC"/>
    <w:rsid w:val="00336E01"/>
    <w:rsid w:val="00336F36"/>
    <w:rsid w:val="0033729E"/>
    <w:rsid w:val="003379AC"/>
    <w:rsid w:val="00337AB6"/>
    <w:rsid w:val="0034044B"/>
    <w:rsid w:val="00341BE1"/>
    <w:rsid w:val="00342067"/>
    <w:rsid w:val="0034253A"/>
    <w:rsid w:val="0034254D"/>
    <w:rsid w:val="003427B6"/>
    <w:rsid w:val="00344A80"/>
    <w:rsid w:val="00344D7D"/>
    <w:rsid w:val="003453D7"/>
    <w:rsid w:val="003457C8"/>
    <w:rsid w:val="00345927"/>
    <w:rsid w:val="003459D4"/>
    <w:rsid w:val="003461C0"/>
    <w:rsid w:val="003469B8"/>
    <w:rsid w:val="00346C9A"/>
    <w:rsid w:val="00346E21"/>
    <w:rsid w:val="00350170"/>
    <w:rsid w:val="00350584"/>
    <w:rsid w:val="00350955"/>
    <w:rsid w:val="00350F11"/>
    <w:rsid w:val="00350F4E"/>
    <w:rsid w:val="00351857"/>
    <w:rsid w:val="00351D1B"/>
    <w:rsid w:val="00351DA4"/>
    <w:rsid w:val="0035240A"/>
    <w:rsid w:val="00352C6A"/>
    <w:rsid w:val="0035383E"/>
    <w:rsid w:val="00353F15"/>
    <w:rsid w:val="00354249"/>
    <w:rsid w:val="00354279"/>
    <w:rsid w:val="0035457F"/>
    <w:rsid w:val="003545E8"/>
    <w:rsid w:val="00354AA0"/>
    <w:rsid w:val="003551C5"/>
    <w:rsid w:val="00355B6C"/>
    <w:rsid w:val="0035624C"/>
    <w:rsid w:val="003565E9"/>
    <w:rsid w:val="00356E2C"/>
    <w:rsid w:val="003576E9"/>
    <w:rsid w:val="00360619"/>
    <w:rsid w:val="003606A1"/>
    <w:rsid w:val="003607B5"/>
    <w:rsid w:val="003610E1"/>
    <w:rsid w:val="00362401"/>
    <w:rsid w:val="00362717"/>
    <w:rsid w:val="0036325D"/>
    <w:rsid w:val="0036343C"/>
    <w:rsid w:val="0036356B"/>
    <w:rsid w:val="003637F0"/>
    <w:rsid w:val="0036391C"/>
    <w:rsid w:val="00363A2B"/>
    <w:rsid w:val="00364338"/>
    <w:rsid w:val="00364532"/>
    <w:rsid w:val="00365675"/>
    <w:rsid w:val="00365F40"/>
    <w:rsid w:val="00366044"/>
    <w:rsid w:val="003664DE"/>
    <w:rsid w:val="00366BCC"/>
    <w:rsid w:val="00366C69"/>
    <w:rsid w:val="00366DA2"/>
    <w:rsid w:val="003671BE"/>
    <w:rsid w:val="00367F35"/>
    <w:rsid w:val="00370006"/>
    <w:rsid w:val="0037034B"/>
    <w:rsid w:val="0037175D"/>
    <w:rsid w:val="00371834"/>
    <w:rsid w:val="00371CA5"/>
    <w:rsid w:val="00372485"/>
    <w:rsid w:val="00372EAA"/>
    <w:rsid w:val="00372FBE"/>
    <w:rsid w:val="00373200"/>
    <w:rsid w:val="00374186"/>
    <w:rsid w:val="0037467B"/>
    <w:rsid w:val="003746F7"/>
    <w:rsid w:val="00374F57"/>
    <w:rsid w:val="00374F76"/>
    <w:rsid w:val="003756E1"/>
    <w:rsid w:val="00375790"/>
    <w:rsid w:val="00375AE1"/>
    <w:rsid w:val="00375EF5"/>
    <w:rsid w:val="00376189"/>
    <w:rsid w:val="003763FE"/>
    <w:rsid w:val="003767A5"/>
    <w:rsid w:val="003770F4"/>
    <w:rsid w:val="00377E0B"/>
    <w:rsid w:val="0038044B"/>
    <w:rsid w:val="00380671"/>
    <w:rsid w:val="00380CEC"/>
    <w:rsid w:val="00380DA3"/>
    <w:rsid w:val="0038109D"/>
    <w:rsid w:val="00381C12"/>
    <w:rsid w:val="00381D15"/>
    <w:rsid w:val="003822C4"/>
    <w:rsid w:val="00383407"/>
    <w:rsid w:val="00383A60"/>
    <w:rsid w:val="00383B9A"/>
    <w:rsid w:val="003841F6"/>
    <w:rsid w:val="0038466B"/>
    <w:rsid w:val="00385254"/>
    <w:rsid w:val="0038542F"/>
    <w:rsid w:val="00385441"/>
    <w:rsid w:val="003860AB"/>
    <w:rsid w:val="00387694"/>
    <w:rsid w:val="00387F79"/>
    <w:rsid w:val="00390640"/>
    <w:rsid w:val="003906F6"/>
    <w:rsid w:val="0039072A"/>
    <w:rsid w:val="0039091D"/>
    <w:rsid w:val="00391243"/>
    <w:rsid w:val="003915B9"/>
    <w:rsid w:val="00391800"/>
    <w:rsid w:val="00391B32"/>
    <w:rsid w:val="00391D17"/>
    <w:rsid w:val="00392443"/>
    <w:rsid w:val="003924F8"/>
    <w:rsid w:val="00392883"/>
    <w:rsid w:val="0039326C"/>
    <w:rsid w:val="003933C7"/>
    <w:rsid w:val="003933E8"/>
    <w:rsid w:val="003936E4"/>
    <w:rsid w:val="00393D69"/>
    <w:rsid w:val="00393E8A"/>
    <w:rsid w:val="00394031"/>
    <w:rsid w:val="00394F4F"/>
    <w:rsid w:val="00395299"/>
    <w:rsid w:val="003952C7"/>
    <w:rsid w:val="0039611D"/>
    <w:rsid w:val="003964EC"/>
    <w:rsid w:val="003968F2"/>
    <w:rsid w:val="00396DC2"/>
    <w:rsid w:val="00397095"/>
    <w:rsid w:val="003971E1"/>
    <w:rsid w:val="00397AE4"/>
    <w:rsid w:val="003A0312"/>
    <w:rsid w:val="003A04DB"/>
    <w:rsid w:val="003A0FC5"/>
    <w:rsid w:val="003A1FDE"/>
    <w:rsid w:val="003A2312"/>
    <w:rsid w:val="003A26B2"/>
    <w:rsid w:val="003A3032"/>
    <w:rsid w:val="003A332D"/>
    <w:rsid w:val="003A4002"/>
    <w:rsid w:val="003A444C"/>
    <w:rsid w:val="003A44F6"/>
    <w:rsid w:val="003A454D"/>
    <w:rsid w:val="003A5168"/>
    <w:rsid w:val="003A539C"/>
    <w:rsid w:val="003A5761"/>
    <w:rsid w:val="003A5F5B"/>
    <w:rsid w:val="003A66D8"/>
    <w:rsid w:val="003A68C7"/>
    <w:rsid w:val="003A6C7D"/>
    <w:rsid w:val="003A6F6A"/>
    <w:rsid w:val="003A789A"/>
    <w:rsid w:val="003A79FD"/>
    <w:rsid w:val="003A7A4A"/>
    <w:rsid w:val="003A7DA5"/>
    <w:rsid w:val="003B03D9"/>
    <w:rsid w:val="003B0A98"/>
    <w:rsid w:val="003B0E33"/>
    <w:rsid w:val="003B1072"/>
    <w:rsid w:val="003B112C"/>
    <w:rsid w:val="003B12EC"/>
    <w:rsid w:val="003B1740"/>
    <w:rsid w:val="003B1A75"/>
    <w:rsid w:val="003B1B08"/>
    <w:rsid w:val="003B25A6"/>
    <w:rsid w:val="003B283C"/>
    <w:rsid w:val="003B2A41"/>
    <w:rsid w:val="003B2DAB"/>
    <w:rsid w:val="003B32D4"/>
    <w:rsid w:val="003B4153"/>
    <w:rsid w:val="003B430A"/>
    <w:rsid w:val="003B5368"/>
    <w:rsid w:val="003B61AD"/>
    <w:rsid w:val="003B67FF"/>
    <w:rsid w:val="003B697C"/>
    <w:rsid w:val="003B7230"/>
    <w:rsid w:val="003B72F1"/>
    <w:rsid w:val="003C018F"/>
    <w:rsid w:val="003C0268"/>
    <w:rsid w:val="003C03B8"/>
    <w:rsid w:val="003C1BF8"/>
    <w:rsid w:val="003C1D53"/>
    <w:rsid w:val="003C1DFD"/>
    <w:rsid w:val="003C20ED"/>
    <w:rsid w:val="003C2253"/>
    <w:rsid w:val="003C23BD"/>
    <w:rsid w:val="003C2A28"/>
    <w:rsid w:val="003C3FE2"/>
    <w:rsid w:val="003C446E"/>
    <w:rsid w:val="003C4D79"/>
    <w:rsid w:val="003C4D7D"/>
    <w:rsid w:val="003C66F3"/>
    <w:rsid w:val="003C731B"/>
    <w:rsid w:val="003C77E0"/>
    <w:rsid w:val="003C79C5"/>
    <w:rsid w:val="003C7AC7"/>
    <w:rsid w:val="003D0873"/>
    <w:rsid w:val="003D0ED2"/>
    <w:rsid w:val="003D13D7"/>
    <w:rsid w:val="003D13FF"/>
    <w:rsid w:val="003D17D7"/>
    <w:rsid w:val="003D194C"/>
    <w:rsid w:val="003D1A08"/>
    <w:rsid w:val="003D23E4"/>
    <w:rsid w:val="003D2678"/>
    <w:rsid w:val="003D4686"/>
    <w:rsid w:val="003D46E9"/>
    <w:rsid w:val="003D4989"/>
    <w:rsid w:val="003D4D4B"/>
    <w:rsid w:val="003D59ED"/>
    <w:rsid w:val="003D5C2F"/>
    <w:rsid w:val="003D5CD4"/>
    <w:rsid w:val="003D5E9A"/>
    <w:rsid w:val="003D6158"/>
    <w:rsid w:val="003D616C"/>
    <w:rsid w:val="003D65D1"/>
    <w:rsid w:val="003D66FC"/>
    <w:rsid w:val="003D71A3"/>
    <w:rsid w:val="003E0246"/>
    <w:rsid w:val="003E06FA"/>
    <w:rsid w:val="003E0E5A"/>
    <w:rsid w:val="003E0F6E"/>
    <w:rsid w:val="003E0F9B"/>
    <w:rsid w:val="003E1352"/>
    <w:rsid w:val="003E236A"/>
    <w:rsid w:val="003E264B"/>
    <w:rsid w:val="003E2B8A"/>
    <w:rsid w:val="003E2DC5"/>
    <w:rsid w:val="003E3286"/>
    <w:rsid w:val="003E3D50"/>
    <w:rsid w:val="003E434E"/>
    <w:rsid w:val="003E4DBE"/>
    <w:rsid w:val="003E5F7F"/>
    <w:rsid w:val="003E70C3"/>
    <w:rsid w:val="003E72F2"/>
    <w:rsid w:val="003E771E"/>
    <w:rsid w:val="003E7AC4"/>
    <w:rsid w:val="003E7EA2"/>
    <w:rsid w:val="003F04DC"/>
    <w:rsid w:val="003F0860"/>
    <w:rsid w:val="003F10EE"/>
    <w:rsid w:val="003F16F6"/>
    <w:rsid w:val="003F1EC1"/>
    <w:rsid w:val="003F2A23"/>
    <w:rsid w:val="003F2E47"/>
    <w:rsid w:val="003F2E59"/>
    <w:rsid w:val="003F3234"/>
    <w:rsid w:val="003F3667"/>
    <w:rsid w:val="003F3E62"/>
    <w:rsid w:val="003F4DC7"/>
    <w:rsid w:val="003F5235"/>
    <w:rsid w:val="003F61BD"/>
    <w:rsid w:val="003F6CDF"/>
    <w:rsid w:val="003F7634"/>
    <w:rsid w:val="004008D7"/>
    <w:rsid w:val="00401782"/>
    <w:rsid w:val="004018BE"/>
    <w:rsid w:val="00401B65"/>
    <w:rsid w:val="00401CE7"/>
    <w:rsid w:val="004027E4"/>
    <w:rsid w:val="00402898"/>
    <w:rsid w:val="00402B32"/>
    <w:rsid w:val="00403CFE"/>
    <w:rsid w:val="0040414F"/>
    <w:rsid w:val="00404B59"/>
    <w:rsid w:val="00404D0E"/>
    <w:rsid w:val="00405924"/>
    <w:rsid w:val="0040630F"/>
    <w:rsid w:val="00406356"/>
    <w:rsid w:val="00406A01"/>
    <w:rsid w:val="0040728F"/>
    <w:rsid w:val="00407726"/>
    <w:rsid w:val="00410122"/>
    <w:rsid w:val="0041071D"/>
    <w:rsid w:val="00410F0B"/>
    <w:rsid w:val="00411937"/>
    <w:rsid w:val="00411A04"/>
    <w:rsid w:val="00411A46"/>
    <w:rsid w:val="00411F9B"/>
    <w:rsid w:val="0041239C"/>
    <w:rsid w:val="00412580"/>
    <w:rsid w:val="00412816"/>
    <w:rsid w:val="004129DD"/>
    <w:rsid w:val="00412FEE"/>
    <w:rsid w:val="004133E1"/>
    <w:rsid w:val="0041342B"/>
    <w:rsid w:val="00414AFC"/>
    <w:rsid w:val="004151A7"/>
    <w:rsid w:val="00415310"/>
    <w:rsid w:val="00415585"/>
    <w:rsid w:val="00415A99"/>
    <w:rsid w:val="00416B2B"/>
    <w:rsid w:val="00417056"/>
    <w:rsid w:val="0041729A"/>
    <w:rsid w:val="004177D4"/>
    <w:rsid w:val="00417EAD"/>
    <w:rsid w:val="004204F2"/>
    <w:rsid w:val="00420E2C"/>
    <w:rsid w:val="00421709"/>
    <w:rsid w:val="004217F6"/>
    <w:rsid w:val="00421D70"/>
    <w:rsid w:val="0042237A"/>
    <w:rsid w:val="004224A9"/>
    <w:rsid w:val="00422582"/>
    <w:rsid w:val="00422CB0"/>
    <w:rsid w:val="00422F3B"/>
    <w:rsid w:val="00422FBF"/>
    <w:rsid w:val="00423002"/>
    <w:rsid w:val="00423444"/>
    <w:rsid w:val="00423763"/>
    <w:rsid w:val="00423869"/>
    <w:rsid w:val="0042451E"/>
    <w:rsid w:val="00425BBE"/>
    <w:rsid w:val="00425BD7"/>
    <w:rsid w:val="00426272"/>
    <w:rsid w:val="00426333"/>
    <w:rsid w:val="00426477"/>
    <w:rsid w:val="004264E1"/>
    <w:rsid w:val="0042665A"/>
    <w:rsid w:val="00426836"/>
    <w:rsid w:val="0042691A"/>
    <w:rsid w:val="00426C7E"/>
    <w:rsid w:val="0042762F"/>
    <w:rsid w:val="00427DC7"/>
    <w:rsid w:val="00430692"/>
    <w:rsid w:val="004307A3"/>
    <w:rsid w:val="00430E60"/>
    <w:rsid w:val="00431220"/>
    <w:rsid w:val="00431459"/>
    <w:rsid w:val="00431613"/>
    <w:rsid w:val="00431792"/>
    <w:rsid w:val="00432040"/>
    <w:rsid w:val="00432053"/>
    <w:rsid w:val="00432492"/>
    <w:rsid w:val="004326D0"/>
    <w:rsid w:val="00432861"/>
    <w:rsid w:val="0043297A"/>
    <w:rsid w:val="00432AC6"/>
    <w:rsid w:val="00432EB2"/>
    <w:rsid w:val="00433BE5"/>
    <w:rsid w:val="00433C68"/>
    <w:rsid w:val="00433D74"/>
    <w:rsid w:val="004341DD"/>
    <w:rsid w:val="004345BD"/>
    <w:rsid w:val="00435077"/>
    <w:rsid w:val="0043567F"/>
    <w:rsid w:val="00435B2B"/>
    <w:rsid w:val="00435F06"/>
    <w:rsid w:val="00436814"/>
    <w:rsid w:val="00436A6D"/>
    <w:rsid w:val="00436D33"/>
    <w:rsid w:val="0043714F"/>
    <w:rsid w:val="00437983"/>
    <w:rsid w:val="00437D49"/>
    <w:rsid w:val="004400FC"/>
    <w:rsid w:val="00440551"/>
    <w:rsid w:val="004411AB"/>
    <w:rsid w:val="00443225"/>
    <w:rsid w:val="004433AE"/>
    <w:rsid w:val="004438B5"/>
    <w:rsid w:val="0044408A"/>
    <w:rsid w:val="00444237"/>
    <w:rsid w:val="00444EC3"/>
    <w:rsid w:val="004452E5"/>
    <w:rsid w:val="0044543D"/>
    <w:rsid w:val="004461F3"/>
    <w:rsid w:val="004466FA"/>
    <w:rsid w:val="00446DA2"/>
    <w:rsid w:val="00446EFA"/>
    <w:rsid w:val="00446FE7"/>
    <w:rsid w:val="00447037"/>
    <w:rsid w:val="004477F5"/>
    <w:rsid w:val="00447A20"/>
    <w:rsid w:val="00447E19"/>
    <w:rsid w:val="004502A5"/>
    <w:rsid w:val="0045043C"/>
    <w:rsid w:val="004504D0"/>
    <w:rsid w:val="00450AA0"/>
    <w:rsid w:val="004510D4"/>
    <w:rsid w:val="0045124D"/>
    <w:rsid w:val="00451694"/>
    <w:rsid w:val="004519FF"/>
    <w:rsid w:val="00451FF7"/>
    <w:rsid w:val="00452911"/>
    <w:rsid w:val="004532A0"/>
    <w:rsid w:val="004532B7"/>
    <w:rsid w:val="004534A5"/>
    <w:rsid w:val="00454053"/>
    <w:rsid w:val="0045417B"/>
    <w:rsid w:val="00454596"/>
    <w:rsid w:val="00454942"/>
    <w:rsid w:val="00455BC2"/>
    <w:rsid w:val="0045605D"/>
    <w:rsid w:val="004569AD"/>
    <w:rsid w:val="0045764B"/>
    <w:rsid w:val="00457BD7"/>
    <w:rsid w:val="00460035"/>
    <w:rsid w:val="0046135B"/>
    <w:rsid w:val="00461538"/>
    <w:rsid w:val="00461D47"/>
    <w:rsid w:val="00461D6F"/>
    <w:rsid w:val="00462054"/>
    <w:rsid w:val="004626FA"/>
    <w:rsid w:val="0046325A"/>
    <w:rsid w:val="00463620"/>
    <w:rsid w:val="00463B96"/>
    <w:rsid w:val="004642AD"/>
    <w:rsid w:val="00464981"/>
    <w:rsid w:val="00465524"/>
    <w:rsid w:val="00465C22"/>
    <w:rsid w:val="004660CA"/>
    <w:rsid w:val="004662CF"/>
    <w:rsid w:val="004666F5"/>
    <w:rsid w:val="00466746"/>
    <w:rsid w:val="00467456"/>
    <w:rsid w:val="00470646"/>
    <w:rsid w:val="00470C95"/>
    <w:rsid w:val="004710BF"/>
    <w:rsid w:val="0047174C"/>
    <w:rsid w:val="004718CC"/>
    <w:rsid w:val="0047199F"/>
    <w:rsid w:val="00472540"/>
    <w:rsid w:val="004729CF"/>
    <w:rsid w:val="00472BF1"/>
    <w:rsid w:val="00472C60"/>
    <w:rsid w:val="00472F0B"/>
    <w:rsid w:val="00472FB3"/>
    <w:rsid w:val="00473523"/>
    <w:rsid w:val="004739F7"/>
    <w:rsid w:val="0047443D"/>
    <w:rsid w:val="00474D2E"/>
    <w:rsid w:val="004754B6"/>
    <w:rsid w:val="00475899"/>
    <w:rsid w:val="004763F3"/>
    <w:rsid w:val="00477050"/>
    <w:rsid w:val="004776E1"/>
    <w:rsid w:val="00477811"/>
    <w:rsid w:val="00477A5D"/>
    <w:rsid w:val="00480142"/>
    <w:rsid w:val="00480502"/>
    <w:rsid w:val="0048072F"/>
    <w:rsid w:val="00480C48"/>
    <w:rsid w:val="0048141B"/>
    <w:rsid w:val="00481695"/>
    <w:rsid w:val="00481B97"/>
    <w:rsid w:val="00481FCC"/>
    <w:rsid w:val="00483230"/>
    <w:rsid w:val="0048323E"/>
    <w:rsid w:val="00483252"/>
    <w:rsid w:val="00483C85"/>
    <w:rsid w:val="00483D7C"/>
    <w:rsid w:val="004850C4"/>
    <w:rsid w:val="00485978"/>
    <w:rsid w:val="00485A16"/>
    <w:rsid w:val="00485BC9"/>
    <w:rsid w:val="00485EDB"/>
    <w:rsid w:val="00486B64"/>
    <w:rsid w:val="00487007"/>
    <w:rsid w:val="004874E2"/>
    <w:rsid w:val="00487A90"/>
    <w:rsid w:val="00487E76"/>
    <w:rsid w:val="004901B8"/>
    <w:rsid w:val="0049069D"/>
    <w:rsid w:val="00492033"/>
    <w:rsid w:val="0049217E"/>
    <w:rsid w:val="00492F7B"/>
    <w:rsid w:val="00493025"/>
    <w:rsid w:val="00493622"/>
    <w:rsid w:val="0049475A"/>
    <w:rsid w:val="0049535B"/>
    <w:rsid w:val="00495A96"/>
    <w:rsid w:val="00495BB3"/>
    <w:rsid w:val="00495CB6"/>
    <w:rsid w:val="00496159"/>
    <w:rsid w:val="004969EB"/>
    <w:rsid w:val="00496E92"/>
    <w:rsid w:val="004A077B"/>
    <w:rsid w:val="004A0C80"/>
    <w:rsid w:val="004A1479"/>
    <w:rsid w:val="004A153D"/>
    <w:rsid w:val="004A16FB"/>
    <w:rsid w:val="004A1C84"/>
    <w:rsid w:val="004A2110"/>
    <w:rsid w:val="004A2161"/>
    <w:rsid w:val="004A22BA"/>
    <w:rsid w:val="004A24CF"/>
    <w:rsid w:val="004A2BB5"/>
    <w:rsid w:val="004A2D7E"/>
    <w:rsid w:val="004A30B7"/>
    <w:rsid w:val="004A3221"/>
    <w:rsid w:val="004A3282"/>
    <w:rsid w:val="004A3657"/>
    <w:rsid w:val="004A391D"/>
    <w:rsid w:val="004A3FBE"/>
    <w:rsid w:val="004A470F"/>
    <w:rsid w:val="004A482E"/>
    <w:rsid w:val="004A48E9"/>
    <w:rsid w:val="004A4E9E"/>
    <w:rsid w:val="004A4FAE"/>
    <w:rsid w:val="004A5030"/>
    <w:rsid w:val="004A54E0"/>
    <w:rsid w:val="004A56BB"/>
    <w:rsid w:val="004A5C8C"/>
    <w:rsid w:val="004A5F56"/>
    <w:rsid w:val="004A64CF"/>
    <w:rsid w:val="004A70D6"/>
    <w:rsid w:val="004A7368"/>
    <w:rsid w:val="004A74F1"/>
    <w:rsid w:val="004A7787"/>
    <w:rsid w:val="004A79DE"/>
    <w:rsid w:val="004B0582"/>
    <w:rsid w:val="004B0598"/>
    <w:rsid w:val="004B06CB"/>
    <w:rsid w:val="004B0AB7"/>
    <w:rsid w:val="004B1080"/>
    <w:rsid w:val="004B1751"/>
    <w:rsid w:val="004B1816"/>
    <w:rsid w:val="004B18DE"/>
    <w:rsid w:val="004B197A"/>
    <w:rsid w:val="004B1B26"/>
    <w:rsid w:val="004B1F85"/>
    <w:rsid w:val="004B2C7C"/>
    <w:rsid w:val="004B3094"/>
    <w:rsid w:val="004B3289"/>
    <w:rsid w:val="004B34D1"/>
    <w:rsid w:val="004B3599"/>
    <w:rsid w:val="004B36BB"/>
    <w:rsid w:val="004B3830"/>
    <w:rsid w:val="004B39F9"/>
    <w:rsid w:val="004B3B52"/>
    <w:rsid w:val="004B4434"/>
    <w:rsid w:val="004B4B48"/>
    <w:rsid w:val="004B55C1"/>
    <w:rsid w:val="004B55CB"/>
    <w:rsid w:val="004B5CEF"/>
    <w:rsid w:val="004B6379"/>
    <w:rsid w:val="004B6B1D"/>
    <w:rsid w:val="004B6B4D"/>
    <w:rsid w:val="004B7EE7"/>
    <w:rsid w:val="004C0253"/>
    <w:rsid w:val="004C0712"/>
    <w:rsid w:val="004C0AC6"/>
    <w:rsid w:val="004C0FCD"/>
    <w:rsid w:val="004C1426"/>
    <w:rsid w:val="004C1621"/>
    <w:rsid w:val="004C1853"/>
    <w:rsid w:val="004C2792"/>
    <w:rsid w:val="004C2D32"/>
    <w:rsid w:val="004C2E77"/>
    <w:rsid w:val="004C367E"/>
    <w:rsid w:val="004C3E97"/>
    <w:rsid w:val="004C49E3"/>
    <w:rsid w:val="004C4E74"/>
    <w:rsid w:val="004C4F69"/>
    <w:rsid w:val="004C5678"/>
    <w:rsid w:val="004C5706"/>
    <w:rsid w:val="004C5D63"/>
    <w:rsid w:val="004C6048"/>
    <w:rsid w:val="004C60B0"/>
    <w:rsid w:val="004C6323"/>
    <w:rsid w:val="004C6414"/>
    <w:rsid w:val="004C64B9"/>
    <w:rsid w:val="004C64DD"/>
    <w:rsid w:val="004C668C"/>
    <w:rsid w:val="004C6AD5"/>
    <w:rsid w:val="004C6F4B"/>
    <w:rsid w:val="004C7070"/>
    <w:rsid w:val="004C76EA"/>
    <w:rsid w:val="004C7A60"/>
    <w:rsid w:val="004D005B"/>
    <w:rsid w:val="004D0463"/>
    <w:rsid w:val="004D04A4"/>
    <w:rsid w:val="004D1277"/>
    <w:rsid w:val="004D1906"/>
    <w:rsid w:val="004D1AEF"/>
    <w:rsid w:val="004D1B42"/>
    <w:rsid w:val="004D1BE9"/>
    <w:rsid w:val="004D1EC3"/>
    <w:rsid w:val="004D2247"/>
    <w:rsid w:val="004D2ACF"/>
    <w:rsid w:val="004D32A9"/>
    <w:rsid w:val="004D35C8"/>
    <w:rsid w:val="004D3CA1"/>
    <w:rsid w:val="004D421F"/>
    <w:rsid w:val="004D43C5"/>
    <w:rsid w:val="004D4F0E"/>
    <w:rsid w:val="004D51CA"/>
    <w:rsid w:val="004D5324"/>
    <w:rsid w:val="004D54BE"/>
    <w:rsid w:val="004D56FF"/>
    <w:rsid w:val="004D6248"/>
    <w:rsid w:val="004D657E"/>
    <w:rsid w:val="004D6F94"/>
    <w:rsid w:val="004D77A1"/>
    <w:rsid w:val="004D7CE3"/>
    <w:rsid w:val="004E15BE"/>
    <w:rsid w:val="004E1B91"/>
    <w:rsid w:val="004E22C5"/>
    <w:rsid w:val="004E2A09"/>
    <w:rsid w:val="004E2DC7"/>
    <w:rsid w:val="004E3654"/>
    <w:rsid w:val="004E39AC"/>
    <w:rsid w:val="004E39D3"/>
    <w:rsid w:val="004E411B"/>
    <w:rsid w:val="004E4922"/>
    <w:rsid w:val="004E4E38"/>
    <w:rsid w:val="004E508A"/>
    <w:rsid w:val="004E5BAB"/>
    <w:rsid w:val="004E616D"/>
    <w:rsid w:val="004E6C20"/>
    <w:rsid w:val="004E7000"/>
    <w:rsid w:val="004E7D6A"/>
    <w:rsid w:val="004E7E02"/>
    <w:rsid w:val="004F1285"/>
    <w:rsid w:val="004F1BDE"/>
    <w:rsid w:val="004F2BFF"/>
    <w:rsid w:val="004F2CEE"/>
    <w:rsid w:val="004F2CFD"/>
    <w:rsid w:val="004F33CC"/>
    <w:rsid w:val="004F3469"/>
    <w:rsid w:val="004F3478"/>
    <w:rsid w:val="004F3D24"/>
    <w:rsid w:val="004F4435"/>
    <w:rsid w:val="004F4D71"/>
    <w:rsid w:val="004F52D6"/>
    <w:rsid w:val="004F556E"/>
    <w:rsid w:val="004F573E"/>
    <w:rsid w:val="004F591C"/>
    <w:rsid w:val="004F6A5C"/>
    <w:rsid w:val="004F7BE6"/>
    <w:rsid w:val="004F7F44"/>
    <w:rsid w:val="0050026F"/>
    <w:rsid w:val="005006C5"/>
    <w:rsid w:val="005012FE"/>
    <w:rsid w:val="00501379"/>
    <w:rsid w:val="00501984"/>
    <w:rsid w:val="00501D25"/>
    <w:rsid w:val="005036A2"/>
    <w:rsid w:val="005037B4"/>
    <w:rsid w:val="00503A85"/>
    <w:rsid w:val="00503D6D"/>
    <w:rsid w:val="00504431"/>
    <w:rsid w:val="00504C02"/>
    <w:rsid w:val="00504E96"/>
    <w:rsid w:val="00504F60"/>
    <w:rsid w:val="00505811"/>
    <w:rsid w:val="00505A5C"/>
    <w:rsid w:val="00506086"/>
    <w:rsid w:val="00507286"/>
    <w:rsid w:val="00507291"/>
    <w:rsid w:val="00507479"/>
    <w:rsid w:val="00507915"/>
    <w:rsid w:val="005079BF"/>
    <w:rsid w:val="00507B1D"/>
    <w:rsid w:val="00507CB2"/>
    <w:rsid w:val="005102EF"/>
    <w:rsid w:val="00510336"/>
    <w:rsid w:val="00510696"/>
    <w:rsid w:val="00510961"/>
    <w:rsid w:val="00510D91"/>
    <w:rsid w:val="0051134B"/>
    <w:rsid w:val="00511795"/>
    <w:rsid w:val="00511A90"/>
    <w:rsid w:val="00511B55"/>
    <w:rsid w:val="0051209F"/>
    <w:rsid w:val="005121E9"/>
    <w:rsid w:val="0051269A"/>
    <w:rsid w:val="00512A16"/>
    <w:rsid w:val="00512C8A"/>
    <w:rsid w:val="0051318D"/>
    <w:rsid w:val="00513371"/>
    <w:rsid w:val="0051383E"/>
    <w:rsid w:val="00513918"/>
    <w:rsid w:val="0051429E"/>
    <w:rsid w:val="00514DA4"/>
    <w:rsid w:val="00514DC0"/>
    <w:rsid w:val="0051582B"/>
    <w:rsid w:val="00515CAE"/>
    <w:rsid w:val="0051665C"/>
    <w:rsid w:val="00516FE2"/>
    <w:rsid w:val="00520415"/>
    <w:rsid w:val="005205B3"/>
    <w:rsid w:val="005209EA"/>
    <w:rsid w:val="00520DA3"/>
    <w:rsid w:val="00520F60"/>
    <w:rsid w:val="005219E7"/>
    <w:rsid w:val="00522129"/>
    <w:rsid w:val="005223BF"/>
    <w:rsid w:val="00522E08"/>
    <w:rsid w:val="00522E2F"/>
    <w:rsid w:val="00522E6D"/>
    <w:rsid w:val="00523354"/>
    <w:rsid w:val="00523E5F"/>
    <w:rsid w:val="00524C9E"/>
    <w:rsid w:val="00524E74"/>
    <w:rsid w:val="005250CD"/>
    <w:rsid w:val="00525595"/>
    <w:rsid w:val="00527220"/>
    <w:rsid w:val="0052742B"/>
    <w:rsid w:val="0053007B"/>
    <w:rsid w:val="00531306"/>
    <w:rsid w:val="00531458"/>
    <w:rsid w:val="005319F4"/>
    <w:rsid w:val="00531B4B"/>
    <w:rsid w:val="00531B6E"/>
    <w:rsid w:val="00531B9A"/>
    <w:rsid w:val="00531C1F"/>
    <w:rsid w:val="00531D15"/>
    <w:rsid w:val="0053295A"/>
    <w:rsid w:val="00532B0C"/>
    <w:rsid w:val="00533652"/>
    <w:rsid w:val="0053369C"/>
    <w:rsid w:val="0053371E"/>
    <w:rsid w:val="00533F50"/>
    <w:rsid w:val="0053411B"/>
    <w:rsid w:val="0053475B"/>
    <w:rsid w:val="0053500E"/>
    <w:rsid w:val="00535198"/>
    <w:rsid w:val="005353E5"/>
    <w:rsid w:val="00535640"/>
    <w:rsid w:val="005358D8"/>
    <w:rsid w:val="00535FF2"/>
    <w:rsid w:val="00537299"/>
    <w:rsid w:val="00537493"/>
    <w:rsid w:val="00537604"/>
    <w:rsid w:val="0053760D"/>
    <w:rsid w:val="005379E0"/>
    <w:rsid w:val="00537F41"/>
    <w:rsid w:val="005403DA"/>
    <w:rsid w:val="005406FB"/>
    <w:rsid w:val="005409E3"/>
    <w:rsid w:val="00540BCF"/>
    <w:rsid w:val="00540BD9"/>
    <w:rsid w:val="005410D8"/>
    <w:rsid w:val="00541402"/>
    <w:rsid w:val="005414DE"/>
    <w:rsid w:val="00542377"/>
    <w:rsid w:val="005432AD"/>
    <w:rsid w:val="0054406C"/>
    <w:rsid w:val="00544501"/>
    <w:rsid w:val="005445FC"/>
    <w:rsid w:val="005454F8"/>
    <w:rsid w:val="00545576"/>
    <w:rsid w:val="00545E76"/>
    <w:rsid w:val="0054614E"/>
    <w:rsid w:val="00546F34"/>
    <w:rsid w:val="005471E8"/>
    <w:rsid w:val="005476EB"/>
    <w:rsid w:val="00547AB7"/>
    <w:rsid w:val="00550831"/>
    <w:rsid w:val="00551133"/>
    <w:rsid w:val="00551782"/>
    <w:rsid w:val="00551A74"/>
    <w:rsid w:val="00552231"/>
    <w:rsid w:val="00552292"/>
    <w:rsid w:val="005530EC"/>
    <w:rsid w:val="0055322D"/>
    <w:rsid w:val="00553F17"/>
    <w:rsid w:val="00553F3D"/>
    <w:rsid w:val="0055402C"/>
    <w:rsid w:val="0055408B"/>
    <w:rsid w:val="0055432D"/>
    <w:rsid w:val="00554597"/>
    <w:rsid w:val="005546DF"/>
    <w:rsid w:val="00554A81"/>
    <w:rsid w:val="00554C32"/>
    <w:rsid w:val="00554E24"/>
    <w:rsid w:val="00555188"/>
    <w:rsid w:val="00555970"/>
    <w:rsid w:val="00555BFD"/>
    <w:rsid w:val="00555CAB"/>
    <w:rsid w:val="00556546"/>
    <w:rsid w:val="005567E5"/>
    <w:rsid w:val="00556A56"/>
    <w:rsid w:val="005571D6"/>
    <w:rsid w:val="00557EF2"/>
    <w:rsid w:val="005602CB"/>
    <w:rsid w:val="00561810"/>
    <w:rsid w:val="00561B1E"/>
    <w:rsid w:val="005627FD"/>
    <w:rsid w:val="005629B1"/>
    <w:rsid w:val="00562BBE"/>
    <w:rsid w:val="005632EA"/>
    <w:rsid w:val="0056360E"/>
    <w:rsid w:val="00563721"/>
    <w:rsid w:val="00563EF1"/>
    <w:rsid w:val="005642B8"/>
    <w:rsid w:val="005646F5"/>
    <w:rsid w:val="00565241"/>
    <w:rsid w:val="00565294"/>
    <w:rsid w:val="0056531F"/>
    <w:rsid w:val="00565CC3"/>
    <w:rsid w:val="00565E1E"/>
    <w:rsid w:val="00566AB4"/>
    <w:rsid w:val="00566B0C"/>
    <w:rsid w:val="00566B80"/>
    <w:rsid w:val="00566B8B"/>
    <w:rsid w:val="005676C1"/>
    <w:rsid w:val="00567CDD"/>
    <w:rsid w:val="005700DA"/>
    <w:rsid w:val="00570411"/>
    <w:rsid w:val="0057085B"/>
    <w:rsid w:val="00571BFE"/>
    <w:rsid w:val="00571EEA"/>
    <w:rsid w:val="00572386"/>
    <w:rsid w:val="00572D6F"/>
    <w:rsid w:val="00573645"/>
    <w:rsid w:val="00573812"/>
    <w:rsid w:val="00573834"/>
    <w:rsid w:val="00573C9E"/>
    <w:rsid w:val="00574006"/>
    <w:rsid w:val="0057499D"/>
    <w:rsid w:val="00575455"/>
    <w:rsid w:val="00575738"/>
    <w:rsid w:val="00575771"/>
    <w:rsid w:val="00575AC5"/>
    <w:rsid w:val="00575BFF"/>
    <w:rsid w:val="00575F92"/>
    <w:rsid w:val="0057605D"/>
    <w:rsid w:val="005765F9"/>
    <w:rsid w:val="00576A47"/>
    <w:rsid w:val="00577061"/>
    <w:rsid w:val="005770E4"/>
    <w:rsid w:val="005773BE"/>
    <w:rsid w:val="00577804"/>
    <w:rsid w:val="005778FE"/>
    <w:rsid w:val="00580587"/>
    <w:rsid w:val="00580AAC"/>
    <w:rsid w:val="00581347"/>
    <w:rsid w:val="00581501"/>
    <w:rsid w:val="00581AC9"/>
    <w:rsid w:val="00581EC9"/>
    <w:rsid w:val="00582381"/>
    <w:rsid w:val="00582707"/>
    <w:rsid w:val="00583B86"/>
    <w:rsid w:val="00584138"/>
    <w:rsid w:val="0058455C"/>
    <w:rsid w:val="005847EF"/>
    <w:rsid w:val="0058491F"/>
    <w:rsid w:val="005849F8"/>
    <w:rsid w:val="00585B3B"/>
    <w:rsid w:val="00585C76"/>
    <w:rsid w:val="005860F3"/>
    <w:rsid w:val="005868DC"/>
    <w:rsid w:val="005871C4"/>
    <w:rsid w:val="0058735F"/>
    <w:rsid w:val="005905A4"/>
    <w:rsid w:val="005906C0"/>
    <w:rsid w:val="00590D47"/>
    <w:rsid w:val="00590E3D"/>
    <w:rsid w:val="00591377"/>
    <w:rsid w:val="00591ECE"/>
    <w:rsid w:val="0059345F"/>
    <w:rsid w:val="005938DF"/>
    <w:rsid w:val="0059394C"/>
    <w:rsid w:val="00593A08"/>
    <w:rsid w:val="00593E42"/>
    <w:rsid w:val="005941E0"/>
    <w:rsid w:val="00594E9C"/>
    <w:rsid w:val="00595315"/>
    <w:rsid w:val="005956D0"/>
    <w:rsid w:val="005957A4"/>
    <w:rsid w:val="00595C10"/>
    <w:rsid w:val="00595D00"/>
    <w:rsid w:val="00595ED8"/>
    <w:rsid w:val="00595FAB"/>
    <w:rsid w:val="005960A1"/>
    <w:rsid w:val="00596274"/>
    <w:rsid w:val="00596C8D"/>
    <w:rsid w:val="005974D2"/>
    <w:rsid w:val="0059761A"/>
    <w:rsid w:val="00597A79"/>
    <w:rsid w:val="00597BE9"/>
    <w:rsid w:val="00597C03"/>
    <w:rsid w:val="005A0454"/>
    <w:rsid w:val="005A0584"/>
    <w:rsid w:val="005A099B"/>
    <w:rsid w:val="005A0C8C"/>
    <w:rsid w:val="005A14ED"/>
    <w:rsid w:val="005A1EDD"/>
    <w:rsid w:val="005A2C84"/>
    <w:rsid w:val="005A2CFD"/>
    <w:rsid w:val="005A2D9C"/>
    <w:rsid w:val="005A2E0D"/>
    <w:rsid w:val="005A2F2B"/>
    <w:rsid w:val="005A31B9"/>
    <w:rsid w:val="005A3459"/>
    <w:rsid w:val="005A371B"/>
    <w:rsid w:val="005A3783"/>
    <w:rsid w:val="005A4F42"/>
    <w:rsid w:val="005A5331"/>
    <w:rsid w:val="005A55FE"/>
    <w:rsid w:val="005A5C3B"/>
    <w:rsid w:val="005A621B"/>
    <w:rsid w:val="005A6221"/>
    <w:rsid w:val="005A6232"/>
    <w:rsid w:val="005A6A11"/>
    <w:rsid w:val="005A7340"/>
    <w:rsid w:val="005A76D6"/>
    <w:rsid w:val="005A793F"/>
    <w:rsid w:val="005A7BA7"/>
    <w:rsid w:val="005A7E63"/>
    <w:rsid w:val="005B07FD"/>
    <w:rsid w:val="005B0CFD"/>
    <w:rsid w:val="005B140F"/>
    <w:rsid w:val="005B16A9"/>
    <w:rsid w:val="005B26C3"/>
    <w:rsid w:val="005B2CBA"/>
    <w:rsid w:val="005B2CD7"/>
    <w:rsid w:val="005B2D18"/>
    <w:rsid w:val="005B2F0D"/>
    <w:rsid w:val="005B2F61"/>
    <w:rsid w:val="005B3E16"/>
    <w:rsid w:val="005B3FB4"/>
    <w:rsid w:val="005B464E"/>
    <w:rsid w:val="005B5392"/>
    <w:rsid w:val="005B62B7"/>
    <w:rsid w:val="005B6CEF"/>
    <w:rsid w:val="005B6EA6"/>
    <w:rsid w:val="005B77CA"/>
    <w:rsid w:val="005B7DCA"/>
    <w:rsid w:val="005B7E7D"/>
    <w:rsid w:val="005C06AC"/>
    <w:rsid w:val="005C0CE4"/>
    <w:rsid w:val="005C0DB5"/>
    <w:rsid w:val="005C102A"/>
    <w:rsid w:val="005C1507"/>
    <w:rsid w:val="005C158F"/>
    <w:rsid w:val="005C1D6C"/>
    <w:rsid w:val="005C1F5A"/>
    <w:rsid w:val="005C24D2"/>
    <w:rsid w:val="005C26C2"/>
    <w:rsid w:val="005C2B60"/>
    <w:rsid w:val="005C2BBA"/>
    <w:rsid w:val="005C319F"/>
    <w:rsid w:val="005C31EA"/>
    <w:rsid w:val="005C32BF"/>
    <w:rsid w:val="005C34EF"/>
    <w:rsid w:val="005C3643"/>
    <w:rsid w:val="005C39FD"/>
    <w:rsid w:val="005C3A46"/>
    <w:rsid w:val="005C3CB3"/>
    <w:rsid w:val="005C47F6"/>
    <w:rsid w:val="005C507C"/>
    <w:rsid w:val="005C5443"/>
    <w:rsid w:val="005C545F"/>
    <w:rsid w:val="005C6198"/>
    <w:rsid w:val="005C6E45"/>
    <w:rsid w:val="005C6E77"/>
    <w:rsid w:val="005C7114"/>
    <w:rsid w:val="005C71E4"/>
    <w:rsid w:val="005C74BE"/>
    <w:rsid w:val="005C7E01"/>
    <w:rsid w:val="005D03DE"/>
    <w:rsid w:val="005D06B2"/>
    <w:rsid w:val="005D1B15"/>
    <w:rsid w:val="005D1FF6"/>
    <w:rsid w:val="005D23F2"/>
    <w:rsid w:val="005D2502"/>
    <w:rsid w:val="005D259D"/>
    <w:rsid w:val="005D2C68"/>
    <w:rsid w:val="005D3C2C"/>
    <w:rsid w:val="005D3C99"/>
    <w:rsid w:val="005D3DB3"/>
    <w:rsid w:val="005D40BB"/>
    <w:rsid w:val="005D4511"/>
    <w:rsid w:val="005D47F3"/>
    <w:rsid w:val="005D49BF"/>
    <w:rsid w:val="005D4A18"/>
    <w:rsid w:val="005D4AA5"/>
    <w:rsid w:val="005D4ED8"/>
    <w:rsid w:val="005D50FA"/>
    <w:rsid w:val="005D562C"/>
    <w:rsid w:val="005D5D95"/>
    <w:rsid w:val="005D6860"/>
    <w:rsid w:val="005D69F1"/>
    <w:rsid w:val="005D6F4E"/>
    <w:rsid w:val="005D79A6"/>
    <w:rsid w:val="005D7C73"/>
    <w:rsid w:val="005D7FE4"/>
    <w:rsid w:val="005E0718"/>
    <w:rsid w:val="005E0856"/>
    <w:rsid w:val="005E1368"/>
    <w:rsid w:val="005E160C"/>
    <w:rsid w:val="005E1807"/>
    <w:rsid w:val="005E198D"/>
    <w:rsid w:val="005E250B"/>
    <w:rsid w:val="005E28BB"/>
    <w:rsid w:val="005E2BDA"/>
    <w:rsid w:val="005E2FA8"/>
    <w:rsid w:val="005E38F2"/>
    <w:rsid w:val="005E3ACD"/>
    <w:rsid w:val="005E3E0D"/>
    <w:rsid w:val="005E444A"/>
    <w:rsid w:val="005E4693"/>
    <w:rsid w:val="005E4C94"/>
    <w:rsid w:val="005E4EA5"/>
    <w:rsid w:val="005E53CC"/>
    <w:rsid w:val="005E568E"/>
    <w:rsid w:val="005E5A3E"/>
    <w:rsid w:val="005E5AE5"/>
    <w:rsid w:val="005E65B6"/>
    <w:rsid w:val="005E6FA8"/>
    <w:rsid w:val="005E7226"/>
    <w:rsid w:val="005E7A57"/>
    <w:rsid w:val="005E7AA9"/>
    <w:rsid w:val="005E7B3C"/>
    <w:rsid w:val="005E7DAC"/>
    <w:rsid w:val="005E7F37"/>
    <w:rsid w:val="005F0364"/>
    <w:rsid w:val="005F1A03"/>
    <w:rsid w:val="005F1C44"/>
    <w:rsid w:val="005F24B0"/>
    <w:rsid w:val="005F2F6D"/>
    <w:rsid w:val="005F361B"/>
    <w:rsid w:val="005F3C67"/>
    <w:rsid w:val="005F3F43"/>
    <w:rsid w:val="005F4689"/>
    <w:rsid w:val="005F5001"/>
    <w:rsid w:val="005F59FB"/>
    <w:rsid w:val="005F5F48"/>
    <w:rsid w:val="005F6342"/>
    <w:rsid w:val="005F67D1"/>
    <w:rsid w:val="005F70C7"/>
    <w:rsid w:val="005F7406"/>
    <w:rsid w:val="005F756F"/>
    <w:rsid w:val="005F7799"/>
    <w:rsid w:val="005F7FAE"/>
    <w:rsid w:val="006000AB"/>
    <w:rsid w:val="00600AF6"/>
    <w:rsid w:val="006013CB"/>
    <w:rsid w:val="0060149B"/>
    <w:rsid w:val="00601AB5"/>
    <w:rsid w:val="00601C40"/>
    <w:rsid w:val="00601F35"/>
    <w:rsid w:val="0060236D"/>
    <w:rsid w:val="0060248E"/>
    <w:rsid w:val="0060302D"/>
    <w:rsid w:val="0060364A"/>
    <w:rsid w:val="00603B43"/>
    <w:rsid w:val="00604032"/>
    <w:rsid w:val="00604088"/>
    <w:rsid w:val="00604255"/>
    <w:rsid w:val="00604315"/>
    <w:rsid w:val="006044EA"/>
    <w:rsid w:val="00604A62"/>
    <w:rsid w:val="00604E1E"/>
    <w:rsid w:val="00604E26"/>
    <w:rsid w:val="0060523F"/>
    <w:rsid w:val="006052CF"/>
    <w:rsid w:val="00605634"/>
    <w:rsid w:val="006066CC"/>
    <w:rsid w:val="0060680C"/>
    <w:rsid w:val="00606A12"/>
    <w:rsid w:val="00606D61"/>
    <w:rsid w:val="00607140"/>
    <w:rsid w:val="006071C5"/>
    <w:rsid w:val="006074C7"/>
    <w:rsid w:val="0060775B"/>
    <w:rsid w:val="00607B8D"/>
    <w:rsid w:val="0061012A"/>
    <w:rsid w:val="0061072F"/>
    <w:rsid w:val="00610740"/>
    <w:rsid w:val="00610C37"/>
    <w:rsid w:val="00611A41"/>
    <w:rsid w:val="00611DFA"/>
    <w:rsid w:val="00611F5C"/>
    <w:rsid w:val="0061225C"/>
    <w:rsid w:val="00612861"/>
    <w:rsid w:val="006129BD"/>
    <w:rsid w:val="00612A06"/>
    <w:rsid w:val="00612BB5"/>
    <w:rsid w:val="006131EE"/>
    <w:rsid w:val="0061344C"/>
    <w:rsid w:val="0061384E"/>
    <w:rsid w:val="00614087"/>
    <w:rsid w:val="00614191"/>
    <w:rsid w:val="0061492A"/>
    <w:rsid w:val="00614AF8"/>
    <w:rsid w:val="00614C2D"/>
    <w:rsid w:val="006155FF"/>
    <w:rsid w:val="00616016"/>
    <w:rsid w:val="0061632A"/>
    <w:rsid w:val="00616963"/>
    <w:rsid w:val="00616E09"/>
    <w:rsid w:val="00617AAB"/>
    <w:rsid w:val="00620D35"/>
    <w:rsid w:val="00620E19"/>
    <w:rsid w:val="0062198E"/>
    <w:rsid w:val="006221D4"/>
    <w:rsid w:val="006225C9"/>
    <w:rsid w:val="006226EC"/>
    <w:rsid w:val="00622A3B"/>
    <w:rsid w:val="00622EEA"/>
    <w:rsid w:val="00623418"/>
    <w:rsid w:val="00623754"/>
    <w:rsid w:val="0062396C"/>
    <w:rsid w:val="00623991"/>
    <w:rsid w:val="00623B17"/>
    <w:rsid w:val="00623B2E"/>
    <w:rsid w:val="00623F78"/>
    <w:rsid w:val="00623FF9"/>
    <w:rsid w:val="00624416"/>
    <w:rsid w:val="00624A60"/>
    <w:rsid w:val="00624D90"/>
    <w:rsid w:val="00625C9C"/>
    <w:rsid w:val="00625D5C"/>
    <w:rsid w:val="00625F20"/>
    <w:rsid w:val="00626084"/>
    <w:rsid w:val="006265F6"/>
    <w:rsid w:val="00626C8B"/>
    <w:rsid w:val="00626E4D"/>
    <w:rsid w:val="0062719F"/>
    <w:rsid w:val="0062780B"/>
    <w:rsid w:val="00627D4E"/>
    <w:rsid w:val="00630224"/>
    <w:rsid w:val="006302EA"/>
    <w:rsid w:val="00631039"/>
    <w:rsid w:val="006310AA"/>
    <w:rsid w:val="00631182"/>
    <w:rsid w:val="006313A4"/>
    <w:rsid w:val="00631862"/>
    <w:rsid w:val="006319A2"/>
    <w:rsid w:val="00631CE4"/>
    <w:rsid w:val="006321BD"/>
    <w:rsid w:val="006323C4"/>
    <w:rsid w:val="00632B89"/>
    <w:rsid w:val="00632F64"/>
    <w:rsid w:val="0063346D"/>
    <w:rsid w:val="006335F2"/>
    <w:rsid w:val="00633F9C"/>
    <w:rsid w:val="006341C4"/>
    <w:rsid w:val="006343E1"/>
    <w:rsid w:val="00634478"/>
    <w:rsid w:val="00634990"/>
    <w:rsid w:val="00634A51"/>
    <w:rsid w:val="0063516A"/>
    <w:rsid w:val="006353EA"/>
    <w:rsid w:val="0063579A"/>
    <w:rsid w:val="00635815"/>
    <w:rsid w:val="00635B82"/>
    <w:rsid w:val="00636507"/>
    <w:rsid w:val="00636CDB"/>
    <w:rsid w:val="006370BA"/>
    <w:rsid w:val="00637F40"/>
    <w:rsid w:val="00640034"/>
    <w:rsid w:val="00640116"/>
    <w:rsid w:val="00640142"/>
    <w:rsid w:val="006403AB"/>
    <w:rsid w:val="00640A60"/>
    <w:rsid w:val="00640CC4"/>
    <w:rsid w:val="006414FD"/>
    <w:rsid w:val="00641733"/>
    <w:rsid w:val="00641C3E"/>
    <w:rsid w:val="006422A1"/>
    <w:rsid w:val="006425B6"/>
    <w:rsid w:val="0064415E"/>
    <w:rsid w:val="006441B0"/>
    <w:rsid w:val="00644373"/>
    <w:rsid w:val="0064446E"/>
    <w:rsid w:val="006445BA"/>
    <w:rsid w:val="00644856"/>
    <w:rsid w:val="00644AD1"/>
    <w:rsid w:val="00644E06"/>
    <w:rsid w:val="0064510C"/>
    <w:rsid w:val="0064559B"/>
    <w:rsid w:val="00645819"/>
    <w:rsid w:val="00645823"/>
    <w:rsid w:val="00645915"/>
    <w:rsid w:val="0064600C"/>
    <w:rsid w:val="0064646C"/>
    <w:rsid w:val="0064671A"/>
    <w:rsid w:val="00646CC4"/>
    <w:rsid w:val="0064710F"/>
    <w:rsid w:val="006471CD"/>
    <w:rsid w:val="0064720F"/>
    <w:rsid w:val="0064789D"/>
    <w:rsid w:val="00647A7F"/>
    <w:rsid w:val="00647C9A"/>
    <w:rsid w:val="00647E6C"/>
    <w:rsid w:val="006501CA"/>
    <w:rsid w:val="006508D5"/>
    <w:rsid w:val="00650C22"/>
    <w:rsid w:val="006519C3"/>
    <w:rsid w:val="00652020"/>
    <w:rsid w:val="00652160"/>
    <w:rsid w:val="00652B30"/>
    <w:rsid w:val="00652F04"/>
    <w:rsid w:val="00655293"/>
    <w:rsid w:val="00656345"/>
    <w:rsid w:val="006568A3"/>
    <w:rsid w:val="00656DC6"/>
    <w:rsid w:val="00657A82"/>
    <w:rsid w:val="00657B44"/>
    <w:rsid w:val="00657D2A"/>
    <w:rsid w:val="00657D47"/>
    <w:rsid w:val="00660CBE"/>
    <w:rsid w:val="00660EC6"/>
    <w:rsid w:val="00661223"/>
    <w:rsid w:val="006612C6"/>
    <w:rsid w:val="006619A9"/>
    <w:rsid w:val="00661B0C"/>
    <w:rsid w:val="00661C03"/>
    <w:rsid w:val="006626FE"/>
    <w:rsid w:val="006627EB"/>
    <w:rsid w:val="00662A0E"/>
    <w:rsid w:val="00662E79"/>
    <w:rsid w:val="006636AD"/>
    <w:rsid w:val="00663779"/>
    <w:rsid w:val="00663A35"/>
    <w:rsid w:val="00663E47"/>
    <w:rsid w:val="00663F15"/>
    <w:rsid w:val="00664110"/>
    <w:rsid w:val="00664714"/>
    <w:rsid w:val="00664942"/>
    <w:rsid w:val="00664982"/>
    <w:rsid w:val="00664BC3"/>
    <w:rsid w:val="00664D17"/>
    <w:rsid w:val="006651C4"/>
    <w:rsid w:val="006651F4"/>
    <w:rsid w:val="0066558E"/>
    <w:rsid w:val="00665D6A"/>
    <w:rsid w:val="00665EAA"/>
    <w:rsid w:val="00666358"/>
    <w:rsid w:val="00666520"/>
    <w:rsid w:val="00667072"/>
    <w:rsid w:val="006671B8"/>
    <w:rsid w:val="00667B38"/>
    <w:rsid w:val="00667C5B"/>
    <w:rsid w:val="00670C59"/>
    <w:rsid w:val="00671152"/>
    <w:rsid w:val="0067115B"/>
    <w:rsid w:val="0067129E"/>
    <w:rsid w:val="00672169"/>
    <w:rsid w:val="006722AA"/>
    <w:rsid w:val="006728CE"/>
    <w:rsid w:val="00673190"/>
    <w:rsid w:val="00673660"/>
    <w:rsid w:val="0067373D"/>
    <w:rsid w:val="00673C19"/>
    <w:rsid w:val="0067480E"/>
    <w:rsid w:val="00674D29"/>
    <w:rsid w:val="0067590A"/>
    <w:rsid w:val="00675E3A"/>
    <w:rsid w:val="0067623E"/>
    <w:rsid w:val="00676AA9"/>
    <w:rsid w:val="00677379"/>
    <w:rsid w:val="006774F1"/>
    <w:rsid w:val="00680728"/>
    <w:rsid w:val="00680CD2"/>
    <w:rsid w:val="0068148C"/>
    <w:rsid w:val="006814F8"/>
    <w:rsid w:val="0068170D"/>
    <w:rsid w:val="00682991"/>
    <w:rsid w:val="00682DFD"/>
    <w:rsid w:val="006840F7"/>
    <w:rsid w:val="006842FB"/>
    <w:rsid w:val="006844AA"/>
    <w:rsid w:val="00684C7D"/>
    <w:rsid w:val="006852F4"/>
    <w:rsid w:val="006856C9"/>
    <w:rsid w:val="0068600D"/>
    <w:rsid w:val="0068651E"/>
    <w:rsid w:val="00686B0B"/>
    <w:rsid w:val="00690444"/>
    <w:rsid w:val="00691045"/>
    <w:rsid w:val="006910AB"/>
    <w:rsid w:val="006917A4"/>
    <w:rsid w:val="00691938"/>
    <w:rsid w:val="00691EB8"/>
    <w:rsid w:val="00692CDE"/>
    <w:rsid w:val="00692D18"/>
    <w:rsid w:val="00693073"/>
    <w:rsid w:val="006935BC"/>
    <w:rsid w:val="00693A32"/>
    <w:rsid w:val="00693EA2"/>
    <w:rsid w:val="00694554"/>
    <w:rsid w:val="00695076"/>
    <w:rsid w:val="00695C50"/>
    <w:rsid w:val="006965ED"/>
    <w:rsid w:val="00696899"/>
    <w:rsid w:val="006977FF"/>
    <w:rsid w:val="00697FB2"/>
    <w:rsid w:val="006A01FA"/>
    <w:rsid w:val="006A079F"/>
    <w:rsid w:val="006A07BC"/>
    <w:rsid w:val="006A09CD"/>
    <w:rsid w:val="006A0BD7"/>
    <w:rsid w:val="006A0E9E"/>
    <w:rsid w:val="006A15DC"/>
    <w:rsid w:val="006A187F"/>
    <w:rsid w:val="006A1926"/>
    <w:rsid w:val="006A1B1F"/>
    <w:rsid w:val="006A2591"/>
    <w:rsid w:val="006A25C7"/>
    <w:rsid w:val="006A2641"/>
    <w:rsid w:val="006A2B66"/>
    <w:rsid w:val="006A2BEB"/>
    <w:rsid w:val="006A2C06"/>
    <w:rsid w:val="006A3F82"/>
    <w:rsid w:val="006A4AAD"/>
    <w:rsid w:val="006A4CCA"/>
    <w:rsid w:val="006A5A38"/>
    <w:rsid w:val="006A5AFF"/>
    <w:rsid w:val="006A6BCB"/>
    <w:rsid w:val="006A6DA2"/>
    <w:rsid w:val="006A7AB2"/>
    <w:rsid w:val="006B0950"/>
    <w:rsid w:val="006B194D"/>
    <w:rsid w:val="006B1BC8"/>
    <w:rsid w:val="006B1D8B"/>
    <w:rsid w:val="006B28BC"/>
    <w:rsid w:val="006B2DB8"/>
    <w:rsid w:val="006B4163"/>
    <w:rsid w:val="006B41B4"/>
    <w:rsid w:val="006B43D4"/>
    <w:rsid w:val="006B4664"/>
    <w:rsid w:val="006B4C79"/>
    <w:rsid w:val="006B52DE"/>
    <w:rsid w:val="006B5717"/>
    <w:rsid w:val="006B582F"/>
    <w:rsid w:val="006B5913"/>
    <w:rsid w:val="006B5A60"/>
    <w:rsid w:val="006B5EB2"/>
    <w:rsid w:val="006B684B"/>
    <w:rsid w:val="006B6A83"/>
    <w:rsid w:val="006B7452"/>
    <w:rsid w:val="006B751E"/>
    <w:rsid w:val="006B77AA"/>
    <w:rsid w:val="006B78D0"/>
    <w:rsid w:val="006B7B3F"/>
    <w:rsid w:val="006C0CEB"/>
    <w:rsid w:val="006C0D71"/>
    <w:rsid w:val="006C0FF2"/>
    <w:rsid w:val="006C1631"/>
    <w:rsid w:val="006C1F6F"/>
    <w:rsid w:val="006C22E5"/>
    <w:rsid w:val="006C2ACA"/>
    <w:rsid w:val="006C365B"/>
    <w:rsid w:val="006C3B1E"/>
    <w:rsid w:val="006C4220"/>
    <w:rsid w:val="006C47FD"/>
    <w:rsid w:val="006C4C04"/>
    <w:rsid w:val="006C51C6"/>
    <w:rsid w:val="006C5B68"/>
    <w:rsid w:val="006C5C19"/>
    <w:rsid w:val="006C5DD3"/>
    <w:rsid w:val="006C654D"/>
    <w:rsid w:val="006C6D8C"/>
    <w:rsid w:val="006C7014"/>
    <w:rsid w:val="006C70A0"/>
    <w:rsid w:val="006C74D6"/>
    <w:rsid w:val="006C74F4"/>
    <w:rsid w:val="006C7B63"/>
    <w:rsid w:val="006D01C0"/>
    <w:rsid w:val="006D0431"/>
    <w:rsid w:val="006D0730"/>
    <w:rsid w:val="006D1014"/>
    <w:rsid w:val="006D116C"/>
    <w:rsid w:val="006D15F7"/>
    <w:rsid w:val="006D178F"/>
    <w:rsid w:val="006D1A23"/>
    <w:rsid w:val="006D1D1D"/>
    <w:rsid w:val="006D25EA"/>
    <w:rsid w:val="006D27CB"/>
    <w:rsid w:val="006D2F08"/>
    <w:rsid w:val="006D2F38"/>
    <w:rsid w:val="006D33A2"/>
    <w:rsid w:val="006D341B"/>
    <w:rsid w:val="006D3A69"/>
    <w:rsid w:val="006D3A8B"/>
    <w:rsid w:val="006D3C5A"/>
    <w:rsid w:val="006D4F28"/>
    <w:rsid w:val="006D4FFF"/>
    <w:rsid w:val="006D576C"/>
    <w:rsid w:val="006D5865"/>
    <w:rsid w:val="006D5E6C"/>
    <w:rsid w:val="006D6833"/>
    <w:rsid w:val="006D7550"/>
    <w:rsid w:val="006D75BB"/>
    <w:rsid w:val="006D7A72"/>
    <w:rsid w:val="006E0179"/>
    <w:rsid w:val="006E0B88"/>
    <w:rsid w:val="006E0C1F"/>
    <w:rsid w:val="006E0CB3"/>
    <w:rsid w:val="006E1A41"/>
    <w:rsid w:val="006E31C8"/>
    <w:rsid w:val="006E371F"/>
    <w:rsid w:val="006E3AF2"/>
    <w:rsid w:val="006E4058"/>
    <w:rsid w:val="006E4167"/>
    <w:rsid w:val="006E4B1B"/>
    <w:rsid w:val="006E536E"/>
    <w:rsid w:val="006E539B"/>
    <w:rsid w:val="006E5445"/>
    <w:rsid w:val="006E601F"/>
    <w:rsid w:val="006E6930"/>
    <w:rsid w:val="006E6E63"/>
    <w:rsid w:val="006E784D"/>
    <w:rsid w:val="006E7AB3"/>
    <w:rsid w:val="006E7D93"/>
    <w:rsid w:val="006E7E33"/>
    <w:rsid w:val="006F0AE7"/>
    <w:rsid w:val="006F1308"/>
    <w:rsid w:val="006F1377"/>
    <w:rsid w:val="006F2A74"/>
    <w:rsid w:val="006F300E"/>
    <w:rsid w:val="006F3161"/>
    <w:rsid w:val="006F4421"/>
    <w:rsid w:val="006F46BD"/>
    <w:rsid w:val="006F4921"/>
    <w:rsid w:val="006F552D"/>
    <w:rsid w:val="006F5871"/>
    <w:rsid w:val="006F667E"/>
    <w:rsid w:val="006F71BD"/>
    <w:rsid w:val="006F7972"/>
    <w:rsid w:val="006F7A52"/>
    <w:rsid w:val="006F7EE3"/>
    <w:rsid w:val="007003A6"/>
    <w:rsid w:val="00700498"/>
    <w:rsid w:val="00700539"/>
    <w:rsid w:val="00701311"/>
    <w:rsid w:val="0070133D"/>
    <w:rsid w:val="0070299B"/>
    <w:rsid w:val="007029A3"/>
    <w:rsid w:val="00702C00"/>
    <w:rsid w:val="00703011"/>
    <w:rsid w:val="007036FA"/>
    <w:rsid w:val="007039E7"/>
    <w:rsid w:val="007040C6"/>
    <w:rsid w:val="00704C1D"/>
    <w:rsid w:val="00704CB3"/>
    <w:rsid w:val="007056AA"/>
    <w:rsid w:val="00705C0A"/>
    <w:rsid w:val="00705C1B"/>
    <w:rsid w:val="00706802"/>
    <w:rsid w:val="00706E4E"/>
    <w:rsid w:val="00706FE0"/>
    <w:rsid w:val="0070791C"/>
    <w:rsid w:val="00707D5B"/>
    <w:rsid w:val="00707E89"/>
    <w:rsid w:val="00710463"/>
    <w:rsid w:val="00711581"/>
    <w:rsid w:val="00711727"/>
    <w:rsid w:val="0071183F"/>
    <w:rsid w:val="00711A8E"/>
    <w:rsid w:val="00712AAE"/>
    <w:rsid w:val="0071383C"/>
    <w:rsid w:val="007141A7"/>
    <w:rsid w:val="00715722"/>
    <w:rsid w:val="0071596B"/>
    <w:rsid w:val="00715B11"/>
    <w:rsid w:val="00715BAF"/>
    <w:rsid w:val="00715D1C"/>
    <w:rsid w:val="00715F44"/>
    <w:rsid w:val="0071622D"/>
    <w:rsid w:val="007172E1"/>
    <w:rsid w:val="00717528"/>
    <w:rsid w:val="00717599"/>
    <w:rsid w:val="00720EC3"/>
    <w:rsid w:val="00721032"/>
    <w:rsid w:val="0072114D"/>
    <w:rsid w:val="00721765"/>
    <w:rsid w:val="0072190E"/>
    <w:rsid w:val="00721B55"/>
    <w:rsid w:val="00721DA9"/>
    <w:rsid w:val="0072207F"/>
    <w:rsid w:val="0072252F"/>
    <w:rsid w:val="007229E9"/>
    <w:rsid w:val="00722BF2"/>
    <w:rsid w:val="00722DED"/>
    <w:rsid w:val="007240B0"/>
    <w:rsid w:val="007244D0"/>
    <w:rsid w:val="00724DBC"/>
    <w:rsid w:val="00724FFC"/>
    <w:rsid w:val="0072523D"/>
    <w:rsid w:val="00725945"/>
    <w:rsid w:val="00725DE4"/>
    <w:rsid w:val="00725F63"/>
    <w:rsid w:val="00726279"/>
    <w:rsid w:val="0072644A"/>
    <w:rsid w:val="007264FF"/>
    <w:rsid w:val="00726CE4"/>
    <w:rsid w:val="0072729A"/>
    <w:rsid w:val="007279D3"/>
    <w:rsid w:val="00727D2F"/>
    <w:rsid w:val="00727EBE"/>
    <w:rsid w:val="00727F54"/>
    <w:rsid w:val="00730BE4"/>
    <w:rsid w:val="00730DC8"/>
    <w:rsid w:val="0073134A"/>
    <w:rsid w:val="00731476"/>
    <w:rsid w:val="00731541"/>
    <w:rsid w:val="00731723"/>
    <w:rsid w:val="00731EB4"/>
    <w:rsid w:val="00732391"/>
    <w:rsid w:val="00732888"/>
    <w:rsid w:val="007328AB"/>
    <w:rsid w:val="0073292D"/>
    <w:rsid w:val="00732B5D"/>
    <w:rsid w:val="00732B92"/>
    <w:rsid w:val="00733A3E"/>
    <w:rsid w:val="007340A5"/>
    <w:rsid w:val="007340FA"/>
    <w:rsid w:val="00734143"/>
    <w:rsid w:val="007341BA"/>
    <w:rsid w:val="0073424E"/>
    <w:rsid w:val="00734CED"/>
    <w:rsid w:val="00736438"/>
    <w:rsid w:val="007366F2"/>
    <w:rsid w:val="007368EB"/>
    <w:rsid w:val="00736E4F"/>
    <w:rsid w:val="00737A1B"/>
    <w:rsid w:val="00737E47"/>
    <w:rsid w:val="00737F30"/>
    <w:rsid w:val="00740103"/>
    <w:rsid w:val="00740379"/>
    <w:rsid w:val="00740397"/>
    <w:rsid w:val="00740B23"/>
    <w:rsid w:val="00740EAC"/>
    <w:rsid w:val="00742BD1"/>
    <w:rsid w:val="00742C1B"/>
    <w:rsid w:val="00742CF5"/>
    <w:rsid w:val="00743063"/>
    <w:rsid w:val="0074340C"/>
    <w:rsid w:val="00743434"/>
    <w:rsid w:val="007445EC"/>
    <w:rsid w:val="00744956"/>
    <w:rsid w:val="007453CE"/>
    <w:rsid w:val="00745489"/>
    <w:rsid w:val="00745A5C"/>
    <w:rsid w:val="0074605F"/>
    <w:rsid w:val="00746799"/>
    <w:rsid w:val="00747CD1"/>
    <w:rsid w:val="00747E94"/>
    <w:rsid w:val="00750A04"/>
    <w:rsid w:val="00751373"/>
    <w:rsid w:val="00751AE4"/>
    <w:rsid w:val="00751C11"/>
    <w:rsid w:val="007524BE"/>
    <w:rsid w:val="0075271B"/>
    <w:rsid w:val="007536CD"/>
    <w:rsid w:val="00753802"/>
    <w:rsid w:val="00753B19"/>
    <w:rsid w:val="00754C83"/>
    <w:rsid w:val="00754EE4"/>
    <w:rsid w:val="00755023"/>
    <w:rsid w:val="00755397"/>
    <w:rsid w:val="00755D8E"/>
    <w:rsid w:val="0075696B"/>
    <w:rsid w:val="00756AEF"/>
    <w:rsid w:val="00757105"/>
    <w:rsid w:val="007577DD"/>
    <w:rsid w:val="007578FF"/>
    <w:rsid w:val="007608AD"/>
    <w:rsid w:val="00760D95"/>
    <w:rsid w:val="00760E40"/>
    <w:rsid w:val="007611BB"/>
    <w:rsid w:val="00761E5C"/>
    <w:rsid w:val="00762469"/>
    <w:rsid w:val="00762927"/>
    <w:rsid w:val="0076298B"/>
    <w:rsid w:val="00762E28"/>
    <w:rsid w:val="00763903"/>
    <w:rsid w:val="007644AE"/>
    <w:rsid w:val="00764537"/>
    <w:rsid w:val="0076497C"/>
    <w:rsid w:val="00764A95"/>
    <w:rsid w:val="007651FA"/>
    <w:rsid w:val="00765207"/>
    <w:rsid w:val="00765DF8"/>
    <w:rsid w:val="007661A2"/>
    <w:rsid w:val="007665AA"/>
    <w:rsid w:val="00766749"/>
    <w:rsid w:val="00767C1B"/>
    <w:rsid w:val="00767C5B"/>
    <w:rsid w:val="00770AC2"/>
    <w:rsid w:val="00770B3F"/>
    <w:rsid w:val="00770CB4"/>
    <w:rsid w:val="007714A9"/>
    <w:rsid w:val="00771729"/>
    <w:rsid w:val="0077180F"/>
    <w:rsid w:val="00771A3D"/>
    <w:rsid w:val="00771A50"/>
    <w:rsid w:val="00772E0C"/>
    <w:rsid w:val="00772F52"/>
    <w:rsid w:val="007733AA"/>
    <w:rsid w:val="007739FB"/>
    <w:rsid w:val="00773A83"/>
    <w:rsid w:val="00774005"/>
    <w:rsid w:val="007740EE"/>
    <w:rsid w:val="007744BD"/>
    <w:rsid w:val="00774678"/>
    <w:rsid w:val="00774B1D"/>
    <w:rsid w:val="00774B82"/>
    <w:rsid w:val="00774F88"/>
    <w:rsid w:val="00774FDB"/>
    <w:rsid w:val="0077520A"/>
    <w:rsid w:val="00775D5D"/>
    <w:rsid w:val="00776314"/>
    <w:rsid w:val="00776DDD"/>
    <w:rsid w:val="00777606"/>
    <w:rsid w:val="00777BA2"/>
    <w:rsid w:val="00780303"/>
    <w:rsid w:val="00781004"/>
    <w:rsid w:val="00781408"/>
    <w:rsid w:val="00781D50"/>
    <w:rsid w:val="00782142"/>
    <w:rsid w:val="0078222B"/>
    <w:rsid w:val="0078261B"/>
    <w:rsid w:val="00783C3A"/>
    <w:rsid w:val="0078448F"/>
    <w:rsid w:val="00784F7F"/>
    <w:rsid w:val="00785660"/>
    <w:rsid w:val="0078609C"/>
    <w:rsid w:val="00786262"/>
    <w:rsid w:val="007865B4"/>
    <w:rsid w:val="007868FF"/>
    <w:rsid w:val="00786CBC"/>
    <w:rsid w:val="00786DE4"/>
    <w:rsid w:val="007878BD"/>
    <w:rsid w:val="00787B42"/>
    <w:rsid w:val="00790362"/>
    <w:rsid w:val="007905DA"/>
    <w:rsid w:val="00790E6C"/>
    <w:rsid w:val="00791760"/>
    <w:rsid w:val="007926C7"/>
    <w:rsid w:val="007937D7"/>
    <w:rsid w:val="007939B4"/>
    <w:rsid w:val="00793A28"/>
    <w:rsid w:val="00793C9C"/>
    <w:rsid w:val="00793CC8"/>
    <w:rsid w:val="00793F7E"/>
    <w:rsid w:val="007946D0"/>
    <w:rsid w:val="007950CE"/>
    <w:rsid w:val="0079600B"/>
    <w:rsid w:val="00796747"/>
    <w:rsid w:val="00796F25"/>
    <w:rsid w:val="00797255"/>
    <w:rsid w:val="00797804"/>
    <w:rsid w:val="007A13B0"/>
    <w:rsid w:val="007A1405"/>
    <w:rsid w:val="007A2B36"/>
    <w:rsid w:val="007A2C91"/>
    <w:rsid w:val="007A2E98"/>
    <w:rsid w:val="007A3308"/>
    <w:rsid w:val="007A33D3"/>
    <w:rsid w:val="007A3690"/>
    <w:rsid w:val="007A3795"/>
    <w:rsid w:val="007A385E"/>
    <w:rsid w:val="007A3BA3"/>
    <w:rsid w:val="007A3C85"/>
    <w:rsid w:val="007A3E74"/>
    <w:rsid w:val="007A40DB"/>
    <w:rsid w:val="007A42CB"/>
    <w:rsid w:val="007A445E"/>
    <w:rsid w:val="007A477C"/>
    <w:rsid w:val="007A47D8"/>
    <w:rsid w:val="007A4A9A"/>
    <w:rsid w:val="007A4D17"/>
    <w:rsid w:val="007A4EE9"/>
    <w:rsid w:val="007A513E"/>
    <w:rsid w:val="007A53B1"/>
    <w:rsid w:val="007A5C6C"/>
    <w:rsid w:val="007A6665"/>
    <w:rsid w:val="007A6CC0"/>
    <w:rsid w:val="007A713A"/>
    <w:rsid w:val="007A7346"/>
    <w:rsid w:val="007A79DD"/>
    <w:rsid w:val="007A7DFE"/>
    <w:rsid w:val="007A7FEC"/>
    <w:rsid w:val="007B0588"/>
    <w:rsid w:val="007B068B"/>
    <w:rsid w:val="007B0932"/>
    <w:rsid w:val="007B0FED"/>
    <w:rsid w:val="007B1499"/>
    <w:rsid w:val="007B1BBF"/>
    <w:rsid w:val="007B1FA4"/>
    <w:rsid w:val="007B20D9"/>
    <w:rsid w:val="007B2960"/>
    <w:rsid w:val="007B29F7"/>
    <w:rsid w:val="007B2FB7"/>
    <w:rsid w:val="007B33F9"/>
    <w:rsid w:val="007B355D"/>
    <w:rsid w:val="007B3E11"/>
    <w:rsid w:val="007B3FDC"/>
    <w:rsid w:val="007B41D8"/>
    <w:rsid w:val="007B44ED"/>
    <w:rsid w:val="007B49B5"/>
    <w:rsid w:val="007B56B4"/>
    <w:rsid w:val="007B5997"/>
    <w:rsid w:val="007B5FBC"/>
    <w:rsid w:val="007B6148"/>
    <w:rsid w:val="007B6717"/>
    <w:rsid w:val="007B69CD"/>
    <w:rsid w:val="007B6CFC"/>
    <w:rsid w:val="007B6F3F"/>
    <w:rsid w:val="007B7698"/>
    <w:rsid w:val="007B78C5"/>
    <w:rsid w:val="007B7980"/>
    <w:rsid w:val="007C0094"/>
    <w:rsid w:val="007C0C06"/>
    <w:rsid w:val="007C0DEF"/>
    <w:rsid w:val="007C140A"/>
    <w:rsid w:val="007C1BD1"/>
    <w:rsid w:val="007C1ED0"/>
    <w:rsid w:val="007C281A"/>
    <w:rsid w:val="007C2EC7"/>
    <w:rsid w:val="007C343A"/>
    <w:rsid w:val="007C3C88"/>
    <w:rsid w:val="007C466B"/>
    <w:rsid w:val="007C4A7C"/>
    <w:rsid w:val="007C4ADB"/>
    <w:rsid w:val="007C51FA"/>
    <w:rsid w:val="007C5331"/>
    <w:rsid w:val="007C5849"/>
    <w:rsid w:val="007C5D5A"/>
    <w:rsid w:val="007C5E3A"/>
    <w:rsid w:val="007C5F31"/>
    <w:rsid w:val="007C607F"/>
    <w:rsid w:val="007C632A"/>
    <w:rsid w:val="007C6B12"/>
    <w:rsid w:val="007C6E0C"/>
    <w:rsid w:val="007C741B"/>
    <w:rsid w:val="007C750E"/>
    <w:rsid w:val="007C769B"/>
    <w:rsid w:val="007C79DD"/>
    <w:rsid w:val="007D02C8"/>
    <w:rsid w:val="007D02DB"/>
    <w:rsid w:val="007D0524"/>
    <w:rsid w:val="007D14CA"/>
    <w:rsid w:val="007D1A97"/>
    <w:rsid w:val="007D2CD6"/>
    <w:rsid w:val="007D3063"/>
    <w:rsid w:val="007D3732"/>
    <w:rsid w:val="007D3762"/>
    <w:rsid w:val="007D3B14"/>
    <w:rsid w:val="007D3CEB"/>
    <w:rsid w:val="007D42CB"/>
    <w:rsid w:val="007D4585"/>
    <w:rsid w:val="007D4E34"/>
    <w:rsid w:val="007D51B3"/>
    <w:rsid w:val="007D5352"/>
    <w:rsid w:val="007D5D3C"/>
    <w:rsid w:val="007D60A4"/>
    <w:rsid w:val="007D6862"/>
    <w:rsid w:val="007D699B"/>
    <w:rsid w:val="007D6BFD"/>
    <w:rsid w:val="007D6E86"/>
    <w:rsid w:val="007D7527"/>
    <w:rsid w:val="007E0762"/>
    <w:rsid w:val="007E199B"/>
    <w:rsid w:val="007E1A89"/>
    <w:rsid w:val="007E2AD6"/>
    <w:rsid w:val="007E2AE0"/>
    <w:rsid w:val="007E4492"/>
    <w:rsid w:val="007E4616"/>
    <w:rsid w:val="007E4B6B"/>
    <w:rsid w:val="007E4E94"/>
    <w:rsid w:val="007E4EED"/>
    <w:rsid w:val="007E5079"/>
    <w:rsid w:val="007E58AA"/>
    <w:rsid w:val="007E5963"/>
    <w:rsid w:val="007E618B"/>
    <w:rsid w:val="007E68DB"/>
    <w:rsid w:val="007E6C68"/>
    <w:rsid w:val="007E6CA3"/>
    <w:rsid w:val="007E7683"/>
    <w:rsid w:val="007F067E"/>
    <w:rsid w:val="007F1193"/>
    <w:rsid w:val="007F14A6"/>
    <w:rsid w:val="007F1A49"/>
    <w:rsid w:val="007F1E4F"/>
    <w:rsid w:val="007F28C4"/>
    <w:rsid w:val="007F2D0E"/>
    <w:rsid w:val="007F352A"/>
    <w:rsid w:val="007F36D5"/>
    <w:rsid w:val="007F37BA"/>
    <w:rsid w:val="007F3A98"/>
    <w:rsid w:val="007F4285"/>
    <w:rsid w:val="007F428D"/>
    <w:rsid w:val="007F49FA"/>
    <w:rsid w:val="007F4F69"/>
    <w:rsid w:val="007F54C4"/>
    <w:rsid w:val="007F581C"/>
    <w:rsid w:val="007F60FE"/>
    <w:rsid w:val="007F6297"/>
    <w:rsid w:val="007F65CE"/>
    <w:rsid w:val="007F6D50"/>
    <w:rsid w:val="007F6E9A"/>
    <w:rsid w:val="007F7F27"/>
    <w:rsid w:val="00800369"/>
    <w:rsid w:val="00800460"/>
    <w:rsid w:val="0080052A"/>
    <w:rsid w:val="00800855"/>
    <w:rsid w:val="00800ADD"/>
    <w:rsid w:val="00800B16"/>
    <w:rsid w:val="00800CCD"/>
    <w:rsid w:val="00800EE1"/>
    <w:rsid w:val="008011EA"/>
    <w:rsid w:val="0080144D"/>
    <w:rsid w:val="00803095"/>
    <w:rsid w:val="00803097"/>
    <w:rsid w:val="00803311"/>
    <w:rsid w:val="00803AF5"/>
    <w:rsid w:val="008042E8"/>
    <w:rsid w:val="008044D4"/>
    <w:rsid w:val="0080486D"/>
    <w:rsid w:val="00805175"/>
    <w:rsid w:val="00805524"/>
    <w:rsid w:val="00805E5C"/>
    <w:rsid w:val="00805F8A"/>
    <w:rsid w:val="0080664F"/>
    <w:rsid w:val="00810470"/>
    <w:rsid w:val="00810AB4"/>
    <w:rsid w:val="00811572"/>
    <w:rsid w:val="00811799"/>
    <w:rsid w:val="008119CB"/>
    <w:rsid w:val="00811E58"/>
    <w:rsid w:val="008135C2"/>
    <w:rsid w:val="00813623"/>
    <w:rsid w:val="008138D5"/>
    <w:rsid w:val="00813AAC"/>
    <w:rsid w:val="00813C09"/>
    <w:rsid w:val="00813D8C"/>
    <w:rsid w:val="008140A4"/>
    <w:rsid w:val="008144EF"/>
    <w:rsid w:val="00814509"/>
    <w:rsid w:val="0081533A"/>
    <w:rsid w:val="0081552C"/>
    <w:rsid w:val="00815993"/>
    <w:rsid w:val="00816183"/>
    <w:rsid w:val="008165CA"/>
    <w:rsid w:val="00816D2B"/>
    <w:rsid w:val="00816DA4"/>
    <w:rsid w:val="00817401"/>
    <w:rsid w:val="008178C2"/>
    <w:rsid w:val="00817965"/>
    <w:rsid w:val="00817B56"/>
    <w:rsid w:val="00817D8F"/>
    <w:rsid w:val="0082003D"/>
    <w:rsid w:val="008208F9"/>
    <w:rsid w:val="00820E1B"/>
    <w:rsid w:val="008216C7"/>
    <w:rsid w:val="00821766"/>
    <w:rsid w:val="00821818"/>
    <w:rsid w:val="00821A88"/>
    <w:rsid w:val="00821C8F"/>
    <w:rsid w:val="00822AB0"/>
    <w:rsid w:val="008231B0"/>
    <w:rsid w:val="0082322E"/>
    <w:rsid w:val="008233A6"/>
    <w:rsid w:val="00823D46"/>
    <w:rsid w:val="0082477E"/>
    <w:rsid w:val="0082495D"/>
    <w:rsid w:val="0082552E"/>
    <w:rsid w:val="00826370"/>
    <w:rsid w:val="008268CA"/>
    <w:rsid w:val="00827414"/>
    <w:rsid w:val="008276CD"/>
    <w:rsid w:val="00827EF3"/>
    <w:rsid w:val="00827EF6"/>
    <w:rsid w:val="008301BA"/>
    <w:rsid w:val="0083042B"/>
    <w:rsid w:val="00830A2C"/>
    <w:rsid w:val="008310D3"/>
    <w:rsid w:val="00831AC3"/>
    <w:rsid w:val="00832257"/>
    <w:rsid w:val="0083262E"/>
    <w:rsid w:val="00832705"/>
    <w:rsid w:val="00832792"/>
    <w:rsid w:val="00832CC1"/>
    <w:rsid w:val="00832D22"/>
    <w:rsid w:val="008332A9"/>
    <w:rsid w:val="008332F1"/>
    <w:rsid w:val="00833BAF"/>
    <w:rsid w:val="00834027"/>
    <w:rsid w:val="008345EC"/>
    <w:rsid w:val="00834857"/>
    <w:rsid w:val="008354BA"/>
    <w:rsid w:val="0083552D"/>
    <w:rsid w:val="0083597D"/>
    <w:rsid w:val="00835A84"/>
    <w:rsid w:val="00836DB6"/>
    <w:rsid w:val="00836FCE"/>
    <w:rsid w:val="008408FF"/>
    <w:rsid w:val="00841807"/>
    <w:rsid w:val="00841833"/>
    <w:rsid w:val="008422BC"/>
    <w:rsid w:val="0084293D"/>
    <w:rsid w:val="00842CED"/>
    <w:rsid w:val="00842E2F"/>
    <w:rsid w:val="0084326E"/>
    <w:rsid w:val="0084381C"/>
    <w:rsid w:val="00843951"/>
    <w:rsid w:val="00843BF3"/>
    <w:rsid w:val="008440E9"/>
    <w:rsid w:val="008446C6"/>
    <w:rsid w:val="0084495B"/>
    <w:rsid w:val="00844AED"/>
    <w:rsid w:val="0084523E"/>
    <w:rsid w:val="008454B4"/>
    <w:rsid w:val="00845B6D"/>
    <w:rsid w:val="00845D45"/>
    <w:rsid w:val="00846A55"/>
    <w:rsid w:val="00847A01"/>
    <w:rsid w:val="00847C48"/>
    <w:rsid w:val="00847E77"/>
    <w:rsid w:val="00847FCA"/>
    <w:rsid w:val="008501E5"/>
    <w:rsid w:val="0085034C"/>
    <w:rsid w:val="00851F3F"/>
    <w:rsid w:val="0085271D"/>
    <w:rsid w:val="0085293A"/>
    <w:rsid w:val="00852FAB"/>
    <w:rsid w:val="00853066"/>
    <w:rsid w:val="00853965"/>
    <w:rsid w:val="00853971"/>
    <w:rsid w:val="008539DF"/>
    <w:rsid w:val="008541A8"/>
    <w:rsid w:val="008541AD"/>
    <w:rsid w:val="008542BA"/>
    <w:rsid w:val="00854F79"/>
    <w:rsid w:val="00855F0F"/>
    <w:rsid w:val="00855F6D"/>
    <w:rsid w:val="00856281"/>
    <w:rsid w:val="008565EA"/>
    <w:rsid w:val="0085661F"/>
    <w:rsid w:val="00856781"/>
    <w:rsid w:val="00856C84"/>
    <w:rsid w:val="00856EDC"/>
    <w:rsid w:val="008573A9"/>
    <w:rsid w:val="00857F5F"/>
    <w:rsid w:val="008601F5"/>
    <w:rsid w:val="008602BB"/>
    <w:rsid w:val="00861476"/>
    <w:rsid w:val="00861726"/>
    <w:rsid w:val="00862127"/>
    <w:rsid w:val="008623B5"/>
    <w:rsid w:val="008626FF"/>
    <w:rsid w:val="00862AEA"/>
    <w:rsid w:val="00862E80"/>
    <w:rsid w:val="00862F7B"/>
    <w:rsid w:val="008630B9"/>
    <w:rsid w:val="00863146"/>
    <w:rsid w:val="00863174"/>
    <w:rsid w:val="008637AD"/>
    <w:rsid w:val="00863A94"/>
    <w:rsid w:val="00863B58"/>
    <w:rsid w:val="00863CA3"/>
    <w:rsid w:val="00863DE6"/>
    <w:rsid w:val="00864571"/>
    <w:rsid w:val="00864CBB"/>
    <w:rsid w:val="00864EFB"/>
    <w:rsid w:val="0086517C"/>
    <w:rsid w:val="0086544D"/>
    <w:rsid w:val="00865659"/>
    <w:rsid w:val="008658BF"/>
    <w:rsid w:val="00865CBC"/>
    <w:rsid w:val="0086634C"/>
    <w:rsid w:val="0086699A"/>
    <w:rsid w:val="00866C1C"/>
    <w:rsid w:val="0086756F"/>
    <w:rsid w:val="008675B9"/>
    <w:rsid w:val="008677E5"/>
    <w:rsid w:val="00870ABA"/>
    <w:rsid w:val="00870AD7"/>
    <w:rsid w:val="00870F4E"/>
    <w:rsid w:val="008710E1"/>
    <w:rsid w:val="0087142A"/>
    <w:rsid w:val="008716E5"/>
    <w:rsid w:val="0087177E"/>
    <w:rsid w:val="008721E0"/>
    <w:rsid w:val="00872257"/>
    <w:rsid w:val="008729F5"/>
    <w:rsid w:val="00873C40"/>
    <w:rsid w:val="00873D4C"/>
    <w:rsid w:val="00873F89"/>
    <w:rsid w:val="00874020"/>
    <w:rsid w:val="008740E0"/>
    <w:rsid w:val="00874705"/>
    <w:rsid w:val="00874E8D"/>
    <w:rsid w:val="00875435"/>
    <w:rsid w:val="00875BD5"/>
    <w:rsid w:val="00876AC9"/>
    <w:rsid w:val="00877C6A"/>
    <w:rsid w:val="0088042A"/>
    <w:rsid w:val="00880514"/>
    <w:rsid w:val="00880AE0"/>
    <w:rsid w:val="00881711"/>
    <w:rsid w:val="00881CA9"/>
    <w:rsid w:val="00882917"/>
    <w:rsid w:val="0088297F"/>
    <w:rsid w:val="00882C33"/>
    <w:rsid w:val="00882C3E"/>
    <w:rsid w:val="00883009"/>
    <w:rsid w:val="00883628"/>
    <w:rsid w:val="008837FB"/>
    <w:rsid w:val="0088417C"/>
    <w:rsid w:val="008843B8"/>
    <w:rsid w:val="00884FCC"/>
    <w:rsid w:val="00885544"/>
    <w:rsid w:val="00885795"/>
    <w:rsid w:val="008862A5"/>
    <w:rsid w:val="0088634E"/>
    <w:rsid w:val="008870B8"/>
    <w:rsid w:val="008872B4"/>
    <w:rsid w:val="008876FE"/>
    <w:rsid w:val="008878E7"/>
    <w:rsid w:val="00890024"/>
    <w:rsid w:val="0089065E"/>
    <w:rsid w:val="008908CF"/>
    <w:rsid w:val="00890A2F"/>
    <w:rsid w:val="008913D7"/>
    <w:rsid w:val="008917CF"/>
    <w:rsid w:val="0089208B"/>
    <w:rsid w:val="0089222C"/>
    <w:rsid w:val="00893AB8"/>
    <w:rsid w:val="00893CFB"/>
    <w:rsid w:val="00894222"/>
    <w:rsid w:val="0089564C"/>
    <w:rsid w:val="00896E77"/>
    <w:rsid w:val="00897298"/>
    <w:rsid w:val="00897764"/>
    <w:rsid w:val="008A020E"/>
    <w:rsid w:val="008A0465"/>
    <w:rsid w:val="008A04C8"/>
    <w:rsid w:val="008A061D"/>
    <w:rsid w:val="008A0C9A"/>
    <w:rsid w:val="008A1369"/>
    <w:rsid w:val="008A1901"/>
    <w:rsid w:val="008A1C40"/>
    <w:rsid w:val="008A2628"/>
    <w:rsid w:val="008A3EA5"/>
    <w:rsid w:val="008A4578"/>
    <w:rsid w:val="008A4696"/>
    <w:rsid w:val="008A47BC"/>
    <w:rsid w:val="008A519D"/>
    <w:rsid w:val="008A522D"/>
    <w:rsid w:val="008A658B"/>
    <w:rsid w:val="008A6913"/>
    <w:rsid w:val="008A6AC5"/>
    <w:rsid w:val="008A6C15"/>
    <w:rsid w:val="008A7A61"/>
    <w:rsid w:val="008B100A"/>
    <w:rsid w:val="008B15D3"/>
    <w:rsid w:val="008B19E9"/>
    <w:rsid w:val="008B1BF1"/>
    <w:rsid w:val="008B1E41"/>
    <w:rsid w:val="008B2807"/>
    <w:rsid w:val="008B2832"/>
    <w:rsid w:val="008B3C00"/>
    <w:rsid w:val="008B44CF"/>
    <w:rsid w:val="008B4722"/>
    <w:rsid w:val="008B54AD"/>
    <w:rsid w:val="008B54BF"/>
    <w:rsid w:val="008B6361"/>
    <w:rsid w:val="008B70F3"/>
    <w:rsid w:val="008B71C4"/>
    <w:rsid w:val="008B730E"/>
    <w:rsid w:val="008B76DF"/>
    <w:rsid w:val="008C028A"/>
    <w:rsid w:val="008C05CF"/>
    <w:rsid w:val="008C0864"/>
    <w:rsid w:val="008C10F4"/>
    <w:rsid w:val="008C116A"/>
    <w:rsid w:val="008C258D"/>
    <w:rsid w:val="008C26DE"/>
    <w:rsid w:val="008C2C27"/>
    <w:rsid w:val="008C2F1F"/>
    <w:rsid w:val="008C3278"/>
    <w:rsid w:val="008C36DA"/>
    <w:rsid w:val="008C40EA"/>
    <w:rsid w:val="008C4BFC"/>
    <w:rsid w:val="008C5332"/>
    <w:rsid w:val="008C53D3"/>
    <w:rsid w:val="008C54EF"/>
    <w:rsid w:val="008C5851"/>
    <w:rsid w:val="008C592E"/>
    <w:rsid w:val="008C594E"/>
    <w:rsid w:val="008C5B8C"/>
    <w:rsid w:val="008C5D98"/>
    <w:rsid w:val="008C65F7"/>
    <w:rsid w:val="008C69AB"/>
    <w:rsid w:val="008C6E36"/>
    <w:rsid w:val="008C6F20"/>
    <w:rsid w:val="008C72D2"/>
    <w:rsid w:val="008D035A"/>
    <w:rsid w:val="008D0DF5"/>
    <w:rsid w:val="008D0F29"/>
    <w:rsid w:val="008D10F7"/>
    <w:rsid w:val="008D12E1"/>
    <w:rsid w:val="008D15B6"/>
    <w:rsid w:val="008D174D"/>
    <w:rsid w:val="008D1BC3"/>
    <w:rsid w:val="008D1DF9"/>
    <w:rsid w:val="008D1E97"/>
    <w:rsid w:val="008D20D6"/>
    <w:rsid w:val="008D28DA"/>
    <w:rsid w:val="008D2D47"/>
    <w:rsid w:val="008D38AE"/>
    <w:rsid w:val="008D3B37"/>
    <w:rsid w:val="008D45C0"/>
    <w:rsid w:val="008D4B6B"/>
    <w:rsid w:val="008D4D4E"/>
    <w:rsid w:val="008D4F36"/>
    <w:rsid w:val="008D5431"/>
    <w:rsid w:val="008D5748"/>
    <w:rsid w:val="008D5C07"/>
    <w:rsid w:val="008D6058"/>
    <w:rsid w:val="008D61DF"/>
    <w:rsid w:val="008D63A0"/>
    <w:rsid w:val="008D6DE9"/>
    <w:rsid w:val="008D70DC"/>
    <w:rsid w:val="008D727E"/>
    <w:rsid w:val="008D769D"/>
    <w:rsid w:val="008D7912"/>
    <w:rsid w:val="008E0428"/>
    <w:rsid w:val="008E1133"/>
    <w:rsid w:val="008E12BC"/>
    <w:rsid w:val="008E19CF"/>
    <w:rsid w:val="008E220D"/>
    <w:rsid w:val="008E2335"/>
    <w:rsid w:val="008E26CF"/>
    <w:rsid w:val="008E3483"/>
    <w:rsid w:val="008E455E"/>
    <w:rsid w:val="008E46C1"/>
    <w:rsid w:val="008E4767"/>
    <w:rsid w:val="008E500C"/>
    <w:rsid w:val="008E5490"/>
    <w:rsid w:val="008E61C1"/>
    <w:rsid w:val="008E6871"/>
    <w:rsid w:val="008E7200"/>
    <w:rsid w:val="008E72CE"/>
    <w:rsid w:val="008E7A8C"/>
    <w:rsid w:val="008E7C0D"/>
    <w:rsid w:val="008E7F21"/>
    <w:rsid w:val="008E7F60"/>
    <w:rsid w:val="008F01B0"/>
    <w:rsid w:val="008F024D"/>
    <w:rsid w:val="008F0945"/>
    <w:rsid w:val="008F0B33"/>
    <w:rsid w:val="008F0E60"/>
    <w:rsid w:val="008F109C"/>
    <w:rsid w:val="008F1276"/>
    <w:rsid w:val="008F146F"/>
    <w:rsid w:val="008F1845"/>
    <w:rsid w:val="008F1F5D"/>
    <w:rsid w:val="008F2387"/>
    <w:rsid w:val="008F298A"/>
    <w:rsid w:val="008F2EBC"/>
    <w:rsid w:val="008F3042"/>
    <w:rsid w:val="008F3584"/>
    <w:rsid w:val="008F36BC"/>
    <w:rsid w:val="008F386A"/>
    <w:rsid w:val="008F39F4"/>
    <w:rsid w:val="008F3BA0"/>
    <w:rsid w:val="008F4CE0"/>
    <w:rsid w:val="008F5649"/>
    <w:rsid w:val="008F5C61"/>
    <w:rsid w:val="008F5CEE"/>
    <w:rsid w:val="008F6D61"/>
    <w:rsid w:val="008F6F41"/>
    <w:rsid w:val="008F734A"/>
    <w:rsid w:val="008F790F"/>
    <w:rsid w:val="008F7B33"/>
    <w:rsid w:val="008F7BCF"/>
    <w:rsid w:val="00900790"/>
    <w:rsid w:val="009009F0"/>
    <w:rsid w:val="00900F65"/>
    <w:rsid w:val="00901285"/>
    <w:rsid w:val="00901552"/>
    <w:rsid w:val="009017BC"/>
    <w:rsid w:val="009018BA"/>
    <w:rsid w:val="0090203B"/>
    <w:rsid w:val="0090235F"/>
    <w:rsid w:val="00902823"/>
    <w:rsid w:val="009028E2"/>
    <w:rsid w:val="00903285"/>
    <w:rsid w:val="009035C9"/>
    <w:rsid w:val="00904FDD"/>
    <w:rsid w:val="00905316"/>
    <w:rsid w:val="0090559C"/>
    <w:rsid w:val="00906D4A"/>
    <w:rsid w:val="00906F40"/>
    <w:rsid w:val="00907152"/>
    <w:rsid w:val="0090731E"/>
    <w:rsid w:val="00907FAA"/>
    <w:rsid w:val="0091009B"/>
    <w:rsid w:val="0091018C"/>
    <w:rsid w:val="00910852"/>
    <w:rsid w:val="009115CB"/>
    <w:rsid w:val="00911A23"/>
    <w:rsid w:val="00911F48"/>
    <w:rsid w:val="009128C9"/>
    <w:rsid w:val="0091302E"/>
    <w:rsid w:val="00913396"/>
    <w:rsid w:val="00913C50"/>
    <w:rsid w:val="00914088"/>
    <w:rsid w:val="00914FCF"/>
    <w:rsid w:val="00915163"/>
    <w:rsid w:val="0091527C"/>
    <w:rsid w:val="009158F5"/>
    <w:rsid w:val="00915A06"/>
    <w:rsid w:val="00915B1C"/>
    <w:rsid w:val="0091673E"/>
    <w:rsid w:val="00916C3C"/>
    <w:rsid w:val="009174F3"/>
    <w:rsid w:val="0091797D"/>
    <w:rsid w:val="0091798A"/>
    <w:rsid w:val="00920D6A"/>
    <w:rsid w:val="00921AB5"/>
    <w:rsid w:val="00921F72"/>
    <w:rsid w:val="009223A8"/>
    <w:rsid w:val="00922851"/>
    <w:rsid w:val="00922E1E"/>
    <w:rsid w:val="009230E6"/>
    <w:rsid w:val="00923177"/>
    <w:rsid w:val="009236A8"/>
    <w:rsid w:val="00923A43"/>
    <w:rsid w:val="00923CBA"/>
    <w:rsid w:val="00923E44"/>
    <w:rsid w:val="009249BD"/>
    <w:rsid w:val="00924F7B"/>
    <w:rsid w:val="009251C3"/>
    <w:rsid w:val="00925A06"/>
    <w:rsid w:val="00925A41"/>
    <w:rsid w:val="00925B2B"/>
    <w:rsid w:val="00926703"/>
    <w:rsid w:val="009269A9"/>
    <w:rsid w:val="00926D22"/>
    <w:rsid w:val="00927691"/>
    <w:rsid w:val="00927A5F"/>
    <w:rsid w:val="00927ED4"/>
    <w:rsid w:val="00930510"/>
    <w:rsid w:val="00930C5A"/>
    <w:rsid w:val="009315AE"/>
    <w:rsid w:val="009317C5"/>
    <w:rsid w:val="009319E1"/>
    <w:rsid w:val="00931CA0"/>
    <w:rsid w:val="009324F7"/>
    <w:rsid w:val="009325EA"/>
    <w:rsid w:val="009334DC"/>
    <w:rsid w:val="0093383E"/>
    <w:rsid w:val="00933E57"/>
    <w:rsid w:val="009340E9"/>
    <w:rsid w:val="00934A06"/>
    <w:rsid w:val="00934E78"/>
    <w:rsid w:val="00934F45"/>
    <w:rsid w:val="009357E2"/>
    <w:rsid w:val="0093581F"/>
    <w:rsid w:val="009359C4"/>
    <w:rsid w:val="00935B63"/>
    <w:rsid w:val="00935B65"/>
    <w:rsid w:val="00935EF2"/>
    <w:rsid w:val="009366FD"/>
    <w:rsid w:val="00936B9A"/>
    <w:rsid w:val="00936E95"/>
    <w:rsid w:val="00937169"/>
    <w:rsid w:val="0093744A"/>
    <w:rsid w:val="00940331"/>
    <w:rsid w:val="0094078F"/>
    <w:rsid w:val="00940FA3"/>
    <w:rsid w:val="0094141E"/>
    <w:rsid w:val="0094158F"/>
    <w:rsid w:val="009417A6"/>
    <w:rsid w:val="00941DF8"/>
    <w:rsid w:val="00941FB0"/>
    <w:rsid w:val="009426D4"/>
    <w:rsid w:val="0094284A"/>
    <w:rsid w:val="00943D06"/>
    <w:rsid w:val="00944254"/>
    <w:rsid w:val="00944795"/>
    <w:rsid w:val="0094525B"/>
    <w:rsid w:val="0094552C"/>
    <w:rsid w:val="009463FE"/>
    <w:rsid w:val="009465E7"/>
    <w:rsid w:val="009467B6"/>
    <w:rsid w:val="009474FB"/>
    <w:rsid w:val="00947F25"/>
    <w:rsid w:val="00950159"/>
    <w:rsid w:val="00950295"/>
    <w:rsid w:val="00950428"/>
    <w:rsid w:val="00950467"/>
    <w:rsid w:val="00950591"/>
    <w:rsid w:val="00950AA2"/>
    <w:rsid w:val="009514B5"/>
    <w:rsid w:val="0095153E"/>
    <w:rsid w:val="00952180"/>
    <w:rsid w:val="0095245B"/>
    <w:rsid w:val="009533A4"/>
    <w:rsid w:val="00953CDA"/>
    <w:rsid w:val="00953E07"/>
    <w:rsid w:val="0095424A"/>
    <w:rsid w:val="00954524"/>
    <w:rsid w:val="009546C4"/>
    <w:rsid w:val="0095490B"/>
    <w:rsid w:val="009551B5"/>
    <w:rsid w:val="00955786"/>
    <w:rsid w:val="00956505"/>
    <w:rsid w:val="00956B69"/>
    <w:rsid w:val="00956C83"/>
    <w:rsid w:val="0095705C"/>
    <w:rsid w:val="009601A5"/>
    <w:rsid w:val="00960A33"/>
    <w:rsid w:val="009616F8"/>
    <w:rsid w:val="00961C0D"/>
    <w:rsid w:val="00961CD5"/>
    <w:rsid w:val="00962029"/>
    <w:rsid w:val="009626B6"/>
    <w:rsid w:val="0096279C"/>
    <w:rsid w:val="00963246"/>
    <w:rsid w:val="00963939"/>
    <w:rsid w:val="009640D1"/>
    <w:rsid w:val="009642ED"/>
    <w:rsid w:val="00965180"/>
    <w:rsid w:val="00965348"/>
    <w:rsid w:val="009662C4"/>
    <w:rsid w:val="00966337"/>
    <w:rsid w:val="009663A3"/>
    <w:rsid w:val="00966AAA"/>
    <w:rsid w:val="009701E3"/>
    <w:rsid w:val="00970855"/>
    <w:rsid w:val="00970B40"/>
    <w:rsid w:val="00970F09"/>
    <w:rsid w:val="009713DA"/>
    <w:rsid w:val="009717C3"/>
    <w:rsid w:val="0097182B"/>
    <w:rsid w:val="00971914"/>
    <w:rsid w:val="00972170"/>
    <w:rsid w:val="0097249A"/>
    <w:rsid w:val="00972C8C"/>
    <w:rsid w:val="00972E87"/>
    <w:rsid w:val="009730D5"/>
    <w:rsid w:val="009732DF"/>
    <w:rsid w:val="00973CB5"/>
    <w:rsid w:val="00973DCF"/>
    <w:rsid w:val="00974363"/>
    <w:rsid w:val="009747F2"/>
    <w:rsid w:val="0097482C"/>
    <w:rsid w:val="00975635"/>
    <w:rsid w:val="00975B01"/>
    <w:rsid w:val="00975C95"/>
    <w:rsid w:val="00975D7D"/>
    <w:rsid w:val="00975F04"/>
    <w:rsid w:val="009760AD"/>
    <w:rsid w:val="009771FF"/>
    <w:rsid w:val="00977588"/>
    <w:rsid w:val="00977D05"/>
    <w:rsid w:val="009807DE"/>
    <w:rsid w:val="00981045"/>
    <w:rsid w:val="00981898"/>
    <w:rsid w:val="0098194A"/>
    <w:rsid w:val="00981A1D"/>
    <w:rsid w:val="00981BDA"/>
    <w:rsid w:val="00982F3A"/>
    <w:rsid w:val="00983008"/>
    <w:rsid w:val="0098318A"/>
    <w:rsid w:val="0098321F"/>
    <w:rsid w:val="009832A9"/>
    <w:rsid w:val="009835B6"/>
    <w:rsid w:val="00983DF8"/>
    <w:rsid w:val="009842A1"/>
    <w:rsid w:val="009842D5"/>
    <w:rsid w:val="009847C9"/>
    <w:rsid w:val="009866DB"/>
    <w:rsid w:val="009867C9"/>
    <w:rsid w:val="009867E4"/>
    <w:rsid w:val="00986E10"/>
    <w:rsid w:val="00987C52"/>
    <w:rsid w:val="00990DA5"/>
    <w:rsid w:val="00990DF6"/>
    <w:rsid w:val="00990EF1"/>
    <w:rsid w:val="00991892"/>
    <w:rsid w:val="0099189D"/>
    <w:rsid w:val="00991C47"/>
    <w:rsid w:val="00994DE1"/>
    <w:rsid w:val="0099577C"/>
    <w:rsid w:val="0099578E"/>
    <w:rsid w:val="009959A6"/>
    <w:rsid w:val="00995E81"/>
    <w:rsid w:val="00997D4F"/>
    <w:rsid w:val="009A005A"/>
    <w:rsid w:val="009A021C"/>
    <w:rsid w:val="009A0614"/>
    <w:rsid w:val="009A06B0"/>
    <w:rsid w:val="009A16D2"/>
    <w:rsid w:val="009A1A12"/>
    <w:rsid w:val="009A227B"/>
    <w:rsid w:val="009A24B5"/>
    <w:rsid w:val="009A25CC"/>
    <w:rsid w:val="009A26D0"/>
    <w:rsid w:val="009A2A1B"/>
    <w:rsid w:val="009A3001"/>
    <w:rsid w:val="009A3469"/>
    <w:rsid w:val="009A3AF6"/>
    <w:rsid w:val="009A3C88"/>
    <w:rsid w:val="009A4043"/>
    <w:rsid w:val="009A4078"/>
    <w:rsid w:val="009A4468"/>
    <w:rsid w:val="009A4955"/>
    <w:rsid w:val="009A4B6C"/>
    <w:rsid w:val="009A4F3D"/>
    <w:rsid w:val="009A5C91"/>
    <w:rsid w:val="009A640C"/>
    <w:rsid w:val="009A7168"/>
    <w:rsid w:val="009A76B2"/>
    <w:rsid w:val="009A782D"/>
    <w:rsid w:val="009A7B1C"/>
    <w:rsid w:val="009B071E"/>
    <w:rsid w:val="009B0854"/>
    <w:rsid w:val="009B2259"/>
    <w:rsid w:val="009B24A5"/>
    <w:rsid w:val="009B2540"/>
    <w:rsid w:val="009B2601"/>
    <w:rsid w:val="009B3C2A"/>
    <w:rsid w:val="009B4327"/>
    <w:rsid w:val="009B4A85"/>
    <w:rsid w:val="009B4E9E"/>
    <w:rsid w:val="009B632C"/>
    <w:rsid w:val="009B6A72"/>
    <w:rsid w:val="009B6DC1"/>
    <w:rsid w:val="009B720F"/>
    <w:rsid w:val="009B76E5"/>
    <w:rsid w:val="009B76E9"/>
    <w:rsid w:val="009B771C"/>
    <w:rsid w:val="009C0312"/>
    <w:rsid w:val="009C066E"/>
    <w:rsid w:val="009C0D52"/>
    <w:rsid w:val="009C0DE0"/>
    <w:rsid w:val="009C11D9"/>
    <w:rsid w:val="009C1350"/>
    <w:rsid w:val="009C1690"/>
    <w:rsid w:val="009C2075"/>
    <w:rsid w:val="009C2994"/>
    <w:rsid w:val="009C2DCD"/>
    <w:rsid w:val="009C304D"/>
    <w:rsid w:val="009C3E5D"/>
    <w:rsid w:val="009C45C8"/>
    <w:rsid w:val="009C47A1"/>
    <w:rsid w:val="009C4E3C"/>
    <w:rsid w:val="009C51E8"/>
    <w:rsid w:val="009C52A0"/>
    <w:rsid w:val="009C5E7B"/>
    <w:rsid w:val="009C5F2A"/>
    <w:rsid w:val="009C620B"/>
    <w:rsid w:val="009C67AE"/>
    <w:rsid w:val="009C6881"/>
    <w:rsid w:val="009C7316"/>
    <w:rsid w:val="009C7759"/>
    <w:rsid w:val="009C793D"/>
    <w:rsid w:val="009D043D"/>
    <w:rsid w:val="009D072F"/>
    <w:rsid w:val="009D075A"/>
    <w:rsid w:val="009D07C8"/>
    <w:rsid w:val="009D1087"/>
    <w:rsid w:val="009D17D2"/>
    <w:rsid w:val="009D1F8F"/>
    <w:rsid w:val="009D228E"/>
    <w:rsid w:val="009D32E7"/>
    <w:rsid w:val="009D3476"/>
    <w:rsid w:val="009D45B1"/>
    <w:rsid w:val="009D4820"/>
    <w:rsid w:val="009D4B2E"/>
    <w:rsid w:val="009D4C85"/>
    <w:rsid w:val="009D4CB6"/>
    <w:rsid w:val="009D4D01"/>
    <w:rsid w:val="009D4F57"/>
    <w:rsid w:val="009D530E"/>
    <w:rsid w:val="009D5F58"/>
    <w:rsid w:val="009D6180"/>
    <w:rsid w:val="009D621F"/>
    <w:rsid w:val="009D6978"/>
    <w:rsid w:val="009D6C71"/>
    <w:rsid w:val="009D726A"/>
    <w:rsid w:val="009D7544"/>
    <w:rsid w:val="009D7850"/>
    <w:rsid w:val="009D7930"/>
    <w:rsid w:val="009D7CC5"/>
    <w:rsid w:val="009D7D5B"/>
    <w:rsid w:val="009E02AB"/>
    <w:rsid w:val="009E0631"/>
    <w:rsid w:val="009E111D"/>
    <w:rsid w:val="009E1250"/>
    <w:rsid w:val="009E16D0"/>
    <w:rsid w:val="009E1788"/>
    <w:rsid w:val="009E1E83"/>
    <w:rsid w:val="009E2051"/>
    <w:rsid w:val="009E28BF"/>
    <w:rsid w:val="009E2FF8"/>
    <w:rsid w:val="009E35F7"/>
    <w:rsid w:val="009E38FD"/>
    <w:rsid w:val="009E498C"/>
    <w:rsid w:val="009E52CB"/>
    <w:rsid w:val="009E5859"/>
    <w:rsid w:val="009E5CC2"/>
    <w:rsid w:val="009E5D21"/>
    <w:rsid w:val="009E5D3E"/>
    <w:rsid w:val="009E5F53"/>
    <w:rsid w:val="009E624E"/>
    <w:rsid w:val="009E6CC2"/>
    <w:rsid w:val="009E6D3D"/>
    <w:rsid w:val="009E78F7"/>
    <w:rsid w:val="009F0079"/>
    <w:rsid w:val="009F13D6"/>
    <w:rsid w:val="009F1595"/>
    <w:rsid w:val="009F1D43"/>
    <w:rsid w:val="009F1EC5"/>
    <w:rsid w:val="009F20A1"/>
    <w:rsid w:val="009F20CD"/>
    <w:rsid w:val="009F2490"/>
    <w:rsid w:val="009F25D8"/>
    <w:rsid w:val="009F2640"/>
    <w:rsid w:val="009F2C62"/>
    <w:rsid w:val="009F2D16"/>
    <w:rsid w:val="009F2D45"/>
    <w:rsid w:val="009F33F7"/>
    <w:rsid w:val="009F3479"/>
    <w:rsid w:val="009F4060"/>
    <w:rsid w:val="009F4A93"/>
    <w:rsid w:val="009F4C6B"/>
    <w:rsid w:val="009F5052"/>
    <w:rsid w:val="009F5225"/>
    <w:rsid w:val="009F52AD"/>
    <w:rsid w:val="009F59D8"/>
    <w:rsid w:val="009F5C2F"/>
    <w:rsid w:val="009F67B1"/>
    <w:rsid w:val="009F78A8"/>
    <w:rsid w:val="009F7C16"/>
    <w:rsid w:val="00A004C7"/>
    <w:rsid w:val="00A008B5"/>
    <w:rsid w:val="00A00AB0"/>
    <w:rsid w:val="00A01C82"/>
    <w:rsid w:val="00A02A91"/>
    <w:rsid w:val="00A02AD6"/>
    <w:rsid w:val="00A02C9A"/>
    <w:rsid w:val="00A02EB3"/>
    <w:rsid w:val="00A02EC6"/>
    <w:rsid w:val="00A038E8"/>
    <w:rsid w:val="00A03A3E"/>
    <w:rsid w:val="00A03F12"/>
    <w:rsid w:val="00A04569"/>
    <w:rsid w:val="00A04661"/>
    <w:rsid w:val="00A04B55"/>
    <w:rsid w:val="00A052F5"/>
    <w:rsid w:val="00A0535A"/>
    <w:rsid w:val="00A05FAC"/>
    <w:rsid w:val="00A06B08"/>
    <w:rsid w:val="00A07096"/>
    <w:rsid w:val="00A07318"/>
    <w:rsid w:val="00A073C4"/>
    <w:rsid w:val="00A077C2"/>
    <w:rsid w:val="00A0789A"/>
    <w:rsid w:val="00A07AAA"/>
    <w:rsid w:val="00A07ED2"/>
    <w:rsid w:val="00A10508"/>
    <w:rsid w:val="00A10510"/>
    <w:rsid w:val="00A1056A"/>
    <w:rsid w:val="00A10BAE"/>
    <w:rsid w:val="00A10BDC"/>
    <w:rsid w:val="00A11370"/>
    <w:rsid w:val="00A11A08"/>
    <w:rsid w:val="00A12313"/>
    <w:rsid w:val="00A1263A"/>
    <w:rsid w:val="00A12B00"/>
    <w:rsid w:val="00A131F2"/>
    <w:rsid w:val="00A132C6"/>
    <w:rsid w:val="00A13D7D"/>
    <w:rsid w:val="00A140E9"/>
    <w:rsid w:val="00A14317"/>
    <w:rsid w:val="00A14B24"/>
    <w:rsid w:val="00A15349"/>
    <w:rsid w:val="00A1593D"/>
    <w:rsid w:val="00A1596B"/>
    <w:rsid w:val="00A16A16"/>
    <w:rsid w:val="00A16DBC"/>
    <w:rsid w:val="00A17549"/>
    <w:rsid w:val="00A1767E"/>
    <w:rsid w:val="00A1783F"/>
    <w:rsid w:val="00A21331"/>
    <w:rsid w:val="00A21634"/>
    <w:rsid w:val="00A219A5"/>
    <w:rsid w:val="00A21AA9"/>
    <w:rsid w:val="00A21BAC"/>
    <w:rsid w:val="00A21D72"/>
    <w:rsid w:val="00A21E2C"/>
    <w:rsid w:val="00A221EA"/>
    <w:rsid w:val="00A224CE"/>
    <w:rsid w:val="00A22522"/>
    <w:rsid w:val="00A226DA"/>
    <w:rsid w:val="00A22BF8"/>
    <w:rsid w:val="00A22D52"/>
    <w:rsid w:val="00A22E50"/>
    <w:rsid w:val="00A232B9"/>
    <w:rsid w:val="00A23C10"/>
    <w:rsid w:val="00A23D31"/>
    <w:rsid w:val="00A241F6"/>
    <w:rsid w:val="00A24AFD"/>
    <w:rsid w:val="00A24D65"/>
    <w:rsid w:val="00A24F5C"/>
    <w:rsid w:val="00A254DC"/>
    <w:rsid w:val="00A25E7B"/>
    <w:rsid w:val="00A263C2"/>
    <w:rsid w:val="00A264A5"/>
    <w:rsid w:val="00A268A9"/>
    <w:rsid w:val="00A26B05"/>
    <w:rsid w:val="00A26DC4"/>
    <w:rsid w:val="00A26DEA"/>
    <w:rsid w:val="00A272B0"/>
    <w:rsid w:val="00A2792B"/>
    <w:rsid w:val="00A30311"/>
    <w:rsid w:val="00A30B4E"/>
    <w:rsid w:val="00A31319"/>
    <w:rsid w:val="00A315FA"/>
    <w:rsid w:val="00A31918"/>
    <w:rsid w:val="00A31973"/>
    <w:rsid w:val="00A32ABB"/>
    <w:rsid w:val="00A32F96"/>
    <w:rsid w:val="00A33458"/>
    <w:rsid w:val="00A3449E"/>
    <w:rsid w:val="00A34B17"/>
    <w:rsid w:val="00A34E05"/>
    <w:rsid w:val="00A35217"/>
    <w:rsid w:val="00A3654D"/>
    <w:rsid w:val="00A36DB0"/>
    <w:rsid w:val="00A36E19"/>
    <w:rsid w:val="00A36F1D"/>
    <w:rsid w:val="00A37717"/>
    <w:rsid w:val="00A4019A"/>
    <w:rsid w:val="00A407AD"/>
    <w:rsid w:val="00A40871"/>
    <w:rsid w:val="00A410E4"/>
    <w:rsid w:val="00A412AB"/>
    <w:rsid w:val="00A415EF"/>
    <w:rsid w:val="00A416DD"/>
    <w:rsid w:val="00A4187C"/>
    <w:rsid w:val="00A4193E"/>
    <w:rsid w:val="00A4195A"/>
    <w:rsid w:val="00A419D7"/>
    <w:rsid w:val="00A41A4C"/>
    <w:rsid w:val="00A41FA3"/>
    <w:rsid w:val="00A42779"/>
    <w:rsid w:val="00A42F1B"/>
    <w:rsid w:val="00A43304"/>
    <w:rsid w:val="00A435FC"/>
    <w:rsid w:val="00A4361D"/>
    <w:rsid w:val="00A440E0"/>
    <w:rsid w:val="00A442EF"/>
    <w:rsid w:val="00A449BC"/>
    <w:rsid w:val="00A45A99"/>
    <w:rsid w:val="00A45FFF"/>
    <w:rsid w:val="00A46114"/>
    <w:rsid w:val="00A46AD7"/>
    <w:rsid w:val="00A46B3C"/>
    <w:rsid w:val="00A46B59"/>
    <w:rsid w:val="00A473D4"/>
    <w:rsid w:val="00A479BC"/>
    <w:rsid w:val="00A47C8A"/>
    <w:rsid w:val="00A502C4"/>
    <w:rsid w:val="00A5090E"/>
    <w:rsid w:val="00A51A7E"/>
    <w:rsid w:val="00A51D1A"/>
    <w:rsid w:val="00A51D7F"/>
    <w:rsid w:val="00A52292"/>
    <w:rsid w:val="00A52697"/>
    <w:rsid w:val="00A52C69"/>
    <w:rsid w:val="00A53223"/>
    <w:rsid w:val="00A5418D"/>
    <w:rsid w:val="00A5474E"/>
    <w:rsid w:val="00A562AE"/>
    <w:rsid w:val="00A5643D"/>
    <w:rsid w:val="00A56C84"/>
    <w:rsid w:val="00A570AC"/>
    <w:rsid w:val="00A5710C"/>
    <w:rsid w:val="00A57BD8"/>
    <w:rsid w:val="00A57E06"/>
    <w:rsid w:val="00A57F45"/>
    <w:rsid w:val="00A60032"/>
    <w:rsid w:val="00A60994"/>
    <w:rsid w:val="00A609E4"/>
    <w:rsid w:val="00A60C7E"/>
    <w:rsid w:val="00A61461"/>
    <w:rsid w:val="00A62A48"/>
    <w:rsid w:val="00A62B62"/>
    <w:rsid w:val="00A62C21"/>
    <w:rsid w:val="00A62D1A"/>
    <w:rsid w:val="00A632B8"/>
    <w:rsid w:val="00A635D2"/>
    <w:rsid w:val="00A63CD7"/>
    <w:rsid w:val="00A63DEA"/>
    <w:rsid w:val="00A64234"/>
    <w:rsid w:val="00A64882"/>
    <w:rsid w:val="00A648F1"/>
    <w:rsid w:val="00A64C75"/>
    <w:rsid w:val="00A65560"/>
    <w:rsid w:val="00A65EDC"/>
    <w:rsid w:val="00A664F0"/>
    <w:rsid w:val="00A665B9"/>
    <w:rsid w:val="00A66C39"/>
    <w:rsid w:val="00A66F0D"/>
    <w:rsid w:val="00A6735E"/>
    <w:rsid w:val="00A67D53"/>
    <w:rsid w:val="00A7025C"/>
    <w:rsid w:val="00A70ADF"/>
    <w:rsid w:val="00A71308"/>
    <w:rsid w:val="00A71466"/>
    <w:rsid w:val="00A71AF2"/>
    <w:rsid w:val="00A71CC4"/>
    <w:rsid w:val="00A71DF1"/>
    <w:rsid w:val="00A72718"/>
    <w:rsid w:val="00A72A8E"/>
    <w:rsid w:val="00A72EB6"/>
    <w:rsid w:val="00A733F9"/>
    <w:rsid w:val="00A7390E"/>
    <w:rsid w:val="00A73F52"/>
    <w:rsid w:val="00A740F0"/>
    <w:rsid w:val="00A742CE"/>
    <w:rsid w:val="00A74732"/>
    <w:rsid w:val="00A74B5E"/>
    <w:rsid w:val="00A761AD"/>
    <w:rsid w:val="00A7656C"/>
    <w:rsid w:val="00A76CFD"/>
    <w:rsid w:val="00A76EC9"/>
    <w:rsid w:val="00A770F5"/>
    <w:rsid w:val="00A773DD"/>
    <w:rsid w:val="00A77D29"/>
    <w:rsid w:val="00A77EAD"/>
    <w:rsid w:val="00A801E9"/>
    <w:rsid w:val="00A80B2F"/>
    <w:rsid w:val="00A80E4F"/>
    <w:rsid w:val="00A80FE6"/>
    <w:rsid w:val="00A8189E"/>
    <w:rsid w:val="00A81BED"/>
    <w:rsid w:val="00A81C86"/>
    <w:rsid w:val="00A81EC4"/>
    <w:rsid w:val="00A81FD0"/>
    <w:rsid w:val="00A824E8"/>
    <w:rsid w:val="00A82661"/>
    <w:rsid w:val="00A82BE7"/>
    <w:rsid w:val="00A8361B"/>
    <w:rsid w:val="00A83868"/>
    <w:rsid w:val="00A84423"/>
    <w:rsid w:val="00A8444E"/>
    <w:rsid w:val="00A84A4D"/>
    <w:rsid w:val="00A8519E"/>
    <w:rsid w:val="00A85D75"/>
    <w:rsid w:val="00A85F0F"/>
    <w:rsid w:val="00A86216"/>
    <w:rsid w:val="00A86747"/>
    <w:rsid w:val="00A872EA"/>
    <w:rsid w:val="00A87766"/>
    <w:rsid w:val="00A87CE5"/>
    <w:rsid w:val="00A901CF"/>
    <w:rsid w:val="00A9080F"/>
    <w:rsid w:val="00A909E9"/>
    <w:rsid w:val="00A911FC"/>
    <w:rsid w:val="00A91686"/>
    <w:rsid w:val="00A917A1"/>
    <w:rsid w:val="00A92326"/>
    <w:rsid w:val="00A926B8"/>
    <w:rsid w:val="00A92907"/>
    <w:rsid w:val="00A935CA"/>
    <w:rsid w:val="00A939FC"/>
    <w:rsid w:val="00A9432A"/>
    <w:rsid w:val="00A944D6"/>
    <w:rsid w:val="00A94651"/>
    <w:rsid w:val="00A94F70"/>
    <w:rsid w:val="00A95043"/>
    <w:rsid w:val="00A950B5"/>
    <w:rsid w:val="00A9678D"/>
    <w:rsid w:val="00A967FD"/>
    <w:rsid w:val="00AA127B"/>
    <w:rsid w:val="00AA1399"/>
    <w:rsid w:val="00AA24A7"/>
    <w:rsid w:val="00AA2DE5"/>
    <w:rsid w:val="00AA2F1C"/>
    <w:rsid w:val="00AA328C"/>
    <w:rsid w:val="00AA328D"/>
    <w:rsid w:val="00AA3891"/>
    <w:rsid w:val="00AA4182"/>
    <w:rsid w:val="00AA47B8"/>
    <w:rsid w:val="00AA4E44"/>
    <w:rsid w:val="00AA54DF"/>
    <w:rsid w:val="00AA55EB"/>
    <w:rsid w:val="00AA6132"/>
    <w:rsid w:val="00AA6921"/>
    <w:rsid w:val="00AA695F"/>
    <w:rsid w:val="00AA6965"/>
    <w:rsid w:val="00AA6A8E"/>
    <w:rsid w:val="00AA7418"/>
    <w:rsid w:val="00AA79A7"/>
    <w:rsid w:val="00AB015C"/>
    <w:rsid w:val="00AB01AE"/>
    <w:rsid w:val="00AB14C4"/>
    <w:rsid w:val="00AB156C"/>
    <w:rsid w:val="00AB20F0"/>
    <w:rsid w:val="00AB26EE"/>
    <w:rsid w:val="00AB27B7"/>
    <w:rsid w:val="00AB2EC9"/>
    <w:rsid w:val="00AB3058"/>
    <w:rsid w:val="00AB30F5"/>
    <w:rsid w:val="00AB339B"/>
    <w:rsid w:val="00AB33B4"/>
    <w:rsid w:val="00AB33F3"/>
    <w:rsid w:val="00AB49FE"/>
    <w:rsid w:val="00AB4A79"/>
    <w:rsid w:val="00AB53E4"/>
    <w:rsid w:val="00AB5A5D"/>
    <w:rsid w:val="00AB5CCF"/>
    <w:rsid w:val="00AB675B"/>
    <w:rsid w:val="00AB67C3"/>
    <w:rsid w:val="00AB6814"/>
    <w:rsid w:val="00AB6E5D"/>
    <w:rsid w:val="00AB6F88"/>
    <w:rsid w:val="00AB7277"/>
    <w:rsid w:val="00AC04BA"/>
    <w:rsid w:val="00AC07A7"/>
    <w:rsid w:val="00AC0E39"/>
    <w:rsid w:val="00AC1BB1"/>
    <w:rsid w:val="00AC21EC"/>
    <w:rsid w:val="00AC221E"/>
    <w:rsid w:val="00AC2995"/>
    <w:rsid w:val="00AC2EA4"/>
    <w:rsid w:val="00AC32DD"/>
    <w:rsid w:val="00AC37D6"/>
    <w:rsid w:val="00AC3D01"/>
    <w:rsid w:val="00AC4C43"/>
    <w:rsid w:val="00AC4DAB"/>
    <w:rsid w:val="00AC4E1D"/>
    <w:rsid w:val="00AC4F44"/>
    <w:rsid w:val="00AC52C1"/>
    <w:rsid w:val="00AC5E77"/>
    <w:rsid w:val="00AC602E"/>
    <w:rsid w:val="00AC6073"/>
    <w:rsid w:val="00AC68ED"/>
    <w:rsid w:val="00AC69DA"/>
    <w:rsid w:val="00AC6FAB"/>
    <w:rsid w:val="00AC700F"/>
    <w:rsid w:val="00AC74D9"/>
    <w:rsid w:val="00AC76D9"/>
    <w:rsid w:val="00AC7C27"/>
    <w:rsid w:val="00AC7C57"/>
    <w:rsid w:val="00AC7D2D"/>
    <w:rsid w:val="00AC7DD5"/>
    <w:rsid w:val="00AC7EA2"/>
    <w:rsid w:val="00AD0531"/>
    <w:rsid w:val="00AD06FD"/>
    <w:rsid w:val="00AD09D1"/>
    <w:rsid w:val="00AD1581"/>
    <w:rsid w:val="00AD1A2B"/>
    <w:rsid w:val="00AD1AE1"/>
    <w:rsid w:val="00AD2149"/>
    <w:rsid w:val="00AD251E"/>
    <w:rsid w:val="00AD2655"/>
    <w:rsid w:val="00AD2817"/>
    <w:rsid w:val="00AD2C3C"/>
    <w:rsid w:val="00AD2E05"/>
    <w:rsid w:val="00AD3082"/>
    <w:rsid w:val="00AD32B4"/>
    <w:rsid w:val="00AD3BC0"/>
    <w:rsid w:val="00AD3E58"/>
    <w:rsid w:val="00AD4AD0"/>
    <w:rsid w:val="00AD5245"/>
    <w:rsid w:val="00AD5436"/>
    <w:rsid w:val="00AD60CD"/>
    <w:rsid w:val="00AD6C8C"/>
    <w:rsid w:val="00AD701A"/>
    <w:rsid w:val="00AD7239"/>
    <w:rsid w:val="00AD74A3"/>
    <w:rsid w:val="00AD7BEC"/>
    <w:rsid w:val="00AE04F3"/>
    <w:rsid w:val="00AE08BC"/>
    <w:rsid w:val="00AE091D"/>
    <w:rsid w:val="00AE0DAD"/>
    <w:rsid w:val="00AE14B8"/>
    <w:rsid w:val="00AE15F8"/>
    <w:rsid w:val="00AE1F91"/>
    <w:rsid w:val="00AE27A5"/>
    <w:rsid w:val="00AE3581"/>
    <w:rsid w:val="00AE35F6"/>
    <w:rsid w:val="00AE39B9"/>
    <w:rsid w:val="00AE3B60"/>
    <w:rsid w:val="00AE3CE0"/>
    <w:rsid w:val="00AE4258"/>
    <w:rsid w:val="00AE4730"/>
    <w:rsid w:val="00AE4B06"/>
    <w:rsid w:val="00AE5098"/>
    <w:rsid w:val="00AE53A1"/>
    <w:rsid w:val="00AE5AA5"/>
    <w:rsid w:val="00AE601D"/>
    <w:rsid w:val="00AE72AA"/>
    <w:rsid w:val="00AE7F0F"/>
    <w:rsid w:val="00AE7FA4"/>
    <w:rsid w:val="00AF1E36"/>
    <w:rsid w:val="00AF211C"/>
    <w:rsid w:val="00AF247A"/>
    <w:rsid w:val="00AF2484"/>
    <w:rsid w:val="00AF25B5"/>
    <w:rsid w:val="00AF32DE"/>
    <w:rsid w:val="00AF3413"/>
    <w:rsid w:val="00AF3516"/>
    <w:rsid w:val="00AF372E"/>
    <w:rsid w:val="00AF3796"/>
    <w:rsid w:val="00AF41C3"/>
    <w:rsid w:val="00AF492D"/>
    <w:rsid w:val="00AF49D7"/>
    <w:rsid w:val="00AF4E32"/>
    <w:rsid w:val="00AF5AEA"/>
    <w:rsid w:val="00AF5D18"/>
    <w:rsid w:val="00AF5DF5"/>
    <w:rsid w:val="00AF63E7"/>
    <w:rsid w:val="00AF66D4"/>
    <w:rsid w:val="00AF6883"/>
    <w:rsid w:val="00AF6988"/>
    <w:rsid w:val="00AF6E17"/>
    <w:rsid w:val="00AF70E9"/>
    <w:rsid w:val="00AF7725"/>
    <w:rsid w:val="00AF786C"/>
    <w:rsid w:val="00AF7A22"/>
    <w:rsid w:val="00B0050D"/>
    <w:rsid w:val="00B0165D"/>
    <w:rsid w:val="00B01B60"/>
    <w:rsid w:val="00B02D57"/>
    <w:rsid w:val="00B031F3"/>
    <w:rsid w:val="00B033C4"/>
    <w:rsid w:val="00B03AD0"/>
    <w:rsid w:val="00B03BEE"/>
    <w:rsid w:val="00B03C0A"/>
    <w:rsid w:val="00B0406B"/>
    <w:rsid w:val="00B052A4"/>
    <w:rsid w:val="00B05654"/>
    <w:rsid w:val="00B0610B"/>
    <w:rsid w:val="00B066A0"/>
    <w:rsid w:val="00B06C29"/>
    <w:rsid w:val="00B06F79"/>
    <w:rsid w:val="00B07793"/>
    <w:rsid w:val="00B078B0"/>
    <w:rsid w:val="00B07EB3"/>
    <w:rsid w:val="00B102A7"/>
    <w:rsid w:val="00B121E6"/>
    <w:rsid w:val="00B125DE"/>
    <w:rsid w:val="00B127F4"/>
    <w:rsid w:val="00B12DBA"/>
    <w:rsid w:val="00B13F27"/>
    <w:rsid w:val="00B13FDD"/>
    <w:rsid w:val="00B15E83"/>
    <w:rsid w:val="00B167FD"/>
    <w:rsid w:val="00B17194"/>
    <w:rsid w:val="00B202D4"/>
    <w:rsid w:val="00B20F53"/>
    <w:rsid w:val="00B213B5"/>
    <w:rsid w:val="00B216BB"/>
    <w:rsid w:val="00B225B2"/>
    <w:rsid w:val="00B22EB2"/>
    <w:rsid w:val="00B2360C"/>
    <w:rsid w:val="00B238F7"/>
    <w:rsid w:val="00B23A02"/>
    <w:rsid w:val="00B24F1B"/>
    <w:rsid w:val="00B26688"/>
    <w:rsid w:val="00B2693F"/>
    <w:rsid w:val="00B272D4"/>
    <w:rsid w:val="00B27442"/>
    <w:rsid w:val="00B2789F"/>
    <w:rsid w:val="00B30A7C"/>
    <w:rsid w:val="00B30B04"/>
    <w:rsid w:val="00B31167"/>
    <w:rsid w:val="00B312B8"/>
    <w:rsid w:val="00B313C6"/>
    <w:rsid w:val="00B31447"/>
    <w:rsid w:val="00B31AA7"/>
    <w:rsid w:val="00B31BF0"/>
    <w:rsid w:val="00B329D8"/>
    <w:rsid w:val="00B32A86"/>
    <w:rsid w:val="00B32BB9"/>
    <w:rsid w:val="00B33AE1"/>
    <w:rsid w:val="00B33E9F"/>
    <w:rsid w:val="00B33F8C"/>
    <w:rsid w:val="00B347E7"/>
    <w:rsid w:val="00B34C11"/>
    <w:rsid w:val="00B34D67"/>
    <w:rsid w:val="00B34EBB"/>
    <w:rsid w:val="00B357FF"/>
    <w:rsid w:val="00B361CA"/>
    <w:rsid w:val="00B37307"/>
    <w:rsid w:val="00B37337"/>
    <w:rsid w:val="00B3781C"/>
    <w:rsid w:val="00B37C38"/>
    <w:rsid w:val="00B401E4"/>
    <w:rsid w:val="00B40978"/>
    <w:rsid w:val="00B4144A"/>
    <w:rsid w:val="00B41C6F"/>
    <w:rsid w:val="00B4288C"/>
    <w:rsid w:val="00B42991"/>
    <w:rsid w:val="00B42A0C"/>
    <w:rsid w:val="00B43262"/>
    <w:rsid w:val="00B43DB9"/>
    <w:rsid w:val="00B43EF0"/>
    <w:rsid w:val="00B4405F"/>
    <w:rsid w:val="00B4408D"/>
    <w:rsid w:val="00B44100"/>
    <w:rsid w:val="00B44413"/>
    <w:rsid w:val="00B4455F"/>
    <w:rsid w:val="00B445B4"/>
    <w:rsid w:val="00B44C9A"/>
    <w:rsid w:val="00B45554"/>
    <w:rsid w:val="00B45741"/>
    <w:rsid w:val="00B45BB3"/>
    <w:rsid w:val="00B45FAB"/>
    <w:rsid w:val="00B46330"/>
    <w:rsid w:val="00B46CBA"/>
    <w:rsid w:val="00B46F65"/>
    <w:rsid w:val="00B46F94"/>
    <w:rsid w:val="00B4716E"/>
    <w:rsid w:val="00B47487"/>
    <w:rsid w:val="00B47A67"/>
    <w:rsid w:val="00B47C1F"/>
    <w:rsid w:val="00B47C63"/>
    <w:rsid w:val="00B47FCF"/>
    <w:rsid w:val="00B50313"/>
    <w:rsid w:val="00B50A6E"/>
    <w:rsid w:val="00B51961"/>
    <w:rsid w:val="00B53285"/>
    <w:rsid w:val="00B53C52"/>
    <w:rsid w:val="00B54834"/>
    <w:rsid w:val="00B54B43"/>
    <w:rsid w:val="00B54D05"/>
    <w:rsid w:val="00B5521C"/>
    <w:rsid w:val="00B55867"/>
    <w:rsid w:val="00B569D4"/>
    <w:rsid w:val="00B56B47"/>
    <w:rsid w:val="00B57576"/>
    <w:rsid w:val="00B579D5"/>
    <w:rsid w:val="00B6003C"/>
    <w:rsid w:val="00B605EF"/>
    <w:rsid w:val="00B60874"/>
    <w:rsid w:val="00B6197A"/>
    <w:rsid w:val="00B61A8E"/>
    <w:rsid w:val="00B61F03"/>
    <w:rsid w:val="00B61F2E"/>
    <w:rsid w:val="00B626E4"/>
    <w:rsid w:val="00B6292B"/>
    <w:rsid w:val="00B629D3"/>
    <w:rsid w:val="00B62BD3"/>
    <w:rsid w:val="00B636C6"/>
    <w:rsid w:val="00B639B1"/>
    <w:rsid w:val="00B64F73"/>
    <w:rsid w:val="00B6574D"/>
    <w:rsid w:val="00B661E2"/>
    <w:rsid w:val="00B66881"/>
    <w:rsid w:val="00B66DD7"/>
    <w:rsid w:val="00B67339"/>
    <w:rsid w:val="00B67A22"/>
    <w:rsid w:val="00B67B84"/>
    <w:rsid w:val="00B67CB3"/>
    <w:rsid w:val="00B70417"/>
    <w:rsid w:val="00B70E56"/>
    <w:rsid w:val="00B710D2"/>
    <w:rsid w:val="00B7112C"/>
    <w:rsid w:val="00B71838"/>
    <w:rsid w:val="00B71877"/>
    <w:rsid w:val="00B71987"/>
    <w:rsid w:val="00B72408"/>
    <w:rsid w:val="00B72F4A"/>
    <w:rsid w:val="00B7393B"/>
    <w:rsid w:val="00B739EC"/>
    <w:rsid w:val="00B74932"/>
    <w:rsid w:val="00B75320"/>
    <w:rsid w:val="00B753C0"/>
    <w:rsid w:val="00B75EB2"/>
    <w:rsid w:val="00B76F57"/>
    <w:rsid w:val="00B7711F"/>
    <w:rsid w:val="00B77759"/>
    <w:rsid w:val="00B778FF"/>
    <w:rsid w:val="00B77BA6"/>
    <w:rsid w:val="00B80E06"/>
    <w:rsid w:val="00B810E5"/>
    <w:rsid w:val="00B81A7D"/>
    <w:rsid w:val="00B81FAA"/>
    <w:rsid w:val="00B82881"/>
    <w:rsid w:val="00B82B5C"/>
    <w:rsid w:val="00B82E27"/>
    <w:rsid w:val="00B836CF"/>
    <w:rsid w:val="00B83C27"/>
    <w:rsid w:val="00B83F94"/>
    <w:rsid w:val="00B83F99"/>
    <w:rsid w:val="00B84488"/>
    <w:rsid w:val="00B844BC"/>
    <w:rsid w:val="00B84BC3"/>
    <w:rsid w:val="00B84BDD"/>
    <w:rsid w:val="00B853EC"/>
    <w:rsid w:val="00B85600"/>
    <w:rsid w:val="00B85667"/>
    <w:rsid w:val="00B85D99"/>
    <w:rsid w:val="00B86564"/>
    <w:rsid w:val="00B86EDD"/>
    <w:rsid w:val="00B870FD"/>
    <w:rsid w:val="00B90102"/>
    <w:rsid w:val="00B90194"/>
    <w:rsid w:val="00B907A4"/>
    <w:rsid w:val="00B913DB"/>
    <w:rsid w:val="00B91800"/>
    <w:rsid w:val="00B91904"/>
    <w:rsid w:val="00B91ED3"/>
    <w:rsid w:val="00B91EE4"/>
    <w:rsid w:val="00B92479"/>
    <w:rsid w:val="00B92496"/>
    <w:rsid w:val="00B925BE"/>
    <w:rsid w:val="00B92659"/>
    <w:rsid w:val="00B92812"/>
    <w:rsid w:val="00B928EF"/>
    <w:rsid w:val="00B93D47"/>
    <w:rsid w:val="00B93DB4"/>
    <w:rsid w:val="00B93EC8"/>
    <w:rsid w:val="00B94200"/>
    <w:rsid w:val="00B9538A"/>
    <w:rsid w:val="00B954B1"/>
    <w:rsid w:val="00B955A0"/>
    <w:rsid w:val="00B95B3D"/>
    <w:rsid w:val="00B96952"/>
    <w:rsid w:val="00B96F7E"/>
    <w:rsid w:val="00B96FF1"/>
    <w:rsid w:val="00B974E3"/>
    <w:rsid w:val="00B9755F"/>
    <w:rsid w:val="00BA0B27"/>
    <w:rsid w:val="00BA109A"/>
    <w:rsid w:val="00BA18C3"/>
    <w:rsid w:val="00BA195D"/>
    <w:rsid w:val="00BA1C1B"/>
    <w:rsid w:val="00BA1D15"/>
    <w:rsid w:val="00BA277F"/>
    <w:rsid w:val="00BA28EE"/>
    <w:rsid w:val="00BA2DF4"/>
    <w:rsid w:val="00BA3D57"/>
    <w:rsid w:val="00BA453B"/>
    <w:rsid w:val="00BA45F4"/>
    <w:rsid w:val="00BA4ABF"/>
    <w:rsid w:val="00BA579B"/>
    <w:rsid w:val="00BA5C0D"/>
    <w:rsid w:val="00BA619F"/>
    <w:rsid w:val="00BA63C1"/>
    <w:rsid w:val="00BA640D"/>
    <w:rsid w:val="00BA6431"/>
    <w:rsid w:val="00BA66CF"/>
    <w:rsid w:val="00BA6A6C"/>
    <w:rsid w:val="00BA6AB5"/>
    <w:rsid w:val="00BA6B11"/>
    <w:rsid w:val="00BA6D79"/>
    <w:rsid w:val="00BA6FEC"/>
    <w:rsid w:val="00BA73F4"/>
    <w:rsid w:val="00BA79A4"/>
    <w:rsid w:val="00BA7E8F"/>
    <w:rsid w:val="00BB0057"/>
    <w:rsid w:val="00BB0485"/>
    <w:rsid w:val="00BB0DE7"/>
    <w:rsid w:val="00BB0E85"/>
    <w:rsid w:val="00BB108C"/>
    <w:rsid w:val="00BB119C"/>
    <w:rsid w:val="00BB1765"/>
    <w:rsid w:val="00BB1E75"/>
    <w:rsid w:val="00BB1F75"/>
    <w:rsid w:val="00BB23A3"/>
    <w:rsid w:val="00BB27C6"/>
    <w:rsid w:val="00BB2859"/>
    <w:rsid w:val="00BB4218"/>
    <w:rsid w:val="00BB45A1"/>
    <w:rsid w:val="00BB4AE6"/>
    <w:rsid w:val="00BB4B32"/>
    <w:rsid w:val="00BB4C1C"/>
    <w:rsid w:val="00BB4DE3"/>
    <w:rsid w:val="00BB50AD"/>
    <w:rsid w:val="00BB5509"/>
    <w:rsid w:val="00BB5836"/>
    <w:rsid w:val="00BB61B4"/>
    <w:rsid w:val="00BB6335"/>
    <w:rsid w:val="00BB7686"/>
    <w:rsid w:val="00BB7802"/>
    <w:rsid w:val="00BB7B77"/>
    <w:rsid w:val="00BB7E81"/>
    <w:rsid w:val="00BC00DD"/>
    <w:rsid w:val="00BC039C"/>
    <w:rsid w:val="00BC08FE"/>
    <w:rsid w:val="00BC0D08"/>
    <w:rsid w:val="00BC0EEA"/>
    <w:rsid w:val="00BC0F7F"/>
    <w:rsid w:val="00BC10A7"/>
    <w:rsid w:val="00BC11C7"/>
    <w:rsid w:val="00BC143C"/>
    <w:rsid w:val="00BC1570"/>
    <w:rsid w:val="00BC1640"/>
    <w:rsid w:val="00BC1C3F"/>
    <w:rsid w:val="00BC23F9"/>
    <w:rsid w:val="00BC245F"/>
    <w:rsid w:val="00BC2D47"/>
    <w:rsid w:val="00BC2F94"/>
    <w:rsid w:val="00BC33A2"/>
    <w:rsid w:val="00BC3421"/>
    <w:rsid w:val="00BC3A4A"/>
    <w:rsid w:val="00BC46D0"/>
    <w:rsid w:val="00BC4932"/>
    <w:rsid w:val="00BC4C1F"/>
    <w:rsid w:val="00BC51D1"/>
    <w:rsid w:val="00BC5760"/>
    <w:rsid w:val="00BC58D1"/>
    <w:rsid w:val="00BC732C"/>
    <w:rsid w:val="00BC7838"/>
    <w:rsid w:val="00BC7BDC"/>
    <w:rsid w:val="00BC7C3E"/>
    <w:rsid w:val="00BC7C51"/>
    <w:rsid w:val="00BC7CC6"/>
    <w:rsid w:val="00BD005D"/>
    <w:rsid w:val="00BD040F"/>
    <w:rsid w:val="00BD09F8"/>
    <w:rsid w:val="00BD0E8E"/>
    <w:rsid w:val="00BD1453"/>
    <w:rsid w:val="00BD1733"/>
    <w:rsid w:val="00BD1C24"/>
    <w:rsid w:val="00BD23EE"/>
    <w:rsid w:val="00BD29AF"/>
    <w:rsid w:val="00BD2A35"/>
    <w:rsid w:val="00BD2F12"/>
    <w:rsid w:val="00BD36A5"/>
    <w:rsid w:val="00BD37BA"/>
    <w:rsid w:val="00BD43AD"/>
    <w:rsid w:val="00BD4421"/>
    <w:rsid w:val="00BD47B4"/>
    <w:rsid w:val="00BD4ADD"/>
    <w:rsid w:val="00BD4C17"/>
    <w:rsid w:val="00BD5265"/>
    <w:rsid w:val="00BD5268"/>
    <w:rsid w:val="00BD53C7"/>
    <w:rsid w:val="00BD5C47"/>
    <w:rsid w:val="00BD5EF8"/>
    <w:rsid w:val="00BD64C1"/>
    <w:rsid w:val="00BD665D"/>
    <w:rsid w:val="00BD6DA8"/>
    <w:rsid w:val="00BD6EEB"/>
    <w:rsid w:val="00BD71A4"/>
    <w:rsid w:val="00BD7457"/>
    <w:rsid w:val="00BD7913"/>
    <w:rsid w:val="00BD7E34"/>
    <w:rsid w:val="00BE097D"/>
    <w:rsid w:val="00BE188D"/>
    <w:rsid w:val="00BE1B73"/>
    <w:rsid w:val="00BE1DAA"/>
    <w:rsid w:val="00BE24A6"/>
    <w:rsid w:val="00BE2580"/>
    <w:rsid w:val="00BE266D"/>
    <w:rsid w:val="00BE3292"/>
    <w:rsid w:val="00BE33EC"/>
    <w:rsid w:val="00BE38AB"/>
    <w:rsid w:val="00BE3916"/>
    <w:rsid w:val="00BE3938"/>
    <w:rsid w:val="00BE45BC"/>
    <w:rsid w:val="00BE46FA"/>
    <w:rsid w:val="00BE4AA2"/>
    <w:rsid w:val="00BE4C11"/>
    <w:rsid w:val="00BE4D26"/>
    <w:rsid w:val="00BE5131"/>
    <w:rsid w:val="00BE5944"/>
    <w:rsid w:val="00BE7122"/>
    <w:rsid w:val="00BE71C0"/>
    <w:rsid w:val="00BE7244"/>
    <w:rsid w:val="00BF019F"/>
    <w:rsid w:val="00BF0226"/>
    <w:rsid w:val="00BF149F"/>
    <w:rsid w:val="00BF1516"/>
    <w:rsid w:val="00BF174E"/>
    <w:rsid w:val="00BF18CD"/>
    <w:rsid w:val="00BF20EA"/>
    <w:rsid w:val="00BF2265"/>
    <w:rsid w:val="00BF2709"/>
    <w:rsid w:val="00BF289F"/>
    <w:rsid w:val="00BF2939"/>
    <w:rsid w:val="00BF341C"/>
    <w:rsid w:val="00BF3A63"/>
    <w:rsid w:val="00BF3AED"/>
    <w:rsid w:val="00BF3BF0"/>
    <w:rsid w:val="00BF3EBC"/>
    <w:rsid w:val="00BF40C1"/>
    <w:rsid w:val="00BF4983"/>
    <w:rsid w:val="00BF552C"/>
    <w:rsid w:val="00BF554B"/>
    <w:rsid w:val="00BF55B5"/>
    <w:rsid w:val="00BF5ECE"/>
    <w:rsid w:val="00BF610A"/>
    <w:rsid w:val="00BF610C"/>
    <w:rsid w:val="00BF6BFF"/>
    <w:rsid w:val="00BF7198"/>
    <w:rsid w:val="00BF7BC4"/>
    <w:rsid w:val="00BF7E90"/>
    <w:rsid w:val="00C0011A"/>
    <w:rsid w:val="00C00332"/>
    <w:rsid w:val="00C0060B"/>
    <w:rsid w:val="00C01A6C"/>
    <w:rsid w:val="00C02617"/>
    <w:rsid w:val="00C0277D"/>
    <w:rsid w:val="00C02848"/>
    <w:rsid w:val="00C028D4"/>
    <w:rsid w:val="00C02915"/>
    <w:rsid w:val="00C02F26"/>
    <w:rsid w:val="00C031B2"/>
    <w:rsid w:val="00C040F0"/>
    <w:rsid w:val="00C0471E"/>
    <w:rsid w:val="00C05218"/>
    <w:rsid w:val="00C053A1"/>
    <w:rsid w:val="00C06817"/>
    <w:rsid w:val="00C06ABB"/>
    <w:rsid w:val="00C06C77"/>
    <w:rsid w:val="00C075A0"/>
    <w:rsid w:val="00C07721"/>
    <w:rsid w:val="00C0786B"/>
    <w:rsid w:val="00C07AFD"/>
    <w:rsid w:val="00C11211"/>
    <w:rsid w:val="00C1180A"/>
    <w:rsid w:val="00C11BF7"/>
    <w:rsid w:val="00C11EBF"/>
    <w:rsid w:val="00C128F7"/>
    <w:rsid w:val="00C13F06"/>
    <w:rsid w:val="00C13F38"/>
    <w:rsid w:val="00C14A56"/>
    <w:rsid w:val="00C15546"/>
    <w:rsid w:val="00C16198"/>
    <w:rsid w:val="00C16599"/>
    <w:rsid w:val="00C16C2F"/>
    <w:rsid w:val="00C16CDA"/>
    <w:rsid w:val="00C16DFD"/>
    <w:rsid w:val="00C1727F"/>
    <w:rsid w:val="00C174C4"/>
    <w:rsid w:val="00C200B0"/>
    <w:rsid w:val="00C2083D"/>
    <w:rsid w:val="00C208C8"/>
    <w:rsid w:val="00C20D00"/>
    <w:rsid w:val="00C214CC"/>
    <w:rsid w:val="00C219E4"/>
    <w:rsid w:val="00C219F8"/>
    <w:rsid w:val="00C21CF6"/>
    <w:rsid w:val="00C2208A"/>
    <w:rsid w:val="00C23296"/>
    <w:rsid w:val="00C240B1"/>
    <w:rsid w:val="00C24420"/>
    <w:rsid w:val="00C246CE"/>
    <w:rsid w:val="00C2497B"/>
    <w:rsid w:val="00C24A53"/>
    <w:rsid w:val="00C24D6F"/>
    <w:rsid w:val="00C26E6E"/>
    <w:rsid w:val="00C2728F"/>
    <w:rsid w:val="00C2739D"/>
    <w:rsid w:val="00C278FF"/>
    <w:rsid w:val="00C27C5D"/>
    <w:rsid w:val="00C27D42"/>
    <w:rsid w:val="00C301EA"/>
    <w:rsid w:val="00C30356"/>
    <w:rsid w:val="00C30653"/>
    <w:rsid w:val="00C3099F"/>
    <w:rsid w:val="00C3139F"/>
    <w:rsid w:val="00C3163D"/>
    <w:rsid w:val="00C31DD8"/>
    <w:rsid w:val="00C32D26"/>
    <w:rsid w:val="00C33C71"/>
    <w:rsid w:val="00C34549"/>
    <w:rsid w:val="00C34897"/>
    <w:rsid w:val="00C34A05"/>
    <w:rsid w:val="00C3506D"/>
    <w:rsid w:val="00C35157"/>
    <w:rsid w:val="00C3540D"/>
    <w:rsid w:val="00C35BFF"/>
    <w:rsid w:val="00C35CCE"/>
    <w:rsid w:val="00C36C02"/>
    <w:rsid w:val="00C37F89"/>
    <w:rsid w:val="00C4032F"/>
    <w:rsid w:val="00C40DCC"/>
    <w:rsid w:val="00C412FD"/>
    <w:rsid w:val="00C41583"/>
    <w:rsid w:val="00C4169C"/>
    <w:rsid w:val="00C41B4A"/>
    <w:rsid w:val="00C41F21"/>
    <w:rsid w:val="00C426C5"/>
    <w:rsid w:val="00C42C43"/>
    <w:rsid w:val="00C42CE4"/>
    <w:rsid w:val="00C434F9"/>
    <w:rsid w:val="00C4357A"/>
    <w:rsid w:val="00C4379C"/>
    <w:rsid w:val="00C43849"/>
    <w:rsid w:val="00C44047"/>
    <w:rsid w:val="00C4469C"/>
    <w:rsid w:val="00C447EE"/>
    <w:rsid w:val="00C449B0"/>
    <w:rsid w:val="00C449B9"/>
    <w:rsid w:val="00C44A74"/>
    <w:rsid w:val="00C44FC8"/>
    <w:rsid w:val="00C45155"/>
    <w:rsid w:val="00C45632"/>
    <w:rsid w:val="00C4601A"/>
    <w:rsid w:val="00C462ED"/>
    <w:rsid w:val="00C47550"/>
    <w:rsid w:val="00C47F2A"/>
    <w:rsid w:val="00C504D8"/>
    <w:rsid w:val="00C505EF"/>
    <w:rsid w:val="00C505FD"/>
    <w:rsid w:val="00C517DC"/>
    <w:rsid w:val="00C51969"/>
    <w:rsid w:val="00C51E73"/>
    <w:rsid w:val="00C52C8A"/>
    <w:rsid w:val="00C52E14"/>
    <w:rsid w:val="00C53133"/>
    <w:rsid w:val="00C532C8"/>
    <w:rsid w:val="00C539DF"/>
    <w:rsid w:val="00C53B0A"/>
    <w:rsid w:val="00C53B8D"/>
    <w:rsid w:val="00C541EB"/>
    <w:rsid w:val="00C54351"/>
    <w:rsid w:val="00C548A8"/>
    <w:rsid w:val="00C5498F"/>
    <w:rsid w:val="00C54F53"/>
    <w:rsid w:val="00C55002"/>
    <w:rsid w:val="00C55235"/>
    <w:rsid w:val="00C55E0A"/>
    <w:rsid w:val="00C561F8"/>
    <w:rsid w:val="00C568F8"/>
    <w:rsid w:val="00C56969"/>
    <w:rsid w:val="00C569DD"/>
    <w:rsid w:val="00C5714C"/>
    <w:rsid w:val="00C5748F"/>
    <w:rsid w:val="00C57782"/>
    <w:rsid w:val="00C578AB"/>
    <w:rsid w:val="00C57EDE"/>
    <w:rsid w:val="00C57EF5"/>
    <w:rsid w:val="00C603A7"/>
    <w:rsid w:val="00C60548"/>
    <w:rsid w:val="00C606FE"/>
    <w:rsid w:val="00C6077F"/>
    <w:rsid w:val="00C607CC"/>
    <w:rsid w:val="00C6156B"/>
    <w:rsid w:val="00C616BF"/>
    <w:rsid w:val="00C6189D"/>
    <w:rsid w:val="00C627E1"/>
    <w:rsid w:val="00C62932"/>
    <w:rsid w:val="00C62BF7"/>
    <w:rsid w:val="00C64CD0"/>
    <w:rsid w:val="00C65F61"/>
    <w:rsid w:val="00C6684F"/>
    <w:rsid w:val="00C677D1"/>
    <w:rsid w:val="00C707C3"/>
    <w:rsid w:val="00C70CA2"/>
    <w:rsid w:val="00C70E70"/>
    <w:rsid w:val="00C71015"/>
    <w:rsid w:val="00C7139F"/>
    <w:rsid w:val="00C71B61"/>
    <w:rsid w:val="00C71CF3"/>
    <w:rsid w:val="00C72FE3"/>
    <w:rsid w:val="00C73038"/>
    <w:rsid w:val="00C730F3"/>
    <w:rsid w:val="00C73364"/>
    <w:rsid w:val="00C73CC4"/>
    <w:rsid w:val="00C73D1D"/>
    <w:rsid w:val="00C74B89"/>
    <w:rsid w:val="00C7516D"/>
    <w:rsid w:val="00C751AF"/>
    <w:rsid w:val="00C752AD"/>
    <w:rsid w:val="00C752C7"/>
    <w:rsid w:val="00C75737"/>
    <w:rsid w:val="00C75DF5"/>
    <w:rsid w:val="00C75E87"/>
    <w:rsid w:val="00C75F8D"/>
    <w:rsid w:val="00C76477"/>
    <w:rsid w:val="00C768DA"/>
    <w:rsid w:val="00C77380"/>
    <w:rsid w:val="00C779C8"/>
    <w:rsid w:val="00C77B56"/>
    <w:rsid w:val="00C77D01"/>
    <w:rsid w:val="00C80035"/>
    <w:rsid w:val="00C80ACD"/>
    <w:rsid w:val="00C813C9"/>
    <w:rsid w:val="00C81660"/>
    <w:rsid w:val="00C82242"/>
    <w:rsid w:val="00C825A2"/>
    <w:rsid w:val="00C8263A"/>
    <w:rsid w:val="00C82BD7"/>
    <w:rsid w:val="00C82DEF"/>
    <w:rsid w:val="00C84606"/>
    <w:rsid w:val="00C84939"/>
    <w:rsid w:val="00C84B20"/>
    <w:rsid w:val="00C8587E"/>
    <w:rsid w:val="00C85C88"/>
    <w:rsid w:val="00C861F1"/>
    <w:rsid w:val="00C86641"/>
    <w:rsid w:val="00C86944"/>
    <w:rsid w:val="00C86B10"/>
    <w:rsid w:val="00C87DE1"/>
    <w:rsid w:val="00C87E8A"/>
    <w:rsid w:val="00C906E7"/>
    <w:rsid w:val="00C90933"/>
    <w:rsid w:val="00C90CDB"/>
    <w:rsid w:val="00C913C0"/>
    <w:rsid w:val="00C913D6"/>
    <w:rsid w:val="00C91653"/>
    <w:rsid w:val="00C92674"/>
    <w:rsid w:val="00C92826"/>
    <w:rsid w:val="00C92B8A"/>
    <w:rsid w:val="00C93060"/>
    <w:rsid w:val="00C937AB"/>
    <w:rsid w:val="00C93C8B"/>
    <w:rsid w:val="00C93EC3"/>
    <w:rsid w:val="00C9466E"/>
    <w:rsid w:val="00C9470D"/>
    <w:rsid w:val="00C95C1D"/>
    <w:rsid w:val="00C96408"/>
    <w:rsid w:val="00C964A1"/>
    <w:rsid w:val="00C967E1"/>
    <w:rsid w:val="00C967E7"/>
    <w:rsid w:val="00C969CE"/>
    <w:rsid w:val="00C97736"/>
    <w:rsid w:val="00C97756"/>
    <w:rsid w:val="00C9775C"/>
    <w:rsid w:val="00C9782A"/>
    <w:rsid w:val="00C97A2A"/>
    <w:rsid w:val="00C97CDF"/>
    <w:rsid w:val="00C97DD2"/>
    <w:rsid w:val="00C97DDF"/>
    <w:rsid w:val="00CA0234"/>
    <w:rsid w:val="00CA07C2"/>
    <w:rsid w:val="00CA0E86"/>
    <w:rsid w:val="00CA0F45"/>
    <w:rsid w:val="00CA10BE"/>
    <w:rsid w:val="00CA1208"/>
    <w:rsid w:val="00CA1393"/>
    <w:rsid w:val="00CA141A"/>
    <w:rsid w:val="00CA1441"/>
    <w:rsid w:val="00CA14BD"/>
    <w:rsid w:val="00CA1943"/>
    <w:rsid w:val="00CA1CB1"/>
    <w:rsid w:val="00CA2001"/>
    <w:rsid w:val="00CA223F"/>
    <w:rsid w:val="00CA2288"/>
    <w:rsid w:val="00CA345A"/>
    <w:rsid w:val="00CA3A21"/>
    <w:rsid w:val="00CA48E8"/>
    <w:rsid w:val="00CA50E6"/>
    <w:rsid w:val="00CA5226"/>
    <w:rsid w:val="00CA543B"/>
    <w:rsid w:val="00CA54DC"/>
    <w:rsid w:val="00CA55BD"/>
    <w:rsid w:val="00CA5783"/>
    <w:rsid w:val="00CA5AAA"/>
    <w:rsid w:val="00CA5E26"/>
    <w:rsid w:val="00CA5F19"/>
    <w:rsid w:val="00CA6D7E"/>
    <w:rsid w:val="00CA6F43"/>
    <w:rsid w:val="00CA6FBA"/>
    <w:rsid w:val="00CA746A"/>
    <w:rsid w:val="00CA7CBD"/>
    <w:rsid w:val="00CB06EA"/>
    <w:rsid w:val="00CB08D4"/>
    <w:rsid w:val="00CB1073"/>
    <w:rsid w:val="00CB17B3"/>
    <w:rsid w:val="00CB17EC"/>
    <w:rsid w:val="00CB18BD"/>
    <w:rsid w:val="00CB1E82"/>
    <w:rsid w:val="00CB1F92"/>
    <w:rsid w:val="00CB2306"/>
    <w:rsid w:val="00CB29ED"/>
    <w:rsid w:val="00CB2A3A"/>
    <w:rsid w:val="00CB2A4A"/>
    <w:rsid w:val="00CB2B7A"/>
    <w:rsid w:val="00CB2BD8"/>
    <w:rsid w:val="00CB2DA1"/>
    <w:rsid w:val="00CB2F36"/>
    <w:rsid w:val="00CB326F"/>
    <w:rsid w:val="00CB33F3"/>
    <w:rsid w:val="00CB3A5F"/>
    <w:rsid w:val="00CB43CE"/>
    <w:rsid w:val="00CB48EE"/>
    <w:rsid w:val="00CB4BA8"/>
    <w:rsid w:val="00CB4CF3"/>
    <w:rsid w:val="00CB52D7"/>
    <w:rsid w:val="00CB5495"/>
    <w:rsid w:val="00CB5590"/>
    <w:rsid w:val="00CB5C4C"/>
    <w:rsid w:val="00CB5E40"/>
    <w:rsid w:val="00CB5FE2"/>
    <w:rsid w:val="00CB689A"/>
    <w:rsid w:val="00CB7359"/>
    <w:rsid w:val="00CB7837"/>
    <w:rsid w:val="00CB7A32"/>
    <w:rsid w:val="00CC00E1"/>
    <w:rsid w:val="00CC0116"/>
    <w:rsid w:val="00CC0132"/>
    <w:rsid w:val="00CC1489"/>
    <w:rsid w:val="00CC1CC2"/>
    <w:rsid w:val="00CC1D5B"/>
    <w:rsid w:val="00CC205F"/>
    <w:rsid w:val="00CC3501"/>
    <w:rsid w:val="00CC4D90"/>
    <w:rsid w:val="00CC5636"/>
    <w:rsid w:val="00CC56E9"/>
    <w:rsid w:val="00CC5B40"/>
    <w:rsid w:val="00CC6692"/>
    <w:rsid w:val="00CC6732"/>
    <w:rsid w:val="00CC73DD"/>
    <w:rsid w:val="00CC7444"/>
    <w:rsid w:val="00CC7D72"/>
    <w:rsid w:val="00CC7F09"/>
    <w:rsid w:val="00CD1B5C"/>
    <w:rsid w:val="00CD2274"/>
    <w:rsid w:val="00CD29E3"/>
    <w:rsid w:val="00CD2AF7"/>
    <w:rsid w:val="00CD3112"/>
    <w:rsid w:val="00CD3C19"/>
    <w:rsid w:val="00CD3FAE"/>
    <w:rsid w:val="00CD4536"/>
    <w:rsid w:val="00CD4A6D"/>
    <w:rsid w:val="00CD4C66"/>
    <w:rsid w:val="00CD4CDD"/>
    <w:rsid w:val="00CD4D1E"/>
    <w:rsid w:val="00CD5A56"/>
    <w:rsid w:val="00CD5C2D"/>
    <w:rsid w:val="00CD6710"/>
    <w:rsid w:val="00CD6ACF"/>
    <w:rsid w:val="00CD6B6E"/>
    <w:rsid w:val="00CD6BD2"/>
    <w:rsid w:val="00CD76CE"/>
    <w:rsid w:val="00CD7F7D"/>
    <w:rsid w:val="00CE04AF"/>
    <w:rsid w:val="00CE06B0"/>
    <w:rsid w:val="00CE0994"/>
    <w:rsid w:val="00CE0A0D"/>
    <w:rsid w:val="00CE0F08"/>
    <w:rsid w:val="00CE1CDB"/>
    <w:rsid w:val="00CE3C96"/>
    <w:rsid w:val="00CE3D0D"/>
    <w:rsid w:val="00CE4AB0"/>
    <w:rsid w:val="00CE51A8"/>
    <w:rsid w:val="00CE579A"/>
    <w:rsid w:val="00CE6696"/>
    <w:rsid w:val="00CE6823"/>
    <w:rsid w:val="00CE6BF0"/>
    <w:rsid w:val="00CE7CE7"/>
    <w:rsid w:val="00CF031A"/>
    <w:rsid w:val="00CF0BFE"/>
    <w:rsid w:val="00CF0D47"/>
    <w:rsid w:val="00CF1F68"/>
    <w:rsid w:val="00CF1F6F"/>
    <w:rsid w:val="00CF2C3A"/>
    <w:rsid w:val="00CF3306"/>
    <w:rsid w:val="00CF369B"/>
    <w:rsid w:val="00CF3B7E"/>
    <w:rsid w:val="00CF3FE1"/>
    <w:rsid w:val="00CF4012"/>
    <w:rsid w:val="00CF46BC"/>
    <w:rsid w:val="00CF654E"/>
    <w:rsid w:val="00CF65BE"/>
    <w:rsid w:val="00CF66A5"/>
    <w:rsid w:val="00CF6B68"/>
    <w:rsid w:val="00CF7F40"/>
    <w:rsid w:val="00D001FA"/>
    <w:rsid w:val="00D00E28"/>
    <w:rsid w:val="00D011D5"/>
    <w:rsid w:val="00D01AB8"/>
    <w:rsid w:val="00D01B7C"/>
    <w:rsid w:val="00D01ECE"/>
    <w:rsid w:val="00D02445"/>
    <w:rsid w:val="00D0269E"/>
    <w:rsid w:val="00D027E1"/>
    <w:rsid w:val="00D02CED"/>
    <w:rsid w:val="00D02DF2"/>
    <w:rsid w:val="00D0318F"/>
    <w:rsid w:val="00D037AE"/>
    <w:rsid w:val="00D03C29"/>
    <w:rsid w:val="00D03FAE"/>
    <w:rsid w:val="00D05AF4"/>
    <w:rsid w:val="00D05B35"/>
    <w:rsid w:val="00D05D6C"/>
    <w:rsid w:val="00D060A9"/>
    <w:rsid w:val="00D068E5"/>
    <w:rsid w:val="00D07287"/>
    <w:rsid w:val="00D07454"/>
    <w:rsid w:val="00D10605"/>
    <w:rsid w:val="00D10789"/>
    <w:rsid w:val="00D1092F"/>
    <w:rsid w:val="00D109C2"/>
    <w:rsid w:val="00D10C33"/>
    <w:rsid w:val="00D118C1"/>
    <w:rsid w:val="00D12A06"/>
    <w:rsid w:val="00D12F76"/>
    <w:rsid w:val="00D13628"/>
    <w:rsid w:val="00D136C3"/>
    <w:rsid w:val="00D137C9"/>
    <w:rsid w:val="00D14754"/>
    <w:rsid w:val="00D14788"/>
    <w:rsid w:val="00D14970"/>
    <w:rsid w:val="00D14BFA"/>
    <w:rsid w:val="00D14D46"/>
    <w:rsid w:val="00D14FAB"/>
    <w:rsid w:val="00D15810"/>
    <w:rsid w:val="00D15C39"/>
    <w:rsid w:val="00D16307"/>
    <w:rsid w:val="00D167C5"/>
    <w:rsid w:val="00D167F5"/>
    <w:rsid w:val="00D168EF"/>
    <w:rsid w:val="00D16995"/>
    <w:rsid w:val="00D16D4E"/>
    <w:rsid w:val="00D16FE3"/>
    <w:rsid w:val="00D17724"/>
    <w:rsid w:val="00D1778F"/>
    <w:rsid w:val="00D21297"/>
    <w:rsid w:val="00D216E0"/>
    <w:rsid w:val="00D22300"/>
    <w:rsid w:val="00D224E1"/>
    <w:rsid w:val="00D22B6A"/>
    <w:rsid w:val="00D22FCB"/>
    <w:rsid w:val="00D23886"/>
    <w:rsid w:val="00D23A16"/>
    <w:rsid w:val="00D24549"/>
    <w:rsid w:val="00D24555"/>
    <w:rsid w:val="00D25162"/>
    <w:rsid w:val="00D259C5"/>
    <w:rsid w:val="00D25AAC"/>
    <w:rsid w:val="00D261AA"/>
    <w:rsid w:val="00D2634B"/>
    <w:rsid w:val="00D272CE"/>
    <w:rsid w:val="00D27359"/>
    <w:rsid w:val="00D27DAC"/>
    <w:rsid w:val="00D27F41"/>
    <w:rsid w:val="00D303A9"/>
    <w:rsid w:val="00D308F3"/>
    <w:rsid w:val="00D31F07"/>
    <w:rsid w:val="00D32470"/>
    <w:rsid w:val="00D32875"/>
    <w:rsid w:val="00D32D95"/>
    <w:rsid w:val="00D32DD7"/>
    <w:rsid w:val="00D3301C"/>
    <w:rsid w:val="00D33490"/>
    <w:rsid w:val="00D33652"/>
    <w:rsid w:val="00D33AD3"/>
    <w:rsid w:val="00D33C26"/>
    <w:rsid w:val="00D342A4"/>
    <w:rsid w:val="00D34448"/>
    <w:rsid w:val="00D35383"/>
    <w:rsid w:val="00D35782"/>
    <w:rsid w:val="00D35C30"/>
    <w:rsid w:val="00D362BD"/>
    <w:rsid w:val="00D36441"/>
    <w:rsid w:val="00D36617"/>
    <w:rsid w:val="00D36922"/>
    <w:rsid w:val="00D36DF8"/>
    <w:rsid w:val="00D36E19"/>
    <w:rsid w:val="00D370A2"/>
    <w:rsid w:val="00D37C56"/>
    <w:rsid w:val="00D401F7"/>
    <w:rsid w:val="00D4064E"/>
    <w:rsid w:val="00D41A7A"/>
    <w:rsid w:val="00D41D6D"/>
    <w:rsid w:val="00D42E44"/>
    <w:rsid w:val="00D43033"/>
    <w:rsid w:val="00D43266"/>
    <w:rsid w:val="00D437A0"/>
    <w:rsid w:val="00D43ACC"/>
    <w:rsid w:val="00D43B44"/>
    <w:rsid w:val="00D43D65"/>
    <w:rsid w:val="00D4448D"/>
    <w:rsid w:val="00D444A6"/>
    <w:rsid w:val="00D447CE"/>
    <w:rsid w:val="00D44B7B"/>
    <w:rsid w:val="00D44E94"/>
    <w:rsid w:val="00D44E9B"/>
    <w:rsid w:val="00D453AE"/>
    <w:rsid w:val="00D4546E"/>
    <w:rsid w:val="00D458B9"/>
    <w:rsid w:val="00D467DC"/>
    <w:rsid w:val="00D46879"/>
    <w:rsid w:val="00D475CE"/>
    <w:rsid w:val="00D47A1D"/>
    <w:rsid w:val="00D47A3D"/>
    <w:rsid w:val="00D47A62"/>
    <w:rsid w:val="00D47AEB"/>
    <w:rsid w:val="00D47B52"/>
    <w:rsid w:val="00D50223"/>
    <w:rsid w:val="00D50ABA"/>
    <w:rsid w:val="00D50DB9"/>
    <w:rsid w:val="00D51302"/>
    <w:rsid w:val="00D51A57"/>
    <w:rsid w:val="00D51ECD"/>
    <w:rsid w:val="00D52C43"/>
    <w:rsid w:val="00D52F44"/>
    <w:rsid w:val="00D530C4"/>
    <w:rsid w:val="00D54439"/>
    <w:rsid w:val="00D54728"/>
    <w:rsid w:val="00D54D5D"/>
    <w:rsid w:val="00D557C0"/>
    <w:rsid w:val="00D564D4"/>
    <w:rsid w:val="00D5690C"/>
    <w:rsid w:val="00D56ABA"/>
    <w:rsid w:val="00D56AD2"/>
    <w:rsid w:val="00D570FE"/>
    <w:rsid w:val="00D5772D"/>
    <w:rsid w:val="00D60CD4"/>
    <w:rsid w:val="00D61243"/>
    <w:rsid w:val="00D622E3"/>
    <w:rsid w:val="00D62734"/>
    <w:rsid w:val="00D631FB"/>
    <w:rsid w:val="00D6355B"/>
    <w:rsid w:val="00D63D57"/>
    <w:rsid w:val="00D6415B"/>
    <w:rsid w:val="00D64374"/>
    <w:rsid w:val="00D64919"/>
    <w:rsid w:val="00D64C40"/>
    <w:rsid w:val="00D64D60"/>
    <w:rsid w:val="00D64F05"/>
    <w:rsid w:val="00D6507F"/>
    <w:rsid w:val="00D65AC1"/>
    <w:rsid w:val="00D65C56"/>
    <w:rsid w:val="00D65E9A"/>
    <w:rsid w:val="00D66094"/>
    <w:rsid w:val="00D666CB"/>
    <w:rsid w:val="00D6677F"/>
    <w:rsid w:val="00D67080"/>
    <w:rsid w:val="00D67714"/>
    <w:rsid w:val="00D7043C"/>
    <w:rsid w:val="00D706B3"/>
    <w:rsid w:val="00D70728"/>
    <w:rsid w:val="00D70BBA"/>
    <w:rsid w:val="00D71E9A"/>
    <w:rsid w:val="00D72065"/>
    <w:rsid w:val="00D72DC7"/>
    <w:rsid w:val="00D72FAF"/>
    <w:rsid w:val="00D730BC"/>
    <w:rsid w:val="00D736DF"/>
    <w:rsid w:val="00D73912"/>
    <w:rsid w:val="00D746B6"/>
    <w:rsid w:val="00D75E54"/>
    <w:rsid w:val="00D7602E"/>
    <w:rsid w:val="00D76957"/>
    <w:rsid w:val="00D77465"/>
    <w:rsid w:val="00D8039C"/>
    <w:rsid w:val="00D80E19"/>
    <w:rsid w:val="00D8154D"/>
    <w:rsid w:val="00D81570"/>
    <w:rsid w:val="00D81710"/>
    <w:rsid w:val="00D81711"/>
    <w:rsid w:val="00D81A89"/>
    <w:rsid w:val="00D81F81"/>
    <w:rsid w:val="00D82BD0"/>
    <w:rsid w:val="00D82D21"/>
    <w:rsid w:val="00D832C1"/>
    <w:rsid w:val="00D83A17"/>
    <w:rsid w:val="00D83E3F"/>
    <w:rsid w:val="00D841A1"/>
    <w:rsid w:val="00D84393"/>
    <w:rsid w:val="00D8461C"/>
    <w:rsid w:val="00D84903"/>
    <w:rsid w:val="00D84AD4"/>
    <w:rsid w:val="00D8500C"/>
    <w:rsid w:val="00D85226"/>
    <w:rsid w:val="00D853B2"/>
    <w:rsid w:val="00D8597C"/>
    <w:rsid w:val="00D85DFA"/>
    <w:rsid w:val="00D85E95"/>
    <w:rsid w:val="00D860EF"/>
    <w:rsid w:val="00D86451"/>
    <w:rsid w:val="00D865AA"/>
    <w:rsid w:val="00D871C3"/>
    <w:rsid w:val="00D87542"/>
    <w:rsid w:val="00D87B94"/>
    <w:rsid w:val="00D9010F"/>
    <w:rsid w:val="00D90312"/>
    <w:rsid w:val="00D906D1"/>
    <w:rsid w:val="00D906D3"/>
    <w:rsid w:val="00D90AD0"/>
    <w:rsid w:val="00D922A0"/>
    <w:rsid w:val="00D92361"/>
    <w:rsid w:val="00D92D49"/>
    <w:rsid w:val="00D92EC1"/>
    <w:rsid w:val="00D9300A"/>
    <w:rsid w:val="00D9306E"/>
    <w:rsid w:val="00D9327B"/>
    <w:rsid w:val="00D9444A"/>
    <w:rsid w:val="00D95512"/>
    <w:rsid w:val="00D95F63"/>
    <w:rsid w:val="00D96043"/>
    <w:rsid w:val="00D96DEA"/>
    <w:rsid w:val="00DA0385"/>
    <w:rsid w:val="00DA0D41"/>
    <w:rsid w:val="00DA13CC"/>
    <w:rsid w:val="00DA153C"/>
    <w:rsid w:val="00DA27C7"/>
    <w:rsid w:val="00DA294B"/>
    <w:rsid w:val="00DA2C93"/>
    <w:rsid w:val="00DA3207"/>
    <w:rsid w:val="00DA3B8A"/>
    <w:rsid w:val="00DA3FF4"/>
    <w:rsid w:val="00DA403F"/>
    <w:rsid w:val="00DA4159"/>
    <w:rsid w:val="00DA4E41"/>
    <w:rsid w:val="00DA56FE"/>
    <w:rsid w:val="00DA5E92"/>
    <w:rsid w:val="00DA631D"/>
    <w:rsid w:val="00DA6E3D"/>
    <w:rsid w:val="00DA74EA"/>
    <w:rsid w:val="00DA7708"/>
    <w:rsid w:val="00DB02EF"/>
    <w:rsid w:val="00DB03D4"/>
    <w:rsid w:val="00DB0500"/>
    <w:rsid w:val="00DB098A"/>
    <w:rsid w:val="00DB0F08"/>
    <w:rsid w:val="00DB10F2"/>
    <w:rsid w:val="00DB117A"/>
    <w:rsid w:val="00DB13DC"/>
    <w:rsid w:val="00DB20A7"/>
    <w:rsid w:val="00DB28CB"/>
    <w:rsid w:val="00DB2A5A"/>
    <w:rsid w:val="00DB32E0"/>
    <w:rsid w:val="00DB36C4"/>
    <w:rsid w:val="00DB3E88"/>
    <w:rsid w:val="00DB45B8"/>
    <w:rsid w:val="00DB4EA0"/>
    <w:rsid w:val="00DB50D7"/>
    <w:rsid w:val="00DB5173"/>
    <w:rsid w:val="00DB593C"/>
    <w:rsid w:val="00DB5EF1"/>
    <w:rsid w:val="00DB6121"/>
    <w:rsid w:val="00DB6371"/>
    <w:rsid w:val="00DB6AF0"/>
    <w:rsid w:val="00DB6C68"/>
    <w:rsid w:val="00DB7383"/>
    <w:rsid w:val="00DB7873"/>
    <w:rsid w:val="00DB7AFC"/>
    <w:rsid w:val="00DC043A"/>
    <w:rsid w:val="00DC0718"/>
    <w:rsid w:val="00DC07D7"/>
    <w:rsid w:val="00DC0BA4"/>
    <w:rsid w:val="00DC0FCB"/>
    <w:rsid w:val="00DC1805"/>
    <w:rsid w:val="00DC1839"/>
    <w:rsid w:val="00DC187B"/>
    <w:rsid w:val="00DC1BCC"/>
    <w:rsid w:val="00DC1DD1"/>
    <w:rsid w:val="00DC1E59"/>
    <w:rsid w:val="00DC2F2B"/>
    <w:rsid w:val="00DC313E"/>
    <w:rsid w:val="00DC447C"/>
    <w:rsid w:val="00DC4988"/>
    <w:rsid w:val="00DC49FF"/>
    <w:rsid w:val="00DC4E8D"/>
    <w:rsid w:val="00DC5208"/>
    <w:rsid w:val="00DC5742"/>
    <w:rsid w:val="00DC5997"/>
    <w:rsid w:val="00DC62C2"/>
    <w:rsid w:val="00DC6665"/>
    <w:rsid w:val="00DC66A2"/>
    <w:rsid w:val="00DC7004"/>
    <w:rsid w:val="00DC71CF"/>
    <w:rsid w:val="00DC76E2"/>
    <w:rsid w:val="00DC78D9"/>
    <w:rsid w:val="00DD0781"/>
    <w:rsid w:val="00DD07EC"/>
    <w:rsid w:val="00DD0861"/>
    <w:rsid w:val="00DD0CF0"/>
    <w:rsid w:val="00DD1136"/>
    <w:rsid w:val="00DD1353"/>
    <w:rsid w:val="00DD1A43"/>
    <w:rsid w:val="00DD1AD6"/>
    <w:rsid w:val="00DD21BF"/>
    <w:rsid w:val="00DD2876"/>
    <w:rsid w:val="00DD2E6E"/>
    <w:rsid w:val="00DD2EA0"/>
    <w:rsid w:val="00DD31FB"/>
    <w:rsid w:val="00DD32CD"/>
    <w:rsid w:val="00DD3F4A"/>
    <w:rsid w:val="00DD3F93"/>
    <w:rsid w:val="00DD4313"/>
    <w:rsid w:val="00DD57B7"/>
    <w:rsid w:val="00DD5ECB"/>
    <w:rsid w:val="00DD6FF0"/>
    <w:rsid w:val="00DD7187"/>
    <w:rsid w:val="00DD73C2"/>
    <w:rsid w:val="00DD7509"/>
    <w:rsid w:val="00DD7873"/>
    <w:rsid w:val="00DD7FF2"/>
    <w:rsid w:val="00DE0961"/>
    <w:rsid w:val="00DE0E89"/>
    <w:rsid w:val="00DE14E9"/>
    <w:rsid w:val="00DE1E0B"/>
    <w:rsid w:val="00DE2802"/>
    <w:rsid w:val="00DE2E25"/>
    <w:rsid w:val="00DE319B"/>
    <w:rsid w:val="00DE33FA"/>
    <w:rsid w:val="00DE3526"/>
    <w:rsid w:val="00DE38E3"/>
    <w:rsid w:val="00DE3C6C"/>
    <w:rsid w:val="00DE3D65"/>
    <w:rsid w:val="00DE416E"/>
    <w:rsid w:val="00DE4BE6"/>
    <w:rsid w:val="00DE4C3C"/>
    <w:rsid w:val="00DE5242"/>
    <w:rsid w:val="00DE5C37"/>
    <w:rsid w:val="00DE6B4F"/>
    <w:rsid w:val="00DE6CAE"/>
    <w:rsid w:val="00DE71D4"/>
    <w:rsid w:val="00DE7EB4"/>
    <w:rsid w:val="00DF0FCD"/>
    <w:rsid w:val="00DF1003"/>
    <w:rsid w:val="00DF13D5"/>
    <w:rsid w:val="00DF18BF"/>
    <w:rsid w:val="00DF23D1"/>
    <w:rsid w:val="00DF2B39"/>
    <w:rsid w:val="00DF34FE"/>
    <w:rsid w:val="00DF356F"/>
    <w:rsid w:val="00DF38C5"/>
    <w:rsid w:val="00DF3933"/>
    <w:rsid w:val="00DF3A4D"/>
    <w:rsid w:val="00DF3F3D"/>
    <w:rsid w:val="00DF4150"/>
    <w:rsid w:val="00DF4E3A"/>
    <w:rsid w:val="00DF4F23"/>
    <w:rsid w:val="00DF4F47"/>
    <w:rsid w:val="00DF51C9"/>
    <w:rsid w:val="00DF56AA"/>
    <w:rsid w:val="00DF56AF"/>
    <w:rsid w:val="00DF5927"/>
    <w:rsid w:val="00DF7123"/>
    <w:rsid w:val="00DF78E7"/>
    <w:rsid w:val="00DF7EF1"/>
    <w:rsid w:val="00DF7F90"/>
    <w:rsid w:val="00E00010"/>
    <w:rsid w:val="00E00630"/>
    <w:rsid w:val="00E0125E"/>
    <w:rsid w:val="00E01713"/>
    <w:rsid w:val="00E028D5"/>
    <w:rsid w:val="00E0322C"/>
    <w:rsid w:val="00E03487"/>
    <w:rsid w:val="00E03664"/>
    <w:rsid w:val="00E03D67"/>
    <w:rsid w:val="00E04709"/>
    <w:rsid w:val="00E05173"/>
    <w:rsid w:val="00E07B2B"/>
    <w:rsid w:val="00E07B99"/>
    <w:rsid w:val="00E10006"/>
    <w:rsid w:val="00E102B3"/>
    <w:rsid w:val="00E10DC0"/>
    <w:rsid w:val="00E110E0"/>
    <w:rsid w:val="00E1120A"/>
    <w:rsid w:val="00E11473"/>
    <w:rsid w:val="00E11A50"/>
    <w:rsid w:val="00E1216F"/>
    <w:rsid w:val="00E127FB"/>
    <w:rsid w:val="00E13272"/>
    <w:rsid w:val="00E1341A"/>
    <w:rsid w:val="00E13528"/>
    <w:rsid w:val="00E13BE9"/>
    <w:rsid w:val="00E14B2E"/>
    <w:rsid w:val="00E14B61"/>
    <w:rsid w:val="00E14CEB"/>
    <w:rsid w:val="00E15159"/>
    <w:rsid w:val="00E15371"/>
    <w:rsid w:val="00E153AE"/>
    <w:rsid w:val="00E15CDE"/>
    <w:rsid w:val="00E15DDE"/>
    <w:rsid w:val="00E16576"/>
    <w:rsid w:val="00E171CA"/>
    <w:rsid w:val="00E17ED4"/>
    <w:rsid w:val="00E2007D"/>
    <w:rsid w:val="00E2062F"/>
    <w:rsid w:val="00E21056"/>
    <w:rsid w:val="00E2135D"/>
    <w:rsid w:val="00E214A0"/>
    <w:rsid w:val="00E216FF"/>
    <w:rsid w:val="00E21AFB"/>
    <w:rsid w:val="00E21C70"/>
    <w:rsid w:val="00E21E9A"/>
    <w:rsid w:val="00E2254B"/>
    <w:rsid w:val="00E22974"/>
    <w:rsid w:val="00E22B28"/>
    <w:rsid w:val="00E22F97"/>
    <w:rsid w:val="00E232EB"/>
    <w:rsid w:val="00E24104"/>
    <w:rsid w:val="00E24240"/>
    <w:rsid w:val="00E2499F"/>
    <w:rsid w:val="00E24F5D"/>
    <w:rsid w:val="00E25277"/>
    <w:rsid w:val="00E2532A"/>
    <w:rsid w:val="00E253A9"/>
    <w:rsid w:val="00E25A6B"/>
    <w:rsid w:val="00E25CAD"/>
    <w:rsid w:val="00E25FEF"/>
    <w:rsid w:val="00E26481"/>
    <w:rsid w:val="00E264A1"/>
    <w:rsid w:val="00E26588"/>
    <w:rsid w:val="00E26E17"/>
    <w:rsid w:val="00E26E56"/>
    <w:rsid w:val="00E26E93"/>
    <w:rsid w:val="00E27634"/>
    <w:rsid w:val="00E27786"/>
    <w:rsid w:val="00E27D3F"/>
    <w:rsid w:val="00E302D0"/>
    <w:rsid w:val="00E30386"/>
    <w:rsid w:val="00E30A75"/>
    <w:rsid w:val="00E30ACF"/>
    <w:rsid w:val="00E30B37"/>
    <w:rsid w:val="00E31C8B"/>
    <w:rsid w:val="00E31FEB"/>
    <w:rsid w:val="00E32113"/>
    <w:rsid w:val="00E3213E"/>
    <w:rsid w:val="00E32343"/>
    <w:rsid w:val="00E32FEE"/>
    <w:rsid w:val="00E33207"/>
    <w:rsid w:val="00E3368B"/>
    <w:rsid w:val="00E33810"/>
    <w:rsid w:val="00E3387C"/>
    <w:rsid w:val="00E33BF6"/>
    <w:rsid w:val="00E33C0F"/>
    <w:rsid w:val="00E34510"/>
    <w:rsid w:val="00E346FF"/>
    <w:rsid w:val="00E34744"/>
    <w:rsid w:val="00E34911"/>
    <w:rsid w:val="00E34B3A"/>
    <w:rsid w:val="00E35707"/>
    <w:rsid w:val="00E35D47"/>
    <w:rsid w:val="00E3607C"/>
    <w:rsid w:val="00E36AA1"/>
    <w:rsid w:val="00E36E5B"/>
    <w:rsid w:val="00E37164"/>
    <w:rsid w:val="00E4016B"/>
    <w:rsid w:val="00E40C98"/>
    <w:rsid w:val="00E40CCA"/>
    <w:rsid w:val="00E40E73"/>
    <w:rsid w:val="00E41961"/>
    <w:rsid w:val="00E419F0"/>
    <w:rsid w:val="00E41ECB"/>
    <w:rsid w:val="00E42676"/>
    <w:rsid w:val="00E42974"/>
    <w:rsid w:val="00E42A14"/>
    <w:rsid w:val="00E42DD2"/>
    <w:rsid w:val="00E431AE"/>
    <w:rsid w:val="00E43853"/>
    <w:rsid w:val="00E43AE1"/>
    <w:rsid w:val="00E43C81"/>
    <w:rsid w:val="00E444E7"/>
    <w:rsid w:val="00E445DF"/>
    <w:rsid w:val="00E44654"/>
    <w:rsid w:val="00E45426"/>
    <w:rsid w:val="00E455AF"/>
    <w:rsid w:val="00E45820"/>
    <w:rsid w:val="00E4599A"/>
    <w:rsid w:val="00E45DD2"/>
    <w:rsid w:val="00E45FAD"/>
    <w:rsid w:val="00E469DA"/>
    <w:rsid w:val="00E46C4E"/>
    <w:rsid w:val="00E46F06"/>
    <w:rsid w:val="00E46F7F"/>
    <w:rsid w:val="00E47210"/>
    <w:rsid w:val="00E50394"/>
    <w:rsid w:val="00E504C1"/>
    <w:rsid w:val="00E50646"/>
    <w:rsid w:val="00E5126A"/>
    <w:rsid w:val="00E5130B"/>
    <w:rsid w:val="00E51A1F"/>
    <w:rsid w:val="00E53918"/>
    <w:rsid w:val="00E53B8B"/>
    <w:rsid w:val="00E54051"/>
    <w:rsid w:val="00E542B8"/>
    <w:rsid w:val="00E54F20"/>
    <w:rsid w:val="00E54FDB"/>
    <w:rsid w:val="00E55623"/>
    <w:rsid w:val="00E55F5C"/>
    <w:rsid w:val="00E56106"/>
    <w:rsid w:val="00E56126"/>
    <w:rsid w:val="00E5617D"/>
    <w:rsid w:val="00E563D7"/>
    <w:rsid w:val="00E565F0"/>
    <w:rsid w:val="00E566C1"/>
    <w:rsid w:val="00E56816"/>
    <w:rsid w:val="00E575FC"/>
    <w:rsid w:val="00E6165D"/>
    <w:rsid w:val="00E61B94"/>
    <w:rsid w:val="00E61DD1"/>
    <w:rsid w:val="00E622B4"/>
    <w:rsid w:val="00E62631"/>
    <w:rsid w:val="00E62755"/>
    <w:rsid w:val="00E632B8"/>
    <w:rsid w:val="00E63651"/>
    <w:rsid w:val="00E63B10"/>
    <w:rsid w:val="00E645F8"/>
    <w:rsid w:val="00E6495B"/>
    <w:rsid w:val="00E65019"/>
    <w:rsid w:val="00E6565E"/>
    <w:rsid w:val="00E65B3E"/>
    <w:rsid w:val="00E663F4"/>
    <w:rsid w:val="00E666F2"/>
    <w:rsid w:val="00E6673C"/>
    <w:rsid w:val="00E66824"/>
    <w:rsid w:val="00E66854"/>
    <w:rsid w:val="00E66D31"/>
    <w:rsid w:val="00E66D8E"/>
    <w:rsid w:val="00E66DD4"/>
    <w:rsid w:val="00E67036"/>
    <w:rsid w:val="00E678B9"/>
    <w:rsid w:val="00E6799D"/>
    <w:rsid w:val="00E67FD4"/>
    <w:rsid w:val="00E706B1"/>
    <w:rsid w:val="00E70A12"/>
    <w:rsid w:val="00E70DA5"/>
    <w:rsid w:val="00E711AF"/>
    <w:rsid w:val="00E717B8"/>
    <w:rsid w:val="00E71872"/>
    <w:rsid w:val="00E7249D"/>
    <w:rsid w:val="00E7402A"/>
    <w:rsid w:val="00E74124"/>
    <w:rsid w:val="00E7412D"/>
    <w:rsid w:val="00E74708"/>
    <w:rsid w:val="00E7478F"/>
    <w:rsid w:val="00E748CC"/>
    <w:rsid w:val="00E74E3A"/>
    <w:rsid w:val="00E74FCA"/>
    <w:rsid w:val="00E75379"/>
    <w:rsid w:val="00E75415"/>
    <w:rsid w:val="00E75B52"/>
    <w:rsid w:val="00E75D8A"/>
    <w:rsid w:val="00E76EE3"/>
    <w:rsid w:val="00E775B1"/>
    <w:rsid w:val="00E77603"/>
    <w:rsid w:val="00E779AA"/>
    <w:rsid w:val="00E8009D"/>
    <w:rsid w:val="00E80252"/>
    <w:rsid w:val="00E80F06"/>
    <w:rsid w:val="00E80FB9"/>
    <w:rsid w:val="00E810A7"/>
    <w:rsid w:val="00E81269"/>
    <w:rsid w:val="00E8152A"/>
    <w:rsid w:val="00E815D3"/>
    <w:rsid w:val="00E823DE"/>
    <w:rsid w:val="00E825A2"/>
    <w:rsid w:val="00E83614"/>
    <w:rsid w:val="00E83664"/>
    <w:rsid w:val="00E83967"/>
    <w:rsid w:val="00E83B95"/>
    <w:rsid w:val="00E83C49"/>
    <w:rsid w:val="00E84A61"/>
    <w:rsid w:val="00E84CFA"/>
    <w:rsid w:val="00E84D6A"/>
    <w:rsid w:val="00E853C6"/>
    <w:rsid w:val="00E8549D"/>
    <w:rsid w:val="00E8588D"/>
    <w:rsid w:val="00E86A65"/>
    <w:rsid w:val="00E86E7D"/>
    <w:rsid w:val="00E8770F"/>
    <w:rsid w:val="00E8793C"/>
    <w:rsid w:val="00E87C71"/>
    <w:rsid w:val="00E901EA"/>
    <w:rsid w:val="00E90FD9"/>
    <w:rsid w:val="00E9179F"/>
    <w:rsid w:val="00E91CA9"/>
    <w:rsid w:val="00E91DA3"/>
    <w:rsid w:val="00E92EC2"/>
    <w:rsid w:val="00E93579"/>
    <w:rsid w:val="00E93629"/>
    <w:rsid w:val="00E938D3"/>
    <w:rsid w:val="00E93B5C"/>
    <w:rsid w:val="00E93CA7"/>
    <w:rsid w:val="00E93F36"/>
    <w:rsid w:val="00E94291"/>
    <w:rsid w:val="00E94480"/>
    <w:rsid w:val="00E94CEC"/>
    <w:rsid w:val="00E94F76"/>
    <w:rsid w:val="00E9517C"/>
    <w:rsid w:val="00E95B0A"/>
    <w:rsid w:val="00E96130"/>
    <w:rsid w:val="00E96151"/>
    <w:rsid w:val="00E966D4"/>
    <w:rsid w:val="00E967ED"/>
    <w:rsid w:val="00E967F9"/>
    <w:rsid w:val="00E97D40"/>
    <w:rsid w:val="00EA04EF"/>
    <w:rsid w:val="00EA0604"/>
    <w:rsid w:val="00EA0918"/>
    <w:rsid w:val="00EA0B8C"/>
    <w:rsid w:val="00EA12BB"/>
    <w:rsid w:val="00EA1801"/>
    <w:rsid w:val="00EA1F31"/>
    <w:rsid w:val="00EA21CC"/>
    <w:rsid w:val="00EA2FE0"/>
    <w:rsid w:val="00EA361C"/>
    <w:rsid w:val="00EA3620"/>
    <w:rsid w:val="00EA365F"/>
    <w:rsid w:val="00EA3820"/>
    <w:rsid w:val="00EA3E12"/>
    <w:rsid w:val="00EA65BD"/>
    <w:rsid w:val="00EA693C"/>
    <w:rsid w:val="00EA6971"/>
    <w:rsid w:val="00EA6BB1"/>
    <w:rsid w:val="00EA6C79"/>
    <w:rsid w:val="00EA6F19"/>
    <w:rsid w:val="00EA760E"/>
    <w:rsid w:val="00EA76C1"/>
    <w:rsid w:val="00EA7EF6"/>
    <w:rsid w:val="00EB063B"/>
    <w:rsid w:val="00EB06E1"/>
    <w:rsid w:val="00EB07C2"/>
    <w:rsid w:val="00EB0EF6"/>
    <w:rsid w:val="00EB17ED"/>
    <w:rsid w:val="00EB3A7E"/>
    <w:rsid w:val="00EB3B13"/>
    <w:rsid w:val="00EB4431"/>
    <w:rsid w:val="00EB4A17"/>
    <w:rsid w:val="00EB4A67"/>
    <w:rsid w:val="00EB4BAB"/>
    <w:rsid w:val="00EB4C77"/>
    <w:rsid w:val="00EB5903"/>
    <w:rsid w:val="00EB5C05"/>
    <w:rsid w:val="00EB625B"/>
    <w:rsid w:val="00EB62D8"/>
    <w:rsid w:val="00EB691E"/>
    <w:rsid w:val="00EB6983"/>
    <w:rsid w:val="00EB69DE"/>
    <w:rsid w:val="00EB7090"/>
    <w:rsid w:val="00EB7336"/>
    <w:rsid w:val="00EB73CA"/>
    <w:rsid w:val="00EB7607"/>
    <w:rsid w:val="00EB76A8"/>
    <w:rsid w:val="00EC10B0"/>
    <w:rsid w:val="00EC19A0"/>
    <w:rsid w:val="00EC1A25"/>
    <w:rsid w:val="00EC1BBE"/>
    <w:rsid w:val="00EC1F1D"/>
    <w:rsid w:val="00EC2414"/>
    <w:rsid w:val="00EC273B"/>
    <w:rsid w:val="00EC2B68"/>
    <w:rsid w:val="00EC3AEF"/>
    <w:rsid w:val="00EC3EEF"/>
    <w:rsid w:val="00EC3F90"/>
    <w:rsid w:val="00EC40EC"/>
    <w:rsid w:val="00EC429C"/>
    <w:rsid w:val="00EC4838"/>
    <w:rsid w:val="00EC4994"/>
    <w:rsid w:val="00EC4E24"/>
    <w:rsid w:val="00EC4E7E"/>
    <w:rsid w:val="00EC5146"/>
    <w:rsid w:val="00EC54C2"/>
    <w:rsid w:val="00EC594C"/>
    <w:rsid w:val="00EC5AE9"/>
    <w:rsid w:val="00EC5CD7"/>
    <w:rsid w:val="00EC63A2"/>
    <w:rsid w:val="00EC64D7"/>
    <w:rsid w:val="00EC6544"/>
    <w:rsid w:val="00EC6E13"/>
    <w:rsid w:val="00EC6F45"/>
    <w:rsid w:val="00EC6F4C"/>
    <w:rsid w:val="00EC7B18"/>
    <w:rsid w:val="00EC7E3E"/>
    <w:rsid w:val="00ED0264"/>
    <w:rsid w:val="00ED0B51"/>
    <w:rsid w:val="00ED0E48"/>
    <w:rsid w:val="00ED0F50"/>
    <w:rsid w:val="00ED102B"/>
    <w:rsid w:val="00ED1226"/>
    <w:rsid w:val="00ED1331"/>
    <w:rsid w:val="00ED1D89"/>
    <w:rsid w:val="00ED2097"/>
    <w:rsid w:val="00ED3847"/>
    <w:rsid w:val="00ED44B6"/>
    <w:rsid w:val="00ED6301"/>
    <w:rsid w:val="00ED64A1"/>
    <w:rsid w:val="00ED6F7A"/>
    <w:rsid w:val="00ED7147"/>
    <w:rsid w:val="00ED740D"/>
    <w:rsid w:val="00ED7732"/>
    <w:rsid w:val="00ED781F"/>
    <w:rsid w:val="00ED7D68"/>
    <w:rsid w:val="00EE17A4"/>
    <w:rsid w:val="00EE1AF7"/>
    <w:rsid w:val="00EE1FF6"/>
    <w:rsid w:val="00EE269B"/>
    <w:rsid w:val="00EE2A82"/>
    <w:rsid w:val="00EE2D10"/>
    <w:rsid w:val="00EE30F5"/>
    <w:rsid w:val="00EE3940"/>
    <w:rsid w:val="00EE53B8"/>
    <w:rsid w:val="00EE57EF"/>
    <w:rsid w:val="00EE5FB3"/>
    <w:rsid w:val="00EE69C6"/>
    <w:rsid w:val="00EE6AC5"/>
    <w:rsid w:val="00EE6EC2"/>
    <w:rsid w:val="00EE7205"/>
    <w:rsid w:val="00EE743D"/>
    <w:rsid w:val="00EE7ABC"/>
    <w:rsid w:val="00EE7F79"/>
    <w:rsid w:val="00EF0786"/>
    <w:rsid w:val="00EF1322"/>
    <w:rsid w:val="00EF15DB"/>
    <w:rsid w:val="00EF1AA8"/>
    <w:rsid w:val="00EF1F6A"/>
    <w:rsid w:val="00EF2C22"/>
    <w:rsid w:val="00EF3105"/>
    <w:rsid w:val="00EF317E"/>
    <w:rsid w:val="00EF35B8"/>
    <w:rsid w:val="00EF3CC2"/>
    <w:rsid w:val="00EF4256"/>
    <w:rsid w:val="00EF4FCB"/>
    <w:rsid w:val="00EF51F1"/>
    <w:rsid w:val="00EF52C9"/>
    <w:rsid w:val="00EF58FD"/>
    <w:rsid w:val="00EF5FB9"/>
    <w:rsid w:val="00EF6085"/>
    <w:rsid w:val="00EF6790"/>
    <w:rsid w:val="00EF6A88"/>
    <w:rsid w:val="00EF6B35"/>
    <w:rsid w:val="00EF70BF"/>
    <w:rsid w:val="00EF7112"/>
    <w:rsid w:val="00EF715A"/>
    <w:rsid w:val="00EF77CE"/>
    <w:rsid w:val="00EF7B19"/>
    <w:rsid w:val="00F00382"/>
    <w:rsid w:val="00F00518"/>
    <w:rsid w:val="00F00E07"/>
    <w:rsid w:val="00F0118A"/>
    <w:rsid w:val="00F0127B"/>
    <w:rsid w:val="00F028F6"/>
    <w:rsid w:val="00F03764"/>
    <w:rsid w:val="00F03DE4"/>
    <w:rsid w:val="00F03E22"/>
    <w:rsid w:val="00F0596E"/>
    <w:rsid w:val="00F060EC"/>
    <w:rsid w:val="00F0615B"/>
    <w:rsid w:val="00F06578"/>
    <w:rsid w:val="00F0675D"/>
    <w:rsid w:val="00F06E14"/>
    <w:rsid w:val="00F07981"/>
    <w:rsid w:val="00F10DE7"/>
    <w:rsid w:val="00F11128"/>
    <w:rsid w:val="00F1182A"/>
    <w:rsid w:val="00F11945"/>
    <w:rsid w:val="00F11D1A"/>
    <w:rsid w:val="00F1248A"/>
    <w:rsid w:val="00F12B45"/>
    <w:rsid w:val="00F13464"/>
    <w:rsid w:val="00F1425E"/>
    <w:rsid w:val="00F14268"/>
    <w:rsid w:val="00F14B92"/>
    <w:rsid w:val="00F1636D"/>
    <w:rsid w:val="00F16923"/>
    <w:rsid w:val="00F17571"/>
    <w:rsid w:val="00F179D4"/>
    <w:rsid w:val="00F17C25"/>
    <w:rsid w:val="00F17C82"/>
    <w:rsid w:val="00F17D0D"/>
    <w:rsid w:val="00F201F5"/>
    <w:rsid w:val="00F20737"/>
    <w:rsid w:val="00F212A5"/>
    <w:rsid w:val="00F212CE"/>
    <w:rsid w:val="00F21943"/>
    <w:rsid w:val="00F21CB1"/>
    <w:rsid w:val="00F21FFB"/>
    <w:rsid w:val="00F22A23"/>
    <w:rsid w:val="00F22FAB"/>
    <w:rsid w:val="00F236B5"/>
    <w:rsid w:val="00F2396F"/>
    <w:rsid w:val="00F23E2F"/>
    <w:rsid w:val="00F240B2"/>
    <w:rsid w:val="00F244DD"/>
    <w:rsid w:val="00F256F2"/>
    <w:rsid w:val="00F25A32"/>
    <w:rsid w:val="00F265CE"/>
    <w:rsid w:val="00F268D3"/>
    <w:rsid w:val="00F26AAB"/>
    <w:rsid w:val="00F26D71"/>
    <w:rsid w:val="00F27333"/>
    <w:rsid w:val="00F27E18"/>
    <w:rsid w:val="00F27FBB"/>
    <w:rsid w:val="00F3000D"/>
    <w:rsid w:val="00F30CB4"/>
    <w:rsid w:val="00F31CDB"/>
    <w:rsid w:val="00F31DBC"/>
    <w:rsid w:val="00F323E7"/>
    <w:rsid w:val="00F327C8"/>
    <w:rsid w:val="00F329F9"/>
    <w:rsid w:val="00F32A7E"/>
    <w:rsid w:val="00F32CBB"/>
    <w:rsid w:val="00F32D2F"/>
    <w:rsid w:val="00F32E6D"/>
    <w:rsid w:val="00F3320A"/>
    <w:rsid w:val="00F33269"/>
    <w:rsid w:val="00F33556"/>
    <w:rsid w:val="00F336E8"/>
    <w:rsid w:val="00F33C56"/>
    <w:rsid w:val="00F34771"/>
    <w:rsid w:val="00F347C7"/>
    <w:rsid w:val="00F347DB"/>
    <w:rsid w:val="00F34848"/>
    <w:rsid w:val="00F348DF"/>
    <w:rsid w:val="00F34985"/>
    <w:rsid w:val="00F34A8E"/>
    <w:rsid w:val="00F34D71"/>
    <w:rsid w:val="00F3538E"/>
    <w:rsid w:val="00F3647B"/>
    <w:rsid w:val="00F36922"/>
    <w:rsid w:val="00F3711B"/>
    <w:rsid w:val="00F37A04"/>
    <w:rsid w:val="00F37A4E"/>
    <w:rsid w:val="00F40494"/>
    <w:rsid w:val="00F40A29"/>
    <w:rsid w:val="00F40BEA"/>
    <w:rsid w:val="00F4165F"/>
    <w:rsid w:val="00F41725"/>
    <w:rsid w:val="00F4187E"/>
    <w:rsid w:val="00F418A3"/>
    <w:rsid w:val="00F41CD0"/>
    <w:rsid w:val="00F41E4D"/>
    <w:rsid w:val="00F42D46"/>
    <w:rsid w:val="00F42E04"/>
    <w:rsid w:val="00F430C2"/>
    <w:rsid w:val="00F43935"/>
    <w:rsid w:val="00F43B64"/>
    <w:rsid w:val="00F442C9"/>
    <w:rsid w:val="00F4496C"/>
    <w:rsid w:val="00F44F3A"/>
    <w:rsid w:val="00F4505C"/>
    <w:rsid w:val="00F45892"/>
    <w:rsid w:val="00F45899"/>
    <w:rsid w:val="00F4606B"/>
    <w:rsid w:val="00F46295"/>
    <w:rsid w:val="00F46327"/>
    <w:rsid w:val="00F4659C"/>
    <w:rsid w:val="00F46676"/>
    <w:rsid w:val="00F46AA0"/>
    <w:rsid w:val="00F46C38"/>
    <w:rsid w:val="00F47D18"/>
    <w:rsid w:val="00F50456"/>
    <w:rsid w:val="00F50E9F"/>
    <w:rsid w:val="00F51A57"/>
    <w:rsid w:val="00F51D8C"/>
    <w:rsid w:val="00F51F10"/>
    <w:rsid w:val="00F51F6A"/>
    <w:rsid w:val="00F51F89"/>
    <w:rsid w:val="00F5224A"/>
    <w:rsid w:val="00F5258D"/>
    <w:rsid w:val="00F529A5"/>
    <w:rsid w:val="00F52AE9"/>
    <w:rsid w:val="00F52E17"/>
    <w:rsid w:val="00F52FB7"/>
    <w:rsid w:val="00F5310D"/>
    <w:rsid w:val="00F5346B"/>
    <w:rsid w:val="00F53BE5"/>
    <w:rsid w:val="00F54B23"/>
    <w:rsid w:val="00F54C57"/>
    <w:rsid w:val="00F54D10"/>
    <w:rsid w:val="00F54D99"/>
    <w:rsid w:val="00F5573A"/>
    <w:rsid w:val="00F55A64"/>
    <w:rsid w:val="00F56B64"/>
    <w:rsid w:val="00F5703D"/>
    <w:rsid w:val="00F5740F"/>
    <w:rsid w:val="00F57579"/>
    <w:rsid w:val="00F57995"/>
    <w:rsid w:val="00F6015D"/>
    <w:rsid w:val="00F609FF"/>
    <w:rsid w:val="00F60ECA"/>
    <w:rsid w:val="00F60F00"/>
    <w:rsid w:val="00F614C0"/>
    <w:rsid w:val="00F61527"/>
    <w:rsid w:val="00F61610"/>
    <w:rsid w:val="00F61782"/>
    <w:rsid w:val="00F61F33"/>
    <w:rsid w:val="00F6207F"/>
    <w:rsid w:val="00F6208D"/>
    <w:rsid w:val="00F62145"/>
    <w:rsid w:val="00F62E4E"/>
    <w:rsid w:val="00F63224"/>
    <w:rsid w:val="00F634A6"/>
    <w:rsid w:val="00F63B17"/>
    <w:rsid w:val="00F657D6"/>
    <w:rsid w:val="00F65B33"/>
    <w:rsid w:val="00F65DE0"/>
    <w:rsid w:val="00F6604E"/>
    <w:rsid w:val="00F66562"/>
    <w:rsid w:val="00F66827"/>
    <w:rsid w:val="00F66AE1"/>
    <w:rsid w:val="00F6733A"/>
    <w:rsid w:val="00F67439"/>
    <w:rsid w:val="00F67B6C"/>
    <w:rsid w:val="00F67C28"/>
    <w:rsid w:val="00F67EA0"/>
    <w:rsid w:val="00F7047C"/>
    <w:rsid w:val="00F70C8D"/>
    <w:rsid w:val="00F70DD9"/>
    <w:rsid w:val="00F712A0"/>
    <w:rsid w:val="00F7258C"/>
    <w:rsid w:val="00F7263A"/>
    <w:rsid w:val="00F737E8"/>
    <w:rsid w:val="00F73988"/>
    <w:rsid w:val="00F74F4D"/>
    <w:rsid w:val="00F752AD"/>
    <w:rsid w:val="00F75970"/>
    <w:rsid w:val="00F76769"/>
    <w:rsid w:val="00F76CE2"/>
    <w:rsid w:val="00F772CD"/>
    <w:rsid w:val="00F777C7"/>
    <w:rsid w:val="00F8005B"/>
    <w:rsid w:val="00F80703"/>
    <w:rsid w:val="00F80AE2"/>
    <w:rsid w:val="00F81507"/>
    <w:rsid w:val="00F815C0"/>
    <w:rsid w:val="00F81AB0"/>
    <w:rsid w:val="00F8210A"/>
    <w:rsid w:val="00F8270E"/>
    <w:rsid w:val="00F8271F"/>
    <w:rsid w:val="00F828FF"/>
    <w:rsid w:val="00F82CB7"/>
    <w:rsid w:val="00F83848"/>
    <w:rsid w:val="00F83998"/>
    <w:rsid w:val="00F839DE"/>
    <w:rsid w:val="00F83A03"/>
    <w:rsid w:val="00F83DCA"/>
    <w:rsid w:val="00F83EED"/>
    <w:rsid w:val="00F84AD2"/>
    <w:rsid w:val="00F84B0B"/>
    <w:rsid w:val="00F85680"/>
    <w:rsid w:val="00F864E4"/>
    <w:rsid w:val="00F86573"/>
    <w:rsid w:val="00F865B9"/>
    <w:rsid w:val="00F86871"/>
    <w:rsid w:val="00F86970"/>
    <w:rsid w:val="00F86D54"/>
    <w:rsid w:val="00F8785B"/>
    <w:rsid w:val="00F87AED"/>
    <w:rsid w:val="00F90784"/>
    <w:rsid w:val="00F9104B"/>
    <w:rsid w:val="00F91155"/>
    <w:rsid w:val="00F911D7"/>
    <w:rsid w:val="00F91422"/>
    <w:rsid w:val="00F91940"/>
    <w:rsid w:val="00F91EBC"/>
    <w:rsid w:val="00F92B36"/>
    <w:rsid w:val="00F935A9"/>
    <w:rsid w:val="00F937A8"/>
    <w:rsid w:val="00F93B2F"/>
    <w:rsid w:val="00F93DFD"/>
    <w:rsid w:val="00F94B9B"/>
    <w:rsid w:val="00F94F07"/>
    <w:rsid w:val="00F95090"/>
    <w:rsid w:val="00F96F22"/>
    <w:rsid w:val="00F97311"/>
    <w:rsid w:val="00F975E9"/>
    <w:rsid w:val="00F977AF"/>
    <w:rsid w:val="00F97E4C"/>
    <w:rsid w:val="00FA03D6"/>
    <w:rsid w:val="00FA079C"/>
    <w:rsid w:val="00FA1B7D"/>
    <w:rsid w:val="00FA2153"/>
    <w:rsid w:val="00FA2845"/>
    <w:rsid w:val="00FA2862"/>
    <w:rsid w:val="00FA321B"/>
    <w:rsid w:val="00FA32EC"/>
    <w:rsid w:val="00FA3AF5"/>
    <w:rsid w:val="00FA3B65"/>
    <w:rsid w:val="00FA40C1"/>
    <w:rsid w:val="00FA40FE"/>
    <w:rsid w:val="00FA4758"/>
    <w:rsid w:val="00FA6B54"/>
    <w:rsid w:val="00FA6B68"/>
    <w:rsid w:val="00FB006F"/>
    <w:rsid w:val="00FB00E5"/>
    <w:rsid w:val="00FB016A"/>
    <w:rsid w:val="00FB17BF"/>
    <w:rsid w:val="00FB2F3E"/>
    <w:rsid w:val="00FB3A5B"/>
    <w:rsid w:val="00FB3A6F"/>
    <w:rsid w:val="00FB3C87"/>
    <w:rsid w:val="00FB3EA3"/>
    <w:rsid w:val="00FB4304"/>
    <w:rsid w:val="00FB4385"/>
    <w:rsid w:val="00FB518A"/>
    <w:rsid w:val="00FB51C0"/>
    <w:rsid w:val="00FB699D"/>
    <w:rsid w:val="00FB6CBC"/>
    <w:rsid w:val="00FB73C5"/>
    <w:rsid w:val="00FB7EC7"/>
    <w:rsid w:val="00FC03E8"/>
    <w:rsid w:val="00FC07B9"/>
    <w:rsid w:val="00FC0860"/>
    <w:rsid w:val="00FC08FD"/>
    <w:rsid w:val="00FC121C"/>
    <w:rsid w:val="00FC1D44"/>
    <w:rsid w:val="00FC20D4"/>
    <w:rsid w:val="00FC328A"/>
    <w:rsid w:val="00FC3E45"/>
    <w:rsid w:val="00FC3FCD"/>
    <w:rsid w:val="00FC4226"/>
    <w:rsid w:val="00FC4581"/>
    <w:rsid w:val="00FC476E"/>
    <w:rsid w:val="00FC4D8D"/>
    <w:rsid w:val="00FC4E21"/>
    <w:rsid w:val="00FC540F"/>
    <w:rsid w:val="00FC5464"/>
    <w:rsid w:val="00FC5773"/>
    <w:rsid w:val="00FC5F6D"/>
    <w:rsid w:val="00FC688F"/>
    <w:rsid w:val="00FC71BA"/>
    <w:rsid w:val="00FC7BD2"/>
    <w:rsid w:val="00FC7D25"/>
    <w:rsid w:val="00FD0107"/>
    <w:rsid w:val="00FD0B09"/>
    <w:rsid w:val="00FD14E8"/>
    <w:rsid w:val="00FD167B"/>
    <w:rsid w:val="00FD1D61"/>
    <w:rsid w:val="00FD1EFC"/>
    <w:rsid w:val="00FD211E"/>
    <w:rsid w:val="00FD2797"/>
    <w:rsid w:val="00FD2C2F"/>
    <w:rsid w:val="00FD2DBA"/>
    <w:rsid w:val="00FD3A83"/>
    <w:rsid w:val="00FD3AAD"/>
    <w:rsid w:val="00FD3B31"/>
    <w:rsid w:val="00FD3EA2"/>
    <w:rsid w:val="00FD54D6"/>
    <w:rsid w:val="00FD564B"/>
    <w:rsid w:val="00FD66A9"/>
    <w:rsid w:val="00FD67F6"/>
    <w:rsid w:val="00FD6A85"/>
    <w:rsid w:val="00FD7975"/>
    <w:rsid w:val="00FD7A7D"/>
    <w:rsid w:val="00FD7C9A"/>
    <w:rsid w:val="00FE0165"/>
    <w:rsid w:val="00FE02F1"/>
    <w:rsid w:val="00FE0500"/>
    <w:rsid w:val="00FE06F1"/>
    <w:rsid w:val="00FE1823"/>
    <w:rsid w:val="00FE2091"/>
    <w:rsid w:val="00FE22A7"/>
    <w:rsid w:val="00FE2490"/>
    <w:rsid w:val="00FE24F1"/>
    <w:rsid w:val="00FE2A2F"/>
    <w:rsid w:val="00FE2AAE"/>
    <w:rsid w:val="00FE369B"/>
    <w:rsid w:val="00FE3DFF"/>
    <w:rsid w:val="00FE4661"/>
    <w:rsid w:val="00FE487A"/>
    <w:rsid w:val="00FE48C7"/>
    <w:rsid w:val="00FE4E39"/>
    <w:rsid w:val="00FE4EC1"/>
    <w:rsid w:val="00FE5132"/>
    <w:rsid w:val="00FE5C2F"/>
    <w:rsid w:val="00FE5F74"/>
    <w:rsid w:val="00FE6B22"/>
    <w:rsid w:val="00FE6F62"/>
    <w:rsid w:val="00FE7072"/>
    <w:rsid w:val="00FE71E0"/>
    <w:rsid w:val="00FE7D15"/>
    <w:rsid w:val="00FE7D18"/>
    <w:rsid w:val="00FF01B1"/>
    <w:rsid w:val="00FF0569"/>
    <w:rsid w:val="00FF0E44"/>
    <w:rsid w:val="00FF1004"/>
    <w:rsid w:val="00FF17C3"/>
    <w:rsid w:val="00FF188E"/>
    <w:rsid w:val="00FF1AF8"/>
    <w:rsid w:val="00FF206E"/>
    <w:rsid w:val="00FF28B5"/>
    <w:rsid w:val="00FF2EA4"/>
    <w:rsid w:val="00FF34BF"/>
    <w:rsid w:val="00FF34F6"/>
    <w:rsid w:val="00FF36E3"/>
    <w:rsid w:val="00FF373B"/>
    <w:rsid w:val="00FF3B54"/>
    <w:rsid w:val="00FF3C69"/>
    <w:rsid w:val="00FF3D79"/>
    <w:rsid w:val="00FF3E79"/>
    <w:rsid w:val="00FF4B57"/>
    <w:rsid w:val="00FF59C9"/>
    <w:rsid w:val="00FF5A32"/>
    <w:rsid w:val="00FF5C4C"/>
    <w:rsid w:val="00FF64CA"/>
    <w:rsid w:val="00FF6E0A"/>
    <w:rsid w:val="00FF6E0C"/>
    <w:rsid w:val="00FF7071"/>
    <w:rsid w:val="00FF7657"/>
    <w:rsid w:val="00FF7913"/>
    <w:rsid w:val="00FF7EBC"/>
    <w:rsid w:val="0D0A2F13"/>
    <w:rsid w:val="23AD57CA"/>
    <w:rsid w:val="504B14FA"/>
    <w:rsid w:val="58DACE57"/>
    <w:rsid w:val="7697FD89"/>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colormru v:ext="edit" colors="red,#4d4d4f"/>
    </o:shapedefaults>
    <o:shapelayout v:ext="edit">
      <o:idmap v:ext="edit" data="1"/>
    </o:shapelayout>
  </w:shapeDefaults>
  <w:decimalSymbol w:val="."/>
  <w:listSeparator w:val=","/>
  <w14:docId w14:val="25540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aliases w:val="RIS 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374186"/>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qFormat/>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qFormat/>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aliases w:val="RIS 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374186"/>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qFormat/>
    <w:rsid w:val="007B0932"/>
    <w:rPr>
      <w:rFonts w:ascii="Arial" w:hAnsi="Arial"/>
      <w:sz w:val="16"/>
      <w:szCs w:val="16"/>
    </w:rPr>
  </w:style>
  <w:style w:type="character" w:customStyle="1" w:styleId="ListBulletChar">
    <w:name w:val="List Bullet Char"/>
    <w:aliases w:val="List Bullet 1 Char"/>
    <w:basedOn w:val="DefaultParagraphFont"/>
    <w:link w:val="ListBullet"/>
    <w:rsid w:val="000C0D21"/>
    <w:rPr>
      <w:rFonts w:ascii="Arial" w:hAnsi="Arial"/>
      <w:sz w:val="20"/>
    </w:rPr>
  </w:style>
  <w:style w:type="paragraph" w:customStyle="1" w:styleId="ACMASpaceaftertable">
    <w:name w:val="ACMA_Space after table"/>
    <w:basedOn w:val="Normal"/>
    <w:qFormat/>
    <w:rsid w:val="000C0D21"/>
    <w:rPr>
      <w:rFonts w:cs="Arial"/>
    </w:rPr>
  </w:style>
  <w:style w:type="paragraph" w:customStyle="1" w:styleId="TableHeading0">
    <w:name w:val="Table Heading"/>
    <w:basedOn w:val="Normal"/>
    <w:qFormat/>
    <w:rsid w:val="000C0D21"/>
    <w:pPr>
      <w:spacing w:after="0"/>
    </w:pPr>
    <w:rPr>
      <w:b/>
    </w:rPr>
  </w:style>
  <w:style w:type="paragraph" w:styleId="ListParagraph">
    <w:name w:val="List Paragraph"/>
    <w:aliases w:val="List Paragraph1,Recommendation"/>
    <w:basedOn w:val="Normal"/>
    <w:link w:val="ListParagraphChar"/>
    <w:uiPriority w:val="34"/>
    <w:qFormat/>
    <w:rsid w:val="00C3099F"/>
    <w:pPr>
      <w:ind w:left="720"/>
      <w:contextualSpacing/>
    </w:pPr>
  </w:style>
  <w:style w:type="paragraph" w:customStyle="1" w:styleId="ACMABodyText">
    <w:name w:val="ACMA Body Text"/>
    <w:link w:val="ACMABodyTextChar"/>
    <w:rsid w:val="003B25A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3B25A6"/>
    <w:rPr>
      <w:snapToGrid w:val="0"/>
      <w:szCs w:val="20"/>
      <w:lang w:eastAsia="en-US"/>
    </w:rPr>
  </w:style>
  <w:style w:type="paragraph" w:customStyle="1" w:styleId="ACMANormalTabbed">
    <w:name w:val="ACMA_NormalTabbed"/>
    <w:basedOn w:val="Normal"/>
    <w:qFormat/>
    <w:rsid w:val="004A1C84"/>
    <w:pPr>
      <w:tabs>
        <w:tab w:val="left" w:pos="1134"/>
      </w:tabs>
    </w:pPr>
  </w:style>
  <w:style w:type="character" w:styleId="Mention">
    <w:name w:val="Mention"/>
    <w:basedOn w:val="DefaultParagraphFont"/>
    <w:uiPriority w:val="99"/>
    <w:unhideWhenUsed/>
    <w:rsid w:val="000A21D6"/>
    <w:rPr>
      <w:color w:val="2B579A"/>
      <w:shd w:val="clear" w:color="auto" w:fill="E1DFDD"/>
    </w:rPr>
  </w:style>
  <w:style w:type="paragraph" w:styleId="Revision">
    <w:name w:val="Revision"/>
    <w:hidden/>
    <w:semiHidden/>
    <w:rsid w:val="00A62D1A"/>
    <w:rPr>
      <w:rFonts w:ascii="Arial" w:hAnsi="Arial"/>
      <w:sz w:val="20"/>
    </w:rPr>
  </w:style>
  <w:style w:type="character" w:customStyle="1" w:styleId="ListParagraphChar">
    <w:name w:val="List Paragraph Char"/>
    <w:aliases w:val="List Paragraph1 Char,Recommendation Char"/>
    <w:basedOn w:val="DefaultParagraphFont"/>
    <w:link w:val="ListParagraph"/>
    <w:uiPriority w:val="34"/>
    <w:rsid w:val="00F1636D"/>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17423547">
      <w:bodyDiv w:val="1"/>
      <w:marLeft w:val="0"/>
      <w:marRight w:val="0"/>
      <w:marTop w:val="0"/>
      <w:marBottom w:val="0"/>
      <w:divBdr>
        <w:top w:val="none" w:sz="0" w:space="0" w:color="auto"/>
        <w:left w:val="none" w:sz="0" w:space="0" w:color="auto"/>
        <w:bottom w:val="none" w:sz="0" w:space="0" w:color="auto"/>
        <w:right w:val="none" w:sz="0" w:space="0" w:color="auto"/>
      </w:divBdr>
    </w:div>
    <w:div w:id="321785350">
      <w:bodyDiv w:val="1"/>
      <w:marLeft w:val="0"/>
      <w:marRight w:val="0"/>
      <w:marTop w:val="0"/>
      <w:marBottom w:val="0"/>
      <w:divBdr>
        <w:top w:val="none" w:sz="0" w:space="0" w:color="auto"/>
        <w:left w:val="none" w:sz="0" w:space="0" w:color="auto"/>
        <w:bottom w:val="none" w:sz="0" w:space="0" w:color="auto"/>
        <w:right w:val="none" w:sz="0" w:space="0" w:color="auto"/>
      </w:divBdr>
    </w:div>
    <w:div w:id="388303161">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90381377">
      <w:bodyDiv w:val="1"/>
      <w:marLeft w:val="0"/>
      <w:marRight w:val="0"/>
      <w:marTop w:val="0"/>
      <w:marBottom w:val="0"/>
      <w:divBdr>
        <w:top w:val="none" w:sz="0" w:space="0" w:color="auto"/>
        <w:left w:val="none" w:sz="0" w:space="0" w:color="auto"/>
        <w:bottom w:val="none" w:sz="0" w:space="0" w:color="auto"/>
        <w:right w:val="none" w:sz="0" w:space="0" w:color="auto"/>
      </w:divBdr>
    </w:div>
    <w:div w:id="856038643">
      <w:bodyDiv w:val="1"/>
      <w:marLeft w:val="0"/>
      <w:marRight w:val="0"/>
      <w:marTop w:val="0"/>
      <w:marBottom w:val="0"/>
      <w:divBdr>
        <w:top w:val="none" w:sz="0" w:space="0" w:color="auto"/>
        <w:left w:val="none" w:sz="0" w:space="0" w:color="auto"/>
        <w:bottom w:val="none" w:sz="0" w:space="0" w:color="auto"/>
        <w:right w:val="none" w:sz="0" w:space="0" w:color="auto"/>
      </w:divBdr>
    </w:div>
    <w:div w:id="1031372552">
      <w:bodyDiv w:val="1"/>
      <w:marLeft w:val="0"/>
      <w:marRight w:val="0"/>
      <w:marTop w:val="0"/>
      <w:marBottom w:val="0"/>
      <w:divBdr>
        <w:top w:val="none" w:sz="0" w:space="0" w:color="auto"/>
        <w:left w:val="none" w:sz="0" w:space="0" w:color="auto"/>
        <w:bottom w:val="none" w:sz="0" w:space="0" w:color="auto"/>
        <w:right w:val="none" w:sz="0" w:space="0" w:color="auto"/>
      </w:divBdr>
    </w:div>
    <w:div w:id="1298225167">
      <w:bodyDiv w:val="1"/>
      <w:marLeft w:val="0"/>
      <w:marRight w:val="0"/>
      <w:marTop w:val="0"/>
      <w:marBottom w:val="0"/>
      <w:divBdr>
        <w:top w:val="none" w:sz="0" w:space="0" w:color="auto"/>
        <w:left w:val="none" w:sz="0" w:space="0" w:color="auto"/>
        <w:bottom w:val="none" w:sz="0" w:space="0" w:color="auto"/>
        <w:right w:val="none" w:sz="0" w:space="0" w:color="auto"/>
      </w:divBdr>
    </w:div>
    <w:div w:id="135187751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53409346">
      <w:bodyDiv w:val="1"/>
      <w:marLeft w:val="0"/>
      <w:marRight w:val="0"/>
      <w:marTop w:val="0"/>
      <w:marBottom w:val="0"/>
      <w:divBdr>
        <w:top w:val="none" w:sz="0" w:space="0" w:color="auto"/>
        <w:left w:val="none" w:sz="0" w:space="0" w:color="auto"/>
        <w:bottom w:val="none" w:sz="0" w:space="0" w:color="auto"/>
        <w:right w:val="none" w:sz="0" w:space="0" w:color="auto"/>
      </w:divBdr>
    </w:div>
    <w:div w:id="179976514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74161771">
      <w:bodyDiv w:val="1"/>
      <w:marLeft w:val="0"/>
      <w:marRight w:val="0"/>
      <w:marTop w:val="0"/>
      <w:marBottom w:val="0"/>
      <w:divBdr>
        <w:top w:val="none" w:sz="0" w:space="0" w:color="auto"/>
        <w:left w:val="none" w:sz="0" w:space="0" w:color="auto"/>
        <w:bottom w:val="none" w:sz="0" w:space="0" w:color="auto"/>
        <w:right w:val="none" w:sz="0" w:space="0" w:color="auto"/>
      </w:divBdr>
    </w:div>
    <w:div w:id="2101677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i.creativecommons.org/l/by/3.0/88x31.png" TargetMode="External"/><Relationship Id="rId18" Type="http://schemas.openxmlformats.org/officeDocument/2006/relationships/header" Target="header5.xml"/><Relationship Id="rId26" Type="http://schemas.openxmlformats.org/officeDocument/2006/relationships/hyperlink" Target="https://www.acma.gov.au/consultations/2020-07/replanning-options-2-ghz-band-consultation-232020" TargetMode="External"/><Relationship Id="rId39" Type="http://schemas.openxmlformats.org/officeDocument/2006/relationships/hyperlink" Target="https://www.acma.gov.au/consultations/2020-04/draft-five-year-spectrum-outlook-2020-24-consultation-092020" TargetMode="External"/><Relationship Id="rId21" Type="http://schemas.openxmlformats.org/officeDocument/2006/relationships/header" Target="header6.xml"/><Relationship Id="rId34" Type="http://schemas.openxmlformats.org/officeDocument/2006/relationships/hyperlink" Target="https://www.aph.gov.au/Parliamentary_Business/Committees/House/Communications/5G/Report" TargetMode="External"/><Relationship Id="rId42" Type="http://schemas.openxmlformats.org/officeDocument/2006/relationships/hyperlink" Target="mailto:wrc@communications.gov.au" TargetMode="External"/><Relationship Id="rId47" Type="http://schemas.openxmlformats.org/officeDocument/2006/relationships/hyperlink" Target="https://www.acma.gov.au/local-area-wireless-broadband-services" TargetMode="External"/><Relationship Id="rId50" Type="http://schemas.openxmlformats.org/officeDocument/2006/relationships/hyperlink" Target="https://www.acma.gov.au/licences/scientific-licence" TargetMode="External"/><Relationship Id="rId55" Type="http://schemas.openxmlformats.org/officeDocument/2006/relationships/hyperlink" Target="https://web.acma.gov.au/rrl/spectrum_search.show_table?pSV_ID=85&amp;pSS_ID=854" TargetMode="External"/><Relationship Id="rId63" Type="http://schemas.openxmlformats.org/officeDocument/2006/relationships/hyperlink" Target="https://www.acma.gov.au/consultations/2020-07/replanning-options-2-ghz-band-consultation-232020" TargetMode="External"/><Relationship Id="rId68" Type="http://schemas.openxmlformats.org/officeDocument/2006/relationships/hyperlink" Target="https://www.acma.gov.au/convert-hcis-area-description-placemark"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mailto:info@acma.gov.au" TargetMode="External"/><Relationship Id="rId29" Type="http://schemas.openxmlformats.org/officeDocument/2006/relationships/hyperlink" Target="https://www.communications.gov.au/departmental-news/5g-enabling-future-economy" TargetMode="Externa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hyperlink" Target="https://www.industry.gov.au/data-and-publications/australian-civil-space-strategy-2019-2028/national-civil-space-priority-areas" TargetMode="External"/><Relationship Id="rId37" Type="http://schemas.openxmlformats.org/officeDocument/2006/relationships/hyperlink" Target="https://www.acma.gov.au/object-and-scope-radiocommunications-act-1992" TargetMode="External"/><Relationship Id="rId40" Type="http://schemas.openxmlformats.org/officeDocument/2006/relationships/hyperlink" Target="https://www.acma.gov.au/international-radiocommunications-activities" TargetMode="External"/><Relationship Id="rId45" Type="http://schemas.openxmlformats.org/officeDocument/2006/relationships/hyperlink" Target="https://www.acma.gov.au/consultations/2020-07/replanning-options-2-ghz-band-consultation-232020" TargetMode="External"/><Relationship Id="rId53" Type="http://schemas.openxmlformats.org/officeDocument/2006/relationships/hyperlink" Target="https://www.acma.gov.au/area-wide-apparatus-licence" TargetMode="External"/><Relationship Id="rId58" Type="http://schemas.openxmlformats.org/officeDocument/2006/relationships/hyperlink" Target="https://www.acma.gov.au/publications/2019-08/publication/rali-ms32-mid-west-radio-quiet-zone" TargetMode="External"/><Relationship Id="rId66" Type="http://schemas.openxmlformats.org/officeDocument/2006/relationships/hyperlink" Target="https://web.acma.gov.au/rrl/spectrum_search.show_table?pSV_ID=85&amp;pSS_ID=854" TargetMode="External"/><Relationship Id="rId74"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yperlink" Target="https://creativecommons.org/licenses/by/4.0/" TargetMode="External"/><Relationship Id="rId23" Type="http://schemas.openxmlformats.org/officeDocument/2006/relationships/footer" Target="footer5.xml"/><Relationship Id="rId28" Type="http://schemas.openxmlformats.org/officeDocument/2006/relationships/hyperlink" Target="https://www.legislation.gov.au/Series/C2004A04465" TargetMode="External"/><Relationship Id="rId36" Type="http://schemas.openxmlformats.org/officeDocument/2006/relationships/hyperlink" Target="https://www.acma.gov.au/area-wide-apparatus-licence" TargetMode="External"/><Relationship Id="rId49" Type="http://schemas.openxmlformats.org/officeDocument/2006/relationships/hyperlink" Target="https://www.legislation.gov.au/Series/F2015L01486" TargetMode="External"/><Relationship Id="rId57" Type="http://schemas.openxmlformats.org/officeDocument/2006/relationships/hyperlink" Target="https://www.legislation.gov.au/Series/F2011L01520" TargetMode="External"/><Relationship Id="rId61" Type="http://schemas.openxmlformats.org/officeDocument/2006/relationships/hyperlink" Target="https://www.acma.gov.au/publications/2019-09/publication/rali-fx21-television-outside-broadcasting-services" TargetMode="Externa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hyperlink" Target="https://www.industry.gov.au/data-and-publications/australian-civil-space-strategy-2019-2028" TargetMode="External"/><Relationship Id="rId44" Type="http://schemas.openxmlformats.org/officeDocument/2006/relationships/hyperlink" Target="https://www.acma.gov.au/consultations/2020-07/replanning-options-2-ghz-band-consultation-232020" TargetMode="External"/><Relationship Id="rId52" Type="http://schemas.openxmlformats.org/officeDocument/2006/relationships/hyperlink" Target="https://www.legislation.gov.au/Series/F2014L01584" TargetMode="External"/><Relationship Id="rId60" Type="http://schemas.openxmlformats.org/officeDocument/2006/relationships/hyperlink" Target="https://www.acma.gov.au/five-year-spectrum-outlook" TargetMode="External"/><Relationship Id="rId65" Type="http://schemas.openxmlformats.org/officeDocument/2006/relationships/hyperlink" Target="https://www.acma.gov.au/consultations/2020-07/replanning-options-2-ghz-band-consultation-232020" TargetMode="External"/><Relationship Id="rId73"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png"/><Relationship Id="rId22" Type="http://schemas.openxmlformats.org/officeDocument/2006/relationships/header" Target="header7.xml"/><Relationship Id="rId27" Type="http://schemas.openxmlformats.org/officeDocument/2006/relationships/hyperlink" Target="https://www.acma.gov.au/consultations/2020-07/replanning-options-2-ghz-band-consultation-232020" TargetMode="External"/><Relationship Id="rId30" Type="http://schemas.openxmlformats.org/officeDocument/2006/relationships/hyperlink" Target="https://www.industry.gov.au/news-media/australias-tech-future" TargetMode="External"/><Relationship Id="rId35" Type="http://schemas.openxmlformats.org/officeDocument/2006/relationships/hyperlink" Target="https://www.acma.gov.au/fees-apparatus-licences" TargetMode="External"/><Relationship Id="rId43" Type="http://schemas.openxmlformats.org/officeDocument/2006/relationships/hyperlink" Target="https://www.acma.gov.au/consultations/2019-09/planning-2-ghz-band-consultation-262019" TargetMode="External"/><Relationship Id="rId48" Type="http://schemas.openxmlformats.org/officeDocument/2006/relationships/image" Target="media/image4.emf"/><Relationship Id="rId56" Type="http://schemas.openxmlformats.org/officeDocument/2006/relationships/hyperlink" Target="https://www.acma.gov.au/publications/2019-09/publication/rali-fx21-television-outside-broadcasting-services" TargetMode="External"/><Relationship Id="rId64" Type="http://schemas.openxmlformats.org/officeDocument/2006/relationships/hyperlink" Target="https://www.acma.gov.au/consultations/2020-07/replanning-options-2-ghz-band-consultation-232020" TargetMode="External"/><Relationship Id="rId69" Type="http://schemas.openxmlformats.org/officeDocument/2006/relationships/hyperlink" Target="https://web.acma.gov.au/rrl/licence_area.kml?pLICENCE_NO=10143562&amp;pAREA_CODE=AP_10143562_4174&amp;pAREA_NAME=Regional%20Western%20Australia" TargetMode="External"/><Relationship Id="rId8" Type="http://schemas.openxmlformats.org/officeDocument/2006/relationships/header" Target="header1.xml"/><Relationship Id="rId51" Type="http://schemas.openxmlformats.org/officeDocument/2006/relationships/hyperlink" Target="https://www.legislation.gov.au/Series/F2014L01586" TargetMode="External"/><Relationship Id="rId72" Type="http://schemas.openxmlformats.org/officeDocument/2006/relationships/header" Target="header9.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footer" Target="footer7.xml"/><Relationship Id="rId33" Type="http://schemas.openxmlformats.org/officeDocument/2006/relationships/hyperlink" Target="https://www.infrastructure.gov.au/department/ips/government_responses/government-response-next-gen-future.aspx" TargetMode="External"/><Relationship Id="rId38" Type="http://schemas.openxmlformats.org/officeDocument/2006/relationships/hyperlink" Target="https://www.acma.gov.au/consultations/2020-02/implementation-spectrum-pricing-review-consultation-072020" TargetMode="External"/><Relationship Id="rId46" Type="http://schemas.openxmlformats.org/officeDocument/2006/relationships/hyperlink" Target="https://www.inmarsat.com/aviation/aviation-connectivity-services/european-aviation-network/" TargetMode="External"/><Relationship Id="rId59" Type="http://schemas.openxmlformats.org/officeDocument/2006/relationships/hyperlink" Target="https://www.acma.gov.au/current-and-past-spectrum-embargoes" TargetMode="External"/><Relationship Id="rId67" Type="http://schemas.openxmlformats.org/officeDocument/2006/relationships/hyperlink" Target="https://www.acma.gov.au/australian-spectrum-map-grid" TargetMode="External"/><Relationship Id="rId20" Type="http://schemas.openxmlformats.org/officeDocument/2006/relationships/footer" Target="footer4.xml"/><Relationship Id="rId41" Type="http://schemas.openxmlformats.org/officeDocument/2006/relationships/hyperlink" Target="mailto:irs@acma.gov.au" TargetMode="External"/><Relationship Id="rId54" Type="http://schemas.openxmlformats.org/officeDocument/2006/relationships/hyperlink" Target="https://www.acma.gov.au/procedures-space-and-space-receive-licensing" TargetMode="External"/><Relationship Id="rId62" Type="http://schemas.openxmlformats.org/officeDocument/2006/relationships/hyperlink" Target="https://www.legislation.gov.au/Details/F2012L00731" TargetMode="External"/><Relationship Id="rId70" Type="http://schemas.openxmlformats.org/officeDocument/2006/relationships/hyperlink" Target="https://web.acma.gov.au/rrl/licence_area.kml?pLICENCE_NO=10143136&amp;pAREA_CODE=AP_10143136_3984&amp;pAREA_NAME=Regional%20South%20East%20Australia"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3gpp.org/DynaReport/38-series.htm" TargetMode="External"/><Relationship Id="rId13" Type="http://schemas.openxmlformats.org/officeDocument/2006/relationships/hyperlink" Target="https://www.acma.gov.au/spectrum-auctions" TargetMode="External"/><Relationship Id="rId18" Type="http://schemas.openxmlformats.org/officeDocument/2006/relationships/hyperlink" Target="https://www.legislation.gov.au/Series/F2012L00731" TargetMode="External"/><Relationship Id="rId3" Type="http://schemas.openxmlformats.org/officeDocument/2006/relationships/hyperlink" Target="https://www.acma.gov.au/consultations/2020-07/replanning-options-2-ghz-band-consultation-232020" TargetMode="External"/><Relationship Id="rId7" Type="http://schemas.openxmlformats.org/officeDocument/2006/relationships/hyperlink" Target="https://www.acma.gov.au/publications/2019-09/publication/rali-fx3-microwave-fixed-services" TargetMode="External"/><Relationship Id="rId12" Type="http://schemas.openxmlformats.org/officeDocument/2006/relationships/hyperlink" Target="https://www.3gpp.org/DynaReport/38-series.htm" TargetMode="External"/><Relationship Id="rId17" Type="http://schemas.openxmlformats.org/officeDocument/2006/relationships/hyperlink" Target="https://www.acma.gov.au/consultations/2020-09/new-arrangements-low-interference-potential-devices-consultation-282020" TargetMode="External"/><Relationship Id="rId2" Type="http://schemas.openxmlformats.org/officeDocument/2006/relationships/hyperlink" Target="https://www.acma.gov.au/consultations/2020-07/replanning-options-2-ghz-band-consultation-232020" TargetMode="External"/><Relationship Id="rId16" Type="http://schemas.openxmlformats.org/officeDocument/2006/relationships/hyperlink" Target="https://www.acma.gov.au/Industry/Spectrum/Spectrum-planning/Current-APs-info-and-resources/rali-fx21-tv-ob-services" TargetMode="External"/><Relationship Id="rId20" Type="http://schemas.openxmlformats.org/officeDocument/2006/relationships/hyperlink" Target="https://www.acma.gov.au/publications/2019-08/publication/rali-ms33-frequency-coordination-and-licensing-procedures-apparatus-licensed-pts-2-ghz-bands" TargetMode="External"/><Relationship Id="rId1" Type="http://schemas.openxmlformats.org/officeDocument/2006/relationships/hyperlink" Target="https://www.acma.gov.au/sites/default/files/2019-08/ACMA%20corporate%20plan%202019-20.pdf" TargetMode="External"/><Relationship Id="rId6" Type="http://schemas.openxmlformats.org/officeDocument/2006/relationships/hyperlink" Target="https://www.acma.gov.au/consultations/2020-07/replanning-options-2-ghz-band-consultation-232020" TargetMode="External"/><Relationship Id="rId11" Type="http://schemas.openxmlformats.org/officeDocument/2006/relationships/hyperlink" Target="https://www.3gpp.org/DynaReport/36-series.htm" TargetMode="External"/><Relationship Id="rId5" Type="http://schemas.openxmlformats.org/officeDocument/2006/relationships/hyperlink" Target="https://eur-lex.europa.eu/legal-content/EN/TXT/?uri=CELEX%3A32009D0449" TargetMode="External"/><Relationship Id="rId15" Type="http://schemas.openxmlformats.org/officeDocument/2006/relationships/hyperlink" Target="https://www.ecodocdb.dk/download/cdf6fecf-f27e/ECCDEC0609.PDF" TargetMode="External"/><Relationship Id="rId10" Type="http://schemas.openxmlformats.org/officeDocument/2006/relationships/hyperlink" Target="https://www.3gpp.org/DynaReport/38104.htm" TargetMode="External"/><Relationship Id="rId19" Type="http://schemas.openxmlformats.org/officeDocument/2006/relationships/hyperlink" Target="https://www.acma.gov.au/2-ghz-technical-framework" TargetMode="External"/><Relationship Id="rId4" Type="http://schemas.openxmlformats.org/officeDocument/2006/relationships/hyperlink" Target="https://www.ecodocdb.dk/download/cdf6fecf-f27e/ECCDEC0609.PDF" TargetMode="External"/><Relationship Id="rId9" Type="http://schemas.openxmlformats.org/officeDocument/2006/relationships/hyperlink" Target="https://www.3gpp.org/DynaReport/38101.htm" TargetMode="External"/><Relationship Id="rId14" Type="http://schemas.openxmlformats.org/officeDocument/2006/relationships/hyperlink" Target="https://www.acma.gov.au/node/77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49A989-5C4A-4385-8AA8-9B897F0D87F0}">
  <ds:schemaRefs>
    <ds:schemaRef ds:uri="http://schemas.openxmlformats.org/officeDocument/2006/bibliography"/>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Template>
  <TotalTime>0</TotalTime>
  <Pages>32</Pages>
  <Words>14728</Words>
  <Characters>83956</Characters>
  <Application>Microsoft Office Word</Application>
  <DocSecurity>0</DocSecurity>
  <Lines>699</Lines>
  <Paragraphs>196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98488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2021-01-14T00:41:00Z</dcterms:created>
  <dcterms:modified xsi:type="dcterms:W3CDTF">2021-01-14T00:41:00Z</dcterms:modified>
  <cp:category/>
</cp:coreProperties>
</file>