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A2B4072" w14:textId="7671FF4E" w:rsidR="0017480D" w:rsidRDefault="0017480D" w:rsidP="00EF32DC">
      <w:pPr>
        <w:pStyle w:val="Reporttitle"/>
        <w:spacing w:after="200"/>
      </w:pPr>
      <w:r w:rsidRPr="00227AC5">
        <w:t>Teleco</w:t>
      </w:r>
      <w:r w:rsidRPr="00227AC5">
        <w:t>mmunication</w:t>
      </w:r>
      <w:r w:rsidR="0015456E" w:rsidRPr="00227AC5">
        <w:t>s</w:t>
      </w:r>
      <w:r w:rsidRPr="00EF32DC">
        <w:rPr>
          <w:bCs/>
        </w:rPr>
        <w:t xml:space="preserve"> law enforcement and national security obligations:</w:t>
      </w:r>
      <w:r w:rsidR="00052460" w:rsidRPr="00EF32DC">
        <w:rPr>
          <w:bCs/>
        </w:rPr>
        <w:t xml:space="preserve"> </w:t>
      </w:r>
      <w:r w:rsidRPr="00EF32DC">
        <w:t>Monitoring</w:t>
      </w:r>
      <w:r w:rsidR="0026743F">
        <w:t> </w:t>
      </w:r>
      <w:r w:rsidR="00627F2B" w:rsidRPr="00EF32DC">
        <w:t xml:space="preserve">industry </w:t>
      </w:r>
      <w:r w:rsidRPr="00EF32DC">
        <w:t>performance</w:t>
      </w:r>
      <w:r>
        <w:t xml:space="preserve"> </w:t>
      </w:r>
    </w:p>
    <w:p w14:paraId="107FAAB9" w14:textId="122182EA" w:rsidR="00C97736" w:rsidRPr="000D76E0" w:rsidRDefault="00164933" w:rsidP="00EC2B68">
      <w:pPr>
        <w:pStyle w:val="Reportdate"/>
        <w:spacing w:after="720"/>
        <w:rPr>
          <w:rFonts w:cs="Arial"/>
        </w:rPr>
        <w:sectPr w:rsidR="00C97736" w:rsidRPr="000D76E0" w:rsidSect="005E250B">
          <w:headerReference w:type="default" r:id="rId8"/>
          <w:footerReference w:type="default" r:id="rId9"/>
          <w:headerReference w:type="first" r:id="rId10"/>
          <w:pgSz w:w="11906" w:h="16838" w:code="9"/>
          <w:pgMar w:top="3924" w:right="992" w:bottom="1440" w:left="1134" w:header="709" w:footer="454" w:gutter="0"/>
          <w:cols w:space="708"/>
          <w:docGrid w:linePitch="360"/>
        </w:sectPr>
      </w:pPr>
      <w:r>
        <w:t>DECEMBER</w:t>
      </w:r>
      <w:r w:rsidR="00BD4421">
        <w:t xml:space="preserve"> 20</w:t>
      </w:r>
      <w:r w:rsidR="000971BD">
        <w:t>20</w:t>
      </w:r>
    </w:p>
    <w:p w14:paraId="0CC52E50" w14:textId="77777777" w:rsidR="0005011A" w:rsidRPr="00F44F3A" w:rsidRDefault="0005011A" w:rsidP="00FC07B9">
      <w:pPr>
        <w:pStyle w:val="ACMACorporateAddressHeader"/>
      </w:pPr>
      <w:r w:rsidRPr="00F44F3A">
        <w:lastRenderedPageBreak/>
        <w:t>Canberra</w:t>
      </w:r>
    </w:p>
    <w:p w14:paraId="038E61E6" w14:textId="77777777" w:rsidR="0005011A" w:rsidRPr="00FC07B9" w:rsidRDefault="0005011A" w:rsidP="00FC07B9">
      <w:pPr>
        <w:pStyle w:val="ACMACorporateAddresses"/>
      </w:pPr>
      <w:r w:rsidRPr="00FC07B9">
        <w:t xml:space="preserve">Red Building </w:t>
      </w:r>
      <w:r w:rsidRPr="00FC07B9">
        <w:br/>
        <w:t>Benjamin Offices</w:t>
      </w:r>
      <w:r w:rsidRPr="00FC07B9">
        <w:br/>
        <w:t xml:space="preserve">Chan Street </w:t>
      </w:r>
      <w:r w:rsidRPr="00FC07B9">
        <w:br/>
        <w:t>Belconnen ACT</w:t>
      </w:r>
    </w:p>
    <w:p w14:paraId="084E55D4" w14:textId="77777777" w:rsidR="0005011A" w:rsidRPr="00FC07B9" w:rsidRDefault="0005011A" w:rsidP="00FC07B9">
      <w:pPr>
        <w:pStyle w:val="ACMACorporateAddresses"/>
      </w:pPr>
      <w:r w:rsidRPr="00FC07B9">
        <w:t>PO Box 78</w:t>
      </w:r>
      <w:r w:rsidRPr="00FC07B9">
        <w:br/>
        <w:t>Belconnen ACT 2616</w:t>
      </w:r>
    </w:p>
    <w:p w14:paraId="403F4C01" w14:textId="77777777" w:rsidR="00FE1823" w:rsidRPr="00FC07B9" w:rsidRDefault="0005011A" w:rsidP="00FC07B9">
      <w:pPr>
        <w:pStyle w:val="ACMACorporateAddresses"/>
      </w:pPr>
      <w:r w:rsidRPr="00FC07B9">
        <w:t>T</w:t>
      </w:r>
      <w:r w:rsidR="00537604" w:rsidRPr="00FC07B9">
        <w:tab/>
      </w:r>
      <w:r w:rsidRPr="00FC07B9">
        <w:t>+61 2 6219 5555</w:t>
      </w:r>
      <w:r w:rsidRPr="00FC07B9">
        <w:br/>
        <w:t>F</w:t>
      </w:r>
      <w:r w:rsidR="00537604" w:rsidRPr="00FC07B9">
        <w:tab/>
      </w:r>
      <w:r w:rsidRPr="00FC07B9">
        <w:t>+61 2 6219 5353</w:t>
      </w:r>
    </w:p>
    <w:p w14:paraId="57539FB9" w14:textId="77777777" w:rsidR="0005011A" w:rsidRPr="00F44F3A" w:rsidRDefault="0005011A" w:rsidP="00FC07B9">
      <w:pPr>
        <w:pStyle w:val="ACMACorporateAddressHeader"/>
      </w:pPr>
      <w:r w:rsidRPr="00F44F3A">
        <w:t>Melbourne</w:t>
      </w:r>
    </w:p>
    <w:p w14:paraId="3E23627C" w14:textId="77777777" w:rsidR="0005011A" w:rsidRPr="00F44F3A" w:rsidRDefault="0005011A" w:rsidP="00FC07B9">
      <w:pPr>
        <w:pStyle w:val="ACMACorporateAddresses"/>
      </w:pPr>
      <w:r w:rsidRPr="00F44F3A">
        <w:t xml:space="preserve">Level 32 </w:t>
      </w:r>
      <w:r w:rsidRPr="00F44F3A">
        <w:br/>
        <w:t>Melbourne Central Tower</w:t>
      </w:r>
      <w:r w:rsidRPr="00F44F3A">
        <w:br/>
        <w:t xml:space="preserve">360 Elizabeth Street </w:t>
      </w:r>
      <w:r w:rsidR="008C10F4" w:rsidRPr="00F44F3A">
        <w:br/>
      </w:r>
      <w:r w:rsidRPr="00F44F3A">
        <w:t>Melbourne VIC</w:t>
      </w:r>
    </w:p>
    <w:p w14:paraId="6E860690" w14:textId="77777777" w:rsidR="0005011A" w:rsidRPr="00F44F3A" w:rsidRDefault="0005011A" w:rsidP="00FC07B9">
      <w:pPr>
        <w:pStyle w:val="ACMACorporateAddresses"/>
      </w:pPr>
      <w:r w:rsidRPr="00F44F3A">
        <w:t>PO Box 13112</w:t>
      </w:r>
      <w:r w:rsidRPr="00F44F3A">
        <w:br/>
        <w:t xml:space="preserve">Law Courts </w:t>
      </w:r>
      <w:r w:rsidRPr="00F44F3A">
        <w:br/>
        <w:t>Melbourne VIC 8010</w:t>
      </w:r>
    </w:p>
    <w:p w14:paraId="26B6A226" w14:textId="77777777" w:rsidR="0005011A" w:rsidRPr="00F44F3A" w:rsidRDefault="0005011A" w:rsidP="00FC07B9">
      <w:pPr>
        <w:pStyle w:val="ACMACorporateAddresses"/>
      </w:pPr>
      <w:r w:rsidRPr="00F44F3A">
        <w:t>T</w:t>
      </w:r>
      <w:r w:rsidR="00140318" w:rsidRPr="00F44F3A">
        <w:tab/>
      </w:r>
      <w:r w:rsidRPr="00F44F3A">
        <w:t>+61 3 9963 6800</w:t>
      </w:r>
      <w:r w:rsidRPr="00F44F3A">
        <w:br/>
        <w:t>F</w:t>
      </w:r>
      <w:r w:rsidR="00140318" w:rsidRPr="00F44F3A">
        <w:tab/>
      </w:r>
      <w:r w:rsidRPr="00F44F3A">
        <w:t>+61 3 9963 6899</w:t>
      </w:r>
    </w:p>
    <w:p w14:paraId="47774B92" w14:textId="77777777" w:rsidR="0005011A" w:rsidRPr="00F44F3A" w:rsidRDefault="0005011A" w:rsidP="00FC07B9">
      <w:pPr>
        <w:pStyle w:val="ACMACorporateAddressHeader"/>
      </w:pPr>
      <w:r w:rsidRPr="00F44F3A">
        <w:t>Sydney</w:t>
      </w:r>
    </w:p>
    <w:p w14:paraId="469AE99E" w14:textId="77777777" w:rsidR="0005011A" w:rsidRPr="00F44F3A" w:rsidRDefault="0005011A" w:rsidP="00FC07B9">
      <w:pPr>
        <w:pStyle w:val="ACMACorporateAddresses"/>
      </w:pPr>
      <w:r w:rsidRPr="00F44F3A">
        <w:t xml:space="preserve">Level 5 </w:t>
      </w:r>
      <w:r w:rsidRPr="00F44F3A">
        <w:br/>
        <w:t>The Bay Centre</w:t>
      </w:r>
      <w:r w:rsidRPr="00F44F3A">
        <w:br/>
        <w:t xml:space="preserve">65 Pirrama Road </w:t>
      </w:r>
      <w:r w:rsidRPr="00F44F3A">
        <w:br/>
        <w:t>Pyrmont NSW</w:t>
      </w:r>
    </w:p>
    <w:p w14:paraId="40013A79" w14:textId="77777777" w:rsidR="0005011A" w:rsidRPr="00F44F3A" w:rsidRDefault="0005011A" w:rsidP="00FC07B9">
      <w:pPr>
        <w:pStyle w:val="ACMACorporateAddresses"/>
      </w:pPr>
      <w:r w:rsidRPr="00F44F3A">
        <w:t>PO Box Q500</w:t>
      </w:r>
      <w:r w:rsidRPr="00F44F3A">
        <w:br/>
        <w:t xml:space="preserve">Queen Victoria Building </w:t>
      </w:r>
      <w:r w:rsidRPr="00F44F3A">
        <w:br/>
        <w:t>NSW 1230</w:t>
      </w:r>
    </w:p>
    <w:p w14:paraId="0A2D1944" w14:textId="77777777" w:rsidR="0005011A" w:rsidRPr="00F44F3A" w:rsidRDefault="0005011A" w:rsidP="00FC07B9">
      <w:pPr>
        <w:pStyle w:val="ACMACorporateAddresses"/>
      </w:pPr>
      <w:r w:rsidRPr="00F44F3A">
        <w:t>T</w:t>
      </w:r>
      <w:r w:rsidR="00140318" w:rsidRPr="00F44F3A">
        <w:tab/>
      </w:r>
      <w:r w:rsidRPr="00F44F3A">
        <w:t>+61 2 9334 7700</w:t>
      </w:r>
      <w:r w:rsidR="00140318" w:rsidRPr="00F44F3A">
        <w:t xml:space="preserve"> or</w:t>
      </w:r>
      <w:r w:rsidRPr="00F44F3A">
        <w:t xml:space="preserve"> 1800 226 667</w:t>
      </w:r>
      <w:r w:rsidRPr="00F44F3A">
        <w:br/>
        <w:t>F</w:t>
      </w:r>
      <w:r w:rsidR="00140318" w:rsidRPr="00F44F3A">
        <w:tab/>
      </w:r>
      <w:r w:rsidRPr="00F44F3A">
        <w:t>+61 2 9334 7799</w:t>
      </w:r>
    </w:p>
    <w:p w14:paraId="7F2EE8FE" w14:textId="77777777" w:rsidR="00140318" w:rsidRPr="006D46E5" w:rsidRDefault="00140318" w:rsidP="00FC07B9">
      <w:pPr>
        <w:pStyle w:val="ACMACopyrightHeader"/>
      </w:pPr>
      <w:r w:rsidRPr="00140318">
        <w:t>Copyright notice</w:t>
      </w:r>
    </w:p>
    <w:p w14:paraId="45AD4751" w14:textId="77777777" w:rsidR="00140318" w:rsidRPr="006D46E5" w:rsidRDefault="00623FF9" w:rsidP="00623FF9">
      <w:pPr>
        <w:pStyle w:val="ACMACClogo"/>
      </w:pPr>
      <w:r w:rsidRPr="00623FF9">
        <w:rPr>
          <w:noProof/>
        </w:rPr>
        <w:drawing>
          <wp:inline distT="0" distB="0" distL="0" distR="0" wp14:anchorId="736DF43A" wp14:editId="5C3F41F1">
            <wp:extent cx="838200" cy="295275"/>
            <wp:effectExtent l="0" t="0" r="0" b="0"/>
            <wp:docPr id="1" name="Picture 1" title="Creative Commons logo">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1"/>
                    </pic:cNvPr>
                    <pic:cNvPicPr>
                      <a:picLocks noChangeAspect="1" noChangeArrowheads="1"/>
                    </pic:cNvPicPr>
                  </pic:nvPicPr>
                  <pic:blipFill>
                    <a:blip r:embed="rId12" cstate="print"/>
                    <a:srcRect/>
                    <a:stretch>
                      <a:fillRect/>
                    </a:stretch>
                  </pic:blipFill>
                  <pic:spPr bwMode="auto">
                    <a:xfrm>
                      <a:off x="0" y="0"/>
                      <a:ext cx="838200" cy="295275"/>
                    </a:xfrm>
                    <a:prstGeom prst="rect">
                      <a:avLst/>
                    </a:prstGeom>
                    <a:noFill/>
                  </pic:spPr>
                </pic:pic>
              </a:graphicData>
            </a:graphic>
          </wp:inline>
        </w:drawing>
      </w:r>
    </w:p>
    <w:p w14:paraId="2395CFC2" w14:textId="77777777" w:rsidR="00AA2DE5" w:rsidRDefault="004651CD" w:rsidP="00AA2DE5">
      <w:pPr>
        <w:pStyle w:val="ACMACorporateAddresses"/>
        <w:rPr>
          <w:rStyle w:val="Hyperlink"/>
        </w:rPr>
      </w:pPr>
      <w:hyperlink r:id="rId13" w:history="1">
        <w:r w:rsidR="00AA2DE5">
          <w:rPr>
            <w:rStyle w:val="Hyperlink"/>
          </w:rPr>
          <w:t>https://creativecommons.org/licenses/by/4.0/</w:t>
        </w:r>
      </w:hyperlink>
    </w:p>
    <w:p w14:paraId="45501D71" w14:textId="77777777" w:rsidR="00AA2DE5" w:rsidRDefault="00AA2DE5" w:rsidP="00AA2DE5">
      <w:pPr>
        <w:pStyle w:val="ACMACorporateAddresses"/>
      </w:pPr>
      <w:r>
        <w:t xml:space="preserve">With the exception of coats of arms, logos, emblems, images, other third-party material or devices protected by a trademark, this content is made available under the terms of the Creative Commons Attribution 4.0 International (CC BY 4.0) licence. </w:t>
      </w:r>
    </w:p>
    <w:p w14:paraId="2D865B55" w14:textId="77777777" w:rsidR="00AA2DE5" w:rsidRDefault="00AA2DE5" w:rsidP="00AA2DE5">
      <w:pPr>
        <w:pStyle w:val="ACMACorporateAddresses"/>
      </w:pPr>
      <w:r>
        <w:t>We request attribution as © Commonwealth of Australia (Australian Communications and Media Authority) 20</w:t>
      </w:r>
      <w:r w:rsidR="00BD7249">
        <w:t>20</w:t>
      </w:r>
      <w:r>
        <w:t>.</w:t>
      </w:r>
    </w:p>
    <w:p w14:paraId="166A9935" w14:textId="77777777" w:rsidR="00AA2DE5" w:rsidRDefault="00AA2DE5" w:rsidP="00AA2DE5">
      <w:pPr>
        <w:pStyle w:val="ACMACorporateAddresses"/>
      </w:pPr>
      <w:r>
        <w:t>All other rights are reserved.</w:t>
      </w:r>
    </w:p>
    <w:p w14:paraId="12844B1E" w14:textId="77777777" w:rsidR="00AA2DE5" w:rsidRDefault="00AA2DE5" w:rsidP="00AA2DE5">
      <w:pPr>
        <w:pStyle w:val="ACMACorporateAddresses"/>
      </w:pPr>
      <w:r>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78426E99" w14:textId="77777777" w:rsidR="00AA2DE5" w:rsidRDefault="00AA2DE5" w:rsidP="00AA2DE5">
      <w:pPr>
        <w:pStyle w:val="ACMACorporateAddresses"/>
      </w:pPr>
      <w:r>
        <w:t>Written enquiries may be sent to:</w:t>
      </w:r>
    </w:p>
    <w:p w14:paraId="2799E655" w14:textId="77777777" w:rsidR="00AA2DE5" w:rsidRDefault="00AA2DE5" w:rsidP="00AA2DE5">
      <w:pPr>
        <w:pStyle w:val="ACMACorporateAddresses"/>
        <w:rPr>
          <w:rStyle w:val="Hyperlink"/>
        </w:rPr>
      </w:pPr>
      <w:r>
        <w:t xml:space="preserve">Manager, Editorial </w:t>
      </w:r>
      <w:r w:rsidR="000245E5">
        <w:t>Services</w:t>
      </w:r>
      <w:r>
        <w:br/>
        <w:t>PO Box 13112</w:t>
      </w:r>
      <w:r>
        <w:br/>
        <w:t>Law Courts</w:t>
      </w:r>
      <w:r>
        <w:br/>
        <w:t>Melbourne VIC 8010</w:t>
      </w:r>
      <w:r>
        <w:br/>
        <w:t xml:space="preserve">Email: </w:t>
      </w:r>
      <w:hyperlink r:id="rId14" w:history="1">
        <w:r>
          <w:rPr>
            <w:rStyle w:val="Hyperlink"/>
          </w:rPr>
          <w:t>info@acma.gov.au</w:t>
        </w:r>
      </w:hyperlink>
    </w:p>
    <w:p w14:paraId="5626235E" w14:textId="77777777" w:rsidR="00D16FE3" w:rsidRDefault="00D16FE3" w:rsidP="00D16FE3">
      <w:pPr>
        <w:pStyle w:val="ACMACorporateAddresses"/>
        <w:rPr>
          <w:rStyle w:val="Hyperlink"/>
        </w:rPr>
      </w:pPr>
    </w:p>
    <w:p w14:paraId="1027BAD9" w14:textId="77777777" w:rsidR="00D16FE3" w:rsidRPr="00D16FE3" w:rsidRDefault="00D16FE3" w:rsidP="00D16FE3">
      <w:pPr>
        <w:pStyle w:val="ACMACorporateAddresses"/>
        <w:sectPr w:rsidR="00D16FE3" w:rsidRPr="00D16FE3">
          <w:headerReference w:type="even" r:id="rId15"/>
          <w:headerReference w:type="default" r:id="rId16"/>
          <w:footerReference w:type="even" r:id="rId17"/>
          <w:footerReference w:type="default" r:id="rId18"/>
          <w:pgSz w:w="11906" w:h="16838" w:code="9"/>
          <w:pgMar w:top="3924" w:right="1797" w:bottom="697" w:left="1134" w:header="709" w:footer="119" w:gutter="0"/>
          <w:cols w:space="708"/>
          <w:docGrid w:linePitch="360"/>
        </w:sectPr>
      </w:pPr>
    </w:p>
    <w:p w14:paraId="7759F8BA" w14:textId="42691AEE" w:rsidR="00EF32DC" w:rsidRDefault="00EF32DC">
      <w:pPr>
        <w:pStyle w:val="TOC1"/>
        <w:rPr>
          <w:rFonts w:asciiTheme="minorHAnsi" w:eastAsiaTheme="minorEastAsia" w:hAnsiTheme="minorHAnsi" w:cstheme="minorBidi"/>
          <w:b w:val="0"/>
          <w:spacing w:val="0"/>
          <w:sz w:val="22"/>
          <w:szCs w:val="22"/>
        </w:rPr>
      </w:pPr>
      <w:r>
        <w:rPr>
          <w:rFonts w:cs="Arial"/>
          <w:b w:val="0"/>
        </w:rPr>
        <w:lastRenderedPageBreak/>
        <w:fldChar w:fldCharType="begin"/>
      </w:r>
      <w:r>
        <w:rPr>
          <w:rFonts w:cs="Arial"/>
          <w:b w:val="0"/>
        </w:rPr>
        <w:instrText xml:space="preserve"> TOC \o "1-3" \h \z \t "Exec summary heading,1" </w:instrText>
      </w:r>
      <w:r>
        <w:rPr>
          <w:rFonts w:cs="Arial"/>
          <w:b w:val="0"/>
        </w:rPr>
        <w:fldChar w:fldCharType="separate"/>
      </w:r>
      <w:hyperlink w:anchor="_Toc59002991" w:history="1">
        <w:r w:rsidRPr="00435333">
          <w:rPr>
            <w:rStyle w:val="Hyperlink"/>
          </w:rPr>
          <w:t>Overview</w:t>
        </w:r>
        <w:r>
          <w:rPr>
            <w:webHidden/>
          </w:rPr>
          <w:tab/>
        </w:r>
        <w:r>
          <w:rPr>
            <w:webHidden/>
          </w:rPr>
          <w:fldChar w:fldCharType="begin"/>
        </w:r>
        <w:r>
          <w:rPr>
            <w:webHidden/>
          </w:rPr>
          <w:instrText xml:space="preserve"> PAGEREF _Toc59002991 \h </w:instrText>
        </w:r>
        <w:r>
          <w:rPr>
            <w:webHidden/>
          </w:rPr>
        </w:r>
        <w:r>
          <w:rPr>
            <w:webHidden/>
          </w:rPr>
          <w:fldChar w:fldCharType="separate"/>
        </w:r>
        <w:r w:rsidR="004651CD">
          <w:rPr>
            <w:webHidden/>
          </w:rPr>
          <w:t>1</w:t>
        </w:r>
        <w:r>
          <w:rPr>
            <w:webHidden/>
          </w:rPr>
          <w:fldChar w:fldCharType="end"/>
        </w:r>
      </w:hyperlink>
    </w:p>
    <w:p w14:paraId="51A7F60C" w14:textId="0A70CC84" w:rsidR="00EF32DC" w:rsidRDefault="00EF32DC">
      <w:pPr>
        <w:pStyle w:val="TOC1"/>
        <w:rPr>
          <w:rFonts w:asciiTheme="minorHAnsi" w:eastAsiaTheme="minorEastAsia" w:hAnsiTheme="minorHAnsi" w:cstheme="minorBidi"/>
          <w:b w:val="0"/>
          <w:spacing w:val="0"/>
          <w:sz w:val="22"/>
          <w:szCs w:val="22"/>
        </w:rPr>
      </w:pPr>
      <w:hyperlink w:anchor="_Toc59002992" w:history="1">
        <w:r w:rsidRPr="00435333">
          <w:rPr>
            <w:rStyle w:val="Hyperlink"/>
          </w:rPr>
          <w:t>Support for law enforcement and national security agencies</w:t>
        </w:r>
        <w:r>
          <w:rPr>
            <w:webHidden/>
          </w:rPr>
          <w:tab/>
        </w:r>
        <w:r>
          <w:rPr>
            <w:webHidden/>
          </w:rPr>
          <w:fldChar w:fldCharType="begin"/>
        </w:r>
        <w:r>
          <w:rPr>
            <w:webHidden/>
          </w:rPr>
          <w:instrText xml:space="preserve"> PAGEREF _Toc59002992 \h </w:instrText>
        </w:r>
        <w:r>
          <w:rPr>
            <w:webHidden/>
          </w:rPr>
        </w:r>
        <w:r>
          <w:rPr>
            <w:webHidden/>
          </w:rPr>
          <w:fldChar w:fldCharType="separate"/>
        </w:r>
        <w:r w:rsidR="004651CD">
          <w:rPr>
            <w:webHidden/>
          </w:rPr>
          <w:t>2</w:t>
        </w:r>
        <w:r>
          <w:rPr>
            <w:webHidden/>
          </w:rPr>
          <w:fldChar w:fldCharType="end"/>
        </w:r>
      </w:hyperlink>
    </w:p>
    <w:p w14:paraId="33971B94" w14:textId="73F97868" w:rsidR="00EF32DC" w:rsidRDefault="00EF32DC">
      <w:pPr>
        <w:pStyle w:val="TOC2"/>
        <w:rPr>
          <w:rFonts w:asciiTheme="minorHAnsi" w:eastAsiaTheme="minorEastAsia" w:hAnsiTheme="minorHAnsi" w:cstheme="minorBidi"/>
          <w:spacing w:val="0"/>
          <w:sz w:val="22"/>
          <w:szCs w:val="22"/>
        </w:rPr>
      </w:pPr>
      <w:hyperlink w:anchor="_Toc59002993" w:history="1">
        <w:r w:rsidRPr="00435333">
          <w:rPr>
            <w:rStyle w:val="Hyperlink"/>
          </w:rPr>
          <w:t>Reasonably necessary assistance</w:t>
        </w:r>
        <w:r>
          <w:rPr>
            <w:webHidden/>
          </w:rPr>
          <w:tab/>
        </w:r>
        <w:r>
          <w:rPr>
            <w:webHidden/>
          </w:rPr>
          <w:fldChar w:fldCharType="begin"/>
        </w:r>
        <w:r>
          <w:rPr>
            <w:webHidden/>
          </w:rPr>
          <w:instrText xml:space="preserve"> PAGEREF _Toc59002993 \h </w:instrText>
        </w:r>
        <w:r>
          <w:rPr>
            <w:webHidden/>
          </w:rPr>
        </w:r>
        <w:r>
          <w:rPr>
            <w:webHidden/>
          </w:rPr>
          <w:fldChar w:fldCharType="separate"/>
        </w:r>
        <w:r w:rsidR="004651CD">
          <w:rPr>
            <w:webHidden/>
          </w:rPr>
          <w:t>2</w:t>
        </w:r>
        <w:r>
          <w:rPr>
            <w:webHidden/>
          </w:rPr>
          <w:fldChar w:fldCharType="end"/>
        </w:r>
      </w:hyperlink>
    </w:p>
    <w:p w14:paraId="4709C1D9" w14:textId="77B3E815" w:rsidR="00EF32DC" w:rsidRDefault="00EF32DC">
      <w:pPr>
        <w:pStyle w:val="TOC2"/>
        <w:rPr>
          <w:rFonts w:asciiTheme="minorHAnsi" w:eastAsiaTheme="minorEastAsia" w:hAnsiTheme="minorHAnsi" w:cstheme="minorBidi"/>
          <w:spacing w:val="0"/>
          <w:sz w:val="22"/>
          <w:szCs w:val="22"/>
        </w:rPr>
      </w:pPr>
      <w:hyperlink w:anchor="_Toc59002994" w:history="1">
        <w:r w:rsidRPr="00435333">
          <w:rPr>
            <w:rStyle w:val="Hyperlink"/>
          </w:rPr>
          <w:t>Cost of providing assistance</w:t>
        </w:r>
        <w:r>
          <w:rPr>
            <w:webHidden/>
          </w:rPr>
          <w:tab/>
        </w:r>
        <w:r>
          <w:rPr>
            <w:webHidden/>
          </w:rPr>
          <w:fldChar w:fldCharType="begin"/>
        </w:r>
        <w:r>
          <w:rPr>
            <w:webHidden/>
          </w:rPr>
          <w:instrText xml:space="preserve"> PAGEREF _Toc59002994 \h </w:instrText>
        </w:r>
        <w:r>
          <w:rPr>
            <w:webHidden/>
          </w:rPr>
        </w:r>
        <w:r>
          <w:rPr>
            <w:webHidden/>
          </w:rPr>
          <w:fldChar w:fldCharType="separate"/>
        </w:r>
        <w:r w:rsidR="004651CD">
          <w:rPr>
            <w:webHidden/>
          </w:rPr>
          <w:t>2</w:t>
        </w:r>
        <w:r>
          <w:rPr>
            <w:webHidden/>
          </w:rPr>
          <w:fldChar w:fldCharType="end"/>
        </w:r>
      </w:hyperlink>
    </w:p>
    <w:p w14:paraId="5C5E8DCD" w14:textId="3C25754C" w:rsidR="00EF32DC" w:rsidRDefault="00EF32DC">
      <w:pPr>
        <w:pStyle w:val="TOC2"/>
        <w:rPr>
          <w:rFonts w:asciiTheme="minorHAnsi" w:eastAsiaTheme="minorEastAsia" w:hAnsiTheme="minorHAnsi" w:cstheme="minorBidi"/>
          <w:spacing w:val="0"/>
          <w:sz w:val="22"/>
          <w:szCs w:val="22"/>
        </w:rPr>
      </w:pPr>
      <w:hyperlink w:anchor="_Toc59002995" w:history="1">
        <w:r w:rsidRPr="00435333">
          <w:rPr>
            <w:rStyle w:val="Hyperlink"/>
          </w:rPr>
          <w:t>Lawful disruption of online services</w:t>
        </w:r>
        <w:r>
          <w:rPr>
            <w:webHidden/>
          </w:rPr>
          <w:tab/>
        </w:r>
        <w:r>
          <w:rPr>
            <w:webHidden/>
          </w:rPr>
          <w:fldChar w:fldCharType="begin"/>
        </w:r>
        <w:r>
          <w:rPr>
            <w:webHidden/>
          </w:rPr>
          <w:instrText xml:space="preserve"> PAGEREF _Toc59002995 \h </w:instrText>
        </w:r>
        <w:r>
          <w:rPr>
            <w:webHidden/>
          </w:rPr>
        </w:r>
        <w:r>
          <w:rPr>
            <w:webHidden/>
          </w:rPr>
          <w:fldChar w:fldCharType="separate"/>
        </w:r>
        <w:r w:rsidR="004651CD">
          <w:rPr>
            <w:webHidden/>
          </w:rPr>
          <w:t>3</w:t>
        </w:r>
        <w:r>
          <w:rPr>
            <w:webHidden/>
          </w:rPr>
          <w:fldChar w:fldCharType="end"/>
        </w:r>
      </w:hyperlink>
    </w:p>
    <w:p w14:paraId="3272E7DC" w14:textId="3576CDF6" w:rsidR="00EF32DC" w:rsidRDefault="00EF32DC">
      <w:pPr>
        <w:pStyle w:val="TOC2"/>
        <w:rPr>
          <w:rFonts w:asciiTheme="minorHAnsi" w:eastAsiaTheme="minorEastAsia" w:hAnsiTheme="minorHAnsi" w:cstheme="minorBidi"/>
          <w:spacing w:val="0"/>
          <w:sz w:val="22"/>
          <w:szCs w:val="22"/>
        </w:rPr>
      </w:pPr>
      <w:hyperlink w:anchor="_Toc59002996" w:history="1">
        <w:r w:rsidRPr="00435333">
          <w:rPr>
            <w:rStyle w:val="Hyperlink"/>
          </w:rPr>
          <w:t>Emergency suspension of carriage services</w:t>
        </w:r>
        <w:r>
          <w:rPr>
            <w:webHidden/>
          </w:rPr>
          <w:tab/>
        </w:r>
        <w:r>
          <w:rPr>
            <w:webHidden/>
          </w:rPr>
          <w:fldChar w:fldCharType="begin"/>
        </w:r>
        <w:r>
          <w:rPr>
            <w:webHidden/>
          </w:rPr>
          <w:instrText xml:space="preserve"> PAGEREF _Toc59002996 \h </w:instrText>
        </w:r>
        <w:r>
          <w:rPr>
            <w:webHidden/>
          </w:rPr>
        </w:r>
        <w:r>
          <w:rPr>
            <w:webHidden/>
          </w:rPr>
          <w:fldChar w:fldCharType="separate"/>
        </w:r>
        <w:r w:rsidR="004651CD">
          <w:rPr>
            <w:webHidden/>
          </w:rPr>
          <w:t>3</w:t>
        </w:r>
        <w:r>
          <w:rPr>
            <w:webHidden/>
          </w:rPr>
          <w:fldChar w:fldCharType="end"/>
        </w:r>
      </w:hyperlink>
    </w:p>
    <w:p w14:paraId="7D35BC75" w14:textId="7FFC9247" w:rsidR="00EF32DC" w:rsidRDefault="00EF32DC">
      <w:pPr>
        <w:pStyle w:val="TOC2"/>
        <w:rPr>
          <w:rFonts w:asciiTheme="minorHAnsi" w:eastAsiaTheme="minorEastAsia" w:hAnsiTheme="minorHAnsi" w:cstheme="minorBidi"/>
          <w:spacing w:val="0"/>
          <w:sz w:val="22"/>
          <w:szCs w:val="22"/>
        </w:rPr>
      </w:pPr>
      <w:hyperlink w:anchor="_Toc59002997" w:history="1">
        <w:r w:rsidRPr="00435333">
          <w:rPr>
            <w:rStyle w:val="Hyperlink"/>
          </w:rPr>
          <w:t>Interception capability costs</w:t>
        </w:r>
        <w:r>
          <w:rPr>
            <w:webHidden/>
          </w:rPr>
          <w:tab/>
        </w:r>
        <w:r>
          <w:rPr>
            <w:webHidden/>
          </w:rPr>
          <w:fldChar w:fldCharType="begin"/>
        </w:r>
        <w:r>
          <w:rPr>
            <w:webHidden/>
          </w:rPr>
          <w:instrText xml:space="preserve"> PAGEREF _Toc59002997 \h </w:instrText>
        </w:r>
        <w:r>
          <w:rPr>
            <w:webHidden/>
          </w:rPr>
        </w:r>
        <w:r>
          <w:rPr>
            <w:webHidden/>
          </w:rPr>
          <w:fldChar w:fldCharType="separate"/>
        </w:r>
        <w:r w:rsidR="004651CD">
          <w:rPr>
            <w:webHidden/>
          </w:rPr>
          <w:t>3</w:t>
        </w:r>
        <w:r>
          <w:rPr>
            <w:webHidden/>
          </w:rPr>
          <w:fldChar w:fldCharType="end"/>
        </w:r>
      </w:hyperlink>
    </w:p>
    <w:p w14:paraId="118BD708" w14:textId="54EC25CC" w:rsidR="00EF32DC" w:rsidRDefault="00EF32DC">
      <w:pPr>
        <w:pStyle w:val="TOC1"/>
        <w:rPr>
          <w:rFonts w:asciiTheme="minorHAnsi" w:eastAsiaTheme="minorEastAsia" w:hAnsiTheme="minorHAnsi" w:cstheme="minorBidi"/>
          <w:b w:val="0"/>
          <w:spacing w:val="0"/>
          <w:sz w:val="22"/>
          <w:szCs w:val="22"/>
        </w:rPr>
      </w:pPr>
      <w:hyperlink w:anchor="_Toc59002998" w:history="1">
        <w:r w:rsidRPr="00435333">
          <w:rPr>
            <w:rStyle w:val="Hyperlink"/>
          </w:rPr>
          <w:t>Data retention</w:t>
        </w:r>
        <w:r>
          <w:rPr>
            <w:webHidden/>
          </w:rPr>
          <w:tab/>
        </w:r>
        <w:r>
          <w:rPr>
            <w:webHidden/>
          </w:rPr>
          <w:fldChar w:fldCharType="begin"/>
        </w:r>
        <w:r>
          <w:rPr>
            <w:webHidden/>
          </w:rPr>
          <w:instrText xml:space="preserve"> PAGEREF _Toc59002998 \h </w:instrText>
        </w:r>
        <w:r>
          <w:rPr>
            <w:webHidden/>
          </w:rPr>
        </w:r>
        <w:r>
          <w:rPr>
            <w:webHidden/>
          </w:rPr>
          <w:fldChar w:fldCharType="separate"/>
        </w:r>
        <w:r w:rsidR="004651CD">
          <w:rPr>
            <w:webHidden/>
          </w:rPr>
          <w:t>5</w:t>
        </w:r>
        <w:r>
          <w:rPr>
            <w:webHidden/>
          </w:rPr>
          <w:fldChar w:fldCharType="end"/>
        </w:r>
      </w:hyperlink>
    </w:p>
    <w:p w14:paraId="3CC51191" w14:textId="0EA9A463" w:rsidR="00EF32DC" w:rsidRDefault="00EF32DC">
      <w:pPr>
        <w:pStyle w:val="TOC2"/>
        <w:rPr>
          <w:rFonts w:asciiTheme="minorHAnsi" w:eastAsiaTheme="minorEastAsia" w:hAnsiTheme="minorHAnsi" w:cstheme="minorBidi"/>
          <w:spacing w:val="0"/>
          <w:sz w:val="22"/>
          <w:szCs w:val="22"/>
        </w:rPr>
      </w:pPr>
      <w:hyperlink w:anchor="_Toc59002999" w:history="1">
        <w:r w:rsidRPr="00435333">
          <w:rPr>
            <w:rStyle w:val="Hyperlink"/>
          </w:rPr>
          <w:t>Cost of complying with data retention obligations</w:t>
        </w:r>
        <w:r>
          <w:rPr>
            <w:webHidden/>
          </w:rPr>
          <w:tab/>
        </w:r>
        <w:r>
          <w:rPr>
            <w:webHidden/>
          </w:rPr>
          <w:fldChar w:fldCharType="begin"/>
        </w:r>
        <w:r>
          <w:rPr>
            <w:webHidden/>
          </w:rPr>
          <w:instrText xml:space="preserve"> PAGEREF _Toc59002999 \h </w:instrText>
        </w:r>
        <w:r>
          <w:rPr>
            <w:webHidden/>
          </w:rPr>
        </w:r>
        <w:r>
          <w:rPr>
            <w:webHidden/>
          </w:rPr>
          <w:fldChar w:fldCharType="separate"/>
        </w:r>
        <w:r w:rsidR="004651CD">
          <w:rPr>
            <w:webHidden/>
          </w:rPr>
          <w:t>5</w:t>
        </w:r>
        <w:r>
          <w:rPr>
            <w:webHidden/>
          </w:rPr>
          <w:fldChar w:fldCharType="end"/>
        </w:r>
      </w:hyperlink>
    </w:p>
    <w:p w14:paraId="6F3FC256" w14:textId="2A4CA31D" w:rsidR="00EF32DC" w:rsidRDefault="00EF32DC">
      <w:pPr>
        <w:pStyle w:val="TOC2"/>
        <w:rPr>
          <w:rFonts w:asciiTheme="minorHAnsi" w:eastAsiaTheme="minorEastAsia" w:hAnsiTheme="minorHAnsi" w:cstheme="minorBidi"/>
          <w:spacing w:val="0"/>
          <w:sz w:val="22"/>
          <w:szCs w:val="22"/>
        </w:rPr>
      </w:pPr>
      <w:hyperlink w:anchor="_Toc59003000" w:history="1">
        <w:r w:rsidRPr="00435333">
          <w:rPr>
            <w:rStyle w:val="Hyperlink"/>
          </w:rPr>
          <w:t>Data retention compliance and enforcement</w:t>
        </w:r>
        <w:r>
          <w:rPr>
            <w:webHidden/>
          </w:rPr>
          <w:tab/>
        </w:r>
        <w:r>
          <w:rPr>
            <w:webHidden/>
          </w:rPr>
          <w:fldChar w:fldCharType="begin"/>
        </w:r>
        <w:r>
          <w:rPr>
            <w:webHidden/>
          </w:rPr>
          <w:instrText xml:space="preserve"> PAGEREF _Toc59003000 \h </w:instrText>
        </w:r>
        <w:r>
          <w:rPr>
            <w:webHidden/>
          </w:rPr>
        </w:r>
        <w:r>
          <w:rPr>
            <w:webHidden/>
          </w:rPr>
          <w:fldChar w:fldCharType="separate"/>
        </w:r>
        <w:r w:rsidR="004651CD">
          <w:rPr>
            <w:webHidden/>
          </w:rPr>
          <w:t>5</w:t>
        </w:r>
        <w:r>
          <w:rPr>
            <w:webHidden/>
          </w:rPr>
          <w:fldChar w:fldCharType="end"/>
        </w:r>
      </w:hyperlink>
    </w:p>
    <w:p w14:paraId="187F2865" w14:textId="7C0F5533" w:rsidR="004D56FF" w:rsidRPr="000D76E0" w:rsidRDefault="00EF32DC">
      <w:pPr>
        <w:rPr>
          <w:rFonts w:cs="Arial"/>
        </w:rPr>
        <w:sectPr w:rsidR="004D56FF" w:rsidRPr="000D76E0" w:rsidSect="00C77380">
          <w:headerReference w:type="even" r:id="rId19"/>
          <w:headerReference w:type="default" r:id="rId20"/>
          <w:footerReference w:type="even" r:id="rId21"/>
          <w:footerReference w:type="default" r:id="rId22"/>
          <w:footerReference w:type="first" r:id="rId23"/>
          <w:pgSz w:w="11906" w:h="16838" w:code="9"/>
          <w:pgMar w:top="3646" w:right="3101" w:bottom="1134" w:left="1134" w:header="709" w:footer="119" w:gutter="0"/>
          <w:cols w:space="708"/>
          <w:titlePg/>
          <w:docGrid w:linePitch="360"/>
        </w:sectPr>
      </w:pPr>
      <w:r>
        <w:rPr>
          <w:rFonts w:cs="Arial"/>
          <w:b/>
          <w:noProof/>
          <w:spacing w:val="-14"/>
          <w:sz w:val="28"/>
        </w:rPr>
        <w:fldChar w:fldCharType="end"/>
      </w:r>
    </w:p>
    <w:p w14:paraId="6881835A" w14:textId="2C3F0C58" w:rsidR="00127F0D" w:rsidRDefault="00127F0D" w:rsidP="00127F0D">
      <w:pPr>
        <w:pStyle w:val="Heading1"/>
      </w:pPr>
      <w:bookmarkStart w:id="0" w:name="_Toc59002991"/>
      <w:r>
        <w:lastRenderedPageBreak/>
        <w:t>Overview</w:t>
      </w:r>
      <w:bookmarkEnd w:id="0"/>
    </w:p>
    <w:p w14:paraId="6807F978" w14:textId="52DCE174" w:rsidR="002B208C" w:rsidRDefault="00164933" w:rsidP="00D208BA">
      <w:pPr>
        <w:pStyle w:val="Paragraphbeforelist"/>
      </w:pPr>
      <w:r w:rsidRPr="003E364B">
        <w:t xml:space="preserve">This </w:t>
      </w:r>
      <w:r w:rsidR="008E377C">
        <w:t xml:space="preserve">is a </w:t>
      </w:r>
      <w:r w:rsidRPr="003E364B">
        <w:t>report</w:t>
      </w:r>
      <w:r>
        <w:t xml:space="preserve"> </w:t>
      </w:r>
      <w:r w:rsidR="00921718">
        <w:t>for 2019</w:t>
      </w:r>
      <w:r w:rsidR="00391E2B">
        <w:t>–</w:t>
      </w:r>
      <w:r w:rsidR="00921718">
        <w:t xml:space="preserve">20 </w:t>
      </w:r>
      <w:r w:rsidR="00AE05A6">
        <w:t>from the Australian Communications and Media Authority</w:t>
      </w:r>
      <w:r w:rsidR="00391E2B">
        <w:t xml:space="preserve"> (ACMA)</w:t>
      </w:r>
      <w:r w:rsidR="00AE05A6">
        <w:t xml:space="preserve"> </w:t>
      </w:r>
      <w:r w:rsidR="008E377C">
        <w:t>about</w:t>
      </w:r>
      <w:r w:rsidR="002B208C">
        <w:t>:</w:t>
      </w:r>
    </w:p>
    <w:p w14:paraId="29C874BF" w14:textId="437A72E6" w:rsidR="002B208C" w:rsidRPr="00052460" w:rsidRDefault="00524B5C" w:rsidP="004D31A6">
      <w:pPr>
        <w:pStyle w:val="ListBullet"/>
      </w:pPr>
      <w:r w:rsidRPr="00052460">
        <w:t xml:space="preserve">the operation </w:t>
      </w:r>
      <w:r w:rsidR="00A553B7" w:rsidRPr="00052460">
        <w:t xml:space="preserve">of </w:t>
      </w:r>
      <w:r w:rsidR="008E377C" w:rsidRPr="00052460">
        <w:t xml:space="preserve">Part 14 </w:t>
      </w:r>
      <w:r w:rsidR="0060179B" w:rsidRPr="00EF32DC">
        <w:t>(</w:t>
      </w:r>
      <w:r w:rsidR="00A14025" w:rsidRPr="00EF32DC">
        <w:t>n</w:t>
      </w:r>
      <w:r w:rsidR="0060179B" w:rsidRPr="00EF32DC">
        <w:t>ational interest matters)</w:t>
      </w:r>
      <w:r w:rsidR="0060179B" w:rsidRPr="00052460">
        <w:t xml:space="preserve"> </w:t>
      </w:r>
      <w:r w:rsidR="008E377C" w:rsidRPr="00052460">
        <w:t xml:space="preserve">of the </w:t>
      </w:r>
      <w:r w:rsidR="008E377C" w:rsidRPr="00052460">
        <w:rPr>
          <w:i/>
          <w:iCs/>
        </w:rPr>
        <w:t xml:space="preserve">Telecommunications Act 1997 </w:t>
      </w:r>
      <w:r w:rsidR="00921718" w:rsidRPr="00052460">
        <w:t>(the Telecommunications Act)</w:t>
      </w:r>
      <w:r w:rsidR="00921718" w:rsidRPr="00052460">
        <w:rPr>
          <w:i/>
          <w:iCs/>
        </w:rPr>
        <w:t xml:space="preserve"> </w:t>
      </w:r>
      <w:r w:rsidRPr="00052460">
        <w:t xml:space="preserve">and </w:t>
      </w:r>
      <w:r w:rsidR="008E377C" w:rsidRPr="00052460">
        <w:t xml:space="preserve">the </w:t>
      </w:r>
      <w:r w:rsidRPr="00052460">
        <w:t xml:space="preserve">associated </w:t>
      </w:r>
      <w:r w:rsidR="008E377C" w:rsidRPr="00052460">
        <w:t>compliance costs</w:t>
      </w:r>
      <w:r w:rsidR="003E4808" w:rsidRPr="00052460">
        <w:rPr>
          <w:rStyle w:val="FootnoteReference"/>
        </w:rPr>
        <w:footnoteReference w:id="1"/>
      </w:r>
      <w:r w:rsidRPr="00052460">
        <w:t xml:space="preserve"> </w:t>
      </w:r>
    </w:p>
    <w:p w14:paraId="357B7D22" w14:textId="28293BA9" w:rsidR="00651B81" w:rsidRDefault="008477EE" w:rsidP="00D208BA">
      <w:pPr>
        <w:pStyle w:val="Bulletlevel1last"/>
      </w:pPr>
      <w:r w:rsidRPr="00052460">
        <w:t>the</w:t>
      </w:r>
      <w:r w:rsidR="00164933" w:rsidRPr="00052460">
        <w:t xml:space="preserve"> </w:t>
      </w:r>
      <w:r w:rsidRPr="00052460">
        <w:t xml:space="preserve">costs of complying with </w:t>
      </w:r>
      <w:r w:rsidR="00164933" w:rsidRPr="00052460">
        <w:t xml:space="preserve">Part 5-1A </w:t>
      </w:r>
      <w:r w:rsidR="0060179B" w:rsidRPr="00EF32DC">
        <w:t>(</w:t>
      </w:r>
      <w:r w:rsidR="00A14025" w:rsidRPr="00EF32DC">
        <w:t>d</w:t>
      </w:r>
      <w:r w:rsidR="0060179B" w:rsidRPr="00EF32DC">
        <w:t>ata retention)</w:t>
      </w:r>
      <w:r w:rsidR="0060179B">
        <w:t xml:space="preserve"> </w:t>
      </w:r>
      <w:r w:rsidR="00A553B7" w:rsidRPr="002B208C">
        <w:t xml:space="preserve">of </w:t>
      </w:r>
      <w:r w:rsidR="00164933" w:rsidRPr="002B208C">
        <w:t xml:space="preserve">the </w:t>
      </w:r>
      <w:r w:rsidR="00164933" w:rsidRPr="002B208C">
        <w:rPr>
          <w:i/>
        </w:rPr>
        <w:t>Telecommunications (Interception and Access) Act 1979</w:t>
      </w:r>
      <w:r w:rsidR="00164933" w:rsidRPr="003E364B">
        <w:t xml:space="preserve"> (TIA Act)</w:t>
      </w:r>
      <w:r w:rsidR="00391E2B">
        <w:t>.</w:t>
      </w:r>
    </w:p>
    <w:p w14:paraId="7611AD7D" w14:textId="77777777" w:rsidR="00DC764C" w:rsidRDefault="00DC764C" w:rsidP="00DC764C">
      <w:pPr>
        <w:pStyle w:val="Paragraph"/>
        <w:rPr>
          <w:i/>
          <w:iCs/>
        </w:rPr>
      </w:pPr>
      <w:r>
        <w:t xml:space="preserve">We are required to report on these matters under subsection </w:t>
      </w:r>
      <w:r w:rsidRPr="003E364B">
        <w:t xml:space="preserve">105(5A) of the </w:t>
      </w:r>
      <w:r>
        <w:rPr>
          <w:iCs/>
        </w:rPr>
        <w:t xml:space="preserve">Telecommunications </w:t>
      </w:r>
      <w:r w:rsidRPr="002A2FE9">
        <w:rPr>
          <w:iCs/>
        </w:rPr>
        <w:t>Act</w:t>
      </w:r>
      <w:r>
        <w:rPr>
          <w:iCs/>
        </w:rPr>
        <w:t>.</w:t>
      </w:r>
      <w:r w:rsidRPr="00653D80">
        <w:rPr>
          <w:i/>
          <w:iCs/>
        </w:rPr>
        <w:t xml:space="preserve"> </w:t>
      </w:r>
    </w:p>
    <w:p w14:paraId="1F3994D7" w14:textId="11F611C2" w:rsidR="00DC764C" w:rsidRDefault="00DC764C" w:rsidP="00DC764C">
      <w:pPr>
        <w:pStyle w:val="Paragraphbeforelist"/>
      </w:pPr>
      <w:r>
        <w:t>This report</w:t>
      </w:r>
      <w:r w:rsidRPr="003E364B">
        <w:t xml:space="preserve"> includes </w:t>
      </w:r>
      <w:r w:rsidRPr="003E364B">
        <w:t>information about</w:t>
      </w:r>
      <w:r>
        <w:t>:</w:t>
      </w:r>
    </w:p>
    <w:p w14:paraId="079EFC0F" w14:textId="0FCB453B" w:rsidR="00127F0D" w:rsidRDefault="002B208C" w:rsidP="00B17D53">
      <w:pPr>
        <w:pStyle w:val="ListBullet"/>
      </w:pPr>
      <w:r>
        <w:t>how</w:t>
      </w:r>
      <w:r w:rsidR="00627FFA">
        <w:t xml:space="preserve"> carriers, carriage service providers and carriage service intermediaries</w:t>
      </w:r>
      <w:r>
        <w:t xml:space="preserve"> </w:t>
      </w:r>
      <w:r w:rsidR="00627FFA">
        <w:t>(</w:t>
      </w:r>
      <w:r w:rsidR="00D5552A">
        <w:t>telco</w:t>
      </w:r>
      <w:r>
        <w:t>s</w:t>
      </w:r>
      <w:r w:rsidR="00627FFA">
        <w:t>)</w:t>
      </w:r>
      <w:r w:rsidR="00164933" w:rsidRPr="003E364B">
        <w:t xml:space="preserve"> support </w:t>
      </w:r>
      <w:r>
        <w:t xml:space="preserve">and assist </w:t>
      </w:r>
      <w:r w:rsidR="00164933" w:rsidRPr="003E364B">
        <w:t xml:space="preserve">law enforcement and national security agencies </w:t>
      </w:r>
      <w:r w:rsidR="00127F0D">
        <w:t xml:space="preserve">by: </w:t>
      </w:r>
    </w:p>
    <w:p w14:paraId="52A9D4C2" w14:textId="77777777" w:rsidR="0020658A" w:rsidRDefault="00127F0D" w:rsidP="00D208BA">
      <w:pPr>
        <w:pStyle w:val="Bulletlevel2"/>
      </w:pPr>
      <w:r>
        <w:t>providing reasonably necessary assistance</w:t>
      </w:r>
      <w:r w:rsidR="0020658A" w:rsidRPr="0020658A">
        <w:t xml:space="preserve"> </w:t>
      </w:r>
    </w:p>
    <w:p w14:paraId="336EAA86" w14:textId="53FAC8FE" w:rsidR="00127F0D" w:rsidRDefault="0020658A" w:rsidP="00D208BA">
      <w:pPr>
        <w:pStyle w:val="Bulletlevel2"/>
      </w:pPr>
      <w:r>
        <w:t xml:space="preserve">suspending carriage services in an emergency </w:t>
      </w:r>
    </w:p>
    <w:p w14:paraId="1BE8EDA6" w14:textId="56D1949F" w:rsidR="00127F0D" w:rsidRDefault="00164933" w:rsidP="00D208BA">
      <w:pPr>
        <w:pStyle w:val="Bulletlevel2"/>
      </w:pPr>
      <w:r w:rsidRPr="00164933">
        <w:t>developing, installing and maintaining interception</w:t>
      </w:r>
      <w:r w:rsidRPr="003E364B">
        <w:t xml:space="preserve"> capabilities</w:t>
      </w:r>
    </w:p>
    <w:p w14:paraId="441F3A05" w14:textId="77777777" w:rsidR="00205D85" w:rsidRDefault="00164933" w:rsidP="00EF32DC">
      <w:pPr>
        <w:pStyle w:val="Bulletlevel2"/>
      </w:pPr>
      <w:r>
        <w:t>complying with the data retention regime</w:t>
      </w:r>
      <w:r w:rsidRPr="003E364B">
        <w:t>.</w:t>
      </w:r>
    </w:p>
    <w:p w14:paraId="255793D0" w14:textId="122E92EB" w:rsidR="00164933" w:rsidRDefault="00205D85" w:rsidP="00EF32DC">
      <w:pPr>
        <w:pStyle w:val="ListBullet2"/>
        <w:tabs>
          <w:tab w:val="clear" w:pos="845"/>
          <w:tab w:val="num" w:pos="284"/>
        </w:tabs>
        <w:ind w:left="284" w:hanging="284"/>
      </w:pPr>
      <w:r>
        <w:t>the costs of complying with Part 5</w:t>
      </w:r>
      <w:r w:rsidRPr="00052460">
        <w:t xml:space="preserve">-3 </w:t>
      </w:r>
      <w:r w:rsidR="0060179B" w:rsidRPr="00EF32DC">
        <w:t>(</w:t>
      </w:r>
      <w:r w:rsidR="008341D4" w:rsidRPr="00EF32DC">
        <w:t>i</w:t>
      </w:r>
      <w:r w:rsidR="0060179B" w:rsidRPr="00EF32DC">
        <w:t>nterception capability)</w:t>
      </w:r>
      <w:r w:rsidR="0060179B" w:rsidRPr="0060179B">
        <w:t xml:space="preserve"> </w:t>
      </w:r>
      <w:r>
        <w:t>of the TIA Act</w:t>
      </w:r>
      <w:r w:rsidR="008409FB">
        <w:t>.</w:t>
      </w:r>
    </w:p>
    <w:p w14:paraId="58DAB88E" w14:textId="5E33E40B" w:rsidR="00A617E4" w:rsidRDefault="004B1171" w:rsidP="00D5552A">
      <w:pPr>
        <w:pStyle w:val="Heading1"/>
      </w:pPr>
      <w:bookmarkStart w:id="1" w:name="_Toc28011429"/>
      <w:bookmarkStart w:id="2" w:name="_Toc16685785"/>
      <w:bookmarkStart w:id="3" w:name="_Hlk26868934"/>
      <w:bookmarkStart w:id="4" w:name="_Toc59002992"/>
      <w:r>
        <w:lastRenderedPageBreak/>
        <w:t>Support for law enforcement and natio</w:t>
      </w:r>
      <w:r>
        <w:t>nal security agencies</w:t>
      </w:r>
      <w:bookmarkEnd w:id="4"/>
      <w:r w:rsidR="009324C5">
        <w:t xml:space="preserve"> </w:t>
      </w:r>
    </w:p>
    <w:p w14:paraId="4B2180F7" w14:textId="4818BC36" w:rsidR="00094844" w:rsidRPr="00EF32DC" w:rsidRDefault="00CA0F4E" w:rsidP="00DA5E36">
      <w:pPr>
        <w:pStyle w:val="ListBulletLast"/>
        <w:numPr>
          <w:ilvl w:val="0"/>
          <w:numId w:val="0"/>
        </w:numPr>
      </w:pPr>
      <w:r w:rsidRPr="00EF32DC">
        <w:t>Among other matters,</w:t>
      </w:r>
      <w:r w:rsidRPr="00052460">
        <w:t xml:space="preserve"> </w:t>
      </w:r>
      <w:r w:rsidR="00A617E4" w:rsidRPr="00052460">
        <w:t>Part 14 of the</w:t>
      </w:r>
      <w:r w:rsidR="009324C5" w:rsidRPr="00052460">
        <w:t xml:space="preserve"> </w:t>
      </w:r>
      <w:r w:rsidR="00A617E4" w:rsidRPr="00052460">
        <w:t>Telecommunications Act requires telcos to</w:t>
      </w:r>
      <w:r w:rsidR="0017480D" w:rsidRPr="00052460">
        <w:t xml:space="preserve"> </w:t>
      </w:r>
      <w:r w:rsidR="0017480D" w:rsidRPr="00EF32DC">
        <w:t xml:space="preserve">do their best to prevent telecommunications networks and facilities from being used to commit offences. Telcos must also </w:t>
      </w:r>
      <w:r w:rsidR="00052460">
        <w:t>help</w:t>
      </w:r>
      <w:r w:rsidR="00052460" w:rsidRPr="00EF32DC">
        <w:t xml:space="preserve"> </w:t>
      </w:r>
      <w:r w:rsidR="0017480D" w:rsidRPr="00EF32DC">
        <w:t xml:space="preserve">law enforcement and national security agencies </w:t>
      </w:r>
      <w:r w:rsidR="00052460">
        <w:t xml:space="preserve">where </w:t>
      </w:r>
      <w:r w:rsidR="0017480D" w:rsidRPr="00EF32DC">
        <w:t xml:space="preserve">reasonably necessary for </w:t>
      </w:r>
      <w:r w:rsidR="0054348A" w:rsidRPr="00EF32DC">
        <w:t xml:space="preserve">specific purposes. </w:t>
      </w:r>
      <w:bookmarkEnd w:id="1"/>
      <w:r w:rsidR="00094844" w:rsidRPr="00EF32DC">
        <w:t>Telcos may also suspend the supply of a service in an emergency if request</w:t>
      </w:r>
      <w:r w:rsidR="0069535B" w:rsidRPr="00EF32DC">
        <w:t>ed</w:t>
      </w:r>
      <w:r w:rsidR="00094844" w:rsidRPr="00EF32DC">
        <w:t xml:space="preserve"> to do so by a senior police officer under Part 14 of the Telecommunications Act. </w:t>
      </w:r>
    </w:p>
    <w:p w14:paraId="029B0B86" w14:textId="068EB28E" w:rsidR="00094844" w:rsidRDefault="00094844" w:rsidP="00E32D2B">
      <w:pPr>
        <w:pStyle w:val="Paragraph"/>
      </w:pPr>
      <w:r w:rsidRPr="00EF32DC">
        <w:t>The Department of Home Affairs reports on the matters set out in section 315J of the Telecommunications Act, which relate to the telecommunications sector security reforms.</w:t>
      </w:r>
    </w:p>
    <w:p w14:paraId="3A7C259D" w14:textId="0228F078" w:rsidR="008477EE" w:rsidRPr="008477EE" w:rsidRDefault="008477EE" w:rsidP="008477EE">
      <w:pPr>
        <w:pStyle w:val="Heading2"/>
      </w:pPr>
      <w:bookmarkStart w:id="5" w:name="_Toc59002993"/>
      <w:r>
        <w:t>Reasonably necessary assistance</w:t>
      </w:r>
      <w:bookmarkEnd w:id="5"/>
    </w:p>
    <w:p w14:paraId="23660ED8" w14:textId="690A95C6" w:rsidR="00D5552A" w:rsidRPr="00916E58" w:rsidRDefault="008477EE" w:rsidP="00D208BA">
      <w:pPr>
        <w:pStyle w:val="Paragraphbeforelist"/>
      </w:pPr>
      <w:r>
        <w:t xml:space="preserve">Telcos </w:t>
      </w:r>
      <w:r w:rsidR="00127F0D">
        <w:t>must</w:t>
      </w:r>
      <w:r w:rsidR="00D5552A" w:rsidRPr="00916E58">
        <w:t xml:space="preserve"> provide </w:t>
      </w:r>
      <w:r w:rsidRPr="00916E58">
        <w:t xml:space="preserve">law enforcement and national security agencies </w:t>
      </w:r>
      <w:r>
        <w:t xml:space="preserve">with </w:t>
      </w:r>
      <w:r w:rsidR="00D5552A" w:rsidRPr="00916E58">
        <w:t xml:space="preserve">reasonably necessary assistance under </w:t>
      </w:r>
      <w:r w:rsidR="006D01C3">
        <w:t>sub</w:t>
      </w:r>
      <w:r w:rsidR="00D5552A" w:rsidRPr="00916E58">
        <w:t>section</w:t>
      </w:r>
      <w:r w:rsidR="006D01C3">
        <w:t>s</w:t>
      </w:r>
      <w:r w:rsidR="00D5552A" w:rsidRPr="00916E58">
        <w:t xml:space="preserve"> 313</w:t>
      </w:r>
      <w:r w:rsidR="006D01C3">
        <w:t>(3) and (4)</w:t>
      </w:r>
      <w:r w:rsidR="00D5552A" w:rsidRPr="00916E58">
        <w:t xml:space="preserve"> of the </w:t>
      </w:r>
      <w:r w:rsidR="00FE449E">
        <w:rPr>
          <w:iCs/>
        </w:rPr>
        <w:t xml:space="preserve">Telecommunications </w:t>
      </w:r>
      <w:r w:rsidR="00D5552A" w:rsidRPr="006371D9">
        <w:rPr>
          <w:iCs/>
        </w:rPr>
        <w:t>Act</w:t>
      </w:r>
      <w:r w:rsidR="00D5552A">
        <w:rPr>
          <w:i/>
        </w:rPr>
        <w:t>.</w:t>
      </w:r>
      <w:r w:rsidR="00D5552A" w:rsidRPr="00916E58">
        <w:t xml:space="preserve"> This </w:t>
      </w:r>
      <w:r w:rsidR="00D5552A">
        <w:t>usually</w:t>
      </w:r>
      <w:r w:rsidR="00D5552A" w:rsidRPr="00916E58">
        <w:t xml:space="preserve"> involves providing information about consumers and their communications, for the purposes of:</w:t>
      </w:r>
    </w:p>
    <w:p w14:paraId="1D543CC7" w14:textId="77777777" w:rsidR="00D5552A" w:rsidRPr="00916E58" w:rsidRDefault="00D5552A" w:rsidP="00517389">
      <w:pPr>
        <w:pStyle w:val="ListBullet"/>
      </w:pPr>
      <w:r w:rsidRPr="00916E58">
        <w:t>enforcing the criminal law</w:t>
      </w:r>
    </w:p>
    <w:p w14:paraId="43AC5CA2" w14:textId="77777777" w:rsidR="00D5552A" w:rsidRPr="00916E58" w:rsidRDefault="00D5552A" w:rsidP="00517389">
      <w:pPr>
        <w:pStyle w:val="ListBullet"/>
      </w:pPr>
      <w:r w:rsidRPr="00916E58">
        <w:t>enforcing laws that impose a pecuniary penalty</w:t>
      </w:r>
    </w:p>
    <w:p w14:paraId="466A917C" w14:textId="77777777" w:rsidR="00D5552A" w:rsidRPr="00916E58" w:rsidRDefault="00D5552A" w:rsidP="00517389">
      <w:pPr>
        <w:pStyle w:val="ListBullet"/>
      </w:pPr>
      <w:r w:rsidRPr="00916E58">
        <w:t>assisting the enforcement of the criminal laws in force in a foreign country</w:t>
      </w:r>
    </w:p>
    <w:p w14:paraId="015C2BB3" w14:textId="77777777" w:rsidR="00D5552A" w:rsidRPr="00916E58" w:rsidRDefault="00D5552A" w:rsidP="00517389">
      <w:pPr>
        <w:pStyle w:val="ListBullet"/>
      </w:pPr>
      <w:r w:rsidRPr="00916E58">
        <w:t>protecting the public revenue</w:t>
      </w:r>
    </w:p>
    <w:p w14:paraId="480529D9" w14:textId="77777777" w:rsidR="00D5552A" w:rsidRPr="00916E58" w:rsidRDefault="00D5552A" w:rsidP="00D208BA">
      <w:pPr>
        <w:pStyle w:val="Bulletlevel1last"/>
      </w:pPr>
      <w:r w:rsidRPr="00916E58">
        <w:t>safeguarding national security.</w:t>
      </w:r>
    </w:p>
    <w:p w14:paraId="53428BC7" w14:textId="3AC64C6D" w:rsidR="004F3709" w:rsidRPr="004F3709" w:rsidRDefault="004F3709" w:rsidP="00D208BA">
      <w:pPr>
        <w:pStyle w:val="Paragraphbeforelist"/>
      </w:pPr>
      <w:r w:rsidRPr="004F3709">
        <w:t xml:space="preserve">We </w:t>
      </w:r>
      <w:r w:rsidR="00916649">
        <w:t xml:space="preserve">may </w:t>
      </w:r>
      <w:r w:rsidRPr="004F3709">
        <w:t>assess compliance with section 313 of the Tel</w:t>
      </w:r>
      <w:r>
        <w:t>e</w:t>
      </w:r>
      <w:r w:rsidRPr="004F3709">
        <w:t>co</w:t>
      </w:r>
      <w:r w:rsidR="00C63629">
        <w:t>mmunications</w:t>
      </w:r>
      <w:r w:rsidRPr="004F3709">
        <w:t xml:space="preserve"> Act through compliance assessments or investigations</w:t>
      </w:r>
      <w:r w:rsidR="00391E2B">
        <w:t>,</w:t>
      </w:r>
      <w:r w:rsidRPr="004F3709">
        <w:t xml:space="preserve"> undertaken in response to:</w:t>
      </w:r>
    </w:p>
    <w:p w14:paraId="3AF928BC" w14:textId="005538FE" w:rsidR="004F3709" w:rsidRPr="004F3709" w:rsidRDefault="004F3709" w:rsidP="001234CB">
      <w:pPr>
        <w:pStyle w:val="ListBullet"/>
      </w:pPr>
      <w:r w:rsidRPr="004F3709">
        <w:t xml:space="preserve">a referral from the Department of </w:t>
      </w:r>
      <w:r w:rsidRPr="00C63629">
        <w:t xml:space="preserve">Home Affairs </w:t>
      </w:r>
    </w:p>
    <w:p w14:paraId="039C8D2A" w14:textId="77777777" w:rsidR="004F3709" w:rsidRPr="001234CB" w:rsidRDefault="004F3709" w:rsidP="00D208BA">
      <w:pPr>
        <w:pStyle w:val="Bulletlevel1last"/>
      </w:pPr>
      <w:r w:rsidRPr="001234CB">
        <w:t xml:space="preserve">complaints from law enforcement agencies. </w:t>
      </w:r>
    </w:p>
    <w:p w14:paraId="0923500A" w14:textId="1D173116" w:rsidR="00D5552A" w:rsidRDefault="008477EE" w:rsidP="00517389">
      <w:pPr>
        <w:pStyle w:val="Paragraph"/>
      </w:pPr>
      <w:r>
        <w:t>In 2019</w:t>
      </w:r>
      <w:r w:rsidR="005A1111">
        <w:t>–</w:t>
      </w:r>
      <w:r>
        <w:t>20</w:t>
      </w:r>
      <w:r w:rsidR="005A1111">
        <w:t>,</w:t>
      </w:r>
      <w:r w:rsidR="00D5552A" w:rsidRPr="00916E58">
        <w:t xml:space="preserve"> </w:t>
      </w:r>
      <w:r w:rsidR="00127F0D">
        <w:t>we</w:t>
      </w:r>
      <w:r w:rsidR="00D5552A">
        <w:t xml:space="preserve"> </w:t>
      </w:r>
      <w:r>
        <w:t xml:space="preserve">did not </w:t>
      </w:r>
      <w:r w:rsidR="00D5552A">
        <w:t>receive any</w:t>
      </w:r>
      <w:r w:rsidR="009324C5">
        <w:t xml:space="preserve"> complaints or </w:t>
      </w:r>
      <w:r w:rsidR="00D5552A">
        <w:t>referrals</w:t>
      </w:r>
      <w:r>
        <w:rPr>
          <w:rStyle w:val="FootnoteReference"/>
        </w:rPr>
        <w:footnoteReference w:id="2"/>
      </w:r>
      <w:r>
        <w:t xml:space="preserve"> to investigate telco non-compliance with obligations under </w:t>
      </w:r>
      <w:r w:rsidR="00560CDB">
        <w:t>sub</w:t>
      </w:r>
      <w:r>
        <w:t>section</w:t>
      </w:r>
      <w:r w:rsidR="00560CDB">
        <w:t>s</w:t>
      </w:r>
      <w:r>
        <w:t xml:space="preserve"> 313</w:t>
      </w:r>
      <w:r w:rsidR="00560CDB">
        <w:t>(3) or (4)</w:t>
      </w:r>
      <w:r>
        <w:t xml:space="preserve"> of the </w:t>
      </w:r>
      <w:r w:rsidR="00FE449E">
        <w:t xml:space="preserve">Telecommunications </w:t>
      </w:r>
      <w:r>
        <w:t xml:space="preserve">Act. </w:t>
      </w:r>
      <w:r w:rsidR="00D5552A" w:rsidRPr="00916E58">
        <w:t xml:space="preserve"> </w:t>
      </w:r>
    </w:p>
    <w:p w14:paraId="2AC24548" w14:textId="1A5ED265" w:rsidR="00D5552A" w:rsidRPr="00517389" w:rsidRDefault="00651B81" w:rsidP="00517389">
      <w:pPr>
        <w:pStyle w:val="Heading2"/>
      </w:pPr>
      <w:bookmarkStart w:id="6" w:name="_Toc26958373"/>
      <w:bookmarkStart w:id="7" w:name="_Toc28011430"/>
      <w:bookmarkStart w:id="8" w:name="_Toc59002994"/>
      <w:r>
        <w:t>Cost of p</w:t>
      </w:r>
      <w:r w:rsidR="00D5552A" w:rsidRPr="00517389">
        <w:t>roviding assistance</w:t>
      </w:r>
      <w:bookmarkEnd w:id="6"/>
      <w:bookmarkEnd w:id="7"/>
      <w:bookmarkEnd w:id="8"/>
      <w:r w:rsidR="00D5552A" w:rsidRPr="00517389">
        <w:t xml:space="preserve"> </w:t>
      </w:r>
    </w:p>
    <w:p w14:paraId="79E8B717" w14:textId="717B2B0C" w:rsidR="00D5552A" w:rsidRDefault="00FF69EB" w:rsidP="00517389">
      <w:pPr>
        <w:pStyle w:val="Paragraph"/>
      </w:pPr>
      <w:r>
        <w:t>If a t</w:t>
      </w:r>
      <w:r w:rsidR="008477EE">
        <w:t xml:space="preserve">elco </w:t>
      </w:r>
      <w:r>
        <w:t>is required to give help to</w:t>
      </w:r>
      <w:r w:rsidR="00C63629">
        <w:t xml:space="preserve"> a</w:t>
      </w:r>
      <w:r>
        <w:t xml:space="preserve"> </w:t>
      </w:r>
      <w:r w:rsidR="00836E97">
        <w:t xml:space="preserve">law enforcement </w:t>
      </w:r>
      <w:r>
        <w:t xml:space="preserve">or </w:t>
      </w:r>
      <w:r w:rsidR="00836E97">
        <w:t>national security agenc</w:t>
      </w:r>
      <w:r>
        <w:t>y</w:t>
      </w:r>
      <w:r w:rsidR="00836E97">
        <w:t xml:space="preserve"> </w:t>
      </w:r>
      <w:r w:rsidR="00436F7C">
        <w:t xml:space="preserve">under subsections 313(3) or (4) of the Telecommunications Act, it must do so </w:t>
      </w:r>
      <w:r w:rsidR="00836E97">
        <w:t xml:space="preserve">on the basis </w:t>
      </w:r>
      <w:r w:rsidR="00740B35">
        <w:t xml:space="preserve">that </w:t>
      </w:r>
      <w:r w:rsidR="00916649">
        <w:t xml:space="preserve">it </w:t>
      </w:r>
      <w:r w:rsidR="00836E97">
        <w:t>do</w:t>
      </w:r>
      <w:r w:rsidR="00916649">
        <w:t>es</w:t>
      </w:r>
      <w:r w:rsidR="00836E97">
        <w:t xml:space="preserve"> not profit from</w:t>
      </w:r>
      <w:r w:rsidR="005A1111">
        <w:t>,</w:t>
      </w:r>
      <w:r w:rsidR="00836E97">
        <w:t xml:space="preserve"> or bear the cost of</w:t>
      </w:r>
      <w:r w:rsidR="005A1111">
        <w:t>,</w:t>
      </w:r>
      <w:r w:rsidR="00836E97">
        <w:t xml:space="preserve"> that help</w:t>
      </w:r>
      <w:r w:rsidR="009324C5">
        <w:t>.</w:t>
      </w:r>
      <w:r w:rsidR="00836E97">
        <w:rPr>
          <w:rStyle w:val="FootnoteReference"/>
        </w:rPr>
        <w:footnoteReference w:id="3"/>
      </w:r>
      <w:r w:rsidR="00836E97">
        <w:t xml:space="preserve"> </w:t>
      </w:r>
      <w:bookmarkStart w:id="9" w:name="_Hlk55804063"/>
      <w:r w:rsidR="00436F7C">
        <w:t xml:space="preserve">Telcos provide such assistance on the terms and conditions agreed </w:t>
      </w:r>
      <w:r w:rsidR="005C54A4">
        <w:t xml:space="preserve">with the relevant </w:t>
      </w:r>
      <w:r w:rsidR="006C4790">
        <w:t>C</w:t>
      </w:r>
      <w:r w:rsidR="005C54A4">
        <w:t xml:space="preserve">ommonwealth, </w:t>
      </w:r>
      <w:r w:rsidR="005A1111">
        <w:t>s</w:t>
      </w:r>
      <w:r w:rsidR="005C54A4">
        <w:t xml:space="preserve">tate or </w:t>
      </w:r>
      <w:r w:rsidR="005A1111">
        <w:t>t</w:t>
      </w:r>
      <w:r w:rsidR="005C54A4">
        <w:t xml:space="preserve">erritory authority. </w:t>
      </w:r>
      <w:bookmarkEnd w:id="9"/>
    </w:p>
    <w:p w14:paraId="730E74A7" w14:textId="77777777" w:rsidR="00DA5E36" w:rsidRPr="00EF32DC" w:rsidRDefault="00DA5E36" w:rsidP="00DA5E36">
      <w:pPr>
        <w:pStyle w:val="Heading2"/>
      </w:pPr>
      <w:bookmarkStart w:id="10" w:name="_Toc59002995"/>
      <w:r w:rsidRPr="00EF32DC">
        <w:lastRenderedPageBreak/>
        <w:t>Lawful disruption of online services</w:t>
      </w:r>
      <w:bookmarkEnd w:id="10"/>
    </w:p>
    <w:p w14:paraId="7E15B3F2" w14:textId="60269554" w:rsidR="00CE7EAE" w:rsidRPr="00EF32DC" w:rsidRDefault="00CE7EAE" w:rsidP="00CE7EAE">
      <w:r w:rsidRPr="00EF32DC">
        <w:t xml:space="preserve">Subsection 313(3) enables Australian </w:t>
      </w:r>
      <w:r w:rsidR="007B7F32" w:rsidRPr="00EF32DC">
        <w:t xml:space="preserve">and </w:t>
      </w:r>
      <w:r w:rsidR="006A2F5E">
        <w:t>s</w:t>
      </w:r>
      <w:r w:rsidR="007B7F32" w:rsidRPr="00EF32DC">
        <w:t xml:space="preserve">tate and </w:t>
      </w:r>
      <w:r w:rsidR="006A2F5E">
        <w:t>t</w:t>
      </w:r>
      <w:r w:rsidR="007B7F32" w:rsidRPr="00EF32DC">
        <w:t>erritory g</w:t>
      </w:r>
      <w:r w:rsidRPr="00EF32DC">
        <w:t>overnment agencies to request telcos that are internet service providers to provide assistance as reas</w:t>
      </w:r>
      <w:r w:rsidRPr="00EF32DC">
        <w:t>onably necessary to disrupt access to illegal online services by blocking access to websites in connection with any of the purposes set out in paragraph 313(3)(c)</w:t>
      </w:r>
      <w:r w:rsidR="006A2F5E">
        <w:t>–</w:t>
      </w:r>
      <w:r w:rsidRPr="00EF32DC">
        <w:t xml:space="preserve">(e) of the Telecommunications Act. </w:t>
      </w:r>
    </w:p>
    <w:p w14:paraId="21A5480C" w14:textId="02B8F035" w:rsidR="00CE7EAE" w:rsidRPr="006A2F5E" w:rsidRDefault="00CE7EAE" w:rsidP="00CE7EAE">
      <w:r w:rsidRPr="00EF32DC">
        <w:t>In making requests, Australian government agencies</w:t>
      </w:r>
      <w:r w:rsidR="007B7F32" w:rsidRPr="00EF32DC">
        <w:rPr>
          <w:rStyle w:val="FootnoteReference"/>
        </w:rPr>
        <w:footnoteReference w:id="4"/>
      </w:r>
      <w:r w:rsidRPr="00EF32DC">
        <w:t xml:space="preserve"> </w:t>
      </w:r>
      <w:r w:rsidR="00244F9D" w:rsidRPr="00EF32DC">
        <w:t>are expected to</w:t>
      </w:r>
      <w:r w:rsidRPr="00EF32DC">
        <w:t xml:space="preserve"> follow the whole-of-government guidelines released in June 2017</w:t>
      </w:r>
      <w:r w:rsidR="006A2F5E">
        <w:t xml:space="preserve"> </w:t>
      </w:r>
      <w:r w:rsidR="00244F9D" w:rsidRPr="00EF32DC">
        <w:rPr>
          <w:rFonts w:cs="Arial"/>
        </w:rPr>
        <w:t>–</w:t>
      </w:r>
      <w:r w:rsidRPr="00EF32DC">
        <w:t xml:space="preserve"> </w:t>
      </w:r>
      <w:r w:rsidR="00D0585A" w:rsidRPr="00EF32DC">
        <w:t>Guidelines for the use of section 313(3) of the Telecommunications Act by government agencies for the lawful disruption of access to online services</w:t>
      </w:r>
      <w:r w:rsidRPr="00EF32DC">
        <w:t>.</w:t>
      </w:r>
      <w:r w:rsidR="00D0585A" w:rsidRPr="006A2F5E">
        <w:rPr>
          <w:rStyle w:val="FootnoteReference"/>
          <w:u w:color="0000FF"/>
        </w:rPr>
        <w:footnoteReference w:id="5"/>
      </w:r>
    </w:p>
    <w:p w14:paraId="2B6F384B" w14:textId="0F605F0E" w:rsidR="00DA5E36" w:rsidRPr="006A2F5E" w:rsidRDefault="00DA5E36" w:rsidP="00DA5E36">
      <w:pPr>
        <w:pStyle w:val="Paragraph"/>
      </w:pPr>
      <w:r w:rsidRPr="006A2F5E">
        <w:t>In 2019</w:t>
      </w:r>
      <w:r w:rsidR="006A2F5E">
        <w:t>–</w:t>
      </w:r>
      <w:r w:rsidRPr="006A2F5E">
        <w:t>20</w:t>
      </w:r>
      <w:r w:rsidR="0069535B" w:rsidRPr="006A2F5E">
        <w:t>,</w:t>
      </w:r>
      <w:r w:rsidRPr="006A2F5E">
        <w:t xml:space="preserve"> </w:t>
      </w:r>
      <w:r w:rsidR="006A2F5E">
        <w:t>2</w:t>
      </w:r>
      <w:r w:rsidR="006A2F5E" w:rsidRPr="006A2F5E">
        <w:t xml:space="preserve"> </w:t>
      </w:r>
      <w:r w:rsidRPr="006A2F5E">
        <w:t xml:space="preserve">agencies reported using subsection 313(3) of the Telecommunications </w:t>
      </w:r>
      <w:r w:rsidRPr="006A2F5E">
        <w:t xml:space="preserve">Act to disrupt online services. </w:t>
      </w:r>
      <w:r w:rsidR="00583336" w:rsidRPr="006A2F5E">
        <w:t xml:space="preserve">This resulted in </w:t>
      </w:r>
      <w:r w:rsidR="006A2F5E">
        <w:t>8</w:t>
      </w:r>
      <w:r w:rsidR="006A2F5E" w:rsidRPr="006A2F5E">
        <w:t xml:space="preserve"> </w:t>
      </w:r>
      <w:r w:rsidRPr="006A2F5E">
        <w:t xml:space="preserve">requests </w:t>
      </w:r>
      <w:r w:rsidR="00583336" w:rsidRPr="006A2F5E">
        <w:t>to</w:t>
      </w:r>
      <w:r w:rsidRPr="006A2F5E">
        <w:t xml:space="preserve"> telcos </w:t>
      </w:r>
      <w:r w:rsidR="00583336" w:rsidRPr="006A2F5E">
        <w:t xml:space="preserve">and </w:t>
      </w:r>
      <w:r w:rsidRPr="006A2F5E">
        <w:t xml:space="preserve">67 </w:t>
      </w:r>
      <w:r w:rsidR="00035054" w:rsidRPr="006A2F5E">
        <w:t>websites</w:t>
      </w:r>
      <w:r w:rsidR="006A2F5E">
        <w:t xml:space="preserve"> blocked</w:t>
      </w:r>
      <w:r w:rsidRPr="006A2F5E">
        <w:t xml:space="preserve">. </w:t>
      </w:r>
    </w:p>
    <w:p w14:paraId="0CF101B0" w14:textId="0586A033" w:rsidR="007B7F32" w:rsidRDefault="007B7F32" w:rsidP="00DA5E36">
      <w:pPr>
        <w:pStyle w:val="Paragraph"/>
      </w:pPr>
      <w:r w:rsidRPr="006A2F5E">
        <w:t>The ACMA is one of the</w:t>
      </w:r>
      <w:r w:rsidR="006A2F5E">
        <w:t>se</w:t>
      </w:r>
      <w:r w:rsidRPr="006A2F5E">
        <w:t xml:space="preserve"> </w:t>
      </w:r>
      <w:r w:rsidR="00EF32DC" w:rsidRPr="006A2F5E">
        <w:t>agencies</w:t>
      </w:r>
      <w:r w:rsidR="00EF32DC">
        <w:t xml:space="preserve"> and</w:t>
      </w:r>
      <w:r w:rsidRPr="006A2F5E">
        <w:t xml:space="preserve"> made </w:t>
      </w:r>
      <w:r w:rsidR="006A2F5E">
        <w:t>7</w:t>
      </w:r>
      <w:r w:rsidR="006A2F5E" w:rsidRPr="006A2F5E">
        <w:t xml:space="preserve"> </w:t>
      </w:r>
      <w:r w:rsidRPr="006A2F5E">
        <w:t xml:space="preserve">requests to </w:t>
      </w:r>
      <w:r w:rsidR="00244F9D" w:rsidRPr="006A2F5E">
        <w:t>telcos in 2019</w:t>
      </w:r>
      <w:r w:rsidR="006A2F5E">
        <w:t>–</w:t>
      </w:r>
      <w:r w:rsidR="00244F9D" w:rsidRPr="006A2F5E">
        <w:t>20, result</w:t>
      </w:r>
      <w:r w:rsidR="006A2F5E">
        <w:t>ing</w:t>
      </w:r>
      <w:r w:rsidR="00244F9D" w:rsidRPr="006A2F5E">
        <w:t xml:space="preserve"> in 66 illegal off-shore gambling websites being blocked.</w:t>
      </w:r>
    </w:p>
    <w:p w14:paraId="6FC4E8AF" w14:textId="77777777" w:rsidR="00D5552A" w:rsidRPr="00EF77F8" w:rsidRDefault="00D5552A" w:rsidP="00D208BA">
      <w:pPr>
        <w:pStyle w:val="Heading2"/>
        <w:keepLines/>
      </w:pPr>
      <w:bookmarkStart w:id="11" w:name="_Toc494799463"/>
      <w:bookmarkStart w:id="12" w:name="_Toc494805766"/>
      <w:bookmarkStart w:id="13" w:name="_Toc494805999"/>
      <w:bookmarkStart w:id="14" w:name="_Toc494808229"/>
      <w:bookmarkStart w:id="15" w:name="_Toc494808883"/>
      <w:bookmarkStart w:id="16" w:name="_Toc494816068"/>
      <w:bookmarkStart w:id="17" w:name="_Toc494818898"/>
      <w:bookmarkStart w:id="18" w:name="_Toc494819160"/>
      <w:bookmarkStart w:id="19" w:name="_Toc529964644"/>
      <w:bookmarkStart w:id="20" w:name="_Toc462909479"/>
      <w:bookmarkStart w:id="21" w:name="_Toc465842962"/>
      <w:bookmarkStart w:id="22" w:name="_Toc26958375"/>
      <w:bookmarkStart w:id="23" w:name="_Toc28011431"/>
      <w:bookmarkStart w:id="24" w:name="_Hlk27745447"/>
      <w:bookmarkStart w:id="25" w:name="_Toc59002996"/>
      <w:r w:rsidRPr="00EF77F8">
        <w:t>Emergency suspension of carriage services</w:t>
      </w:r>
      <w:bookmarkEnd w:id="11"/>
      <w:bookmarkEnd w:id="12"/>
      <w:bookmarkEnd w:id="13"/>
      <w:bookmarkEnd w:id="14"/>
      <w:bookmarkEnd w:id="15"/>
      <w:bookmarkEnd w:id="16"/>
      <w:bookmarkEnd w:id="17"/>
      <w:bookmarkEnd w:id="18"/>
      <w:bookmarkEnd w:id="19"/>
      <w:bookmarkEnd w:id="20"/>
      <w:bookmarkEnd w:id="21"/>
      <w:bookmarkEnd w:id="22"/>
      <w:bookmarkEnd w:id="23"/>
      <w:bookmarkEnd w:id="25"/>
    </w:p>
    <w:p w14:paraId="701F812D" w14:textId="171D5C95" w:rsidR="00D5552A" w:rsidRPr="00EF77F8" w:rsidRDefault="00D5552A" w:rsidP="00D208BA">
      <w:pPr>
        <w:pStyle w:val="Paragraph"/>
        <w:keepNext/>
        <w:keepLines/>
      </w:pPr>
      <w:r w:rsidRPr="00EF77F8">
        <w:t xml:space="preserve">Under section 315 of the </w:t>
      </w:r>
      <w:r w:rsidR="00C05616">
        <w:rPr>
          <w:iCs/>
        </w:rPr>
        <w:t xml:space="preserve">Telecommunications </w:t>
      </w:r>
      <w:r w:rsidRPr="002A2FE9">
        <w:rPr>
          <w:iCs/>
        </w:rPr>
        <w:t>Act</w:t>
      </w:r>
      <w:r w:rsidRPr="00905378">
        <w:rPr>
          <w:iCs/>
        </w:rPr>
        <w:t>,</w:t>
      </w:r>
      <w:r w:rsidRPr="00EF77F8">
        <w:t xml:space="preserve"> a senior officer </w:t>
      </w:r>
      <w:r>
        <w:t xml:space="preserve">of a police force </w:t>
      </w:r>
      <w:r w:rsidRPr="00EF77F8">
        <w:t>or service</w:t>
      </w:r>
      <w:r w:rsidR="00FE45A4">
        <w:rPr>
          <w:rStyle w:val="FootnoteReference"/>
        </w:rPr>
        <w:footnoteReference w:id="6"/>
      </w:r>
      <w:r w:rsidRPr="00EF77F8">
        <w:t xml:space="preserve"> can request the suspension of a carriage service if </w:t>
      </w:r>
      <w:r w:rsidR="00393C3F">
        <w:t xml:space="preserve">they have reasonable grounds to believe </w:t>
      </w:r>
      <w:r w:rsidRPr="00EF77F8">
        <w:t xml:space="preserve">there is an imminent threat to someone’s life or health. </w:t>
      </w:r>
      <w:r w:rsidR="00FE45A4">
        <w:t>Telcos</w:t>
      </w:r>
      <w:r w:rsidRPr="00EF77F8">
        <w:t xml:space="preserve"> reported the suspension of </w:t>
      </w:r>
      <w:r>
        <w:t>17</w:t>
      </w:r>
      <w:r w:rsidRPr="00EF77F8">
        <w:t xml:space="preserve"> carriage services in 201</w:t>
      </w:r>
      <w:r>
        <w:t>9</w:t>
      </w:r>
      <w:r w:rsidRPr="00EF77F8">
        <w:t>–</w:t>
      </w:r>
      <w:r>
        <w:t>20</w:t>
      </w:r>
      <w:r w:rsidRPr="00EF77F8">
        <w:t xml:space="preserve">, </w:t>
      </w:r>
      <w:r>
        <w:t>a decrease</w:t>
      </w:r>
      <w:r w:rsidR="00740B35">
        <w:t xml:space="preserve"> of </w:t>
      </w:r>
      <w:r w:rsidR="004060E5">
        <w:t>47</w:t>
      </w:r>
      <w:r w:rsidR="005A1111">
        <w:t xml:space="preserve">% </w:t>
      </w:r>
      <w:r w:rsidRPr="00EF77F8">
        <w:t xml:space="preserve">from </w:t>
      </w:r>
      <w:r>
        <w:t>32</w:t>
      </w:r>
      <w:r w:rsidRPr="00EF77F8">
        <w:t xml:space="preserve"> carriage services</w:t>
      </w:r>
      <w:r w:rsidR="00455900">
        <w:t xml:space="preserve"> suspended</w:t>
      </w:r>
      <w:r w:rsidRPr="00EF77F8">
        <w:t xml:space="preserve"> in 201</w:t>
      </w:r>
      <w:r>
        <w:t>8</w:t>
      </w:r>
      <w:r w:rsidRPr="00EF77F8">
        <w:t>–1</w:t>
      </w:r>
      <w:r>
        <w:t>9</w:t>
      </w:r>
      <w:r w:rsidRPr="00EF77F8">
        <w:t>.</w:t>
      </w:r>
    </w:p>
    <w:p w14:paraId="6342DB9D" w14:textId="7A317596" w:rsidR="00D5552A" w:rsidRPr="00EF77F8" w:rsidRDefault="00D5552A" w:rsidP="00D5552A">
      <w:pPr>
        <w:pStyle w:val="Heading2"/>
      </w:pPr>
      <w:bookmarkStart w:id="26" w:name="_Toc462909482"/>
      <w:bookmarkStart w:id="27" w:name="_Toc465842965"/>
      <w:bookmarkStart w:id="28" w:name="_Toc26958377"/>
      <w:bookmarkStart w:id="29" w:name="_Toc28011433"/>
      <w:bookmarkStart w:id="30" w:name="_Toc59002997"/>
      <w:bookmarkEnd w:id="2"/>
      <w:bookmarkEnd w:id="3"/>
      <w:bookmarkEnd w:id="24"/>
      <w:r w:rsidRPr="00EF77F8">
        <w:t>Interception capability</w:t>
      </w:r>
      <w:bookmarkEnd w:id="26"/>
      <w:bookmarkEnd w:id="27"/>
      <w:bookmarkEnd w:id="28"/>
      <w:bookmarkEnd w:id="29"/>
      <w:r w:rsidR="00154093">
        <w:t xml:space="preserve"> costs</w:t>
      </w:r>
      <w:bookmarkEnd w:id="30"/>
    </w:p>
    <w:p w14:paraId="5F90D20A" w14:textId="77777777" w:rsidR="005B6AE5" w:rsidRDefault="005B6AE5" w:rsidP="005B6AE5">
      <w:pPr>
        <w:pStyle w:val="Paragraph"/>
      </w:pPr>
      <w:r w:rsidRPr="00EF77F8">
        <w:t xml:space="preserve">The content of </w:t>
      </w:r>
      <w:r>
        <w:t>tele</w:t>
      </w:r>
      <w:r w:rsidRPr="00EF77F8">
        <w:t xml:space="preserve">communications is protected in Australia. </w:t>
      </w:r>
    </w:p>
    <w:p w14:paraId="51D6A44C" w14:textId="77777777" w:rsidR="005B6AE5" w:rsidRPr="00EF77F8" w:rsidRDefault="005B6AE5" w:rsidP="005B6AE5">
      <w:pPr>
        <w:pStyle w:val="Paragraph"/>
      </w:pPr>
      <w:r w:rsidRPr="00740B35">
        <w:rPr>
          <w:szCs w:val="20"/>
        </w:rPr>
        <w:t xml:space="preserve">It is </w:t>
      </w:r>
      <w:r w:rsidRPr="00740B35">
        <w:rPr>
          <w:rFonts w:ascii="Roboto" w:hAnsi="Roboto" w:cs="Segoe UI"/>
          <w:szCs w:val="20"/>
        </w:rPr>
        <w:t>a criminal offence</w:t>
      </w:r>
      <w:r>
        <w:rPr>
          <w:rFonts w:ascii="Roboto" w:hAnsi="Roboto" w:cs="Segoe UI"/>
          <w:szCs w:val="20"/>
        </w:rPr>
        <w:t xml:space="preserve"> under the TIA Act</w:t>
      </w:r>
      <w:r w:rsidRPr="00740B35">
        <w:rPr>
          <w:rFonts w:ascii="Roboto" w:hAnsi="Roboto" w:cs="Segoe UI"/>
          <w:szCs w:val="20"/>
        </w:rPr>
        <w:t xml:space="preserve"> to intercept or access </w:t>
      </w:r>
      <w:r>
        <w:rPr>
          <w:rFonts w:ascii="Roboto" w:hAnsi="Roboto" w:cs="Segoe UI"/>
          <w:szCs w:val="20"/>
        </w:rPr>
        <w:t xml:space="preserve">communications passing over a </w:t>
      </w:r>
      <w:r w:rsidRPr="00740B35">
        <w:rPr>
          <w:rFonts w:ascii="Roboto" w:hAnsi="Roboto" w:cs="Segoe UI"/>
          <w:szCs w:val="20"/>
        </w:rPr>
        <w:t xml:space="preserve">telecommunications </w:t>
      </w:r>
      <w:r>
        <w:rPr>
          <w:rFonts w:ascii="Roboto" w:hAnsi="Roboto" w:cs="Segoe UI"/>
          <w:szCs w:val="20"/>
        </w:rPr>
        <w:t xml:space="preserve">system </w:t>
      </w:r>
      <w:r w:rsidRPr="00740B35">
        <w:rPr>
          <w:rFonts w:ascii="Roboto" w:hAnsi="Roboto" w:cs="Segoe UI"/>
          <w:szCs w:val="20"/>
        </w:rPr>
        <w:t xml:space="preserve">without the knowledge of those involved in that communication. </w:t>
      </w:r>
      <w:r w:rsidRPr="00740B35">
        <w:t xml:space="preserve">Only </w:t>
      </w:r>
      <w:r w:rsidRPr="00EF77F8">
        <w:t xml:space="preserve">law enforcement and national security agencies </w:t>
      </w:r>
      <w:r>
        <w:t xml:space="preserve">can authorise interception with a warrant issued </w:t>
      </w:r>
      <w:r w:rsidRPr="00EF77F8">
        <w:t xml:space="preserve">under the TIA Act. </w:t>
      </w:r>
    </w:p>
    <w:p w14:paraId="67417426" w14:textId="113B8F23" w:rsidR="00936362" w:rsidRPr="00936362" w:rsidRDefault="00936362" w:rsidP="00936362">
      <w:r w:rsidRPr="00936362">
        <w:t>Chapter 5 of the TIA Act requires telcos to develop, install and maintain an interception capability, so that their networks, facilities and carriage services can be intercepted if presented with an interception warran</w:t>
      </w:r>
      <w:r w:rsidRPr="0026743F">
        <w:t>t</w:t>
      </w:r>
      <w:r w:rsidR="0070506E" w:rsidRPr="0026743F">
        <w:t xml:space="preserve"> </w:t>
      </w:r>
      <w:r w:rsidR="0070506E" w:rsidRPr="00EF32DC">
        <w:t>under paragraph 313(7)(a) of the Telecommunications Act</w:t>
      </w:r>
      <w:r w:rsidRPr="00EF32DC">
        <w:t>.</w:t>
      </w:r>
      <w:r w:rsidRPr="00936362">
        <w:t xml:space="preserve"> </w:t>
      </w:r>
    </w:p>
    <w:p w14:paraId="16EFF6D8" w14:textId="32631BA0" w:rsidR="00D5552A" w:rsidRPr="00EF77F8" w:rsidRDefault="00D5552A" w:rsidP="00D5552A">
      <w:r w:rsidRPr="00EF77F8">
        <w:t xml:space="preserve">Under section 207 of the TIA Act, </w:t>
      </w:r>
      <w:r w:rsidR="006D5E1F">
        <w:t>telcos</w:t>
      </w:r>
      <w:r w:rsidRPr="00EF77F8">
        <w:t xml:space="preserve"> are responsible for the capital and ongoing costs </w:t>
      </w:r>
      <w:r w:rsidR="00145C68">
        <w:t>of</w:t>
      </w:r>
      <w:r w:rsidRPr="00EF77F8">
        <w:t xml:space="preserve"> providing</w:t>
      </w:r>
      <w:r w:rsidR="00145C68">
        <w:t xml:space="preserve"> an</w:t>
      </w:r>
      <w:r w:rsidR="006D5E1F">
        <w:t xml:space="preserve"> </w:t>
      </w:r>
      <w:r w:rsidRPr="00EF77F8">
        <w:t xml:space="preserve">interception capability. </w:t>
      </w:r>
    </w:p>
    <w:p w14:paraId="0EDD8A06" w14:textId="77DA4C20" w:rsidR="00D5552A" w:rsidRDefault="00D5552A" w:rsidP="00D5552A">
      <w:r w:rsidRPr="00EF77F8">
        <w:t>In 201</w:t>
      </w:r>
      <w:r>
        <w:t>9</w:t>
      </w:r>
      <w:r w:rsidRPr="00EF77F8">
        <w:t>–</w:t>
      </w:r>
      <w:r>
        <w:t>20</w:t>
      </w:r>
      <w:r w:rsidRPr="00EF77F8">
        <w:t xml:space="preserve">, </w:t>
      </w:r>
      <w:r w:rsidR="00AF273B">
        <w:t>telcos</w:t>
      </w:r>
      <w:r w:rsidRPr="00EF77F8">
        <w:t xml:space="preserve"> reported </w:t>
      </w:r>
      <w:r w:rsidR="00AF273B">
        <w:t>the</w:t>
      </w:r>
      <w:r w:rsidR="009324C5">
        <w:t xml:space="preserve"> cost</w:t>
      </w:r>
      <w:r w:rsidR="00AF273B">
        <w:t xml:space="preserve"> </w:t>
      </w:r>
      <w:r w:rsidR="00AF273B" w:rsidRPr="00EF77F8">
        <w:t xml:space="preserve">of providing interception capability </w:t>
      </w:r>
      <w:r w:rsidRPr="00EF77F8">
        <w:t>as approximately $</w:t>
      </w:r>
      <w:r>
        <w:t>2</w:t>
      </w:r>
      <w:r w:rsidR="00D7520C">
        <w:t>4</w:t>
      </w:r>
      <w:r w:rsidRPr="00EF77F8">
        <w:t>.</w:t>
      </w:r>
      <w:r w:rsidR="00D7520C">
        <w:t>1</w:t>
      </w:r>
      <w:r w:rsidRPr="00EF77F8">
        <w:t xml:space="preserve"> million, a</w:t>
      </w:r>
      <w:r w:rsidR="00A539CA">
        <w:t xml:space="preserve">n increase of </w:t>
      </w:r>
      <w:r w:rsidR="005A1111">
        <w:t xml:space="preserve">0.8% </w:t>
      </w:r>
      <w:r w:rsidRPr="00EF77F8">
        <w:t>from 201</w:t>
      </w:r>
      <w:r w:rsidR="00D7520C">
        <w:t>8</w:t>
      </w:r>
      <w:r w:rsidRPr="00EF77F8">
        <w:t>–1</w:t>
      </w:r>
      <w:r w:rsidR="00D7520C">
        <w:t>9</w:t>
      </w:r>
      <w:r w:rsidRPr="00EF77F8">
        <w:t xml:space="preserve"> (Figure </w:t>
      </w:r>
      <w:r>
        <w:t>1</w:t>
      </w:r>
      <w:r w:rsidRPr="00EF77F8">
        <w:t xml:space="preserve">). </w:t>
      </w:r>
    </w:p>
    <w:p w14:paraId="2CEC0180" w14:textId="77777777" w:rsidR="00AE175D" w:rsidRPr="0059139E" w:rsidRDefault="00AE175D" w:rsidP="00AE175D">
      <w:pPr>
        <w:pStyle w:val="ACMAFigureHeader"/>
        <w:keepNext/>
      </w:pPr>
      <w:r w:rsidRPr="0059139E">
        <w:lastRenderedPageBreak/>
        <w:t xml:space="preserve">Cost of providing interception capabilities ($ million) </w:t>
      </w:r>
    </w:p>
    <w:p w14:paraId="3FE356D5" w14:textId="0CA7546D" w:rsidR="00CF6A53" w:rsidRDefault="00CF6A53" w:rsidP="00127F0D">
      <w:pPr>
        <w:pStyle w:val="ACMATableHeader"/>
        <w:numPr>
          <w:ilvl w:val="0"/>
          <w:numId w:val="0"/>
        </w:numPr>
        <w:ind w:left="964" w:hanging="964"/>
      </w:pPr>
      <w:r>
        <w:rPr>
          <w:noProof/>
        </w:rPr>
        <w:drawing>
          <wp:inline distT="0" distB="0" distL="0" distR="0" wp14:anchorId="01178E54" wp14:editId="4C4E3D1B">
            <wp:extent cx="5114925" cy="2676525"/>
            <wp:effectExtent l="0" t="0" r="0" b="0"/>
            <wp:docPr id="3" name="Chart 3" descr="Cost of providing interception capabilities in 2015-16: $22.6 million, in 2016-17: $22.0 million, 2017-18: $21.5 million, in 2018-19: $23.9 million, in 2019-20: $24.1 million.">
              <a:extLst xmlns:a="http://schemas.openxmlformats.org/drawingml/2006/main">
                <a:ext uri="{FF2B5EF4-FFF2-40B4-BE49-F238E27FC236}">
                  <a16:creationId xmlns:a16="http://schemas.microsoft.com/office/drawing/2014/main" id="{D4918116-A3E5-49C2-A781-F63C85BD95C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4"/>
              </a:graphicData>
            </a:graphic>
          </wp:inline>
        </w:drawing>
      </w:r>
    </w:p>
    <w:p w14:paraId="06490C3C" w14:textId="5EB341F7" w:rsidR="00613F43" w:rsidRPr="00CC35DE" w:rsidRDefault="00154093" w:rsidP="00EF32DC">
      <w:pPr>
        <w:pStyle w:val="Tableorfigurenotemultiple"/>
      </w:pPr>
      <w:r>
        <w:t xml:space="preserve">Source: </w:t>
      </w:r>
      <w:r w:rsidR="00555C11">
        <w:t>Telco i</w:t>
      </w:r>
      <w:r>
        <w:t>ndustry data request</w:t>
      </w:r>
      <w:r w:rsidR="005A1111">
        <w:t>.</w:t>
      </w:r>
      <w:r>
        <w:t xml:space="preserve"> </w:t>
      </w:r>
    </w:p>
    <w:p w14:paraId="45403438" w14:textId="59A21639" w:rsidR="00127F0D" w:rsidRPr="00904D43" w:rsidRDefault="00127F0D" w:rsidP="00127F0D">
      <w:pPr>
        <w:pStyle w:val="Heading1"/>
      </w:pPr>
      <w:bookmarkStart w:id="31" w:name="_Toc494799468"/>
      <w:bookmarkStart w:id="32" w:name="_Toc494805771"/>
      <w:bookmarkStart w:id="33" w:name="_Toc494806004"/>
      <w:bookmarkStart w:id="34" w:name="_Toc494816073"/>
      <w:bookmarkStart w:id="35" w:name="_Toc494819165"/>
      <w:bookmarkStart w:id="36" w:name="_Toc494808234"/>
      <w:bookmarkStart w:id="37" w:name="_Toc494808888"/>
      <w:bookmarkStart w:id="38" w:name="_Toc494818903"/>
      <w:bookmarkStart w:id="39" w:name="_Toc498438693"/>
      <w:bookmarkStart w:id="40" w:name="_Toc529964649"/>
      <w:bookmarkStart w:id="41" w:name="_Toc26958379"/>
      <w:bookmarkStart w:id="42" w:name="_Toc28011434"/>
      <w:bookmarkStart w:id="43" w:name="_Toc59002998"/>
      <w:r w:rsidRPr="00904D43">
        <w:lastRenderedPageBreak/>
        <w:t>Data retention</w:t>
      </w:r>
      <w:bookmarkEnd w:id="31"/>
      <w:bookmarkEnd w:id="32"/>
      <w:bookmarkEnd w:id="33"/>
      <w:bookmarkEnd w:id="34"/>
      <w:bookmarkEnd w:id="35"/>
      <w:bookmarkEnd w:id="36"/>
      <w:bookmarkEnd w:id="37"/>
      <w:bookmarkEnd w:id="38"/>
      <w:bookmarkEnd w:id="39"/>
      <w:bookmarkEnd w:id="40"/>
      <w:bookmarkEnd w:id="41"/>
      <w:bookmarkEnd w:id="42"/>
      <w:bookmarkEnd w:id="43"/>
      <w:r w:rsidRPr="00904D43">
        <w:t xml:space="preserve"> </w:t>
      </w:r>
    </w:p>
    <w:p w14:paraId="4B20130C" w14:textId="6A50CCD0" w:rsidR="00127F0D" w:rsidRDefault="00127F0D" w:rsidP="00127F0D">
      <w:pPr>
        <w:pStyle w:val="Paragraph"/>
      </w:pPr>
      <w:r w:rsidRPr="0035599A">
        <w:t xml:space="preserve">Since 13 October 2015, </w:t>
      </w:r>
      <w:r w:rsidR="00555C11">
        <w:t>telcos</w:t>
      </w:r>
      <w:r w:rsidRPr="0035599A">
        <w:t xml:space="preserve"> have been </w:t>
      </w:r>
      <w:r w:rsidR="00555C11">
        <w:t xml:space="preserve">required to comply with </w:t>
      </w:r>
      <w:r w:rsidRPr="0035599A">
        <w:t>data retention obligations under Part 5-1A of the TIA Act.</w:t>
      </w:r>
      <w:r w:rsidR="004060E5">
        <w:t xml:space="preserve"> </w:t>
      </w:r>
      <w:r w:rsidR="004A430A">
        <w:t xml:space="preserve">Telcos are required </w:t>
      </w:r>
      <w:r w:rsidR="004A430A" w:rsidRPr="004A430A">
        <w:t xml:space="preserve">to retain specific telecommunications data relating to the services they offer for at least 2 years. </w:t>
      </w:r>
      <w:r w:rsidR="004A430A">
        <w:t>Telcos can apply</w:t>
      </w:r>
      <w:r w:rsidR="004D31A6">
        <w:t xml:space="preserve"> to the </w:t>
      </w:r>
      <w:r w:rsidR="00BF6AD9">
        <w:t xml:space="preserve">Communications Access Co-ordinator (through the </w:t>
      </w:r>
      <w:r w:rsidR="004D31A6">
        <w:t>Department of Home Affairs</w:t>
      </w:r>
      <w:r w:rsidR="00BF6AD9">
        <w:t>)</w:t>
      </w:r>
      <w:r w:rsidR="004A430A">
        <w:t xml:space="preserve"> </w:t>
      </w:r>
      <w:r w:rsidR="004A430A" w:rsidRPr="004A430A">
        <w:t>for</w:t>
      </w:r>
      <w:r w:rsidR="004A430A">
        <w:t xml:space="preserve"> an</w:t>
      </w:r>
      <w:r w:rsidR="004A430A" w:rsidRPr="004A430A">
        <w:t xml:space="preserve"> exemption or</w:t>
      </w:r>
      <w:r w:rsidR="004A430A">
        <w:t xml:space="preserve"> </w:t>
      </w:r>
      <w:r w:rsidR="004A430A" w:rsidRPr="004A430A">
        <w:t>variation to the data retention obligations</w:t>
      </w:r>
      <w:r w:rsidR="004A430A">
        <w:t>.</w:t>
      </w:r>
      <w:r w:rsidR="003E46CC">
        <w:t xml:space="preserve"> </w:t>
      </w:r>
      <w:r>
        <w:t xml:space="preserve">We have a role in enforcing these </w:t>
      </w:r>
      <w:r w:rsidRPr="0035599A">
        <w:t>obligations.</w:t>
      </w:r>
      <w:r w:rsidR="00643C66">
        <w:rPr>
          <w:rStyle w:val="FootnoteReference"/>
        </w:rPr>
        <w:footnoteReference w:id="7"/>
      </w:r>
      <w:r w:rsidRPr="0035599A">
        <w:t xml:space="preserve"> </w:t>
      </w:r>
    </w:p>
    <w:p w14:paraId="4B408A33" w14:textId="6279866E" w:rsidR="00555C11" w:rsidRPr="0035599A" w:rsidRDefault="00555C11" w:rsidP="00555C11">
      <w:pPr>
        <w:pStyle w:val="Heading2"/>
      </w:pPr>
      <w:bookmarkStart w:id="44" w:name="_Toc59002999"/>
      <w:r>
        <w:t>Cost of complying with data retention obligations</w:t>
      </w:r>
      <w:bookmarkEnd w:id="44"/>
    </w:p>
    <w:p w14:paraId="73CD88DC" w14:textId="1F279D6C" w:rsidR="00127F0D" w:rsidRPr="0035599A" w:rsidRDefault="00127F0D" w:rsidP="00127F0D">
      <w:pPr>
        <w:pStyle w:val="Paragraph"/>
      </w:pPr>
      <w:r w:rsidRPr="0035599A">
        <w:t xml:space="preserve">Table </w:t>
      </w:r>
      <w:r>
        <w:t>1</w:t>
      </w:r>
      <w:r w:rsidRPr="0035599A">
        <w:t xml:space="preserve"> sets out </w:t>
      </w:r>
      <w:r w:rsidR="000A1CEF">
        <w:t xml:space="preserve">telcos’ </w:t>
      </w:r>
      <w:r w:rsidRPr="0035599A">
        <w:t>costs (administrative</w:t>
      </w:r>
      <w:r>
        <w:rPr>
          <w:rStyle w:val="FootnoteReference"/>
        </w:rPr>
        <w:footnoteReference w:id="8"/>
      </w:r>
      <w:r w:rsidRPr="0035599A">
        <w:t xml:space="preserve"> and substantive</w:t>
      </w:r>
      <w:r>
        <w:rPr>
          <w:rStyle w:val="FootnoteReference"/>
        </w:rPr>
        <w:footnoteReference w:id="9"/>
      </w:r>
      <w:r w:rsidRPr="0035599A">
        <w:t xml:space="preserve">) of complying with the data retention obligations. </w:t>
      </w:r>
      <w:r>
        <w:t>It</w:t>
      </w:r>
      <w:r w:rsidRPr="0035599A">
        <w:t xml:space="preserve"> also sets out the costs </w:t>
      </w:r>
      <w:r w:rsidR="000A1CEF">
        <w:t xml:space="preserve">telcos </w:t>
      </w:r>
      <w:r w:rsidRPr="0035599A">
        <w:t>recovered from</w:t>
      </w:r>
      <w:r w:rsidRPr="0035599A">
        <w:rPr>
          <w:b/>
          <w:i/>
        </w:rPr>
        <w:t xml:space="preserve"> </w:t>
      </w:r>
      <w:r w:rsidRPr="0035599A">
        <w:t xml:space="preserve">criminal law enforcement agencies </w:t>
      </w:r>
      <w:r w:rsidR="00555C11">
        <w:t>for</w:t>
      </w:r>
      <w:r w:rsidRPr="0035599A">
        <w:t xml:space="preserve"> responding to requests for data. The recovered costs partially offset the administrative costs reported. </w:t>
      </w:r>
    </w:p>
    <w:p w14:paraId="2F085590" w14:textId="4DCEF8F9" w:rsidR="00127F0D" w:rsidRDefault="00127F0D" w:rsidP="00127F0D">
      <w:pPr>
        <w:pStyle w:val="ACMATableHeader"/>
      </w:pPr>
      <w:bookmarkStart w:id="45" w:name="_Hlk532994237"/>
      <w:r w:rsidRPr="0059139E">
        <w:t>Reported cost of complying with the data retention obligations and costs recovered from</w:t>
      </w:r>
      <w:r w:rsidR="008A48D6">
        <w:t xml:space="preserve"> </w:t>
      </w:r>
      <w:r w:rsidR="008A48D6" w:rsidRPr="00EF32DC">
        <w:t>criminal law enforcement agencies</w:t>
      </w:r>
    </w:p>
    <w:tbl>
      <w:tblPr>
        <w:tblStyle w:val="ACMAtablestyle"/>
        <w:tblW w:w="7650" w:type="dxa"/>
        <w:tblLayout w:type="fixed"/>
        <w:tblCellMar>
          <w:top w:w="85" w:type="dxa"/>
          <w:left w:w="85" w:type="dxa"/>
          <w:bottom w:w="85" w:type="dxa"/>
          <w:right w:w="85" w:type="dxa"/>
        </w:tblCellMar>
        <w:tblLook w:val="01E0" w:firstRow="1" w:lastRow="1" w:firstColumn="1" w:lastColumn="1" w:noHBand="0" w:noVBand="0"/>
        <w:tblCaption w:val="Table title to go here"/>
        <w:tblDescription w:val="Table description to go here"/>
      </w:tblPr>
      <w:tblGrid>
        <w:gridCol w:w="1271"/>
        <w:gridCol w:w="3189"/>
        <w:gridCol w:w="3190"/>
      </w:tblGrid>
      <w:tr w:rsidR="00517389" w:rsidRPr="0026743F" w14:paraId="3104F5B4" w14:textId="77777777" w:rsidTr="00EF32DC">
        <w:trPr>
          <w:cnfStyle w:val="100000000000" w:firstRow="1" w:lastRow="0" w:firstColumn="0" w:lastColumn="0" w:oddVBand="0" w:evenVBand="0" w:oddHBand="0" w:evenHBand="0" w:firstRowFirstColumn="0" w:firstRowLastColumn="0" w:lastRowFirstColumn="0" w:lastRowLastColumn="0"/>
        </w:trPr>
        <w:tc>
          <w:tcPr>
            <w:tcW w:w="1271" w:type="dxa"/>
          </w:tcPr>
          <w:p w14:paraId="3ED850AE" w14:textId="054CD09A" w:rsidR="00517389" w:rsidRPr="0026743F" w:rsidRDefault="00517389" w:rsidP="008A48D6">
            <w:pPr>
              <w:pStyle w:val="Tableheaderrow"/>
              <w:rPr>
                <w:szCs w:val="20"/>
              </w:rPr>
            </w:pPr>
            <w:r w:rsidRPr="00EF32DC">
              <w:rPr>
                <w:szCs w:val="20"/>
              </w:rPr>
              <w:t>Financial year</w:t>
            </w:r>
          </w:p>
        </w:tc>
        <w:tc>
          <w:tcPr>
            <w:tcW w:w="3189" w:type="dxa"/>
          </w:tcPr>
          <w:p w14:paraId="0B9BF1AA" w14:textId="7D4DF3B7" w:rsidR="00517389" w:rsidRPr="00EF32DC" w:rsidRDefault="00517389" w:rsidP="008A48D6">
            <w:pPr>
              <w:pStyle w:val="TableBody"/>
              <w:keepNext/>
              <w:keepLines/>
              <w:jc w:val="right"/>
              <w:rPr>
                <w:b/>
                <w:szCs w:val="20"/>
              </w:rPr>
            </w:pPr>
            <w:r w:rsidRPr="00EF32DC">
              <w:rPr>
                <w:b/>
                <w:szCs w:val="20"/>
              </w:rPr>
              <w:t xml:space="preserve">Data retention </w:t>
            </w:r>
            <w:r w:rsidR="00EF32DC">
              <w:rPr>
                <w:b/>
                <w:szCs w:val="20"/>
              </w:rPr>
              <w:br/>
            </w:r>
            <w:r w:rsidR="0026743F" w:rsidRPr="00EF32DC">
              <w:rPr>
                <w:b/>
                <w:szCs w:val="20"/>
              </w:rPr>
              <w:t>compliance</w:t>
            </w:r>
            <w:r w:rsidR="0026743F">
              <w:rPr>
                <w:b/>
                <w:szCs w:val="20"/>
              </w:rPr>
              <w:t> </w:t>
            </w:r>
            <w:r w:rsidRPr="00EF32DC" w:rsidDel="00E75BB1">
              <w:rPr>
                <w:b/>
                <w:szCs w:val="20"/>
              </w:rPr>
              <w:t>cost</w:t>
            </w:r>
          </w:p>
        </w:tc>
        <w:tc>
          <w:tcPr>
            <w:tcW w:w="3190" w:type="dxa"/>
          </w:tcPr>
          <w:p w14:paraId="7892C10D" w14:textId="18323FE7" w:rsidR="00517389" w:rsidRPr="0026743F" w:rsidRDefault="00517389" w:rsidP="008A48D6">
            <w:pPr>
              <w:pStyle w:val="Tableheaderrow"/>
              <w:jc w:val="right"/>
              <w:rPr>
                <w:szCs w:val="20"/>
              </w:rPr>
            </w:pPr>
            <w:r w:rsidRPr="00EF32DC">
              <w:rPr>
                <w:szCs w:val="20"/>
              </w:rPr>
              <w:t>Costs recovered from</w:t>
            </w:r>
            <w:r w:rsidR="008A48D6" w:rsidRPr="00EF32DC">
              <w:rPr>
                <w:szCs w:val="20"/>
              </w:rPr>
              <w:t xml:space="preserve"> criminal law enforcement agencies</w:t>
            </w:r>
          </w:p>
        </w:tc>
      </w:tr>
      <w:tr w:rsidR="004D31A6" w:rsidRPr="0026743F" w14:paraId="6A8535B4" w14:textId="77777777" w:rsidTr="00EF32DC">
        <w:trPr>
          <w:cnfStyle w:val="000000100000" w:firstRow="0" w:lastRow="0" w:firstColumn="0" w:lastColumn="0" w:oddVBand="0" w:evenVBand="0" w:oddHBand="1" w:evenHBand="0" w:firstRowFirstColumn="0" w:firstRowLastColumn="0" w:lastRowFirstColumn="0" w:lastRowLastColumn="0"/>
        </w:trPr>
        <w:tc>
          <w:tcPr>
            <w:tcW w:w="1271" w:type="dxa"/>
          </w:tcPr>
          <w:p w14:paraId="678A377B" w14:textId="6CA3E1D2" w:rsidR="004D31A6" w:rsidRPr="0026743F" w:rsidRDefault="004D31A6" w:rsidP="00517389">
            <w:pPr>
              <w:pStyle w:val="TableBody"/>
              <w:rPr>
                <w:szCs w:val="20"/>
              </w:rPr>
            </w:pPr>
            <w:r w:rsidRPr="0026743F">
              <w:rPr>
                <w:szCs w:val="20"/>
              </w:rPr>
              <w:t>2015</w:t>
            </w:r>
            <w:r w:rsidR="003E46CC" w:rsidRPr="0026743F">
              <w:rPr>
                <w:szCs w:val="20"/>
              </w:rPr>
              <w:t>–</w:t>
            </w:r>
            <w:r w:rsidRPr="0026743F">
              <w:rPr>
                <w:szCs w:val="20"/>
              </w:rPr>
              <w:t>16</w:t>
            </w:r>
          </w:p>
        </w:tc>
        <w:tc>
          <w:tcPr>
            <w:tcW w:w="3189" w:type="dxa"/>
          </w:tcPr>
          <w:p w14:paraId="3C7F5907" w14:textId="520947FD" w:rsidR="004D31A6" w:rsidRPr="0026743F" w:rsidRDefault="004D31A6" w:rsidP="00D208BA">
            <w:pPr>
              <w:pStyle w:val="TableBody"/>
              <w:jc w:val="right"/>
              <w:rPr>
                <w:szCs w:val="20"/>
              </w:rPr>
            </w:pPr>
            <w:r w:rsidRPr="0026743F">
              <w:rPr>
                <w:szCs w:val="20"/>
              </w:rPr>
              <w:t>$44,426,132.06</w:t>
            </w:r>
          </w:p>
        </w:tc>
        <w:tc>
          <w:tcPr>
            <w:tcW w:w="3190" w:type="dxa"/>
          </w:tcPr>
          <w:p w14:paraId="7C87383B" w14:textId="7E11F0B9" w:rsidR="004D31A6" w:rsidRPr="0026743F" w:rsidRDefault="004D31A6" w:rsidP="00D208BA">
            <w:pPr>
              <w:pStyle w:val="TableBody"/>
              <w:jc w:val="right"/>
              <w:rPr>
                <w:szCs w:val="20"/>
              </w:rPr>
            </w:pPr>
            <w:r w:rsidRPr="0026743F">
              <w:rPr>
                <w:szCs w:val="20"/>
              </w:rPr>
              <w:t>$9,412,132.06</w:t>
            </w:r>
          </w:p>
        </w:tc>
      </w:tr>
      <w:tr w:rsidR="004D31A6" w:rsidRPr="0026743F" w14:paraId="7D0FC17D" w14:textId="77777777" w:rsidTr="00EF32DC">
        <w:trPr>
          <w:cnfStyle w:val="000000010000" w:firstRow="0" w:lastRow="0" w:firstColumn="0" w:lastColumn="0" w:oddVBand="0" w:evenVBand="0" w:oddHBand="0" w:evenHBand="1" w:firstRowFirstColumn="0" w:firstRowLastColumn="0" w:lastRowFirstColumn="0" w:lastRowLastColumn="0"/>
        </w:trPr>
        <w:tc>
          <w:tcPr>
            <w:tcW w:w="1271" w:type="dxa"/>
          </w:tcPr>
          <w:p w14:paraId="02832FF3" w14:textId="661B26CE" w:rsidR="004D31A6" w:rsidRPr="0026743F" w:rsidRDefault="004D31A6" w:rsidP="00517389">
            <w:pPr>
              <w:pStyle w:val="TableBody"/>
              <w:rPr>
                <w:szCs w:val="20"/>
              </w:rPr>
            </w:pPr>
            <w:r w:rsidRPr="0026743F">
              <w:rPr>
                <w:szCs w:val="20"/>
              </w:rPr>
              <w:t>2016</w:t>
            </w:r>
            <w:r w:rsidR="003E46CC" w:rsidRPr="0026743F">
              <w:rPr>
                <w:szCs w:val="20"/>
              </w:rPr>
              <w:t>–</w:t>
            </w:r>
            <w:r w:rsidRPr="0026743F">
              <w:rPr>
                <w:szCs w:val="20"/>
              </w:rPr>
              <w:t>17</w:t>
            </w:r>
          </w:p>
        </w:tc>
        <w:tc>
          <w:tcPr>
            <w:tcW w:w="3189" w:type="dxa"/>
          </w:tcPr>
          <w:p w14:paraId="7DD33FD9" w14:textId="53102BD2" w:rsidR="004D31A6" w:rsidRPr="0026743F" w:rsidRDefault="004D31A6" w:rsidP="00D208BA">
            <w:pPr>
              <w:pStyle w:val="TableBody"/>
              <w:jc w:val="right"/>
              <w:rPr>
                <w:szCs w:val="20"/>
              </w:rPr>
            </w:pPr>
            <w:r w:rsidRPr="0026743F">
              <w:rPr>
                <w:szCs w:val="20"/>
              </w:rPr>
              <w:t>$119,793,739.83</w:t>
            </w:r>
            <w:r w:rsidR="00651B81" w:rsidRPr="0026743F">
              <w:rPr>
                <w:rStyle w:val="FootnoteReference"/>
                <w:szCs w:val="20"/>
              </w:rPr>
              <w:t>*</w:t>
            </w:r>
          </w:p>
        </w:tc>
        <w:tc>
          <w:tcPr>
            <w:tcW w:w="3190" w:type="dxa"/>
          </w:tcPr>
          <w:p w14:paraId="2C4563BB" w14:textId="527E88F3" w:rsidR="004D31A6" w:rsidRPr="0026743F" w:rsidRDefault="004D31A6" w:rsidP="00D208BA">
            <w:pPr>
              <w:pStyle w:val="TableBody"/>
              <w:jc w:val="right"/>
              <w:rPr>
                <w:szCs w:val="20"/>
              </w:rPr>
            </w:pPr>
            <w:r w:rsidRPr="0026743F">
              <w:rPr>
                <w:szCs w:val="20"/>
              </w:rPr>
              <w:t>$9,829,783.17</w:t>
            </w:r>
          </w:p>
        </w:tc>
      </w:tr>
      <w:tr w:rsidR="004D31A6" w:rsidRPr="0026743F" w14:paraId="43F10E82" w14:textId="77777777" w:rsidTr="00EF32DC">
        <w:trPr>
          <w:cnfStyle w:val="000000100000" w:firstRow="0" w:lastRow="0" w:firstColumn="0" w:lastColumn="0" w:oddVBand="0" w:evenVBand="0" w:oddHBand="1" w:evenHBand="0" w:firstRowFirstColumn="0" w:firstRowLastColumn="0" w:lastRowFirstColumn="0" w:lastRowLastColumn="0"/>
        </w:trPr>
        <w:tc>
          <w:tcPr>
            <w:tcW w:w="1271" w:type="dxa"/>
          </w:tcPr>
          <w:p w14:paraId="76022CC9" w14:textId="3AAC8DDE" w:rsidR="004D31A6" w:rsidRPr="0026743F" w:rsidRDefault="004D31A6" w:rsidP="00517389">
            <w:pPr>
              <w:pStyle w:val="TableBody"/>
              <w:rPr>
                <w:szCs w:val="20"/>
              </w:rPr>
            </w:pPr>
            <w:r w:rsidRPr="0026743F">
              <w:rPr>
                <w:szCs w:val="20"/>
              </w:rPr>
              <w:t>2017</w:t>
            </w:r>
            <w:r w:rsidR="003E46CC" w:rsidRPr="0026743F">
              <w:rPr>
                <w:szCs w:val="20"/>
              </w:rPr>
              <w:t>–</w:t>
            </w:r>
            <w:r w:rsidRPr="0026743F">
              <w:rPr>
                <w:szCs w:val="20"/>
              </w:rPr>
              <w:t>18</w:t>
            </w:r>
          </w:p>
        </w:tc>
        <w:tc>
          <w:tcPr>
            <w:tcW w:w="3189" w:type="dxa"/>
          </w:tcPr>
          <w:p w14:paraId="4C7D0352" w14:textId="2E766669" w:rsidR="004D31A6" w:rsidRPr="0026743F" w:rsidRDefault="004D31A6" w:rsidP="00D208BA">
            <w:pPr>
              <w:pStyle w:val="TableBody"/>
              <w:jc w:val="right"/>
              <w:rPr>
                <w:szCs w:val="20"/>
              </w:rPr>
            </w:pPr>
            <w:r w:rsidRPr="0026743F">
              <w:rPr>
                <w:szCs w:val="20"/>
              </w:rPr>
              <w:t>$35,355,577.00</w:t>
            </w:r>
          </w:p>
        </w:tc>
        <w:tc>
          <w:tcPr>
            <w:tcW w:w="3190" w:type="dxa"/>
          </w:tcPr>
          <w:p w14:paraId="72F534A2" w14:textId="58C8D93A" w:rsidR="004D31A6" w:rsidRPr="0026743F" w:rsidRDefault="004D31A6" w:rsidP="00D208BA">
            <w:pPr>
              <w:pStyle w:val="TableBody"/>
              <w:jc w:val="right"/>
              <w:rPr>
                <w:szCs w:val="20"/>
              </w:rPr>
            </w:pPr>
            <w:r w:rsidRPr="0026743F">
              <w:rPr>
                <w:szCs w:val="20"/>
              </w:rPr>
              <w:t>$12,515,681.00</w:t>
            </w:r>
          </w:p>
        </w:tc>
      </w:tr>
      <w:tr w:rsidR="004D31A6" w:rsidRPr="0026743F" w14:paraId="4F8DEB27" w14:textId="77777777" w:rsidTr="00EF32DC">
        <w:trPr>
          <w:cnfStyle w:val="000000010000" w:firstRow="0" w:lastRow="0" w:firstColumn="0" w:lastColumn="0" w:oddVBand="0" w:evenVBand="0" w:oddHBand="0" w:evenHBand="1" w:firstRowFirstColumn="0" w:firstRowLastColumn="0" w:lastRowFirstColumn="0" w:lastRowLastColumn="0"/>
        </w:trPr>
        <w:tc>
          <w:tcPr>
            <w:tcW w:w="1271" w:type="dxa"/>
          </w:tcPr>
          <w:p w14:paraId="19D53D5F" w14:textId="08CB601C" w:rsidR="004D31A6" w:rsidRPr="0026743F" w:rsidRDefault="004D31A6" w:rsidP="00517389">
            <w:pPr>
              <w:pStyle w:val="TableBody"/>
              <w:rPr>
                <w:szCs w:val="20"/>
              </w:rPr>
            </w:pPr>
            <w:r w:rsidRPr="0026743F">
              <w:rPr>
                <w:szCs w:val="20"/>
              </w:rPr>
              <w:t>2018</w:t>
            </w:r>
            <w:r w:rsidR="003E46CC" w:rsidRPr="0026743F">
              <w:rPr>
                <w:szCs w:val="20"/>
              </w:rPr>
              <w:t>–</w:t>
            </w:r>
            <w:r w:rsidRPr="0026743F">
              <w:rPr>
                <w:szCs w:val="20"/>
              </w:rPr>
              <w:t>19</w:t>
            </w:r>
          </w:p>
        </w:tc>
        <w:tc>
          <w:tcPr>
            <w:tcW w:w="3189" w:type="dxa"/>
          </w:tcPr>
          <w:p w14:paraId="24A02A5F" w14:textId="1979CAFF" w:rsidR="004D31A6" w:rsidRPr="0026743F" w:rsidRDefault="004D31A6" w:rsidP="00D208BA">
            <w:pPr>
              <w:pStyle w:val="TableBody"/>
              <w:jc w:val="right"/>
              <w:rPr>
                <w:szCs w:val="20"/>
              </w:rPr>
            </w:pPr>
            <w:r w:rsidRPr="0026743F">
              <w:rPr>
                <w:szCs w:val="20"/>
              </w:rPr>
              <w:t>$17,453,069.00</w:t>
            </w:r>
          </w:p>
        </w:tc>
        <w:tc>
          <w:tcPr>
            <w:tcW w:w="3190" w:type="dxa"/>
          </w:tcPr>
          <w:p w14:paraId="2F865594" w14:textId="0797C269" w:rsidR="004D31A6" w:rsidRPr="0026743F" w:rsidRDefault="004D31A6" w:rsidP="00D208BA">
            <w:pPr>
              <w:pStyle w:val="TableBody"/>
              <w:jc w:val="right"/>
              <w:rPr>
                <w:szCs w:val="20"/>
              </w:rPr>
            </w:pPr>
            <w:r w:rsidRPr="0026743F">
              <w:rPr>
                <w:szCs w:val="20"/>
              </w:rPr>
              <w:t>$7,443,035.00</w:t>
            </w:r>
          </w:p>
        </w:tc>
      </w:tr>
      <w:tr w:rsidR="00517389" w:rsidRPr="0026743F" w14:paraId="4E64873D" w14:textId="77777777" w:rsidTr="00EF32DC">
        <w:trPr>
          <w:cnfStyle w:val="000000100000" w:firstRow="0" w:lastRow="0" w:firstColumn="0" w:lastColumn="0" w:oddVBand="0" w:evenVBand="0" w:oddHBand="1" w:evenHBand="0" w:firstRowFirstColumn="0" w:firstRowLastColumn="0" w:lastRowFirstColumn="0" w:lastRowLastColumn="0"/>
        </w:trPr>
        <w:tc>
          <w:tcPr>
            <w:tcW w:w="1271" w:type="dxa"/>
          </w:tcPr>
          <w:p w14:paraId="2652B61C" w14:textId="7D32B935" w:rsidR="00517389" w:rsidRPr="0026743F" w:rsidRDefault="00517389" w:rsidP="00517389">
            <w:pPr>
              <w:pStyle w:val="TableBody"/>
              <w:rPr>
                <w:szCs w:val="20"/>
              </w:rPr>
            </w:pPr>
            <w:r w:rsidRPr="0026743F">
              <w:rPr>
                <w:szCs w:val="20"/>
              </w:rPr>
              <w:t>2019</w:t>
            </w:r>
            <w:r w:rsidR="003E46CC" w:rsidRPr="0026743F">
              <w:rPr>
                <w:szCs w:val="20"/>
              </w:rPr>
              <w:t>–</w:t>
            </w:r>
            <w:r w:rsidRPr="0026743F">
              <w:rPr>
                <w:szCs w:val="20"/>
              </w:rPr>
              <w:t>20</w:t>
            </w:r>
          </w:p>
        </w:tc>
        <w:tc>
          <w:tcPr>
            <w:tcW w:w="3189" w:type="dxa"/>
          </w:tcPr>
          <w:p w14:paraId="4E212118" w14:textId="71D33464" w:rsidR="00517389" w:rsidRPr="0026743F" w:rsidRDefault="00517389" w:rsidP="00D208BA">
            <w:pPr>
              <w:pStyle w:val="TableBody"/>
              <w:jc w:val="right"/>
              <w:rPr>
                <w:szCs w:val="20"/>
              </w:rPr>
            </w:pPr>
            <w:r w:rsidRPr="0026743F">
              <w:rPr>
                <w:szCs w:val="20"/>
              </w:rPr>
              <w:t>$</w:t>
            </w:r>
            <w:bookmarkStart w:id="46" w:name="_Hlk54166322"/>
            <w:r w:rsidR="004060E5" w:rsidRPr="0026743F">
              <w:rPr>
                <w:szCs w:val="20"/>
              </w:rPr>
              <w:t>21,246,398.52</w:t>
            </w:r>
            <w:bookmarkEnd w:id="46"/>
          </w:p>
        </w:tc>
        <w:tc>
          <w:tcPr>
            <w:tcW w:w="3190" w:type="dxa"/>
          </w:tcPr>
          <w:p w14:paraId="67FF7626" w14:textId="44711A56" w:rsidR="00517389" w:rsidRPr="0026743F" w:rsidRDefault="00517389" w:rsidP="00D208BA">
            <w:pPr>
              <w:pStyle w:val="TableBody"/>
              <w:jc w:val="right"/>
              <w:rPr>
                <w:szCs w:val="20"/>
              </w:rPr>
            </w:pPr>
            <w:r w:rsidRPr="0026743F">
              <w:rPr>
                <w:szCs w:val="20"/>
              </w:rPr>
              <w:t>$</w:t>
            </w:r>
            <w:bookmarkStart w:id="47" w:name="_Hlk54166420"/>
            <w:r w:rsidR="004060E5" w:rsidRPr="0026743F">
              <w:rPr>
                <w:szCs w:val="20"/>
              </w:rPr>
              <w:t>11,165,966.50</w:t>
            </w:r>
            <w:bookmarkEnd w:id="47"/>
          </w:p>
        </w:tc>
      </w:tr>
    </w:tbl>
    <w:bookmarkEnd w:id="45"/>
    <w:p w14:paraId="4D2115A1" w14:textId="1907754B" w:rsidR="00651B81" w:rsidRPr="00EF32DC" w:rsidRDefault="00651B81" w:rsidP="00127F0D">
      <w:pPr>
        <w:pStyle w:val="ACMANotes"/>
      </w:pPr>
      <w:r>
        <w:t>*</w:t>
      </w:r>
      <w:r w:rsidRPr="00B77A84">
        <w:t xml:space="preserve">The TIA Act allowed approved telcos to implement compliance with data retention obligations over a </w:t>
      </w:r>
      <w:r w:rsidR="003E46CC">
        <w:t>2</w:t>
      </w:r>
      <w:r w:rsidRPr="00651B81">
        <w:t>-year</w:t>
      </w:r>
      <w:r w:rsidRPr="00B77A84">
        <w:t xml:space="preserve"> period</w:t>
      </w:r>
      <w:r w:rsidR="00D449FF">
        <w:t>,</w:t>
      </w:r>
      <w:r w:rsidRPr="00B77A84">
        <w:t xml:space="preserve"> leading to more costs being incurred during the 2016</w:t>
      </w:r>
      <w:r w:rsidR="003E46CC">
        <w:t>–</w:t>
      </w:r>
      <w:r w:rsidRPr="00B77A84">
        <w:t>17 reporting perio</w:t>
      </w:r>
      <w:r w:rsidRPr="00EF32DC">
        <w:t xml:space="preserve">d. </w:t>
      </w:r>
    </w:p>
    <w:p w14:paraId="53E004E4" w14:textId="2E6E00CA" w:rsidR="00127F0D" w:rsidRPr="00EF32DC" w:rsidRDefault="00127F0D" w:rsidP="00127F0D">
      <w:pPr>
        <w:pStyle w:val="ACMANotes"/>
        <w:rPr>
          <w:rFonts w:ascii="Calibri" w:hAnsi="Calibri"/>
          <w:i w:val="0"/>
          <w:szCs w:val="22"/>
          <w:lang w:eastAsia="en-US"/>
        </w:rPr>
      </w:pPr>
      <w:r w:rsidRPr="00EF32DC">
        <w:t>Note: The data represents the administrative and substantive compliance costs reported to us by</w:t>
      </w:r>
      <w:r w:rsidR="00555C11" w:rsidRPr="00EF32DC">
        <w:t xml:space="preserve"> telco</w:t>
      </w:r>
      <w:r w:rsidRPr="00EF32DC">
        <w:t xml:space="preserve"> industry participants. Industry participants were permitted to report on behalf of subsidiary organisations.</w:t>
      </w:r>
    </w:p>
    <w:p w14:paraId="54288BD9" w14:textId="3F5A7A6D" w:rsidR="00127F0D" w:rsidRPr="00EF32DC" w:rsidRDefault="00127F0D" w:rsidP="00127F0D">
      <w:pPr>
        <w:pStyle w:val="ACMANotesspaceafter"/>
        <w:keepNext/>
        <w:keepLines/>
      </w:pPr>
      <w:r w:rsidRPr="00EF32DC">
        <w:t xml:space="preserve">Source: </w:t>
      </w:r>
      <w:r w:rsidR="00555C11" w:rsidRPr="00EF32DC">
        <w:t>Telco industry data request</w:t>
      </w:r>
      <w:r w:rsidR="003E46CC" w:rsidRPr="00EF32DC">
        <w:t>.</w:t>
      </w:r>
      <w:r w:rsidRPr="00EF32DC">
        <w:t xml:space="preserve"> </w:t>
      </w:r>
    </w:p>
    <w:p w14:paraId="2B2410AB" w14:textId="6F877648" w:rsidR="005B67FD" w:rsidRPr="00624509" w:rsidRDefault="005B67FD" w:rsidP="005B67FD">
      <w:pPr>
        <w:pStyle w:val="Paragraph"/>
      </w:pPr>
      <w:r w:rsidRPr="0026743F">
        <w:t xml:space="preserve">Telco costs increased </w:t>
      </w:r>
      <w:r w:rsidR="003E46CC" w:rsidRPr="0026743F">
        <w:t xml:space="preserve">by </w:t>
      </w:r>
      <w:r w:rsidRPr="0026743F">
        <w:t>22</w:t>
      </w:r>
      <w:r w:rsidR="003E46CC" w:rsidRPr="0026743F">
        <w:t xml:space="preserve">% from </w:t>
      </w:r>
      <w:r w:rsidRPr="0026743F">
        <w:t xml:space="preserve">the previous year, while costs recovered from </w:t>
      </w:r>
      <w:r w:rsidR="008A48D6" w:rsidRPr="00EF32DC">
        <w:t>criminal law enforcement agencies</w:t>
      </w:r>
      <w:r w:rsidR="008A48D6" w:rsidRPr="0026743F">
        <w:t xml:space="preserve"> </w:t>
      </w:r>
      <w:r w:rsidRPr="0026743F">
        <w:t xml:space="preserve">increased </w:t>
      </w:r>
      <w:r w:rsidR="003E46CC" w:rsidRPr="0026743F">
        <w:t xml:space="preserve">by </w:t>
      </w:r>
      <w:r w:rsidRPr="0026743F">
        <w:t>50</w:t>
      </w:r>
      <w:r w:rsidR="003E46CC" w:rsidRPr="0026743F">
        <w:t>%</w:t>
      </w:r>
      <w:r w:rsidRPr="0026743F">
        <w:t>.</w:t>
      </w:r>
      <w:r w:rsidRPr="005B67FD">
        <w:t xml:space="preserve"> </w:t>
      </w:r>
    </w:p>
    <w:p w14:paraId="3289E8B0" w14:textId="31361892" w:rsidR="00127F0D" w:rsidRPr="005B591F" w:rsidRDefault="00127F0D" w:rsidP="00EF32DC">
      <w:pPr>
        <w:pStyle w:val="Heading2"/>
        <w:keepLines/>
      </w:pPr>
      <w:bookmarkStart w:id="48" w:name="_Toc529964650"/>
      <w:bookmarkStart w:id="49" w:name="_Toc26958380"/>
      <w:bookmarkStart w:id="50" w:name="_Toc28011435"/>
      <w:bookmarkStart w:id="51" w:name="_Toc59003000"/>
      <w:r w:rsidRPr="005B591F">
        <w:t>Data retention compliance and enforcement</w:t>
      </w:r>
      <w:bookmarkEnd w:id="48"/>
      <w:bookmarkEnd w:id="49"/>
      <w:bookmarkEnd w:id="50"/>
      <w:bookmarkEnd w:id="51"/>
    </w:p>
    <w:p w14:paraId="7F4070E5" w14:textId="6BFFA754" w:rsidR="00EF2A67" w:rsidRDefault="00555C11" w:rsidP="00EF32DC">
      <w:pPr>
        <w:keepNext/>
        <w:keepLines/>
      </w:pPr>
      <w:bookmarkStart w:id="52" w:name="_Toc494799469"/>
      <w:bookmarkStart w:id="53" w:name="_Toc494805772"/>
      <w:bookmarkStart w:id="54" w:name="_Toc494806033"/>
      <w:bookmarkStart w:id="55" w:name="_Toc494816074"/>
      <w:bookmarkStart w:id="56" w:name="_Toc494819166"/>
      <w:bookmarkStart w:id="57" w:name="_Toc494808263"/>
      <w:bookmarkStart w:id="58" w:name="_Toc494808917"/>
      <w:bookmarkStart w:id="59" w:name="_Toc494818932"/>
      <w:bookmarkStart w:id="60" w:name="_Toc498438694"/>
      <w:bookmarkStart w:id="61" w:name="_Toc529964651"/>
      <w:bookmarkStart w:id="62" w:name="_Hlk530390225"/>
      <w:r>
        <w:t>The</w:t>
      </w:r>
      <w:r w:rsidR="00127F0D" w:rsidRPr="005B591F">
        <w:t xml:space="preserve"> Department of Home Affairs did not refer any</w:t>
      </w:r>
      <w:r w:rsidR="00517389">
        <w:t xml:space="preserve"> </w:t>
      </w:r>
      <w:r>
        <w:t>telcos</w:t>
      </w:r>
      <w:r w:rsidR="00127F0D" w:rsidRPr="005B591F">
        <w:t xml:space="preserve"> to </w:t>
      </w:r>
      <w:r w:rsidR="00517389">
        <w:t>us</w:t>
      </w:r>
      <w:r w:rsidR="00127F0D" w:rsidRPr="005B591F">
        <w:t xml:space="preserve"> for failing to </w:t>
      </w:r>
      <w:r w:rsidR="00EF2A67">
        <w:t xml:space="preserve">comply with data retention obligations </w:t>
      </w:r>
      <w:r>
        <w:t>in 2019</w:t>
      </w:r>
      <w:r w:rsidR="003E46CC">
        <w:t>–</w:t>
      </w:r>
      <w:r>
        <w:t>20</w:t>
      </w:r>
      <w:r w:rsidR="00EF2A67">
        <w:t xml:space="preserve">. </w:t>
      </w:r>
    </w:p>
    <w:p w14:paraId="76B4CB10" w14:textId="7C0A6A62" w:rsidR="00517389" w:rsidRPr="00517389" w:rsidRDefault="004A430A" w:rsidP="00EF32DC">
      <w:pPr>
        <w:keepNext/>
        <w:keepLines/>
      </w:pPr>
      <w:r>
        <w:t>Telcos can apply to us in writing</w:t>
      </w:r>
      <w:r w:rsidR="0026743F">
        <w:t xml:space="preserve"> to </w:t>
      </w:r>
      <w:r>
        <w:t>seek a review of a decision made by the Department of Home Affairs in relation to a data retention exemption or variation</w:t>
      </w:r>
      <w:r w:rsidR="00127F0D" w:rsidRPr="005B591F">
        <w:t>.</w:t>
      </w:r>
      <w:r>
        <w:t xml:space="preserve"> We did not receive any requests to review an exemption or variation decision in 2019</w:t>
      </w:r>
      <w:r w:rsidR="003E46CC">
        <w:t>–</w:t>
      </w:r>
      <w:r>
        <w:t>20.</w:t>
      </w:r>
      <w:bookmarkEnd w:id="52"/>
      <w:bookmarkEnd w:id="53"/>
      <w:bookmarkEnd w:id="54"/>
      <w:bookmarkEnd w:id="55"/>
      <w:bookmarkEnd w:id="56"/>
      <w:bookmarkEnd w:id="57"/>
      <w:bookmarkEnd w:id="58"/>
      <w:bookmarkEnd w:id="59"/>
      <w:bookmarkEnd w:id="60"/>
      <w:bookmarkEnd w:id="61"/>
      <w:bookmarkEnd w:id="62"/>
    </w:p>
    <w:sectPr w:rsidR="00517389" w:rsidRPr="00517389" w:rsidSect="00C77380">
      <w:headerReference w:type="even" r:id="rId25"/>
      <w:headerReference w:type="default" r:id="rId26"/>
      <w:footerReference w:type="even" r:id="rId27"/>
      <w:footerReference w:type="default" r:id="rId28"/>
      <w:pgSz w:w="11906" w:h="16838" w:code="9"/>
      <w:pgMar w:top="1945" w:right="3101" w:bottom="1134"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335B645" w14:textId="77777777" w:rsidR="00C41ED4" w:rsidRDefault="00C41ED4">
      <w:r>
        <w:separator/>
      </w:r>
    </w:p>
  </w:endnote>
  <w:endnote w:type="continuationSeparator" w:id="0">
    <w:p w14:paraId="78B93DCC" w14:textId="77777777" w:rsidR="00C41ED4" w:rsidRDefault="00C41E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HelveticaNeueLT Std Lt">
    <w:altName w:val="Malgun Gothic"/>
    <w:panose1 w:val="020B0403020202020204"/>
    <w:charset w:val="00"/>
    <w:family w:val="swiss"/>
    <w:notTrueType/>
    <w:pitch w:val="variable"/>
    <w:sig w:usb0="800000AF" w:usb1="4000204A" w:usb2="00000000" w:usb3="00000000" w:csb0="00000001" w:csb1="00000000"/>
  </w:font>
  <w:font w:name="HelveticaNeueLT Std">
    <w:altName w:val="Arial"/>
    <w:panose1 w:val="020B0604020202020204"/>
    <w:charset w:val="00"/>
    <w:family w:val="swiss"/>
    <w:notTrueType/>
    <w:pitch w:val="variable"/>
    <w:sig w:usb0="800000AF" w:usb1="4000204A"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Roboto">
    <w:altName w:val="Arial"/>
    <w:charset w:val="00"/>
    <w:family w:val="auto"/>
    <w:pitch w:val="default"/>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2F8C104" w14:textId="77777777" w:rsidR="005E250B" w:rsidRDefault="005E250B" w:rsidP="005E250B">
    <w:pPr>
      <w:pStyle w:val="Footer"/>
      <w:jc w:val="right"/>
    </w:pPr>
    <w:r w:rsidRPr="005E250B">
      <w:rPr>
        <w:noProof/>
        <w:vertAlign w:val="subscript"/>
      </w:rPr>
      <w:drawing>
        <wp:inline distT="0" distB="0" distL="0" distR="0" wp14:anchorId="788B7B98" wp14:editId="1A1180EA">
          <wp:extent cx="1066800" cy="277368"/>
          <wp:effectExtent l="0" t="0" r="0" b="0"/>
          <wp:docPr id="15" name="Picture 15"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a:hlinkClick r:id="rId1"/>
                  </pic:cNvPr>
                  <pic:cNvPicPr/>
                </pic:nvPicPr>
                <pic:blipFill>
                  <a:blip r:embed="rId2"/>
                  <a:stretch>
                    <a:fillRect/>
                  </a:stretch>
                </pic:blipFill>
                <pic:spPr>
                  <a:xfrm>
                    <a:off x="0" y="0"/>
                    <a:ext cx="1133985" cy="294836"/>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E18A0CE" w14:textId="77777777" w:rsidR="00C053A1" w:rsidRDefault="00C053A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92CBB61" w14:textId="77777777" w:rsidR="00C053A1" w:rsidRDefault="00C053A1">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45AC9DF" w14:textId="77777777" w:rsidR="00971914" w:rsidRPr="00622A3B" w:rsidRDefault="00971914"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0C6AB4">
      <w:rPr>
        <w:noProof/>
        <w:color w:val="505050"/>
      </w:rPr>
      <w:t>iv</w:t>
    </w:r>
    <w:r w:rsidRPr="002E4DDC">
      <w:rPr>
        <w:color w:val="505050"/>
      </w:rPr>
      <w:fldChar w:fldCharType="end"/>
    </w:r>
  </w:p>
  <w:p w14:paraId="69FF4E58" w14:textId="77777777" w:rsidR="00C053A1" w:rsidRPr="00A5474E" w:rsidRDefault="00C053A1"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CF24C7A" w14:textId="77777777" w:rsidR="00971914" w:rsidRPr="00622A3B" w:rsidRDefault="00971914"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0C6AB4">
      <w:rPr>
        <w:noProof/>
        <w:color w:val="505050"/>
      </w:rPr>
      <w:t>v</w:t>
    </w:r>
    <w:r w:rsidRPr="002E4DDC">
      <w:rPr>
        <w:color w:val="505050"/>
      </w:rPr>
      <w:fldChar w:fldCharType="end"/>
    </w:r>
  </w:p>
  <w:p w14:paraId="366CC907" w14:textId="77777777" w:rsidR="00C053A1" w:rsidRPr="00A5474E" w:rsidRDefault="00C053A1"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0859283" w14:textId="77777777" w:rsidR="00C053A1" w:rsidRPr="00622A3B" w:rsidRDefault="00C053A1"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DD1A43">
      <w:rPr>
        <w:noProof/>
        <w:color w:val="505050"/>
      </w:rPr>
      <w:t>iii</w:t>
    </w:r>
    <w:r w:rsidRPr="002E4DDC">
      <w:rPr>
        <w:color w:val="505050"/>
      </w:rPr>
      <w:fldChar w:fldCharType="end"/>
    </w:r>
  </w:p>
  <w:p w14:paraId="1F52643D" w14:textId="77777777" w:rsidR="00C053A1" w:rsidRPr="00A5474E" w:rsidRDefault="00C053A1"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53E699" w14:textId="77777777" w:rsidR="00C053A1" w:rsidRPr="00622A3B" w:rsidRDefault="00C053A1"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sidR="00DD1A43">
      <w:rPr>
        <w:noProof/>
      </w:rPr>
      <w:t>6</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39C286F3" w14:textId="77777777" w:rsidR="00C053A1" w:rsidRPr="00A5474E" w:rsidRDefault="00C053A1" w:rsidP="00A5474E">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BDDC466" w14:textId="77777777" w:rsidR="00C053A1" w:rsidRPr="00622A3B" w:rsidRDefault="00C053A1"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sidR="00DD1A43">
      <w:rPr>
        <w:noProof/>
        <w:color w:val="505050"/>
      </w:rPr>
      <w:t>1</w:t>
    </w:r>
    <w:r w:rsidRPr="00575AC5">
      <w:rPr>
        <w:color w:val="505050"/>
      </w:rPr>
      <w:fldChar w:fldCharType="end"/>
    </w:r>
  </w:p>
  <w:p w14:paraId="45C45CE3" w14:textId="77777777" w:rsidR="00C053A1" w:rsidRPr="00A5474E" w:rsidRDefault="00C053A1"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AAEDA51" w14:textId="77777777" w:rsidR="00C41ED4" w:rsidRDefault="00C41ED4" w:rsidP="00EF32DC">
      <w:pPr>
        <w:spacing w:after="120"/>
      </w:pPr>
      <w:r>
        <w:separator/>
      </w:r>
    </w:p>
  </w:footnote>
  <w:footnote w:type="continuationSeparator" w:id="0">
    <w:p w14:paraId="191C5391" w14:textId="77777777" w:rsidR="00C41ED4" w:rsidRDefault="00C41ED4">
      <w:r>
        <w:continuationSeparator/>
      </w:r>
    </w:p>
  </w:footnote>
  <w:footnote w:id="1">
    <w:p w14:paraId="5ABAEE15" w14:textId="1FC7063C" w:rsidR="003E4808" w:rsidRDefault="00267EB7">
      <w:pPr>
        <w:pStyle w:val="FootnoteText"/>
      </w:pPr>
      <w:r>
        <w:rPr>
          <w:rStyle w:val="FootnoteReference"/>
        </w:rPr>
        <w:footnoteRef/>
      </w:r>
      <w:r>
        <w:t xml:space="preserve"> Under </w:t>
      </w:r>
      <w:r>
        <w:rPr>
          <w:rFonts w:cs="Arial"/>
        </w:rPr>
        <w:t>s</w:t>
      </w:r>
      <w:r w:rsidRPr="00D13492">
        <w:rPr>
          <w:rFonts w:cs="Arial"/>
        </w:rPr>
        <w:t>ubsection 105(5B) of the Tel</w:t>
      </w:r>
      <w:r>
        <w:rPr>
          <w:rFonts w:cs="Arial"/>
        </w:rPr>
        <w:t>e</w:t>
      </w:r>
      <w:r w:rsidRPr="00D13492">
        <w:rPr>
          <w:rFonts w:cs="Arial"/>
        </w:rPr>
        <w:t>co</w:t>
      </w:r>
      <w:r>
        <w:rPr>
          <w:rFonts w:cs="Arial"/>
        </w:rPr>
        <w:t>mmunications</w:t>
      </w:r>
      <w:r w:rsidRPr="00D13492">
        <w:rPr>
          <w:rFonts w:cs="Arial"/>
        </w:rPr>
        <w:t xml:space="preserve"> Act</w:t>
      </w:r>
      <w:r>
        <w:rPr>
          <w:rFonts w:cs="Arial"/>
        </w:rPr>
        <w:t>,</w:t>
      </w:r>
      <w:r w:rsidRPr="00D13492">
        <w:rPr>
          <w:rFonts w:cs="Arial"/>
        </w:rPr>
        <w:t xml:space="preserve"> </w:t>
      </w:r>
      <w:r>
        <w:rPr>
          <w:rFonts w:cs="Arial"/>
        </w:rPr>
        <w:t xml:space="preserve">the ACMA is not required to monitor or report on the operation of the sections of Part 14 amended by the </w:t>
      </w:r>
      <w:r>
        <w:rPr>
          <w:rFonts w:cs="Arial"/>
          <w:i/>
          <w:iCs/>
        </w:rPr>
        <w:t xml:space="preserve">Telecommunications and Other Legislation Amendment Act 2017. </w:t>
      </w:r>
      <w:r>
        <w:rPr>
          <w:rFonts w:cs="Arial"/>
        </w:rPr>
        <w:t xml:space="preserve">This means the </w:t>
      </w:r>
      <w:r w:rsidRPr="00D13492">
        <w:rPr>
          <w:rFonts w:cs="Arial"/>
        </w:rPr>
        <w:t>ACMA is not required to report on the matters set out in section 315J, which relate to the telecommunications sector security reforms</w:t>
      </w:r>
      <w:r w:rsidRPr="00D13492">
        <w:rPr>
          <w:rFonts w:cs="Arial"/>
          <w:i/>
          <w:iCs/>
        </w:rPr>
        <w:t>.</w:t>
      </w:r>
    </w:p>
  </w:footnote>
  <w:footnote w:id="2">
    <w:p w14:paraId="21F58617" w14:textId="72CC95B8" w:rsidR="008477EE" w:rsidRDefault="008477EE">
      <w:pPr>
        <w:pStyle w:val="FootnoteText"/>
      </w:pPr>
      <w:r>
        <w:rPr>
          <w:rStyle w:val="FootnoteReference"/>
        </w:rPr>
        <w:footnoteRef/>
      </w:r>
      <w:r>
        <w:t xml:space="preserve"> Referral</w:t>
      </w:r>
      <w:r w:rsidR="00740B35">
        <w:t>s</w:t>
      </w:r>
      <w:r>
        <w:t xml:space="preserve"> would usually come from the </w:t>
      </w:r>
      <w:r w:rsidRPr="00916E58">
        <w:t>Communications Access Co-ordinator</w:t>
      </w:r>
      <w:r>
        <w:t xml:space="preserve"> </w:t>
      </w:r>
      <w:r w:rsidRPr="00916E58">
        <w:t xml:space="preserve">located </w:t>
      </w:r>
      <w:r>
        <w:t>with</w:t>
      </w:r>
      <w:r w:rsidRPr="00916E58">
        <w:t>in the Department of Home Affairs</w:t>
      </w:r>
      <w:r w:rsidR="00C63629">
        <w:t xml:space="preserve"> as </w:t>
      </w:r>
      <w:r w:rsidR="00916649">
        <w:t xml:space="preserve">it is </w:t>
      </w:r>
      <w:r w:rsidR="00C63629">
        <w:t>the</w:t>
      </w:r>
      <w:r w:rsidR="00C63629" w:rsidRPr="00C63629">
        <w:t xml:space="preserve"> central liaison point between </w:t>
      </w:r>
      <w:r w:rsidR="00C63629">
        <w:t>telcos</w:t>
      </w:r>
      <w:r w:rsidR="00C63629" w:rsidRPr="00C63629">
        <w:t xml:space="preserve"> and law enforcement and </w:t>
      </w:r>
      <w:r w:rsidR="00C63629">
        <w:t xml:space="preserve">national </w:t>
      </w:r>
      <w:r w:rsidR="00C63629" w:rsidRPr="00C63629">
        <w:t>security agencies</w:t>
      </w:r>
      <w:r>
        <w:t>.</w:t>
      </w:r>
    </w:p>
  </w:footnote>
  <w:footnote w:id="3">
    <w:p w14:paraId="4274087E" w14:textId="70EDD04B" w:rsidR="00836E97" w:rsidRDefault="00836E97">
      <w:pPr>
        <w:pStyle w:val="FootnoteText"/>
      </w:pPr>
      <w:r>
        <w:rPr>
          <w:rStyle w:val="FootnoteReference"/>
        </w:rPr>
        <w:footnoteRef/>
      </w:r>
      <w:r>
        <w:t xml:space="preserve"> Section 314 of the </w:t>
      </w:r>
      <w:r w:rsidR="00921718">
        <w:t xml:space="preserve">Telecommunications </w:t>
      </w:r>
      <w:r>
        <w:t>Act.</w:t>
      </w:r>
    </w:p>
  </w:footnote>
  <w:footnote w:id="4">
    <w:p w14:paraId="3DF9A8A2" w14:textId="063F6FA1" w:rsidR="007B7F32" w:rsidRPr="00CC32FA" w:rsidRDefault="007B7F32" w:rsidP="00227AC5">
      <w:pPr>
        <w:pStyle w:val="FootnoteText"/>
        <w:ind w:left="142" w:hanging="142"/>
      </w:pPr>
      <w:r w:rsidRPr="00EF32DC">
        <w:rPr>
          <w:rStyle w:val="FootnoteReference"/>
        </w:rPr>
        <w:footnoteRef/>
      </w:r>
      <w:r w:rsidRPr="00CC32FA">
        <w:t xml:space="preserve"> State and </w:t>
      </w:r>
      <w:r w:rsidR="0026743F" w:rsidRPr="00CC32FA">
        <w:t>t</w:t>
      </w:r>
      <w:r w:rsidRPr="00CC32FA">
        <w:t xml:space="preserve">erritory government agencies are encouraged to follow the guidelines. </w:t>
      </w:r>
    </w:p>
  </w:footnote>
  <w:footnote w:id="5">
    <w:p w14:paraId="65CFD59F" w14:textId="5DF899EC" w:rsidR="00D0585A" w:rsidRDefault="00D0585A" w:rsidP="00227AC5">
      <w:pPr>
        <w:pStyle w:val="FootnoteText"/>
        <w:ind w:left="142" w:hanging="142"/>
      </w:pPr>
      <w:r w:rsidRPr="00EF32DC">
        <w:rPr>
          <w:rStyle w:val="FootnoteReference"/>
        </w:rPr>
        <w:footnoteRef/>
      </w:r>
      <w:r w:rsidRPr="00EF32DC">
        <w:t xml:space="preserve"> </w:t>
      </w:r>
      <w:hyperlink r:id="rId1" w:history="1">
        <w:r w:rsidR="00EF32DC" w:rsidRPr="00542A36">
          <w:rPr>
            <w:rStyle w:val="Hyperlink"/>
          </w:rPr>
          <w:t>www.communications.gov.au/documents/guidelines-use-section-3133-telecommunications-act-1997-government-agencies-lawful-disruption-access</w:t>
        </w:r>
      </w:hyperlink>
      <w:r w:rsidR="00227AC5" w:rsidRPr="0026743F">
        <w:t>.</w:t>
      </w:r>
    </w:p>
  </w:footnote>
  <w:footnote w:id="6">
    <w:p w14:paraId="0C4539E8" w14:textId="1807DEC2" w:rsidR="00FE45A4" w:rsidRDefault="00FE45A4" w:rsidP="00227AC5">
      <w:pPr>
        <w:pStyle w:val="FootnoteText"/>
        <w:ind w:left="142" w:hanging="142"/>
      </w:pPr>
      <w:r>
        <w:rPr>
          <w:rStyle w:val="FootnoteReference"/>
        </w:rPr>
        <w:footnoteRef/>
      </w:r>
      <w:r>
        <w:t xml:space="preserve"> That is, a commissioned officer of the force or service </w:t>
      </w:r>
      <w:r w:rsidRPr="00EF77F8">
        <w:t xml:space="preserve">who holds a rank not lower than </w:t>
      </w:r>
      <w:r>
        <w:t xml:space="preserve">the rank of </w:t>
      </w:r>
      <w:r w:rsidRPr="00EF77F8">
        <w:t>Assistant Commissioner</w:t>
      </w:r>
      <w:r>
        <w:t>.</w:t>
      </w:r>
    </w:p>
  </w:footnote>
  <w:footnote w:id="7">
    <w:p w14:paraId="03B2D7D7" w14:textId="3BD279F4" w:rsidR="00643C66" w:rsidRDefault="00643C66" w:rsidP="00643C66">
      <w:pPr>
        <w:pStyle w:val="FootnoteText"/>
      </w:pPr>
      <w:r>
        <w:rPr>
          <w:rStyle w:val="FootnoteReference"/>
        </w:rPr>
        <w:footnoteRef/>
      </w:r>
      <w:r>
        <w:t xml:space="preserve"> Compliance with data retention obligations is a carrier </w:t>
      </w:r>
      <w:r w:rsidR="00916649">
        <w:t xml:space="preserve">licence </w:t>
      </w:r>
      <w:r>
        <w:t xml:space="preserve">condition and service provider rule under the Telecommunications Act. </w:t>
      </w:r>
    </w:p>
  </w:footnote>
  <w:footnote w:id="8">
    <w:p w14:paraId="4B25BCAB" w14:textId="715657D6" w:rsidR="00127F0D" w:rsidRDefault="00127F0D">
      <w:pPr>
        <w:pStyle w:val="FootnoteText"/>
      </w:pPr>
      <w:r>
        <w:rPr>
          <w:rStyle w:val="FootnoteReference"/>
        </w:rPr>
        <w:footnoteRef/>
      </w:r>
      <w:r>
        <w:t xml:space="preserve"> Administrative costs are costs incurred by regulated entities primarily to demonstrate compliance with the regulation (for example, making, keeping, and providing records).</w:t>
      </w:r>
    </w:p>
  </w:footnote>
  <w:footnote w:id="9">
    <w:p w14:paraId="2EB9D80E" w14:textId="6B8D4929" w:rsidR="00127F0D" w:rsidRDefault="00127F0D">
      <w:pPr>
        <w:pStyle w:val="FootnoteText"/>
      </w:pPr>
      <w:r>
        <w:rPr>
          <w:rStyle w:val="FootnoteReference"/>
        </w:rPr>
        <w:footnoteRef/>
      </w:r>
      <w:r>
        <w:t xml:space="preserve"> Substantive compliance costs are the costs incurred to deliver the regulated outcomes being sought (for example, plant, equipment and employee training).</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5013D03" w14:textId="77777777" w:rsidR="00C053A1" w:rsidRPr="00A5474E" w:rsidRDefault="00C053A1" w:rsidP="00A5474E">
    <w:pPr>
      <w:pStyle w:val="Header"/>
    </w:pPr>
    <w:r>
      <w:rPr>
        <w:noProof/>
      </w:rPr>
      <w:drawing>
        <wp:inline distT="0" distB="0" distL="0" distR="0" wp14:anchorId="797DE64A" wp14:editId="6DF8B02C">
          <wp:extent cx="6283434" cy="578076"/>
          <wp:effectExtent l="0" t="0" r="3175" b="0"/>
          <wp:docPr id="14" name="Picture 14"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stretch>
                    <a:fillRect/>
                  </a:stretch>
                </pic:blipFill>
                <pic:spPr>
                  <a:xfrm>
                    <a:off x="0" y="0"/>
                    <a:ext cx="6283434" cy="578076"/>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450132A" w14:textId="77777777" w:rsidR="00C053A1" w:rsidRPr="00A5474E" w:rsidRDefault="00C053A1" w:rsidP="00594E9C">
    <w:pPr>
      <w:pStyle w:val="TOCHeading"/>
    </w:pPr>
    <w:r w:rsidRPr="0029593B">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8A7D2F6" w14:textId="77777777" w:rsidR="00C053A1" w:rsidRDefault="00C053A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10D1289" w14:textId="77777777" w:rsidR="00C053A1" w:rsidRDefault="00C053A1">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678" w:type="dxa"/>
      <w:tblLayout w:type="fixed"/>
      <w:tblCellMar>
        <w:left w:w="0" w:type="dxa"/>
        <w:right w:w="0" w:type="dxa"/>
      </w:tblCellMar>
      <w:tblLook w:val="01E0" w:firstRow="1" w:lastRow="1" w:firstColumn="1" w:lastColumn="1" w:noHBand="0" w:noVBand="0"/>
    </w:tblPr>
    <w:tblGrid>
      <w:gridCol w:w="7678"/>
    </w:tblGrid>
    <w:tr w:rsidR="00971914" w14:paraId="49EFB1F1" w14:textId="77777777" w:rsidTr="003B0421">
      <w:trPr>
        <w:trHeight w:hRule="exact" w:val="988"/>
      </w:trPr>
      <w:tc>
        <w:tcPr>
          <w:tcW w:w="7678" w:type="dxa"/>
          <w:shd w:val="clear" w:color="auto" w:fill="auto"/>
        </w:tcPr>
        <w:p w14:paraId="37D38DB2" w14:textId="77777777" w:rsidR="00971914" w:rsidRDefault="00971914" w:rsidP="00971914">
          <w:pPr>
            <w:pStyle w:val="Header"/>
          </w:pPr>
        </w:p>
      </w:tc>
    </w:tr>
    <w:tr w:rsidR="00971914" w14:paraId="51EA47F3" w14:textId="77777777" w:rsidTr="003B0421">
      <w:tc>
        <w:tcPr>
          <w:tcW w:w="7678" w:type="dxa"/>
          <w:shd w:val="clear" w:color="auto" w:fill="auto"/>
        </w:tcPr>
        <w:p w14:paraId="0B8A40F2" w14:textId="77777777" w:rsidR="00971914" w:rsidRDefault="00971914" w:rsidP="00971914">
          <w:pPr>
            <w:pStyle w:val="GridTable31"/>
          </w:pPr>
          <w:r>
            <w:t xml:space="preserve">Contents </w:t>
          </w:r>
          <w:r w:rsidRPr="00915B1C">
            <w:rPr>
              <w:b w:val="0"/>
              <w:spacing w:val="0"/>
              <w:sz w:val="28"/>
              <w:szCs w:val="28"/>
            </w:rPr>
            <w:t>(Continued)</w:t>
          </w:r>
        </w:p>
      </w:tc>
    </w:tr>
    <w:tr w:rsidR="00971914" w14:paraId="0C04483B" w14:textId="77777777" w:rsidTr="003B0421">
      <w:trPr>
        <w:trHeight w:val="1220"/>
      </w:trPr>
      <w:tc>
        <w:tcPr>
          <w:tcW w:w="7678" w:type="dxa"/>
          <w:shd w:val="clear" w:color="auto" w:fill="auto"/>
        </w:tcPr>
        <w:p w14:paraId="23D70C6C" w14:textId="77777777" w:rsidR="00971914" w:rsidRDefault="00971914" w:rsidP="00971914"/>
      </w:tc>
    </w:tr>
  </w:tbl>
  <w:p w14:paraId="1B53AD5E" w14:textId="77777777" w:rsidR="00971914" w:rsidRDefault="00971914" w:rsidP="0097191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678" w:type="dxa"/>
      <w:tblLayout w:type="fixed"/>
      <w:tblCellMar>
        <w:left w:w="0" w:type="dxa"/>
        <w:right w:w="0" w:type="dxa"/>
      </w:tblCellMar>
      <w:tblLook w:val="01E0" w:firstRow="1" w:lastRow="1" w:firstColumn="1" w:lastColumn="1" w:noHBand="0" w:noVBand="0"/>
    </w:tblPr>
    <w:tblGrid>
      <w:gridCol w:w="7678"/>
    </w:tblGrid>
    <w:tr w:rsidR="00971914" w14:paraId="30919339" w14:textId="77777777" w:rsidTr="003B0421">
      <w:trPr>
        <w:trHeight w:hRule="exact" w:val="988"/>
      </w:trPr>
      <w:tc>
        <w:tcPr>
          <w:tcW w:w="7678" w:type="dxa"/>
          <w:shd w:val="clear" w:color="auto" w:fill="auto"/>
        </w:tcPr>
        <w:p w14:paraId="3E1E6EE8" w14:textId="77777777" w:rsidR="00971914" w:rsidRDefault="00971914" w:rsidP="00971914">
          <w:pPr>
            <w:pStyle w:val="Header"/>
          </w:pPr>
        </w:p>
      </w:tc>
    </w:tr>
    <w:tr w:rsidR="00971914" w14:paraId="6550C586" w14:textId="77777777" w:rsidTr="003B0421">
      <w:tc>
        <w:tcPr>
          <w:tcW w:w="7678" w:type="dxa"/>
          <w:shd w:val="clear" w:color="auto" w:fill="auto"/>
        </w:tcPr>
        <w:p w14:paraId="5BC9BC7C" w14:textId="77777777" w:rsidR="00971914" w:rsidRDefault="00971914" w:rsidP="00971914">
          <w:pPr>
            <w:pStyle w:val="GridTable31"/>
          </w:pPr>
          <w:r>
            <w:t xml:space="preserve">Contents </w:t>
          </w:r>
          <w:r w:rsidRPr="00915B1C">
            <w:rPr>
              <w:b w:val="0"/>
              <w:spacing w:val="0"/>
              <w:sz w:val="28"/>
              <w:szCs w:val="28"/>
            </w:rPr>
            <w:t>(Continued)</w:t>
          </w:r>
        </w:p>
      </w:tc>
    </w:tr>
    <w:tr w:rsidR="00971914" w14:paraId="059C9C95" w14:textId="77777777" w:rsidTr="003B0421">
      <w:trPr>
        <w:trHeight w:val="1220"/>
      </w:trPr>
      <w:tc>
        <w:tcPr>
          <w:tcW w:w="7678" w:type="dxa"/>
          <w:shd w:val="clear" w:color="auto" w:fill="auto"/>
        </w:tcPr>
        <w:p w14:paraId="66B695C5" w14:textId="77777777" w:rsidR="00971914" w:rsidRDefault="00971914" w:rsidP="00971914"/>
      </w:tc>
    </w:tr>
  </w:tbl>
  <w:p w14:paraId="642FB6D3" w14:textId="77777777" w:rsidR="00C053A1" w:rsidRPr="00A5474E" w:rsidRDefault="00C053A1" w:rsidP="00A5474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95A542E" w14:textId="77777777" w:rsidR="00C053A1" w:rsidRDefault="00C053A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204DD52" w14:textId="77777777" w:rsidR="00C053A1" w:rsidRDefault="00C053A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F"/>
    <w:multiLevelType w:val="singleLevel"/>
    <w:tmpl w:val="75F22F60"/>
    <w:lvl w:ilvl="0">
      <w:start w:val="1"/>
      <w:numFmt w:val="lowerRoman"/>
      <w:pStyle w:val="ListNumber2"/>
      <w:lvlText w:val="%1."/>
      <w:lvlJc w:val="right"/>
      <w:pPr>
        <w:ind w:left="717" w:hanging="360"/>
      </w:pPr>
      <w:rPr>
        <w:rFonts w:hint="default"/>
      </w:rPr>
    </w:lvl>
  </w:abstractNum>
  <w:abstractNum w:abstractNumId="1" w15:restartNumberingAfterBreak="0">
    <w:nsid w:val="FFFFFF83"/>
    <w:multiLevelType w:val="singleLevel"/>
    <w:tmpl w:val="909E78BC"/>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2" w15:restartNumberingAfterBreak="0">
    <w:nsid w:val="FFFFFF88"/>
    <w:multiLevelType w:val="singleLevel"/>
    <w:tmpl w:val="6EBA4AA8"/>
    <w:lvl w:ilvl="0">
      <w:start w:val="1"/>
      <w:numFmt w:val="decimal"/>
      <w:pStyle w:val="ListNumber"/>
      <w:lvlText w:val="%1."/>
      <w:lvlJc w:val="left"/>
      <w:pPr>
        <w:ind w:left="360" w:hanging="360"/>
      </w:pPr>
      <w:rPr>
        <w:rFonts w:hint="default"/>
        <w:b w:val="0"/>
        <w:bCs/>
        <w:caps/>
        <w:sz w:val="20"/>
      </w:rPr>
    </w:lvl>
  </w:abstractNum>
  <w:abstractNum w:abstractNumId="3" w15:restartNumberingAfterBreak="0">
    <w:nsid w:val="FFFFFF89"/>
    <w:multiLevelType w:val="singleLevel"/>
    <w:tmpl w:val="3E14E468"/>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4" w15:restartNumberingAfterBreak="0">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2CDD4B07"/>
    <w:multiLevelType w:val="hybridMultilevel"/>
    <w:tmpl w:val="3A3C5F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7" w15:restartNumberingAfterBreak="0">
    <w:nsid w:val="37020905"/>
    <w:multiLevelType w:val="hybridMultilevel"/>
    <w:tmpl w:val="FD766688"/>
    <w:lvl w:ilvl="0" w:tplc="F492228E">
      <w:start w:val="1"/>
      <w:numFmt w:val="decimal"/>
      <w:lvlText w:val="%1."/>
      <w:lvlJc w:val="left"/>
      <w:pPr>
        <w:ind w:left="360" w:hanging="360"/>
      </w:pPr>
      <w:rPr>
        <w:rFonts w:ascii="Arial" w:hAnsi="Arial" w:cs="Arial" w:hint="default"/>
        <w:b w:val="0"/>
        <w:bCs w:val="0"/>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8" w15:restartNumberingAfterBreak="0">
    <w:nsid w:val="55AA21F0"/>
    <w:multiLevelType w:val="hybridMultilevel"/>
    <w:tmpl w:val="9B5CB936"/>
    <w:lvl w:ilvl="0" w:tplc="CCA08FFA">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65071478"/>
    <w:multiLevelType w:val="hybridMultilevel"/>
    <w:tmpl w:val="16D2B96E"/>
    <w:lvl w:ilvl="0" w:tplc="3A9CF91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6D314B7E"/>
    <w:multiLevelType w:val="hybridMultilevel"/>
    <w:tmpl w:val="AB8245C4"/>
    <w:lvl w:ilvl="0" w:tplc="7054B6AA">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76155D5F"/>
    <w:multiLevelType w:val="hybridMultilevel"/>
    <w:tmpl w:val="4466910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78356182"/>
    <w:multiLevelType w:val="hybridMultilevel"/>
    <w:tmpl w:val="E85A6CFA"/>
    <w:lvl w:ilvl="0" w:tplc="F492228E">
      <w:start w:val="1"/>
      <w:numFmt w:val="decimal"/>
      <w:lvlText w:val="%1."/>
      <w:lvlJc w:val="left"/>
      <w:pPr>
        <w:ind w:left="360" w:hanging="360"/>
      </w:pPr>
      <w:rPr>
        <w:rFonts w:ascii="Arial" w:hAnsi="Arial" w:cs="Arial" w:hint="default"/>
        <w:b w:val="0"/>
        <w:bCs w:val="0"/>
      </w:rPr>
    </w:lvl>
    <w:lvl w:ilvl="1" w:tplc="020A7F8E">
      <w:start w:val="1"/>
      <w:numFmt w:val="bullet"/>
      <w:lvlText w:val=""/>
      <w:lvlJc w:val="left"/>
      <w:pPr>
        <w:ind w:left="1080" w:hanging="360"/>
      </w:pPr>
      <w:rPr>
        <w:rFonts w:ascii="Symbol" w:hAnsi="Symbol" w:hint="default"/>
      </w:rPr>
    </w:lvl>
    <w:lvl w:ilvl="2" w:tplc="0C09001B">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start w:val="1"/>
      <w:numFmt w:val="lowerLetter"/>
      <w:lvlText w:val="%8."/>
      <w:lvlJc w:val="left"/>
      <w:pPr>
        <w:ind w:left="5400" w:hanging="360"/>
      </w:pPr>
    </w:lvl>
    <w:lvl w:ilvl="8" w:tplc="0C09001B" w:tentative="1">
      <w:start w:val="1"/>
      <w:numFmt w:val="lowerRoman"/>
      <w:lvlText w:val="%9."/>
      <w:lvlJc w:val="right"/>
      <w:pPr>
        <w:ind w:left="6120" w:hanging="180"/>
      </w:pPr>
    </w:lvl>
  </w:abstractNum>
  <w:num w:numId="1">
    <w:abstractNumId w:val="3"/>
  </w:num>
  <w:num w:numId="2">
    <w:abstractNumId w:val="1"/>
  </w:num>
  <w:num w:numId="3">
    <w:abstractNumId w:val="2"/>
  </w:num>
  <w:num w:numId="4">
    <w:abstractNumId w:val="0"/>
  </w:num>
  <w:num w:numId="5">
    <w:abstractNumId w:val="6"/>
  </w:num>
  <w:num w:numId="6">
    <w:abstractNumId w:val="10"/>
  </w:num>
  <w:num w:numId="7">
    <w:abstractNumId w:val="8"/>
  </w:num>
  <w:num w:numId="8">
    <w:abstractNumId w:val="9"/>
  </w:num>
  <w:num w:numId="9">
    <w:abstractNumId w:val="12"/>
  </w:num>
  <w:num w:numId="10">
    <w:abstractNumId w:val="4"/>
  </w:num>
  <w:num w:numId="11">
    <w:abstractNumId w:val="2"/>
    <w:lvlOverride w:ilvl="0">
      <w:startOverride w:val="1"/>
    </w:lvlOverride>
  </w:num>
  <w:num w:numId="12">
    <w:abstractNumId w:val="11"/>
  </w:num>
  <w:num w:numId="13">
    <w:abstractNumId w:val="3"/>
  </w:num>
  <w:num w:numId="14">
    <w:abstractNumId w:val="5"/>
  </w:num>
  <w:num w:numId="15">
    <w:abstractNumId w:val="7"/>
  </w:num>
  <w:num w:numId="16">
    <w:abstractNumId w:val="14"/>
  </w:num>
  <w:num w:numId="17">
    <w:abstractNumId w:val="3"/>
  </w:num>
  <w:num w:numId="18">
    <w:abstractNumId w:val="3"/>
  </w:num>
  <w:num w:numId="19">
    <w:abstractNumId w:val="3"/>
  </w:num>
  <w:num w:numId="20">
    <w:abstractNumId w:val="13"/>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removePersonalInformation/>
  <w:removeDateAndTime/>
  <w:proofState w:spelling="clean" w:grammar="clean"/>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efaultTabStop w:val="284"/>
  <w:evenAndOddHeaders/>
  <w:drawingGridHorizontalSpacing w:val="100"/>
  <w:displayHorizontalDrawingGridEvery w:val="2"/>
  <w:characterSpacingControl w:val="doNotCompress"/>
  <w:hdrShapeDefaults>
    <o:shapedefaults v:ext="edit" spidmax="10241">
      <o:colormru v:ext="edit" colors="red,#4d4d4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64933"/>
    <w:rsid w:val="00002D81"/>
    <w:rsid w:val="00010667"/>
    <w:rsid w:val="000129D5"/>
    <w:rsid w:val="00015AE7"/>
    <w:rsid w:val="00016E21"/>
    <w:rsid w:val="0001719C"/>
    <w:rsid w:val="0002224E"/>
    <w:rsid w:val="000245E5"/>
    <w:rsid w:val="000257B8"/>
    <w:rsid w:val="00026125"/>
    <w:rsid w:val="00026F91"/>
    <w:rsid w:val="00035054"/>
    <w:rsid w:val="0004764C"/>
    <w:rsid w:val="00047D79"/>
    <w:rsid w:val="0005011A"/>
    <w:rsid w:val="0005045A"/>
    <w:rsid w:val="00051C1E"/>
    <w:rsid w:val="00052460"/>
    <w:rsid w:val="000539F9"/>
    <w:rsid w:val="00054C27"/>
    <w:rsid w:val="00055EC3"/>
    <w:rsid w:val="000563CE"/>
    <w:rsid w:val="000659B6"/>
    <w:rsid w:val="0006686F"/>
    <w:rsid w:val="0006722A"/>
    <w:rsid w:val="000732CF"/>
    <w:rsid w:val="00075B96"/>
    <w:rsid w:val="00080B96"/>
    <w:rsid w:val="0008196A"/>
    <w:rsid w:val="000915ED"/>
    <w:rsid w:val="0009209D"/>
    <w:rsid w:val="0009463C"/>
    <w:rsid w:val="00094844"/>
    <w:rsid w:val="000969BD"/>
    <w:rsid w:val="000969BF"/>
    <w:rsid w:val="000971BD"/>
    <w:rsid w:val="000A0C22"/>
    <w:rsid w:val="000A1400"/>
    <w:rsid w:val="000A1CEF"/>
    <w:rsid w:val="000A3C43"/>
    <w:rsid w:val="000A4A51"/>
    <w:rsid w:val="000A5D2B"/>
    <w:rsid w:val="000B36A4"/>
    <w:rsid w:val="000B4664"/>
    <w:rsid w:val="000B5DE3"/>
    <w:rsid w:val="000C0A57"/>
    <w:rsid w:val="000C230C"/>
    <w:rsid w:val="000C6AB4"/>
    <w:rsid w:val="000D467D"/>
    <w:rsid w:val="000D71D9"/>
    <w:rsid w:val="000D76E0"/>
    <w:rsid w:val="000D7E8B"/>
    <w:rsid w:val="000E4449"/>
    <w:rsid w:val="000E6097"/>
    <w:rsid w:val="000F74CD"/>
    <w:rsid w:val="00103829"/>
    <w:rsid w:val="001103FB"/>
    <w:rsid w:val="00110A4F"/>
    <w:rsid w:val="00111FCE"/>
    <w:rsid w:val="001229A5"/>
    <w:rsid w:val="001234CB"/>
    <w:rsid w:val="0012489B"/>
    <w:rsid w:val="00127F0D"/>
    <w:rsid w:val="00130017"/>
    <w:rsid w:val="00130F91"/>
    <w:rsid w:val="00131B8F"/>
    <w:rsid w:val="001349ED"/>
    <w:rsid w:val="00137424"/>
    <w:rsid w:val="00140318"/>
    <w:rsid w:val="00141AD9"/>
    <w:rsid w:val="00145C68"/>
    <w:rsid w:val="001466C5"/>
    <w:rsid w:val="00146CE6"/>
    <w:rsid w:val="00146FE2"/>
    <w:rsid w:val="00152903"/>
    <w:rsid w:val="001531AC"/>
    <w:rsid w:val="00153FD5"/>
    <w:rsid w:val="00154093"/>
    <w:rsid w:val="0015456E"/>
    <w:rsid w:val="0015614F"/>
    <w:rsid w:val="001577C2"/>
    <w:rsid w:val="001633C4"/>
    <w:rsid w:val="001639FF"/>
    <w:rsid w:val="00164933"/>
    <w:rsid w:val="001704D5"/>
    <w:rsid w:val="00171591"/>
    <w:rsid w:val="00173981"/>
    <w:rsid w:val="0017480D"/>
    <w:rsid w:val="0017719D"/>
    <w:rsid w:val="00183FD7"/>
    <w:rsid w:val="00185CAB"/>
    <w:rsid w:val="001875B7"/>
    <w:rsid w:val="00187CB3"/>
    <w:rsid w:val="0019050A"/>
    <w:rsid w:val="001910D4"/>
    <w:rsid w:val="001976E3"/>
    <w:rsid w:val="001A44EC"/>
    <w:rsid w:val="001B28D9"/>
    <w:rsid w:val="001B58AA"/>
    <w:rsid w:val="001B7E48"/>
    <w:rsid w:val="001C17CE"/>
    <w:rsid w:val="001C36CA"/>
    <w:rsid w:val="001C44D1"/>
    <w:rsid w:val="001C6AEE"/>
    <w:rsid w:val="001C7630"/>
    <w:rsid w:val="001D6D15"/>
    <w:rsid w:val="001F7558"/>
    <w:rsid w:val="00205B57"/>
    <w:rsid w:val="00205D85"/>
    <w:rsid w:val="0020658A"/>
    <w:rsid w:val="002157E0"/>
    <w:rsid w:val="00216A57"/>
    <w:rsid w:val="00217448"/>
    <w:rsid w:val="0022334F"/>
    <w:rsid w:val="002254D2"/>
    <w:rsid w:val="00226819"/>
    <w:rsid w:val="00227AC5"/>
    <w:rsid w:val="00233101"/>
    <w:rsid w:val="00233817"/>
    <w:rsid w:val="00234017"/>
    <w:rsid w:val="00235184"/>
    <w:rsid w:val="002367FF"/>
    <w:rsid w:val="0024066E"/>
    <w:rsid w:val="00240CE9"/>
    <w:rsid w:val="002434BA"/>
    <w:rsid w:val="00244F9D"/>
    <w:rsid w:val="00246089"/>
    <w:rsid w:val="00246093"/>
    <w:rsid w:val="00246702"/>
    <w:rsid w:val="00247C59"/>
    <w:rsid w:val="00247F2E"/>
    <w:rsid w:val="00250ADC"/>
    <w:rsid w:val="00250B07"/>
    <w:rsid w:val="00257553"/>
    <w:rsid w:val="00260A2D"/>
    <w:rsid w:val="00260FB2"/>
    <w:rsid w:val="00262128"/>
    <w:rsid w:val="002629CD"/>
    <w:rsid w:val="0026743F"/>
    <w:rsid w:val="00267EB7"/>
    <w:rsid w:val="0027165D"/>
    <w:rsid w:val="00273CEB"/>
    <w:rsid w:val="00281C89"/>
    <w:rsid w:val="0028282F"/>
    <w:rsid w:val="0029593B"/>
    <w:rsid w:val="00297FC5"/>
    <w:rsid w:val="002A0417"/>
    <w:rsid w:val="002A16D8"/>
    <w:rsid w:val="002A1BC8"/>
    <w:rsid w:val="002A3EF2"/>
    <w:rsid w:val="002B0DED"/>
    <w:rsid w:val="002B19A2"/>
    <w:rsid w:val="002B208C"/>
    <w:rsid w:val="002B381A"/>
    <w:rsid w:val="002B4FCC"/>
    <w:rsid w:val="002B65C4"/>
    <w:rsid w:val="002B7408"/>
    <w:rsid w:val="002B7CFD"/>
    <w:rsid w:val="002C210F"/>
    <w:rsid w:val="002D3600"/>
    <w:rsid w:val="002E1C11"/>
    <w:rsid w:val="002E4DDC"/>
    <w:rsid w:val="00302480"/>
    <w:rsid w:val="00302758"/>
    <w:rsid w:val="00305C3C"/>
    <w:rsid w:val="003165E6"/>
    <w:rsid w:val="003215B5"/>
    <w:rsid w:val="003221CF"/>
    <w:rsid w:val="003233ED"/>
    <w:rsid w:val="00324D9F"/>
    <w:rsid w:val="00327948"/>
    <w:rsid w:val="0033000F"/>
    <w:rsid w:val="00332011"/>
    <w:rsid w:val="00332518"/>
    <w:rsid w:val="00332925"/>
    <w:rsid w:val="003332ED"/>
    <w:rsid w:val="003368DC"/>
    <w:rsid w:val="00345927"/>
    <w:rsid w:val="003465B4"/>
    <w:rsid w:val="00350584"/>
    <w:rsid w:val="00350827"/>
    <w:rsid w:val="00351857"/>
    <w:rsid w:val="003545E8"/>
    <w:rsid w:val="003610E1"/>
    <w:rsid w:val="003671BE"/>
    <w:rsid w:val="00372485"/>
    <w:rsid w:val="00372B80"/>
    <w:rsid w:val="00373200"/>
    <w:rsid w:val="00375EF5"/>
    <w:rsid w:val="003767A5"/>
    <w:rsid w:val="00381D15"/>
    <w:rsid w:val="00385254"/>
    <w:rsid w:val="003852D8"/>
    <w:rsid w:val="00391E2B"/>
    <w:rsid w:val="00393C3F"/>
    <w:rsid w:val="003A04DB"/>
    <w:rsid w:val="003A5F5B"/>
    <w:rsid w:val="003A789A"/>
    <w:rsid w:val="003B12EC"/>
    <w:rsid w:val="003C078B"/>
    <w:rsid w:val="003C77E0"/>
    <w:rsid w:val="003D17D7"/>
    <w:rsid w:val="003D2678"/>
    <w:rsid w:val="003D71A3"/>
    <w:rsid w:val="003E2B8A"/>
    <w:rsid w:val="003E46CC"/>
    <w:rsid w:val="003E4808"/>
    <w:rsid w:val="003F10EE"/>
    <w:rsid w:val="003F16F6"/>
    <w:rsid w:val="003F4DC7"/>
    <w:rsid w:val="003F5235"/>
    <w:rsid w:val="003F5A00"/>
    <w:rsid w:val="004027E4"/>
    <w:rsid w:val="00404A28"/>
    <w:rsid w:val="004060E5"/>
    <w:rsid w:val="00407F3D"/>
    <w:rsid w:val="0041071D"/>
    <w:rsid w:val="00414AFC"/>
    <w:rsid w:val="004151A7"/>
    <w:rsid w:val="00415310"/>
    <w:rsid w:val="00421709"/>
    <w:rsid w:val="00423763"/>
    <w:rsid w:val="0042762F"/>
    <w:rsid w:val="00427DC7"/>
    <w:rsid w:val="00431613"/>
    <w:rsid w:val="00431792"/>
    <w:rsid w:val="004318C3"/>
    <w:rsid w:val="0043297A"/>
    <w:rsid w:val="00432EB2"/>
    <w:rsid w:val="00436F7C"/>
    <w:rsid w:val="0043714F"/>
    <w:rsid w:val="004438B5"/>
    <w:rsid w:val="00447037"/>
    <w:rsid w:val="00447AFD"/>
    <w:rsid w:val="0045124D"/>
    <w:rsid w:val="00452114"/>
    <w:rsid w:val="004532E5"/>
    <w:rsid w:val="00454596"/>
    <w:rsid w:val="00455900"/>
    <w:rsid w:val="0045605D"/>
    <w:rsid w:val="0046135B"/>
    <w:rsid w:val="00461D47"/>
    <w:rsid w:val="004651CD"/>
    <w:rsid w:val="004718CC"/>
    <w:rsid w:val="00472FCE"/>
    <w:rsid w:val="00481695"/>
    <w:rsid w:val="00482969"/>
    <w:rsid w:val="00485DC8"/>
    <w:rsid w:val="00495A96"/>
    <w:rsid w:val="00495BB3"/>
    <w:rsid w:val="004A430A"/>
    <w:rsid w:val="004A56BB"/>
    <w:rsid w:val="004A70D6"/>
    <w:rsid w:val="004A7BB3"/>
    <w:rsid w:val="004B1171"/>
    <w:rsid w:val="004B1751"/>
    <w:rsid w:val="004C0253"/>
    <w:rsid w:val="004C24AA"/>
    <w:rsid w:val="004C457D"/>
    <w:rsid w:val="004D31A6"/>
    <w:rsid w:val="004D56FF"/>
    <w:rsid w:val="004D5DAE"/>
    <w:rsid w:val="004E39D3"/>
    <w:rsid w:val="004E508A"/>
    <w:rsid w:val="004E616D"/>
    <w:rsid w:val="004F1BDE"/>
    <w:rsid w:val="004F2CEE"/>
    <w:rsid w:val="004F3709"/>
    <w:rsid w:val="004F556E"/>
    <w:rsid w:val="004F591C"/>
    <w:rsid w:val="004F7F44"/>
    <w:rsid w:val="005037B4"/>
    <w:rsid w:val="005079BF"/>
    <w:rsid w:val="0051269A"/>
    <w:rsid w:val="005144FA"/>
    <w:rsid w:val="00515304"/>
    <w:rsid w:val="00517389"/>
    <w:rsid w:val="005219E7"/>
    <w:rsid w:val="00521ED4"/>
    <w:rsid w:val="00524B5C"/>
    <w:rsid w:val="00527F80"/>
    <w:rsid w:val="00531B9A"/>
    <w:rsid w:val="00531D15"/>
    <w:rsid w:val="00537604"/>
    <w:rsid w:val="00542377"/>
    <w:rsid w:val="0054348A"/>
    <w:rsid w:val="005476EB"/>
    <w:rsid w:val="00551782"/>
    <w:rsid w:val="00555C11"/>
    <w:rsid w:val="00560CDB"/>
    <w:rsid w:val="00563EF1"/>
    <w:rsid w:val="00566AB4"/>
    <w:rsid w:val="00575AC5"/>
    <w:rsid w:val="0057605D"/>
    <w:rsid w:val="00581347"/>
    <w:rsid w:val="00581AC9"/>
    <w:rsid w:val="00583336"/>
    <w:rsid w:val="005849F8"/>
    <w:rsid w:val="005938DF"/>
    <w:rsid w:val="00594E9C"/>
    <w:rsid w:val="005A099B"/>
    <w:rsid w:val="005A1111"/>
    <w:rsid w:val="005A2D9C"/>
    <w:rsid w:val="005A55FE"/>
    <w:rsid w:val="005A6A11"/>
    <w:rsid w:val="005A7DD3"/>
    <w:rsid w:val="005B67FD"/>
    <w:rsid w:val="005B6AE5"/>
    <w:rsid w:val="005C54A4"/>
    <w:rsid w:val="005D2502"/>
    <w:rsid w:val="005D40BB"/>
    <w:rsid w:val="005D47F3"/>
    <w:rsid w:val="005D49BF"/>
    <w:rsid w:val="005D4AA5"/>
    <w:rsid w:val="005D6F4E"/>
    <w:rsid w:val="005D7C73"/>
    <w:rsid w:val="005E250B"/>
    <w:rsid w:val="005E3ACD"/>
    <w:rsid w:val="005E3D50"/>
    <w:rsid w:val="005E7226"/>
    <w:rsid w:val="005E7A57"/>
    <w:rsid w:val="005F24B0"/>
    <w:rsid w:val="0060179B"/>
    <w:rsid w:val="00601B57"/>
    <w:rsid w:val="00603695"/>
    <w:rsid w:val="00604315"/>
    <w:rsid w:val="00604E26"/>
    <w:rsid w:val="0060523F"/>
    <w:rsid w:val="006052CF"/>
    <w:rsid w:val="00607B8D"/>
    <w:rsid w:val="00611F5C"/>
    <w:rsid w:val="006124A7"/>
    <w:rsid w:val="00613F43"/>
    <w:rsid w:val="00616E09"/>
    <w:rsid w:val="00622A3B"/>
    <w:rsid w:val="00622EEA"/>
    <w:rsid w:val="0062320D"/>
    <w:rsid w:val="0062396C"/>
    <w:rsid w:val="00623FF9"/>
    <w:rsid w:val="006261F7"/>
    <w:rsid w:val="00627D4E"/>
    <w:rsid w:val="00627F2B"/>
    <w:rsid w:val="00627FFA"/>
    <w:rsid w:val="00632B89"/>
    <w:rsid w:val="0063346D"/>
    <w:rsid w:val="00634478"/>
    <w:rsid w:val="00643C66"/>
    <w:rsid w:val="00644373"/>
    <w:rsid w:val="0064516E"/>
    <w:rsid w:val="00645915"/>
    <w:rsid w:val="006519C3"/>
    <w:rsid w:val="00651B81"/>
    <w:rsid w:val="00652B30"/>
    <w:rsid w:val="00654100"/>
    <w:rsid w:val="00656345"/>
    <w:rsid w:val="00656DC6"/>
    <w:rsid w:val="00660EC6"/>
    <w:rsid w:val="0066296A"/>
    <w:rsid w:val="00664110"/>
    <w:rsid w:val="00664D17"/>
    <w:rsid w:val="00666520"/>
    <w:rsid w:val="00667C5B"/>
    <w:rsid w:val="00677C69"/>
    <w:rsid w:val="00691EB8"/>
    <w:rsid w:val="00692CDE"/>
    <w:rsid w:val="00693073"/>
    <w:rsid w:val="0069535B"/>
    <w:rsid w:val="006977FF"/>
    <w:rsid w:val="006A01FA"/>
    <w:rsid w:val="006A0DE2"/>
    <w:rsid w:val="006A0E9E"/>
    <w:rsid w:val="006A25C7"/>
    <w:rsid w:val="006A2F5E"/>
    <w:rsid w:val="006A4AAD"/>
    <w:rsid w:val="006A6DA2"/>
    <w:rsid w:val="006A7AB2"/>
    <w:rsid w:val="006B52DE"/>
    <w:rsid w:val="006B5717"/>
    <w:rsid w:val="006B582F"/>
    <w:rsid w:val="006B5EB2"/>
    <w:rsid w:val="006C0CEB"/>
    <w:rsid w:val="006C1631"/>
    <w:rsid w:val="006C3B1E"/>
    <w:rsid w:val="006C4790"/>
    <w:rsid w:val="006C47FD"/>
    <w:rsid w:val="006C5C19"/>
    <w:rsid w:val="006C70A0"/>
    <w:rsid w:val="006D01C3"/>
    <w:rsid w:val="006D27CB"/>
    <w:rsid w:val="006D2F08"/>
    <w:rsid w:val="006D576C"/>
    <w:rsid w:val="006D5865"/>
    <w:rsid w:val="006D5E1F"/>
    <w:rsid w:val="006E4B1B"/>
    <w:rsid w:val="006E5445"/>
    <w:rsid w:val="006E7D93"/>
    <w:rsid w:val="00700273"/>
    <w:rsid w:val="007029A3"/>
    <w:rsid w:val="0070506E"/>
    <w:rsid w:val="00706E4E"/>
    <w:rsid w:val="0070791C"/>
    <w:rsid w:val="00707CA3"/>
    <w:rsid w:val="0071383C"/>
    <w:rsid w:val="007141A7"/>
    <w:rsid w:val="00715722"/>
    <w:rsid w:val="00721032"/>
    <w:rsid w:val="00721B55"/>
    <w:rsid w:val="00726CE4"/>
    <w:rsid w:val="00734143"/>
    <w:rsid w:val="00737E47"/>
    <w:rsid w:val="00740B35"/>
    <w:rsid w:val="00740EAC"/>
    <w:rsid w:val="00744956"/>
    <w:rsid w:val="00745A5C"/>
    <w:rsid w:val="0074605F"/>
    <w:rsid w:val="00747E94"/>
    <w:rsid w:val="007526B1"/>
    <w:rsid w:val="00754C83"/>
    <w:rsid w:val="00761E5C"/>
    <w:rsid w:val="007648FE"/>
    <w:rsid w:val="00765DF8"/>
    <w:rsid w:val="00766749"/>
    <w:rsid w:val="00767C1B"/>
    <w:rsid w:val="007714A9"/>
    <w:rsid w:val="00774F88"/>
    <w:rsid w:val="00774FDB"/>
    <w:rsid w:val="00777BA2"/>
    <w:rsid w:val="00781408"/>
    <w:rsid w:val="00784F7F"/>
    <w:rsid w:val="007878BD"/>
    <w:rsid w:val="00796F25"/>
    <w:rsid w:val="007A2E98"/>
    <w:rsid w:val="007A3BA3"/>
    <w:rsid w:val="007A6CC0"/>
    <w:rsid w:val="007A7FEC"/>
    <w:rsid w:val="007B1499"/>
    <w:rsid w:val="007B1BBF"/>
    <w:rsid w:val="007B2960"/>
    <w:rsid w:val="007B355D"/>
    <w:rsid w:val="007B6F08"/>
    <w:rsid w:val="007B7980"/>
    <w:rsid w:val="007B7F32"/>
    <w:rsid w:val="007C0DEF"/>
    <w:rsid w:val="007C2130"/>
    <w:rsid w:val="007C5D5A"/>
    <w:rsid w:val="007C607F"/>
    <w:rsid w:val="007C6E44"/>
    <w:rsid w:val="007C79DD"/>
    <w:rsid w:val="007D1A97"/>
    <w:rsid w:val="007D2CD6"/>
    <w:rsid w:val="007D3063"/>
    <w:rsid w:val="007D3CEB"/>
    <w:rsid w:val="007E3375"/>
    <w:rsid w:val="007E6B8C"/>
    <w:rsid w:val="007E7683"/>
    <w:rsid w:val="007F49FA"/>
    <w:rsid w:val="007F54C4"/>
    <w:rsid w:val="007F6E9A"/>
    <w:rsid w:val="00800CCD"/>
    <w:rsid w:val="008044D4"/>
    <w:rsid w:val="00805B42"/>
    <w:rsid w:val="008064AB"/>
    <w:rsid w:val="00810AB4"/>
    <w:rsid w:val="00817B56"/>
    <w:rsid w:val="00821A88"/>
    <w:rsid w:val="0082495D"/>
    <w:rsid w:val="00831AC3"/>
    <w:rsid w:val="00833FF4"/>
    <w:rsid w:val="008341D4"/>
    <w:rsid w:val="00836E97"/>
    <w:rsid w:val="00836FCE"/>
    <w:rsid w:val="008408FF"/>
    <w:rsid w:val="008409FB"/>
    <w:rsid w:val="008477EE"/>
    <w:rsid w:val="00851F3F"/>
    <w:rsid w:val="0085618F"/>
    <w:rsid w:val="00856EDC"/>
    <w:rsid w:val="008623B5"/>
    <w:rsid w:val="00870ABA"/>
    <w:rsid w:val="008710E1"/>
    <w:rsid w:val="008716E5"/>
    <w:rsid w:val="00881CA9"/>
    <w:rsid w:val="00883628"/>
    <w:rsid w:val="00885544"/>
    <w:rsid w:val="0088634E"/>
    <w:rsid w:val="00893AB8"/>
    <w:rsid w:val="00894D4B"/>
    <w:rsid w:val="00897B1F"/>
    <w:rsid w:val="008A04C8"/>
    <w:rsid w:val="008A48D6"/>
    <w:rsid w:val="008A6913"/>
    <w:rsid w:val="008B0859"/>
    <w:rsid w:val="008B4333"/>
    <w:rsid w:val="008B70F3"/>
    <w:rsid w:val="008B71C4"/>
    <w:rsid w:val="008B76DF"/>
    <w:rsid w:val="008C10F4"/>
    <w:rsid w:val="008C65F7"/>
    <w:rsid w:val="008E377C"/>
    <w:rsid w:val="008E4767"/>
    <w:rsid w:val="008E7A8C"/>
    <w:rsid w:val="0090203B"/>
    <w:rsid w:val="00903285"/>
    <w:rsid w:val="00906F40"/>
    <w:rsid w:val="0090731E"/>
    <w:rsid w:val="00915B1C"/>
    <w:rsid w:val="00916649"/>
    <w:rsid w:val="009174F3"/>
    <w:rsid w:val="0091797D"/>
    <w:rsid w:val="0092041A"/>
    <w:rsid w:val="00921718"/>
    <w:rsid w:val="00923CBA"/>
    <w:rsid w:val="009242EB"/>
    <w:rsid w:val="00926703"/>
    <w:rsid w:val="00927691"/>
    <w:rsid w:val="00927A5F"/>
    <w:rsid w:val="00930510"/>
    <w:rsid w:val="009324C5"/>
    <w:rsid w:val="00935B63"/>
    <w:rsid w:val="00936362"/>
    <w:rsid w:val="0094078F"/>
    <w:rsid w:val="00940FA3"/>
    <w:rsid w:val="00941FB0"/>
    <w:rsid w:val="009426D4"/>
    <w:rsid w:val="00947F25"/>
    <w:rsid w:val="00950159"/>
    <w:rsid w:val="00950332"/>
    <w:rsid w:val="0095490B"/>
    <w:rsid w:val="00960A33"/>
    <w:rsid w:val="00971206"/>
    <w:rsid w:val="00971914"/>
    <w:rsid w:val="00974363"/>
    <w:rsid w:val="0097525F"/>
    <w:rsid w:val="00981898"/>
    <w:rsid w:val="00994714"/>
    <w:rsid w:val="0099577C"/>
    <w:rsid w:val="009B24A5"/>
    <w:rsid w:val="009B2601"/>
    <w:rsid w:val="009B4E9E"/>
    <w:rsid w:val="009C1690"/>
    <w:rsid w:val="009C6881"/>
    <w:rsid w:val="009C7759"/>
    <w:rsid w:val="009D043D"/>
    <w:rsid w:val="009D07C8"/>
    <w:rsid w:val="009D6C71"/>
    <w:rsid w:val="009E0631"/>
    <w:rsid w:val="009E16D0"/>
    <w:rsid w:val="009E2051"/>
    <w:rsid w:val="009E38FD"/>
    <w:rsid w:val="009F092A"/>
    <w:rsid w:val="009F13D6"/>
    <w:rsid w:val="009F4C6B"/>
    <w:rsid w:val="009F53CE"/>
    <w:rsid w:val="009F78A8"/>
    <w:rsid w:val="00A00D69"/>
    <w:rsid w:val="00A02AD6"/>
    <w:rsid w:val="00A07096"/>
    <w:rsid w:val="00A07318"/>
    <w:rsid w:val="00A11370"/>
    <w:rsid w:val="00A14025"/>
    <w:rsid w:val="00A224CE"/>
    <w:rsid w:val="00A22522"/>
    <w:rsid w:val="00A2440D"/>
    <w:rsid w:val="00A24AFD"/>
    <w:rsid w:val="00A24F5C"/>
    <w:rsid w:val="00A32F96"/>
    <w:rsid w:val="00A40871"/>
    <w:rsid w:val="00A412AB"/>
    <w:rsid w:val="00A4193E"/>
    <w:rsid w:val="00A440E0"/>
    <w:rsid w:val="00A442EF"/>
    <w:rsid w:val="00A5107E"/>
    <w:rsid w:val="00A51D1A"/>
    <w:rsid w:val="00A539CA"/>
    <w:rsid w:val="00A5418D"/>
    <w:rsid w:val="00A5474E"/>
    <w:rsid w:val="00A553B7"/>
    <w:rsid w:val="00A617E4"/>
    <w:rsid w:val="00A64234"/>
    <w:rsid w:val="00A70ADF"/>
    <w:rsid w:val="00A71466"/>
    <w:rsid w:val="00A73830"/>
    <w:rsid w:val="00A74B5E"/>
    <w:rsid w:val="00A77776"/>
    <w:rsid w:val="00A802E2"/>
    <w:rsid w:val="00A81BED"/>
    <w:rsid w:val="00A81EC4"/>
    <w:rsid w:val="00A824E8"/>
    <w:rsid w:val="00A967FD"/>
    <w:rsid w:val="00AA2DE5"/>
    <w:rsid w:val="00AA4DCA"/>
    <w:rsid w:val="00AB156C"/>
    <w:rsid w:val="00AB6814"/>
    <w:rsid w:val="00AC04BA"/>
    <w:rsid w:val="00AC0E39"/>
    <w:rsid w:val="00AD3082"/>
    <w:rsid w:val="00AD32B4"/>
    <w:rsid w:val="00AD4AD0"/>
    <w:rsid w:val="00AD5436"/>
    <w:rsid w:val="00AD60CD"/>
    <w:rsid w:val="00AD6C8C"/>
    <w:rsid w:val="00AE05A6"/>
    <w:rsid w:val="00AE091D"/>
    <w:rsid w:val="00AE175D"/>
    <w:rsid w:val="00AE3B60"/>
    <w:rsid w:val="00AE53A1"/>
    <w:rsid w:val="00AF2484"/>
    <w:rsid w:val="00AF273B"/>
    <w:rsid w:val="00AF63E7"/>
    <w:rsid w:val="00AF6E17"/>
    <w:rsid w:val="00B0165D"/>
    <w:rsid w:val="00B01B60"/>
    <w:rsid w:val="00B031F3"/>
    <w:rsid w:val="00B0471D"/>
    <w:rsid w:val="00B052A4"/>
    <w:rsid w:val="00B125DE"/>
    <w:rsid w:val="00B13FDD"/>
    <w:rsid w:val="00B17D53"/>
    <w:rsid w:val="00B22EB2"/>
    <w:rsid w:val="00B27442"/>
    <w:rsid w:val="00B31167"/>
    <w:rsid w:val="00B329D8"/>
    <w:rsid w:val="00B32BB9"/>
    <w:rsid w:val="00B33AE1"/>
    <w:rsid w:val="00B37C38"/>
    <w:rsid w:val="00B4288C"/>
    <w:rsid w:val="00B43262"/>
    <w:rsid w:val="00B44100"/>
    <w:rsid w:val="00B46CBA"/>
    <w:rsid w:val="00B46F94"/>
    <w:rsid w:val="00B6003C"/>
    <w:rsid w:val="00B61F03"/>
    <w:rsid w:val="00B626E4"/>
    <w:rsid w:val="00B64571"/>
    <w:rsid w:val="00B66A2A"/>
    <w:rsid w:val="00B72F4A"/>
    <w:rsid w:val="00B759C1"/>
    <w:rsid w:val="00B77A84"/>
    <w:rsid w:val="00B83C27"/>
    <w:rsid w:val="00B84BC3"/>
    <w:rsid w:val="00B84BDD"/>
    <w:rsid w:val="00B92812"/>
    <w:rsid w:val="00B978A0"/>
    <w:rsid w:val="00BB45A1"/>
    <w:rsid w:val="00BB46DB"/>
    <w:rsid w:val="00BB7686"/>
    <w:rsid w:val="00BC23F9"/>
    <w:rsid w:val="00BC3421"/>
    <w:rsid w:val="00BC732C"/>
    <w:rsid w:val="00BD4421"/>
    <w:rsid w:val="00BD7249"/>
    <w:rsid w:val="00BE2580"/>
    <w:rsid w:val="00BE266D"/>
    <w:rsid w:val="00BE3938"/>
    <w:rsid w:val="00BE4C11"/>
    <w:rsid w:val="00BE6805"/>
    <w:rsid w:val="00BE71C0"/>
    <w:rsid w:val="00BE7598"/>
    <w:rsid w:val="00BF610C"/>
    <w:rsid w:val="00BF6AD9"/>
    <w:rsid w:val="00C0060B"/>
    <w:rsid w:val="00C01A6C"/>
    <w:rsid w:val="00C0277D"/>
    <w:rsid w:val="00C053A1"/>
    <w:rsid w:val="00C05616"/>
    <w:rsid w:val="00C12983"/>
    <w:rsid w:val="00C16198"/>
    <w:rsid w:val="00C2083D"/>
    <w:rsid w:val="00C24A53"/>
    <w:rsid w:val="00C3432B"/>
    <w:rsid w:val="00C34A05"/>
    <w:rsid w:val="00C35AE9"/>
    <w:rsid w:val="00C35CCE"/>
    <w:rsid w:val="00C4032F"/>
    <w:rsid w:val="00C41ED4"/>
    <w:rsid w:val="00C44047"/>
    <w:rsid w:val="00C45155"/>
    <w:rsid w:val="00C5498F"/>
    <w:rsid w:val="00C55235"/>
    <w:rsid w:val="00C63629"/>
    <w:rsid w:val="00C64CD0"/>
    <w:rsid w:val="00C6684F"/>
    <w:rsid w:val="00C70E70"/>
    <w:rsid w:val="00C71070"/>
    <w:rsid w:val="00C75F8D"/>
    <w:rsid w:val="00C77380"/>
    <w:rsid w:val="00C87E8A"/>
    <w:rsid w:val="00C93A3D"/>
    <w:rsid w:val="00C97736"/>
    <w:rsid w:val="00CA0F4E"/>
    <w:rsid w:val="00CA345A"/>
    <w:rsid w:val="00CA6AE2"/>
    <w:rsid w:val="00CB1E82"/>
    <w:rsid w:val="00CB4BA8"/>
    <w:rsid w:val="00CB52D7"/>
    <w:rsid w:val="00CC32FA"/>
    <w:rsid w:val="00CC35DE"/>
    <w:rsid w:val="00CC6732"/>
    <w:rsid w:val="00CE3C96"/>
    <w:rsid w:val="00CE51A8"/>
    <w:rsid w:val="00CE5E77"/>
    <w:rsid w:val="00CE7EAE"/>
    <w:rsid w:val="00CF369B"/>
    <w:rsid w:val="00CF6A53"/>
    <w:rsid w:val="00D00E28"/>
    <w:rsid w:val="00D0269E"/>
    <w:rsid w:val="00D0585A"/>
    <w:rsid w:val="00D05D6C"/>
    <w:rsid w:val="00D110F2"/>
    <w:rsid w:val="00D15810"/>
    <w:rsid w:val="00D16D4E"/>
    <w:rsid w:val="00D16FE3"/>
    <w:rsid w:val="00D208BA"/>
    <w:rsid w:val="00D27F41"/>
    <w:rsid w:val="00D36441"/>
    <w:rsid w:val="00D40317"/>
    <w:rsid w:val="00D4064E"/>
    <w:rsid w:val="00D449FF"/>
    <w:rsid w:val="00D44E9B"/>
    <w:rsid w:val="00D45FD2"/>
    <w:rsid w:val="00D46D84"/>
    <w:rsid w:val="00D47AEB"/>
    <w:rsid w:val="00D50DB9"/>
    <w:rsid w:val="00D51302"/>
    <w:rsid w:val="00D52C43"/>
    <w:rsid w:val="00D5552A"/>
    <w:rsid w:val="00D62D53"/>
    <w:rsid w:val="00D6507F"/>
    <w:rsid w:val="00D66B82"/>
    <w:rsid w:val="00D66D88"/>
    <w:rsid w:val="00D730BC"/>
    <w:rsid w:val="00D73912"/>
    <w:rsid w:val="00D7520C"/>
    <w:rsid w:val="00D85226"/>
    <w:rsid w:val="00D87B94"/>
    <w:rsid w:val="00D92D49"/>
    <w:rsid w:val="00D92EC1"/>
    <w:rsid w:val="00D96DEA"/>
    <w:rsid w:val="00DA4E41"/>
    <w:rsid w:val="00DA559E"/>
    <w:rsid w:val="00DA5E36"/>
    <w:rsid w:val="00DB117A"/>
    <w:rsid w:val="00DB5173"/>
    <w:rsid w:val="00DB7873"/>
    <w:rsid w:val="00DC0285"/>
    <w:rsid w:val="00DC187B"/>
    <w:rsid w:val="00DC764C"/>
    <w:rsid w:val="00DC7DEF"/>
    <w:rsid w:val="00DD1A43"/>
    <w:rsid w:val="00DD73C2"/>
    <w:rsid w:val="00DD7CB2"/>
    <w:rsid w:val="00DE319B"/>
    <w:rsid w:val="00DF34FE"/>
    <w:rsid w:val="00DF56AA"/>
    <w:rsid w:val="00DF56AF"/>
    <w:rsid w:val="00DF78E7"/>
    <w:rsid w:val="00E110E0"/>
    <w:rsid w:val="00E11DE0"/>
    <w:rsid w:val="00E15371"/>
    <w:rsid w:val="00E23372"/>
    <w:rsid w:val="00E24104"/>
    <w:rsid w:val="00E26763"/>
    <w:rsid w:val="00E26D08"/>
    <w:rsid w:val="00E302D0"/>
    <w:rsid w:val="00E3293E"/>
    <w:rsid w:val="00E32D2B"/>
    <w:rsid w:val="00E35707"/>
    <w:rsid w:val="00E36AA1"/>
    <w:rsid w:val="00E41ECB"/>
    <w:rsid w:val="00E42676"/>
    <w:rsid w:val="00E54FDB"/>
    <w:rsid w:val="00E5617D"/>
    <w:rsid w:val="00E563D7"/>
    <w:rsid w:val="00E663F4"/>
    <w:rsid w:val="00E666F2"/>
    <w:rsid w:val="00E66DD4"/>
    <w:rsid w:val="00E748CC"/>
    <w:rsid w:val="00E75415"/>
    <w:rsid w:val="00E755B3"/>
    <w:rsid w:val="00E775B1"/>
    <w:rsid w:val="00E8152A"/>
    <w:rsid w:val="00E93629"/>
    <w:rsid w:val="00E93B5C"/>
    <w:rsid w:val="00E94CEC"/>
    <w:rsid w:val="00EA04EF"/>
    <w:rsid w:val="00EA6F19"/>
    <w:rsid w:val="00EB7090"/>
    <w:rsid w:val="00EC1BBE"/>
    <w:rsid w:val="00EC2B68"/>
    <w:rsid w:val="00EC3A6C"/>
    <w:rsid w:val="00EC3AEF"/>
    <w:rsid w:val="00EC5CD7"/>
    <w:rsid w:val="00EC76D3"/>
    <w:rsid w:val="00ED093D"/>
    <w:rsid w:val="00ED619E"/>
    <w:rsid w:val="00EE15D4"/>
    <w:rsid w:val="00EE3E3A"/>
    <w:rsid w:val="00EE596F"/>
    <w:rsid w:val="00EE5FB3"/>
    <w:rsid w:val="00EE7F79"/>
    <w:rsid w:val="00EF2A67"/>
    <w:rsid w:val="00EF32DC"/>
    <w:rsid w:val="00EF416F"/>
    <w:rsid w:val="00EF715A"/>
    <w:rsid w:val="00F01BC3"/>
    <w:rsid w:val="00F06E14"/>
    <w:rsid w:val="00F179D4"/>
    <w:rsid w:val="00F33C56"/>
    <w:rsid w:val="00F347C7"/>
    <w:rsid w:val="00F34848"/>
    <w:rsid w:val="00F36AE3"/>
    <w:rsid w:val="00F42D46"/>
    <w:rsid w:val="00F4496C"/>
    <w:rsid w:val="00F44F3A"/>
    <w:rsid w:val="00F45DD5"/>
    <w:rsid w:val="00F51F10"/>
    <w:rsid w:val="00F529A5"/>
    <w:rsid w:val="00F60E11"/>
    <w:rsid w:val="00F60F00"/>
    <w:rsid w:val="00F614C0"/>
    <w:rsid w:val="00F61C77"/>
    <w:rsid w:val="00F62AA1"/>
    <w:rsid w:val="00F701B3"/>
    <w:rsid w:val="00F82E8B"/>
    <w:rsid w:val="00F83848"/>
    <w:rsid w:val="00F85975"/>
    <w:rsid w:val="00F975E9"/>
    <w:rsid w:val="00FA1B7D"/>
    <w:rsid w:val="00FC0133"/>
    <w:rsid w:val="00FC07B9"/>
    <w:rsid w:val="00FC4E21"/>
    <w:rsid w:val="00FC5F6D"/>
    <w:rsid w:val="00FD0107"/>
    <w:rsid w:val="00FD2C2F"/>
    <w:rsid w:val="00FD3B31"/>
    <w:rsid w:val="00FD7A07"/>
    <w:rsid w:val="00FE1823"/>
    <w:rsid w:val="00FE449E"/>
    <w:rsid w:val="00FE45A4"/>
    <w:rsid w:val="00FE487A"/>
    <w:rsid w:val="00FF0569"/>
    <w:rsid w:val="00FF206E"/>
    <w:rsid w:val="00FF3C69"/>
    <w:rsid w:val="00FF69EB"/>
    <w:rsid w:val="00FF6E0A"/>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41">
      <o:colormru v:ext="edit" colors="red,#4d4d4f"/>
    </o:shapedefaults>
    <o:shapelayout v:ext="edit">
      <o:idmap v:ext="edit" data="1"/>
    </o:shapelayout>
  </w:shapeDefaults>
  <w:decimalSymbol w:val="."/>
  <w:listSeparator w:val=","/>
  <w14:docId w14:val="35FD88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1" w:qFormat="1"/>
    <w:lsdException w:name="heading 2" w:uiPriority="1" w:qFormat="1"/>
    <w:lsdException w:name="heading 3" w:qFormat="1"/>
    <w:lsdException w:name="index 1" w:semiHidden="1" w:unhideWhenUsed="1"/>
    <w:lsdException w:name="index 2" w:semiHidden="1"/>
    <w:lsdException w:name="index 3" w:semiHidden="1"/>
    <w:lsdException w:name="index 4" w:semiHidden="1"/>
    <w:lsdException w:name="index 5" w:semiHidden="1"/>
    <w:lsdException w:name="index 6" w:semiHidden="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23"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iPriority="99" w:unhideWhenUsed="1"/>
    <w:lsdException w:name="endnote text" w:semiHidden="1" w:uiPriority="99" w:unhideWhenUsed="1" w:qFormat="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List Number 5" w:semiHidden="1"/>
    <w:lsdException w:name="Title" w:semiHidden="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lsdException w:name="Hyperlink" w:uiPriority="99" w:qFormat="1"/>
    <w:lsdException w:name="Strong" w:semiHidden="1"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semiHidden="1"/>
    <w:lsdException w:name="Quote" w:semiHidden="1"/>
    <w:lsdException w:name="Intense Quote"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semiHidden/>
    <w:qFormat/>
    <w:rsid w:val="007E3375"/>
    <w:pPr>
      <w:spacing w:after="240" w:line="240" w:lineRule="atLeast"/>
    </w:pPr>
    <w:rPr>
      <w:rFonts w:ascii="Arial" w:hAnsi="Arial"/>
      <w:sz w:val="20"/>
    </w:rPr>
  </w:style>
  <w:style w:type="paragraph" w:styleId="Heading1">
    <w:name w:val="heading 1"/>
    <w:basedOn w:val="Normal"/>
    <w:next w:val="Normal"/>
    <w:link w:val="Heading1Char"/>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Paragraph"/>
    <w:link w:val="Heading2Char"/>
    <w:uiPriority w:val="1"/>
    <w:qFormat/>
    <w:rsid w:val="00C55235"/>
    <w:pPr>
      <w:keepNext/>
      <w:spacing w:before="320" w:after="60"/>
      <w:outlineLvl w:val="1"/>
    </w:pPr>
    <w:rPr>
      <w:rFonts w:cs="Arial"/>
      <w:b/>
      <w:bCs/>
      <w:iCs/>
      <w:sz w:val="28"/>
      <w:szCs w:val="28"/>
    </w:rPr>
  </w:style>
  <w:style w:type="paragraph" w:styleId="Heading3">
    <w:name w:val="heading 3"/>
    <w:basedOn w:val="Normal"/>
    <w:next w:val="Normal"/>
    <w:link w:val="Heading3Char"/>
    <w:uiPriority w:val="2"/>
    <w:qFormat/>
    <w:rsid w:val="00C55235"/>
    <w:pPr>
      <w:keepNext/>
      <w:spacing w:before="60" w:after="60"/>
      <w:outlineLvl w:val="2"/>
    </w:pPr>
    <w:rPr>
      <w:rFonts w:cs="Arial"/>
      <w:b/>
      <w:bCs/>
      <w:szCs w:val="26"/>
    </w:rPr>
  </w:style>
  <w:style w:type="paragraph" w:styleId="Heading4">
    <w:name w:val="heading 4"/>
    <w:basedOn w:val="BodySubHeader"/>
    <w:next w:val="Normal"/>
    <w:uiPriority w:val="2"/>
    <w:qFormat/>
    <w:rsid w:val="0085618F"/>
    <w:pPr>
      <w:outlineLvl w:val="3"/>
    </w:pPr>
    <w:rPr>
      <w:rFonts w:cs="Arial"/>
    </w:rPr>
  </w:style>
  <w:style w:type="paragraph" w:styleId="Heading5">
    <w:name w:val="heading 5"/>
    <w:basedOn w:val="Normal"/>
    <w:next w:val="Normal"/>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semiHidden/>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semiHidden/>
    <w:rsid w:val="00EC2B68"/>
    <w:rPr>
      <w:rFonts w:ascii="Arial" w:hAnsi="Arial"/>
      <w:color w:val="323232"/>
      <w:sz w:val="16"/>
    </w:rPr>
  </w:style>
  <w:style w:type="paragraph" w:customStyle="1" w:styleId="Reporttitle">
    <w:name w:val="Report title"/>
    <w:basedOn w:val="Normal"/>
    <w:uiPriority w:val="19"/>
    <w:qFormat/>
    <w:rsid w:val="00A51D1A"/>
    <w:pPr>
      <w:spacing w:after="0" w:line="560" w:lineRule="exact"/>
    </w:pPr>
    <w:rPr>
      <w:b/>
      <w:spacing w:val="-28"/>
      <w:sz w:val="53"/>
    </w:rPr>
  </w:style>
  <w:style w:type="paragraph" w:customStyle="1" w:styleId="Reportsubtitle">
    <w:name w:val="Report subtitle"/>
    <w:basedOn w:val="Normal"/>
    <w:uiPriority w:val="20"/>
    <w:qFormat/>
    <w:rsid w:val="00950159"/>
    <w:pPr>
      <w:spacing w:after="200" w:line="560" w:lineRule="exact"/>
    </w:pPr>
    <w:rPr>
      <w:color w:val="323232"/>
      <w:spacing w:val="-28"/>
      <w:sz w:val="53"/>
    </w:rPr>
  </w:style>
  <w:style w:type="table" w:styleId="TableGrid">
    <w:name w:val="Table Grid"/>
    <w:basedOn w:val="TableNormal"/>
    <w:uiPriority w:val="5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uiPriority w:val="21"/>
    <w:qFormat/>
    <w:rsid w:val="00950159"/>
    <w:pPr>
      <w:spacing w:after="1200" w:line="240" w:lineRule="auto"/>
    </w:pPr>
    <w:rPr>
      <w:caps/>
      <w:spacing w:val="-10"/>
      <w:sz w:val="20"/>
    </w:rPr>
  </w:style>
  <w:style w:type="paragraph" w:customStyle="1" w:styleId="Tableheaderrow">
    <w:name w:val="Table header row"/>
    <w:basedOn w:val="Normal"/>
    <w:uiPriority w:val="14"/>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semiHidden/>
    <w:qFormat/>
    <w:rsid w:val="00950159"/>
    <w:pPr>
      <w:spacing w:before="1200" w:line="240" w:lineRule="auto"/>
    </w:pPr>
    <w:rPr>
      <w:b/>
      <w:color w:val="323232"/>
      <w:spacing w:val="-28"/>
      <w:sz w:val="53"/>
    </w:rPr>
  </w:style>
  <w:style w:type="paragraph" w:styleId="Caption">
    <w:name w:val="caption"/>
    <w:aliases w:val="Caption table"/>
    <w:basedOn w:val="Normal"/>
    <w:next w:val="Normal"/>
    <w:semiHidden/>
    <w:qFormat/>
    <w:rsid w:val="00E8152A"/>
    <w:pPr>
      <w:numPr>
        <w:numId w:val="9"/>
      </w:numPr>
      <w:spacing w:after="0"/>
    </w:pPr>
    <w:rPr>
      <w:b/>
      <w:bCs/>
      <w:color w:val="323232"/>
      <w:szCs w:val="20"/>
    </w:rPr>
  </w:style>
  <w:style w:type="paragraph" w:customStyle="1" w:styleId="BodySubHeader">
    <w:name w:val="BodySubHeader"/>
    <w:basedOn w:val="Normal"/>
    <w:next w:val="Normal"/>
    <w:semiHidden/>
    <w:rsid w:val="00146CE6"/>
    <w:pPr>
      <w:spacing w:before="240" w:after="0"/>
    </w:pPr>
    <w:rPr>
      <w:b/>
      <w:i/>
    </w:rPr>
  </w:style>
  <w:style w:type="paragraph" w:styleId="ListBullet">
    <w:name w:val="List Bullet"/>
    <w:aliases w:val="List Bullet 1"/>
    <w:basedOn w:val="Normal"/>
    <w:qFormat/>
    <w:rsid w:val="001C6AEE"/>
    <w:pPr>
      <w:numPr>
        <w:numId w:val="1"/>
      </w:numPr>
      <w:spacing w:after="80"/>
    </w:pPr>
  </w:style>
  <w:style w:type="paragraph" w:styleId="ListBullet2">
    <w:name w:val="List Bullet 2"/>
    <w:basedOn w:val="Normal"/>
    <w:semiHidden/>
    <w:qFormat/>
    <w:rsid w:val="001C6AEE"/>
    <w:pPr>
      <w:numPr>
        <w:numId w:val="2"/>
      </w:numPr>
      <w:spacing w:after="80"/>
    </w:pPr>
  </w:style>
  <w:style w:type="paragraph" w:styleId="ListNumber">
    <w:name w:val="List Number"/>
    <w:basedOn w:val="Normal"/>
    <w:semiHidden/>
    <w:qFormat/>
    <w:rsid w:val="00C24A53"/>
    <w:pPr>
      <w:numPr>
        <w:numId w:val="3"/>
      </w:numPr>
      <w:spacing w:after="80"/>
    </w:pPr>
  </w:style>
  <w:style w:type="paragraph" w:styleId="ListNumber2">
    <w:name w:val="List Number 2"/>
    <w:basedOn w:val="Normal"/>
    <w:semiHidden/>
    <w:qFormat/>
    <w:rsid w:val="004A70D6"/>
    <w:pPr>
      <w:numPr>
        <w:numId w:val="4"/>
      </w:numPr>
      <w:spacing w:after="80"/>
      <w:ind w:left="828" w:hanging="357"/>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uiPriority w:val="22"/>
    <w:qFormat/>
    <w:rsid w:val="006B52DE"/>
    <w:pPr>
      <w:pageBreakBefore/>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ListContinue5">
    <w:name w:val="List Continue 5"/>
    <w:basedOn w:val="Normal"/>
    <w:semiHidden/>
    <w:rsid w:val="00EC2B68"/>
    <w:pPr>
      <w:spacing w:after="120"/>
      <w:ind w:left="1415"/>
      <w:contextualSpacing/>
    </w:pPr>
  </w:style>
  <w:style w:type="paragraph" w:customStyle="1" w:styleId="Paragraphbeforelist">
    <w:name w:val="Paragraph before list"/>
    <w:basedOn w:val="Paragraph"/>
    <w:uiPriority w:val="4"/>
    <w:qFormat/>
    <w:rsid w:val="00C87E8A"/>
    <w:pPr>
      <w:spacing w:after="80"/>
    </w:p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uiPriority w:val="99"/>
    <w:qFormat/>
    <w:rsid w:val="00C35CCE"/>
    <w:rPr>
      <w:color w:val="0000FF"/>
      <w:u w:val="single" w:color="0000FF"/>
    </w:rPr>
  </w:style>
  <w:style w:type="character" w:styleId="FootnoteReference">
    <w:name w:val="footnote reference"/>
    <w:basedOn w:val="DefaultParagraphFont"/>
    <w:semiHidden/>
    <w:rsid w:val="00566AB4"/>
    <w:rPr>
      <w:rFonts w:ascii="Arial" w:hAnsi="Arial"/>
      <w:vertAlign w:val="superscript"/>
    </w:rPr>
  </w:style>
  <w:style w:type="paragraph" w:styleId="FootnoteText">
    <w:name w:val="footnote text"/>
    <w:aliases w:val="Footnote text"/>
    <w:basedOn w:val="Normal"/>
    <w:uiPriority w:val="23"/>
    <w:rsid w:val="007C6E44"/>
    <w:pPr>
      <w:spacing w:after="0"/>
    </w:pPr>
    <w:rPr>
      <w:sz w:val="16"/>
      <w:szCs w:val="16"/>
    </w:rPr>
  </w:style>
  <w:style w:type="paragraph" w:customStyle="1" w:styleId="TableBody">
    <w:name w:val="Table Body"/>
    <w:basedOn w:val="Normal"/>
    <w:uiPriority w:val="15"/>
    <w:qFormat/>
    <w:rsid w:val="00774FDB"/>
    <w:pPr>
      <w:spacing w:after="0" w:line="240" w:lineRule="auto"/>
    </w:pPr>
  </w:style>
  <w:style w:type="character" w:styleId="CommentReference">
    <w:name w:val="annotation reference"/>
    <w:basedOn w:val="DefaultParagraphFont"/>
    <w:semiHidden/>
    <w:rsid w:val="00EE7F79"/>
    <w:rPr>
      <w:sz w:val="16"/>
      <w:szCs w:val="16"/>
    </w:rPr>
  </w:style>
  <w:style w:type="paragraph" w:styleId="CommentText">
    <w:name w:val="annotation text"/>
    <w:basedOn w:val="Normal"/>
    <w:link w:val="CommentTextChar"/>
    <w:semiHidden/>
    <w:rsid w:val="00EE7F79"/>
    <w:pPr>
      <w:spacing w:line="240" w:lineRule="auto"/>
    </w:pPr>
    <w:rPr>
      <w:szCs w:val="20"/>
    </w:rPr>
  </w:style>
  <w:style w:type="character" w:customStyle="1" w:styleId="CommentTextChar">
    <w:name w:val="Comment Text Char"/>
    <w:basedOn w:val="DefaultParagraphFont"/>
    <w:link w:val="CommentText"/>
    <w:semiHidden/>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semiHidden/>
    <w:unhideWhenUsed/>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paragraph" w:customStyle="1" w:styleId="Bulletlevel1">
    <w:name w:val="Bullet level 1"/>
    <w:basedOn w:val="ListBullet"/>
    <w:uiPriority w:val="5"/>
    <w:qFormat/>
    <w:rsid w:val="00A824E8"/>
    <w:rPr>
      <w:rFonts w:cs="Arial"/>
    </w:rPr>
  </w:style>
  <w:style w:type="paragraph" w:customStyle="1" w:styleId="ACMACorporateAddressHeader">
    <w:name w:val="ACMA_CorporateAddressHeader"/>
    <w:basedOn w:val="Normal"/>
    <w:next w:val="ACMACorporateAddresses"/>
    <w:semiHidden/>
    <w:unhideWhenUsed/>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semiHidden/>
    <w:unhideWhenUsed/>
    <w:qFormat/>
    <w:rsid w:val="00FC07B9"/>
    <w:pPr>
      <w:spacing w:before="0" w:after="120"/>
    </w:pPr>
    <w:rPr>
      <w:b w:val="0"/>
    </w:rPr>
  </w:style>
  <w:style w:type="paragraph" w:customStyle="1" w:styleId="ACMACopyrightHeader">
    <w:name w:val="ACMA_CopyrightHeader"/>
    <w:basedOn w:val="ACMACorporateAddressHeader"/>
    <w:semiHidden/>
    <w:unhideWhenUsed/>
    <w:qFormat/>
    <w:rsid w:val="00950159"/>
    <w:pPr>
      <w:spacing w:before="3000"/>
    </w:pPr>
  </w:style>
  <w:style w:type="paragraph" w:customStyle="1" w:styleId="ACMACClogo">
    <w:name w:val="ACMA_CClogo"/>
    <w:semiHidden/>
    <w:unhideWhenUsed/>
    <w:qFormat/>
    <w:rsid w:val="00623FF9"/>
    <w:pPr>
      <w:spacing w:before="160" w:after="120"/>
    </w:pPr>
    <w:rPr>
      <w:rFonts w:ascii="Arial" w:hAnsi="Arial"/>
      <w:b/>
      <w:sz w:val="13"/>
    </w:rPr>
  </w:style>
  <w:style w:type="paragraph" w:customStyle="1" w:styleId="ListBulletLast">
    <w:name w:val="List Bullet Last"/>
    <w:basedOn w:val="ListBullet"/>
    <w:qFormat/>
    <w:rsid w:val="00146CE6"/>
    <w:pPr>
      <w:spacing w:after="240"/>
    </w:pPr>
    <w:rPr>
      <w:rFonts w:cs="Arial"/>
    </w:rPr>
  </w:style>
  <w:style w:type="paragraph" w:customStyle="1" w:styleId="ListNumberLast">
    <w:name w:val="List Number Last"/>
    <w:basedOn w:val="ListNumber"/>
    <w:semiHidden/>
    <w:qFormat/>
    <w:rsid w:val="00C16198"/>
    <w:pPr>
      <w:spacing w:after="240"/>
      <w:ind w:left="357" w:hanging="357"/>
    </w:pPr>
    <w:rPr>
      <w:rFonts w:cs="Arial"/>
    </w:rPr>
  </w:style>
  <w:style w:type="paragraph" w:customStyle="1" w:styleId="ACMATableHeader">
    <w:name w:val="ACMA_TableHeader"/>
    <w:qFormat/>
    <w:rsid w:val="003F10EE"/>
    <w:pPr>
      <w:numPr>
        <w:numId w:val="7"/>
      </w:numPr>
      <w:spacing w:after="160"/>
    </w:pPr>
    <w:rPr>
      <w:rFonts w:ascii="Arial" w:hAnsi="Arial"/>
      <w:b/>
      <w:bCs/>
      <w:color w:val="323232"/>
      <w:sz w:val="20"/>
      <w:szCs w:val="20"/>
    </w:rPr>
  </w:style>
  <w:style w:type="paragraph" w:customStyle="1" w:styleId="ACMANotes">
    <w:name w:val="ACMA_Notes"/>
    <w:qFormat/>
    <w:rsid w:val="00FF206E"/>
    <w:pPr>
      <w:spacing w:before="80"/>
    </w:pPr>
    <w:rPr>
      <w:rFonts w:ascii="Arial" w:hAnsi="Arial" w:cs="Arial"/>
      <w:i/>
      <w:sz w:val="16"/>
    </w:rPr>
  </w:style>
  <w:style w:type="paragraph" w:customStyle="1" w:styleId="Numberlistlevel1">
    <w:name w:val="Number list level 1"/>
    <w:basedOn w:val="ListNumber"/>
    <w:uiPriority w:val="9"/>
    <w:qFormat/>
    <w:rsid w:val="004A70D6"/>
  </w:style>
  <w:style w:type="character" w:styleId="Emphasis">
    <w:name w:val="Emphasis"/>
    <w:basedOn w:val="DefaultParagraphFont"/>
    <w:semiHidden/>
    <w:qFormat/>
    <w:rsid w:val="006D576C"/>
    <w:rPr>
      <w:i/>
      <w:iCs/>
    </w:rPr>
  </w:style>
  <w:style w:type="paragraph" w:customStyle="1" w:styleId="ListNumber2Last">
    <w:name w:val="List Number 2 Last"/>
    <w:basedOn w:val="ListNumber2"/>
    <w:semiHidden/>
    <w:qFormat/>
    <w:rsid w:val="00E35707"/>
    <w:pPr>
      <w:spacing w:after="240"/>
      <w:ind w:left="907"/>
    </w:pPr>
    <w:rPr>
      <w:rFonts w:cs="Arial"/>
    </w:rPr>
  </w:style>
  <w:style w:type="paragraph" w:customStyle="1" w:styleId="Spaceaftertable">
    <w:name w:val="Space after table"/>
    <w:basedOn w:val="Normal"/>
    <w:uiPriority w:val="99"/>
    <w:qFormat/>
    <w:rsid w:val="00C2083D"/>
    <w:rPr>
      <w:rFonts w:cs="Arial"/>
    </w:rPr>
  </w:style>
  <w:style w:type="paragraph" w:customStyle="1" w:styleId="FooterLeft">
    <w:name w:val="Footer Left"/>
    <w:basedOn w:val="Footer"/>
    <w:semiHidden/>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qFormat/>
    <w:rsid w:val="003F10EE"/>
    <w:pPr>
      <w:numPr>
        <w:numId w:val="6"/>
      </w:numPr>
      <w:spacing w:after="160"/>
    </w:pPr>
    <w:rPr>
      <w:rFonts w:ascii="Arial" w:hAnsi="Arial"/>
      <w:b/>
      <w:bCs/>
      <w:color w:val="323232"/>
      <w:sz w:val="20"/>
      <w:szCs w:val="20"/>
    </w:rPr>
  </w:style>
  <w:style w:type="paragraph" w:customStyle="1" w:styleId="Captionfigure">
    <w:name w:val="Caption figure"/>
    <w:basedOn w:val="Caption"/>
    <w:semiHidden/>
    <w:qFormat/>
    <w:rsid w:val="00E8152A"/>
    <w:pPr>
      <w:keepNext/>
      <w:numPr>
        <w:numId w:val="8"/>
      </w:numPr>
    </w:pPr>
    <w:rPr>
      <w:rFonts w:cs="Arial"/>
    </w:rPr>
  </w:style>
  <w:style w:type="paragraph" w:customStyle="1" w:styleId="GridTable31">
    <w:name w:val="Grid Table 31"/>
    <w:basedOn w:val="Normal"/>
    <w:semiHidden/>
    <w:qFormat/>
    <w:rsid w:val="00971914"/>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character" w:customStyle="1" w:styleId="Heading1Char">
    <w:name w:val="Heading 1 Char"/>
    <w:basedOn w:val="DefaultParagraphFont"/>
    <w:link w:val="Heading1"/>
    <w:rsid w:val="006C1631"/>
    <w:rPr>
      <w:rFonts w:ascii="Arial" w:hAnsi="Arial" w:cs="Arial"/>
      <w:bCs/>
      <w:color w:val="323232"/>
      <w:kern w:val="32"/>
      <w:sz w:val="53"/>
      <w:szCs w:val="32"/>
    </w:rPr>
  </w:style>
  <w:style w:type="character" w:customStyle="1" w:styleId="Heading2Char">
    <w:name w:val="Heading 2 Char"/>
    <w:basedOn w:val="DefaultParagraphFont"/>
    <w:link w:val="Heading2"/>
    <w:uiPriority w:val="1"/>
    <w:rsid w:val="00800CCD"/>
    <w:rPr>
      <w:rFonts w:ascii="Arial" w:hAnsi="Arial" w:cs="Arial"/>
      <w:b/>
      <w:bCs/>
      <w:iCs/>
      <w:sz w:val="28"/>
      <w:szCs w:val="28"/>
    </w:rPr>
  </w:style>
  <w:style w:type="character" w:styleId="UnresolvedMention">
    <w:name w:val="Unresolved Mention"/>
    <w:basedOn w:val="DefaultParagraphFont"/>
    <w:uiPriority w:val="99"/>
    <w:semiHidden/>
    <w:unhideWhenUsed/>
    <w:rsid w:val="006B52DE"/>
    <w:rPr>
      <w:color w:val="605E5C"/>
      <w:shd w:val="clear" w:color="auto" w:fill="E1DFDD"/>
    </w:rPr>
  </w:style>
  <w:style w:type="character" w:customStyle="1" w:styleId="Heading3Char">
    <w:name w:val="Heading 3 Char"/>
    <w:basedOn w:val="DefaultParagraphFont"/>
    <w:link w:val="Heading3"/>
    <w:uiPriority w:val="2"/>
    <w:rsid w:val="00800CCD"/>
    <w:rPr>
      <w:rFonts w:ascii="Arial" w:hAnsi="Arial" w:cs="Arial"/>
      <w:b/>
      <w:bCs/>
      <w:sz w:val="20"/>
      <w:szCs w:val="26"/>
    </w:rPr>
  </w:style>
  <w:style w:type="paragraph" w:customStyle="1" w:styleId="Paragraph">
    <w:name w:val="Paragraph"/>
    <w:basedOn w:val="Normal"/>
    <w:qFormat/>
    <w:rsid w:val="00A824E8"/>
    <w:rPr>
      <w:rFonts w:cs="Arial"/>
    </w:rPr>
  </w:style>
  <w:style w:type="paragraph" w:customStyle="1" w:styleId="Bulletlevel2">
    <w:name w:val="Bullet level 2"/>
    <w:basedOn w:val="ListBullet2"/>
    <w:uiPriority w:val="7"/>
    <w:qFormat/>
    <w:rsid w:val="00A824E8"/>
    <w:rPr>
      <w:rFonts w:cs="Arial"/>
    </w:rPr>
  </w:style>
  <w:style w:type="paragraph" w:customStyle="1" w:styleId="Bulletlevel1last">
    <w:name w:val="Bullet level 1 last"/>
    <w:basedOn w:val="ListBulletLast"/>
    <w:uiPriority w:val="6"/>
    <w:qFormat/>
    <w:rsid w:val="00A824E8"/>
  </w:style>
  <w:style w:type="paragraph" w:customStyle="1" w:styleId="Numberlistlevel2">
    <w:name w:val="Number list level 2"/>
    <w:basedOn w:val="ListNumber2"/>
    <w:uiPriority w:val="11"/>
    <w:qFormat/>
    <w:rsid w:val="004A70D6"/>
  </w:style>
  <w:style w:type="paragraph" w:customStyle="1" w:styleId="Numberlistlast">
    <w:name w:val="Number list last"/>
    <w:basedOn w:val="ListNumberLast"/>
    <w:uiPriority w:val="10"/>
    <w:qFormat/>
    <w:rsid w:val="004A70D6"/>
  </w:style>
  <w:style w:type="paragraph" w:customStyle="1" w:styleId="Numberlistlevel2last">
    <w:name w:val="Number list level 2 last"/>
    <w:basedOn w:val="Numberlistlevel2"/>
    <w:uiPriority w:val="12"/>
    <w:qFormat/>
    <w:rsid w:val="004A70D6"/>
    <w:pPr>
      <w:spacing w:after="240"/>
    </w:pPr>
  </w:style>
  <w:style w:type="paragraph" w:customStyle="1" w:styleId="Bulletlevel2last">
    <w:name w:val="Bullet level 2 last"/>
    <w:basedOn w:val="Bulletlevel2"/>
    <w:uiPriority w:val="8"/>
    <w:qFormat/>
    <w:rsid w:val="004A70D6"/>
    <w:pPr>
      <w:spacing w:after="240"/>
    </w:pPr>
  </w:style>
  <w:style w:type="table" w:customStyle="1" w:styleId="ACMAtablestyle">
    <w:name w:val="ACMA table style"/>
    <w:basedOn w:val="TableNormal"/>
    <w:uiPriority w:val="99"/>
    <w:rsid w:val="0063346D"/>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bottom w:w="28"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hemeFill="text1" w:themeFillTint="BF"/>
      </w:tcPr>
    </w:tblStylePr>
    <w:tblStylePr w:type="band1Horz">
      <w:rPr>
        <w:rFonts w:ascii="Arial" w:hAnsi="Arial"/>
        <w:sz w:val="20"/>
      </w:rPr>
      <w:tblPr/>
      <w:tcPr>
        <w:shd w:val="clear" w:color="auto" w:fill="F2F2F2" w:themeFill="background1" w:themeFillShade="F2"/>
      </w:tcPr>
    </w:tblStylePr>
    <w:tblStylePr w:type="band2Horz">
      <w:rPr>
        <w:rFonts w:ascii="Arial" w:hAnsi="Arial"/>
        <w:sz w:val="20"/>
      </w:rPr>
    </w:tblStylePr>
  </w:style>
  <w:style w:type="paragraph" w:customStyle="1" w:styleId="Tableheading">
    <w:name w:val="Table heading"/>
    <w:basedOn w:val="ACMATableHeader"/>
    <w:uiPriority w:val="13"/>
    <w:qFormat/>
    <w:rsid w:val="0063346D"/>
    <w:pPr>
      <w:keepNext/>
      <w:spacing w:line="240" w:lineRule="atLeast"/>
    </w:pPr>
  </w:style>
  <w:style w:type="paragraph" w:customStyle="1" w:styleId="Tableorfigurenote">
    <w:name w:val="Table or figure note"/>
    <w:basedOn w:val="ACMANotes"/>
    <w:uiPriority w:val="17"/>
    <w:qFormat/>
    <w:rsid w:val="00930510"/>
    <w:pPr>
      <w:spacing w:after="240"/>
    </w:pPr>
  </w:style>
  <w:style w:type="paragraph" w:customStyle="1" w:styleId="Figureheading">
    <w:name w:val="Figure heading"/>
    <w:basedOn w:val="ACMAFigureHeader"/>
    <w:uiPriority w:val="16"/>
    <w:qFormat/>
    <w:rsid w:val="0063346D"/>
    <w:pPr>
      <w:keepNext/>
      <w:spacing w:line="240" w:lineRule="atLeast"/>
    </w:pPr>
  </w:style>
  <w:style w:type="paragraph" w:customStyle="1" w:styleId="Tableorfigurenotemultiple">
    <w:name w:val="Table or figure note multiple"/>
    <w:basedOn w:val="Tableorfigurenote"/>
    <w:uiPriority w:val="18"/>
    <w:qFormat/>
    <w:rsid w:val="00930510"/>
    <w:pPr>
      <w:spacing w:after="80"/>
    </w:pPr>
  </w:style>
  <w:style w:type="paragraph" w:customStyle="1" w:styleId="Protectivemarking">
    <w:name w:val="Protective marking"/>
    <w:basedOn w:val="Normal"/>
    <w:uiPriority w:val="99"/>
    <w:qFormat/>
    <w:rsid w:val="007E3375"/>
    <w:pPr>
      <w:tabs>
        <w:tab w:val="left" w:pos="720"/>
      </w:tabs>
      <w:spacing w:after="0" w:line="240" w:lineRule="auto"/>
      <w:jc w:val="center"/>
    </w:pPr>
    <w:rPr>
      <w:rFonts w:cs="Arial"/>
      <w:b/>
      <w:bCs/>
      <w:color w:val="FF0000"/>
      <w:sz w:val="32"/>
      <w:lang w:eastAsia="en-US"/>
    </w:rPr>
  </w:style>
  <w:style w:type="paragraph" w:styleId="EndnoteText">
    <w:name w:val="endnote text"/>
    <w:basedOn w:val="Normal"/>
    <w:link w:val="EndnoteTextChar"/>
    <w:uiPriority w:val="99"/>
    <w:unhideWhenUsed/>
    <w:qFormat/>
    <w:rsid w:val="00D5552A"/>
    <w:pPr>
      <w:spacing w:after="0" w:line="240" w:lineRule="auto"/>
    </w:pPr>
    <w:rPr>
      <w:sz w:val="16"/>
      <w:szCs w:val="20"/>
    </w:rPr>
  </w:style>
  <w:style w:type="character" w:customStyle="1" w:styleId="EndnoteTextChar">
    <w:name w:val="Endnote Text Char"/>
    <w:basedOn w:val="DefaultParagraphFont"/>
    <w:link w:val="EndnoteText"/>
    <w:uiPriority w:val="99"/>
    <w:rsid w:val="00D5552A"/>
    <w:rPr>
      <w:rFonts w:ascii="Arial" w:hAnsi="Arial"/>
      <w:sz w:val="16"/>
      <w:szCs w:val="20"/>
    </w:rPr>
  </w:style>
  <w:style w:type="character" w:styleId="EndnoteReference">
    <w:name w:val="endnote reference"/>
    <w:basedOn w:val="DefaultParagraphFont"/>
    <w:uiPriority w:val="99"/>
    <w:unhideWhenUsed/>
    <w:rsid w:val="00D5552A"/>
    <w:rPr>
      <w:rFonts w:ascii="Arial" w:hAnsi="Arial"/>
      <w:sz w:val="20"/>
      <w:vertAlign w:val="superscript"/>
    </w:rPr>
  </w:style>
  <w:style w:type="paragraph" w:customStyle="1" w:styleId="TableHeading0">
    <w:name w:val="Table Heading"/>
    <w:basedOn w:val="Normal"/>
    <w:qFormat/>
    <w:rsid w:val="00127F0D"/>
    <w:pPr>
      <w:spacing w:after="0"/>
    </w:pPr>
    <w:rPr>
      <w:b/>
    </w:rPr>
  </w:style>
  <w:style w:type="paragraph" w:customStyle="1" w:styleId="ACMATableText">
    <w:name w:val="ACMA Table Text"/>
    <w:rsid w:val="00127F0D"/>
    <w:pPr>
      <w:spacing w:before="40" w:after="40"/>
    </w:pPr>
    <w:rPr>
      <w:rFonts w:ascii="Arial" w:hAnsi="Arial"/>
      <w:sz w:val="20"/>
      <w:szCs w:val="20"/>
      <w:lang w:eastAsia="en-US"/>
    </w:rPr>
  </w:style>
  <w:style w:type="paragraph" w:customStyle="1" w:styleId="ACMANotesspaceafter">
    <w:name w:val="ACMA_Notes_space_after"/>
    <w:basedOn w:val="Normal"/>
    <w:qFormat/>
    <w:rsid w:val="00127F0D"/>
    <w:pPr>
      <w:spacing w:before="80" w:line="240" w:lineRule="auto"/>
    </w:pPr>
    <w:rPr>
      <w:rFonts w:cs="Arial"/>
      <w:i/>
      <w:sz w:val="16"/>
    </w:rPr>
  </w:style>
  <w:style w:type="paragraph" w:styleId="BalloonText">
    <w:name w:val="Balloon Text"/>
    <w:basedOn w:val="Normal"/>
    <w:link w:val="BalloonTextChar"/>
    <w:semiHidden/>
    <w:unhideWhenUsed/>
    <w:rsid w:val="0051738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semiHidden/>
    <w:rsid w:val="00517389"/>
    <w:rPr>
      <w:rFonts w:ascii="Segoe UI" w:hAnsi="Segoe UI" w:cs="Segoe UI"/>
      <w:sz w:val="18"/>
      <w:szCs w:val="18"/>
    </w:rPr>
  </w:style>
  <w:style w:type="paragraph" w:customStyle="1" w:styleId="Pa27">
    <w:name w:val="Pa27"/>
    <w:basedOn w:val="Normal"/>
    <w:uiPriority w:val="99"/>
    <w:rsid w:val="00CE7EAE"/>
    <w:pPr>
      <w:autoSpaceDE w:val="0"/>
      <w:autoSpaceDN w:val="0"/>
      <w:spacing w:after="0" w:line="171" w:lineRule="atLeast"/>
    </w:pPr>
    <w:rPr>
      <w:rFonts w:ascii="HelveticaNeueLT Std Lt" w:eastAsiaTheme="minorHAnsi" w:hAnsi="HelveticaNeueLT Std Lt" w:cs="Calibri"/>
      <w:sz w:val="24"/>
      <w:lang w:eastAsia="en-US"/>
    </w:rPr>
  </w:style>
  <w:style w:type="paragraph" w:styleId="Revision">
    <w:name w:val="Revision"/>
    <w:hidden/>
    <w:semiHidden/>
    <w:rsid w:val="00A14025"/>
    <w:rPr>
      <w:rFonts w:ascii="Arial" w:hAnsi="Arial"/>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93924053">
      <w:bodyDiv w:val="1"/>
      <w:marLeft w:val="0"/>
      <w:marRight w:val="0"/>
      <w:marTop w:val="0"/>
      <w:marBottom w:val="0"/>
      <w:divBdr>
        <w:top w:val="none" w:sz="0" w:space="0" w:color="auto"/>
        <w:left w:val="none" w:sz="0" w:space="0" w:color="auto"/>
        <w:bottom w:val="none" w:sz="0" w:space="0" w:color="auto"/>
        <w:right w:val="none" w:sz="0" w:space="0" w:color="auto"/>
      </w:divBdr>
    </w:div>
    <w:div w:id="342633285">
      <w:bodyDiv w:val="1"/>
      <w:marLeft w:val="0"/>
      <w:marRight w:val="0"/>
      <w:marTop w:val="0"/>
      <w:marBottom w:val="0"/>
      <w:divBdr>
        <w:top w:val="none" w:sz="0" w:space="0" w:color="auto"/>
        <w:left w:val="none" w:sz="0" w:space="0" w:color="auto"/>
        <w:bottom w:val="none" w:sz="0" w:space="0" w:color="auto"/>
        <w:right w:val="none" w:sz="0" w:space="0" w:color="auto"/>
      </w:divBdr>
    </w:div>
    <w:div w:id="576784553">
      <w:bodyDiv w:val="1"/>
      <w:marLeft w:val="0"/>
      <w:marRight w:val="0"/>
      <w:marTop w:val="0"/>
      <w:marBottom w:val="0"/>
      <w:divBdr>
        <w:top w:val="none" w:sz="0" w:space="0" w:color="auto"/>
        <w:left w:val="none" w:sz="0" w:space="0" w:color="auto"/>
        <w:bottom w:val="none" w:sz="0" w:space="0" w:color="auto"/>
        <w:right w:val="none" w:sz="0" w:space="0" w:color="auto"/>
      </w:divBdr>
    </w:div>
    <w:div w:id="1374499438">
      <w:bodyDiv w:val="1"/>
      <w:marLeft w:val="0"/>
      <w:marRight w:val="0"/>
      <w:marTop w:val="0"/>
      <w:marBottom w:val="0"/>
      <w:divBdr>
        <w:top w:val="none" w:sz="0" w:space="0" w:color="auto"/>
        <w:left w:val="none" w:sz="0" w:space="0" w:color="auto"/>
        <w:bottom w:val="none" w:sz="0" w:space="0" w:color="auto"/>
        <w:right w:val="none" w:sz="0" w:space="0" w:color="auto"/>
      </w:divBdr>
    </w:div>
    <w:div w:id="1409771268">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877501605">
      <w:bodyDiv w:val="1"/>
      <w:marLeft w:val="0"/>
      <w:marRight w:val="0"/>
      <w:marTop w:val="0"/>
      <w:marBottom w:val="0"/>
      <w:divBdr>
        <w:top w:val="none" w:sz="0" w:space="0" w:color="auto"/>
        <w:left w:val="none" w:sz="0" w:space="0" w:color="auto"/>
        <w:bottom w:val="none" w:sz="0" w:space="0" w:color="auto"/>
        <w:right w:val="none" w:sz="0" w:space="0" w:color="auto"/>
      </w:divBdr>
    </w:div>
    <w:div w:id="19259123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s://creativecommons.org/licenses/by/4.0/" TargetMode="External"/><Relationship Id="rId18" Type="http://schemas.openxmlformats.org/officeDocument/2006/relationships/footer" Target="footer3.xml"/><Relationship Id="rId26" Type="http://schemas.openxmlformats.org/officeDocument/2006/relationships/header" Target="header8.xml"/><Relationship Id="rId3" Type="http://schemas.openxmlformats.org/officeDocument/2006/relationships/styles" Target="styles.xml"/><Relationship Id="rId21" Type="http://schemas.openxmlformats.org/officeDocument/2006/relationships/footer" Target="footer4.xm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footer" Target="footer2.xml"/><Relationship Id="rId25" Type="http://schemas.openxmlformats.org/officeDocument/2006/relationships/header" Target="header7.xm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header" Target="header6.xm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i.creativecommons.org/l/by/3.0/88x31.png" TargetMode="External"/><Relationship Id="rId24" Type="http://schemas.openxmlformats.org/officeDocument/2006/relationships/chart" Target="charts/chart1.xml"/><Relationship Id="rId5" Type="http://schemas.openxmlformats.org/officeDocument/2006/relationships/webSettings" Target="webSettings.xml"/><Relationship Id="rId15" Type="http://schemas.openxmlformats.org/officeDocument/2006/relationships/header" Target="header3.xml"/><Relationship Id="rId23" Type="http://schemas.openxmlformats.org/officeDocument/2006/relationships/footer" Target="footer6.xml"/><Relationship Id="rId28" Type="http://schemas.openxmlformats.org/officeDocument/2006/relationships/footer" Target="footer8.xml"/><Relationship Id="rId10" Type="http://schemas.openxmlformats.org/officeDocument/2006/relationships/header" Target="header2.xml"/><Relationship Id="rId19" Type="http://schemas.openxmlformats.org/officeDocument/2006/relationships/header" Target="header5.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mailto:info@acma.gov.au" TargetMode="External"/><Relationship Id="rId22" Type="http://schemas.openxmlformats.org/officeDocument/2006/relationships/footer" Target="footer5.xml"/><Relationship Id="rId27" Type="http://schemas.openxmlformats.org/officeDocument/2006/relationships/footer" Target="footer7.xml"/><Relationship Id="rId30"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acma.gov.au"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www.communications.gov.au/documents/guidelines-use-section-3133-telecommunications-act-1997-government-agencies-lawful-disruption-access"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charts/_rels/chart1.xml.rels><?xml version="1.0" encoding="UTF-8" standalone="yes"?>
<Relationships xmlns="http://schemas.openxmlformats.org/package/2006/relationships"><Relationship Id="rId3" Type="http://schemas.openxmlformats.org/officeDocument/2006/relationships/oleObject" Target="file:///\\CBRFS01VP\CAI$\Publications\Discussion%20papers%20and%20reports\Reports\2020\National%20interests%20report\Copy%20of%20IC%20costs.xlsx" TargetMode="External"/><Relationship Id="rId2" Type="http://schemas.microsoft.com/office/2011/relationships/chartColorStyle" Target="colors1.xml"/><Relationship Id="rId1" Type="http://schemas.microsoft.com/office/2011/relationships/chartStyle" Target="style1.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spPr>
            <a:solidFill>
              <a:srgbClr val="00A0A4"/>
            </a:solidFill>
            <a:ln>
              <a:noFill/>
            </a:ln>
            <a:effectLst/>
          </c:spPr>
          <c:invertIfNegative val="0"/>
          <c:dLbls>
            <c:dLbl>
              <c:idx val="0"/>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92AB-428F-B750-AC5B2EC059AB}"/>
                </c:ext>
              </c:extLst>
            </c:dLbl>
            <c:dLbl>
              <c:idx val="1"/>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92AB-428F-B750-AC5B2EC059AB}"/>
                </c:ext>
              </c:extLst>
            </c:dLbl>
            <c:dLbl>
              <c:idx val="2"/>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92AB-428F-B750-AC5B2EC059AB}"/>
                </c:ext>
              </c:extLst>
            </c:dLbl>
            <c:dLbl>
              <c:idx val="3"/>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92AB-428F-B750-AC5B2EC059AB}"/>
                </c:ext>
              </c:extLst>
            </c:dLbl>
            <c:dLbl>
              <c:idx val="4"/>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92AB-428F-B750-AC5B2EC059AB}"/>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solidFill>
                    <a:latin typeface="Arial" panose="020B0604020202020204" pitchFamily="34" charset="0"/>
                    <a:ea typeface="+mn-ea"/>
                    <a:cs typeface="Arial" panose="020B0604020202020204" pitchFamily="34" charset="0"/>
                  </a:defRPr>
                </a:pPr>
                <a:endParaRPr lang="en-US"/>
              </a:p>
            </c:txPr>
            <c:showLegendKey val="0"/>
            <c:showVal val="0"/>
            <c:showCatName val="0"/>
            <c:showSerName val="0"/>
            <c:showPercent val="0"/>
            <c:showBubbleSize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'[Copy of IC costs.xlsx]NI reports 2019-20'!$F$38:$F$42</c:f>
              <c:strCache>
                <c:ptCount val="5"/>
                <c:pt idx="0">
                  <c:v>2015–16</c:v>
                </c:pt>
                <c:pt idx="1">
                  <c:v>2016–17</c:v>
                </c:pt>
                <c:pt idx="2">
                  <c:v>2017–18</c:v>
                </c:pt>
                <c:pt idx="3">
                  <c:v>2018–19</c:v>
                </c:pt>
                <c:pt idx="4">
                  <c:v>2019–20</c:v>
                </c:pt>
              </c:strCache>
            </c:strRef>
          </c:cat>
          <c:val>
            <c:numRef>
              <c:f>'[Copy of IC costs.xlsx]NI reports 2019-20'!$G$38:$G$42</c:f>
              <c:numCache>
                <c:formatCode>0.0</c:formatCode>
                <c:ptCount val="5"/>
                <c:pt idx="0" formatCode="General">
                  <c:v>22.6</c:v>
                </c:pt>
                <c:pt idx="1">
                  <c:v>22</c:v>
                </c:pt>
                <c:pt idx="2" formatCode="General">
                  <c:v>21.5</c:v>
                </c:pt>
                <c:pt idx="3" formatCode="General">
                  <c:v>23.9</c:v>
                </c:pt>
                <c:pt idx="4" formatCode="General">
                  <c:v>24.1</c:v>
                </c:pt>
              </c:numCache>
            </c:numRef>
          </c:val>
          <c:extLst>
            <c:ext xmlns:c16="http://schemas.microsoft.com/office/drawing/2014/chart" uri="{C3380CC4-5D6E-409C-BE32-E72D297353CC}">
              <c16:uniqueId val="{00000000-92AB-428F-B750-AC5B2EC059AB}"/>
            </c:ext>
          </c:extLst>
        </c:ser>
        <c:dLbls>
          <c:showLegendKey val="0"/>
          <c:showVal val="0"/>
          <c:showCatName val="0"/>
          <c:showSerName val="0"/>
          <c:showPercent val="0"/>
          <c:showBubbleSize val="0"/>
        </c:dLbls>
        <c:gapWidth val="219"/>
        <c:overlap val="-27"/>
        <c:axId val="473717576"/>
        <c:axId val="473722824"/>
      </c:barChart>
      <c:catAx>
        <c:axId val="473717576"/>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solidFill>
                <a:latin typeface="Arial" panose="020B0604020202020204" pitchFamily="34" charset="0"/>
                <a:ea typeface="+mn-ea"/>
                <a:cs typeface="Arial" panose="020B0604020202020204" pitchFamily="34" charset="0"/>
              </a:defRPr>
            </a:pPr>
            <a:endParaRPr lang="en-US"/>
          </a:p>
        </c:txPr>
        <c:crossAx val="473722824"/>
        <c:crosses val="autoZero"/>
        <c:auto val="1"/>
        <c:lblAlgn val="ctr"/>
        <c:lblOffset val="100"/>
        <c:noMultiLvlLbl val="0"/>
      </c:catAx>
      <c:valAx>
        <c:axId val="473722824"/>
        <c:scaling>
          <c:orientation val="minMax"/>
        </c:scaling>
        <c:delete val="1"/>
        <c:axPos val="l"/>
        <c:numFmt formatCode="General" sourceLinked="1"/>
        <c:majorTickMark val="none"/>
        <c:minorTickMark val="none"/>
        <c:tickLblPos val="nextTo"/>
        <c:crossAx val="473717576"/>
        <c:crosses val="autoZero"/>
        <c:crossBetween val="between"/>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pPr>
      <a:endParaRPr lang="en-US"/>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364829E-AAC3-4692-856E-471AD155D6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1531</Words>
  <Characters>8728</Characters>
  <Application>Microsoft Office Word</Application>
  <DocSecurity>0</DocSecurity>
  <Lines>72</Lines>
  <Paragraphs>20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10239</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2020-12-15T22:23:00Z</dcterms:created>
  <dcterms:modified xsi:type="dcterms:W3CDTF">2020-12-15T22:27:00Z</dcterms:modified>
  <cp:category/>
</cp:coreProperties>
</file>