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52DD280" w14:textId="77777777" w:rsidR="00E034E4" w:rsidRDefault="00E034E4" w:rsidP="00E034E4">
      <w:pPr>
        <w:pStyle w:val="ACMALinecover"/>
      </w:pPr>
      <w:r>
        <w:rPr>
          <w:noProof/>
        </w:rPr>
        <w:drawing>
          <wp:inline distT="0" distB="0" distL="0" distR="0" wp14:anchorId="299208FE" wp14:editId="626FBE08">
            <wp:extent cx="1718945" cy="597535"/>
            <wp:effectExtent l="0" t="0" r="8255" b="12065"/>
            <wp:docPr id="3" name="Picture 24" descr="Research ACMA. Evidence that informs." title="Research 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18945" cy="597535"/>
                    </a:xfrm>
                    <a:prstGeom prst="rect">
                      <a:avLst/>
                    </a:prstGeom>
                    <a:noFill/>
                    <a:extLst>
                      <a:ext uri="{909E8E84-426E-40dd-AFC4-6F175D3DCCD1}">
                        <a14:hiddenFill xmlns:asvg="http://schemas.microsoft.com/office/drawing/2016/SVG/main"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Lst>
                  </pic:spPr>
                </pic:pic>
              </a:graphicData>
            </a:graphic>
          </wp:inline>
        </w:drawing>
      </w:r>
    </w:p>
    <w:p w14:paraId="58413640" w14:textId="1CF76BF8" w:rsidR="004A2FC5" w:rsidRDefault="008C4ADF" w:rsidP="004A2FC5">
      <w:pPr>
        <w:pStyle w:val="Reportsubtitle"/>
      </w:pPr>
      <w:r w:rsidRPr="00F60807">
        <w:t xml:space="preserve">News in Australia: diversity and localism </w:t>
      </w:r>
      <w:r>
        <w:br/>
      </w:r>
      <w:r w:rsidRPr="008C4ADF">
        <w:rPr>
          <w:b/>
          <w:color w:val="auto"/>
        </w:rPr>
        <w:t xml:space="preserve">International comparisons </w:t>
      </w:r>
    </w:p>
    <w:p w14:paraId="040E3480" w14:textId="443EA932" w:rsidR="0037473E" w:rsidRDefault="00772409" w:rsidP="004A2FC5">
      <w:pPr>
        <w:pStyle w:val="Reportdate"/>
        <w:spacing w:after="720"/>
      </w:pPr>
      <w:r>
        <w:t xml:space="preserve">december </w:t>
      </w:r>
      <w:r w:rsidR="004A2FC5">
        <w:t>2020</w:t>
      </w:r>
    </w:p>
    <w:p w14:paraId="0594690E" w14:textId="77777777" w:rsidR="0037473E" w:rsidRDefault="0037473E">
      <w:pPr>
        <w:spacing w:after="0"/>
        <w:rPr>
          <w:caps/>
          <w:color w:val="323232"/>
          <w:spacing w:val="-10"/>
        </w:rPr>
      </w:pPr>
      <w:r>
        <w:br w:type="page"/>
      </w:r>
    </w:p>
    <w:p w14:paraId="478E1D0F" w14:textId="77777777" w:rsidR="0037473E" w:rsidRPr="00F44F3A" w:rsidRDefault="0037473E" w:rsidP="0037473E">
      <w:pPr>
        <w:pStyle w:val="ACMACorporateAddressHeader"/>
      </w:pPr>
      <w:r w:rsidRPr="00F44F3A">
        <w:lastRenderedPageBreak/>
        <w:t>Canberra</w:t>
      </w:r>
    </w:p>
    <w:p w14:paraId="31FDB0E7" w14:textId="77777777" w:rsidR="0037473E" w:rsidRPr="00FC07B9" w:rsidRDefault="0037473E" w:rsidP="0037473E">
      <w:pPr>
        <w:pStyle w:val="ACMACorporateAddresses"/>
      </w:pPr>
      <w:r w:rsidRPr="00FC07B9">
        <w:t xml:space="preserve">Red Building </w:t>
      </w:r>
      <w:r w:rsidRPr="00FC07B9">
        <w:br/>
        <w:t>Benjamin Offices</w:t>
      </w:r>
      <w:r w:rsidRPr="00FC07B9">
        <w:br/>
        <w:t xml:space="preserve">Chan Street </w:t>
      </w:r>
      <w:r w:rsidRPr="00FC07B9">
        <w:br/>
        <w:t>Belconnen ACT</w:t>
      </w:r>
    </w:p>
    <w:p w14:paraId="6C784955" w14:textId="77777777" w:rsidR="0037473E" w:rsidRPr="00FC07B9" w:rsidRDefault="0037473E" w:rsidP="0037473E">
      <w:pPr>
        <w:pStyle w:val="ACMACorporateAddresses"/>
      </w:pPr>
      <w:r w:rsidRPr="00FC07B9">
        <w:t>PO Box 78</w:t>
      </w:r>
      <w:r w:rsidRPr="00FC07B9">
        <w:br/>
        <w:t>Belconnen ACT 2616</w:t>
      </w:r>
    </w:p>
    <w:p w14:paraId="5DA243A7" w14:textId="77777777" w:rsidR="0037473E" w:rsidRPr="00FC07B9" w:rsidRDefault="0037473E" w:rsidP="0037473E">
      <w:pPr>
        <w:pStyle w:val="ACMACorporateAddresses"/>
      </w:pPr>
      <w:r w:rsidRPr="00FC07B9">
        <w:t>T</w:t>
      </w:r>
      <w:r w:rsidRPr="00FC07B9">
        <w:tab/>
        <w:t>+61 2 6219 5555</w:t>
      </w:r>
      <w:r w:rsidRPr="00FC07B9">
        <w:br/>
        <w:t>F</w:t>
      </w:r>
      <w:r w:rsidRPr="00FC07B9">
        <w:tab/>
        <w:t>+61 2 6219 5353</w:t>
      </w:r>
    </w:p>
    <w:p w14:paraId="350A4E96" w14:textId="77777777" w:rsidR="0037473E" w:rsidRPr="00F44F3A" w:rsidRDefault="0037473E" w:rsidP="0037473E">
      <w:pPr>
        <w:pStyle w:val="ACMACorporateAddressHeader"/>
      </w:pPr>
      <w:r w:rsidRPr="00F44F3A">
        <w:t>Melbourne</w:t>
      </w:r>
    </w:p>
    <w:p w14:paraId="6775A010" w14:textId="77777777" w:rsidR="0037473E" w:rsidRPr="00F44F3A" w:rsidRDefault="0037473E" w:rsidP="0037473E">
      <w:pPr>
        <w:pStyle w:val="ACMACorporateAddresses"/>
      </w:pPr>
      <w:r w:rsidRPr="00F44F3A">
        <w:t xml:space="preserve">Level 32 </w:t>
      </w:r>
      <w:r w:rsidRPr="00F44F3A">
        <w:br/>
        <w:t>Melbourne Central Tower</w:t>
      </w:r>
      <w:r w:rsidRPr="00F44F3A">
        <w:br/>
        <w:t xml:space="preserve">360 Elizabeth Street </w:t>
      </w:r>
      <w:r w:rsidRPr="00F44F3A">
        <w:br/>
        <w:t>Melbourne VIC</w:t>
      </w:r>
    </w:p>
    <w:p w14:paraId="268A8245" w14:textId="77777777" w:rsidR="0037473E" w:rsidRPr="00F44F3A" w:rsidRDefault="0037473E" w:rsidP="0037473E">
      <w:pPr>
        <w:pStyle w:val="ACMACorporateAddresses"/>
      </w:pPr>
      <w:r w:rsidRPr="00F44F3A">
        <w:t>PO Box 13112</w:t>
      </w:r>
      <w:r w:rsidRPr="00F44F3A">
        <w:br/>
        <w:t xml:space="preserve">Law Courts </w:t>
      </w:r>
      <w:r w:rsidRPr="00F44F3A">
        <w:br/>
        <w:t>Melbourne VIC 8010</w:t>
      </w:r>
    </w:p>
    <w:p w14:paraId="2AB45F98" w14:textId="77777777" w:rsidR="0037473E" w:rsidRPr="00F44F3A" w:rsidRDefault="0037473E" w:rsidP="0037473E">
      <w:pPr>
        <w:pStyle w:val="ACMACorporateAddresses"/>
      </w:pPr>
      <w:r w:rsidRPr="00F44F3A">
        <w:t>T</w:t>
      </w:r>
      <w:r w:rsidRPr="00F44F3A">
        <w:tab/>
        <w:t>+61 3 9963 6800</w:t>
      </w:r>
      <w:r w:rsidRPr="00F44F3A">
        <w:br/>
        <w:t>F</w:t>
      </w:r>
      <w:r w:rsidRPr="00F44F3A">
        <w:tab/>
        <w:t>+61 3 9963 6899</w:t>
      </w:r>
    </w:p>
    <w:p w14:paraId="64C40B7B" w14:textId="77777777" w:rsidR="0037473E" w:rsidRPr="00F44F3A" w:rsidRDefault="0037473E" w:rsidP="0037473E">
      <w:pPr>
        <w:pStyle w:val="ACMACorporateAddressHeader"/>
      </w:pPr>
      <w:r w:rsidRPr="00F44F3A">
        <w:t>Sydney</w:t>
      </w:r>
    </w:p>
    <w:p w14:paraId="4FF94F8A" w14:textId="77777777" w:rsidR="0037473E" w:rsidRPr="00F44F3A" w:rsidRDefault="0037473E" w:rsidP="0037473E">
      <w:pPr>
        <w:pStyle w:val="ACMACorporateAddresses"/>
      </w:pPr>
      <w:r w:rsidRPr="00F44F3A">
        <w:t xml:space="preserve">Level 5 </w:t>
      </w:r>
      <w:r w:rsidRPr="00F44F3A">
        <w:br/>
        <w:t>The Bay Centre</w:t>
      </w:r>
      <w:r w:rsidRPr="00F44F3A">
        <w:br/>
        <w:t xml:space="preserve">65 Pirrama Road </w:t>
      </w:r>
      <w:r w:rsidRPr="00F44F3A">
        <w:br/>
        <w:t>Pyrmont NSW</w:t>
      </w:r>
    </w:p>
    <w:p w14:paraId="2A6D4384" w14:textId="77777777" w:rsidR="0037473E" w:rsidRPr="00F44F3A" w:rsidRDefault="0037473E" w:rsidP="0037473E">
      <w:pPr>
        <w:pStyle w:val="ACMACorporateAddresses"/>
      </w:pPr>
      <w:r w:rsidRPr="00F44F3A">
        <w:t>PO Box Q500</w:t>
      </w:r>
      <w:r w:rsidRPr="00F44F3A">
        <w:br/>
        <w:t xml:space="preserve">Queen Victoria Building </w:t>
      </w:r>
      <w:r w:rsidRPr="00F44F3A">
        <w:br/>
        <w:t>NSW 1230</w:t>
      </w:r>
    </w:p>
    <w:p w14:paraId="3CC3E563" w14:textId="77777777" w:rsidR="0037473E" w:rsidRPr="00F44F3A" w:rsidRDefault="0037473E" w:rsidP="0037473E">
      <w:pPr>
        <w:pStyle w:val="ACMACorporateAddresses"/>
      </w:pPr>
      <w:r w:rsidRPr="00F44F3A">
        <w:t>T</w:t>
      </w:r>
      <w:r w:rsidRPr="00F44F3A">
        <w:tab/>
        <w:t>+61 2 9334 7700 or 1800 226 667</w:t>
      </w:r>
      <w:r w:rsidRPr="00F44F3A">
        <w:br/>
        <w:t>F</w:t>
      </w:r>
      <w:r w:rsidRPr="00F44F3A">
        <w:tab/>
        <w:t>+61 2 9334 7799</w:t>
      </w:r>
    </w:p>
    <w:p w14:paraId="4243D6EA" w14:textId="77777777" w:rsidR="0037473E" w:rsidRPr="006D46E5" w:rsidRDefault="0037473E" w:rsidP="0037473E">
      <w:pPr>
        <w:pStyle w:val="ACMACopyrightHeader"/>
      </w:pPr>
      <w:r w:rsidRPr="00140318">
        <w:t>Copyright notice</w:t>
      </w:r>
    </w:p>
    <w:p w14:paraId="3F98A194" w14:textId="77777777" w:rsidR="0037473E" w:rsidRPr="006D46E5" w:rsidRDefault="0037473E" w:rsidP="0037473E">
      <w:pPr>
        <w:pStyle w:val="ACMACClogo"/>
      </w:pPr>
      <w:r w:rsidRPr="00623FF9">
        <w:rPr>
          <w:noProof/>
        </w:rPr>
        <w:drawing>
          <wp:inline distT="0" distB="0" distL="0" distR="0" wp14:anchorId="015A9AFE" wp14:editId="0BF8B321">
            <wp:extent cx="838200" cy="295275"/>
            <wp:effectExtent l="0" t="0" r="0" b="0"/>
            <wp:docPr id="1" name="Picture 1" title="Creative Commons logo">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9"/>
                    </pic:cNvPr>
                    <pic:cNvPicPr>
                      <a:picLocks noChangeAspect="1" noChangeArrowheads="1"/>
                    </pic:cNvPicPr>
                  </pic:nvPicPr>
                  <pic:blipFill>
                    <a:blip r:embed="rId10" cstate="print"/>
                    <a:srcRect/>
                    <a:stretch>
                      <a:fillRect/>
                    </a:stretch>
                  </pic:blipFill>
                  <pic:spPr bwMode="auto">
                    <a:xfrm>
                      <a:off x="0" y="0"/>
                      <a:ext cx="838200" cy="295275"/>
                    </a:xfrm>
                    <a:prstGeom prst="rect">
                      <a:avLst/>
                    </a:prstGeom>
                    <a:noFill/>
                  </pic:spPr>
                </pic:pic>
              </a:graphicData>
            </a:graphic>
          </wp:inline>
        </w:drawing>
      </w:r>
    </w:p>
    <w:p w14:paraId="5D7B8B0C" w14:textId="77777777" w:rsidR="0037473E" w:rsidRDefault="00573BB2" w:rsidP="0037473E">
      <w:pPr>
        <w:pStyle w:val="ACMACorporateAddresses"/>
        <w:rPr>
          <w:rStyle w:val="Hyperlink"/>
        </w:rPr>
      </w:pPr>
      <w:hyperlink r:id="rId11" w:history="1">
        <w:r w:rsidR="0037473E">
          <w:rPr>
            <w:rStyle w:val="Hyperlink"/>
          </w:rPr>
          <w:t>https://creativecommons.org/licenses/by/4.0/</w:t>
        </w:r>
      </w:hyperlink>
    </w:p>
    <w:p w14:paraId="679234DB" w14:textId="77777777" w:rsidR="0037473E" w:rsidRDefault="0037473E" w:rsidP="0037473E">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6F02AC2B" w14:textId="77777777" w:rsidR="0037473E" w:rsidRDefault="0037473E" w:rsidP="0037473E">
      <w:pPr>
        <w:pStyle w:val="ACMACorporateAddresses"/>
      </w:pPr>
      <w:r>
        <w:t>We request attribution as © Commonwealth of Australia (Australian Communications and Media Authority) 2020.</w:t>
      </w:r>
    </w:p>
    <w:p w14:paraId="5493DC11" w14:textId="77777777" w:rsidR="0037473E" w:rsidRDefault="0037473E" w:rsidP="0037473E">
      <w:pPr>
        <w:pStyle w:val="ACMACorporateAddresses"/>
      </w:pPr>
      <w:r>
        <w:t>All other rights are reserved.</w:t>
      </w:r>
    </w:p>
    <w:p w14:paraId="476E4820" w14:textId="77777777" w:rsidR="0037473E" w:rsidRDefault="0037473E" w:rsidP="0037473E">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6CD1C632" w14:textId="77777777" w:rsidR="0037473E" w:rsidRDefault="0037473E" w:rsidP="0037473E">
      <w:pPr>
        <w:pStyle w:val="ACMACorporateAddresses"/>
      </w:pPr>
      <w:r>
        <w:t>Written enquiries may be sent to:</w:t>
      </w:r>
    </w:p>
    <w:p w14:paraId="46AD4C72" w14:textId="77777777" w:rsidR="0037473E" w:rsidRDefault="0037473E" w:rsidP="0037473E">
      <w:pPr>
        <w:pStyle w:val="ACMACorporateAddresses"/>
        <w:rPr>
          <w:rStyle w:val="Hyperlink"/>
        </w:rPr>
      </w:pPr>
      <w:r>
        <w:t>Manager, Editorial Services</w:t>
      </w:r>
      <w:r>
        <w:br/>
        <w:t>PO Box 13112</w:t>
      </w:r>
      <w:r>
        <w:br/>
        <w:t>Law Courts</w:t>
      </w:r>
      <w:r>
        <w:br/>
        <w:t>Melbourne VIC 8010</w:t>
      </w:r>
      <w:r>
        <w:br/>
        <w:t xml:space="preserve">Email: </w:t>
      </w:r>
      <w:hyperlink r:id="rId12" w:history="1">
        <w:r>
          <w:rPr>
            <w:rStyle w:val="Hyperlink"/>
          </w:rPr>
          <w:t>info@acma.gov.au</w:t>
        </w:r>
      </w:hyperlink>
    </w:p>
    <w:p w14:paraId="6EAD3243" w14:textId="544803F8" w:rsidR="004A2FC5" w:rsidRPr="00784722" w:rsidRDefault="0037473E" w:rsidP="002F33E2">
      <w:pPr>
        <w:spacing w:after="0"/>
        <w:sectPr w:rsidR="004A2FC5" w:rsidRPr="00784722" w:rsidSect="002F33E2">
          <w:headerReference w:type="default" r:id="rId13"/>
          <w:footerReference w:type="default" r:id="rId14"/>
          <w:headerReference w:type="first" r:id="rId15"/>
          <w:pgSz w:w="11906" w:h="16838" w:code="9"/>
          <w:pgMar w:top="3261" w:right="992" w:bottom="1440" w:left="1134" w:header="709" w:footer="454" w:gutter="0"/>
          <w:cols w:space="708"/>
          <w:docGrid w:linePitch="360"/>
        </w:sectPr>
      </w:pPr>
      <w:r>
        <w:br w:type="page"/>
      </w:r>
    </w:p>
    <w:p w14:paraId="65AD70D8" w14:textId="77777777" w:rsidR="00027BC4" w:rsidRDefault="00027BC4">
      <w:pPr>
        <w:spacing w:after="0"/>
        <w:rPr>
          <w:rFonts w:cs="Arial"/>
          <w:b/>
          <w:noProof/>
          <w:spacing w:val="-14"/>
          <w:sz w:val="28"/>
          <w:szCs w:val="26"/>
        </w:rPr>
      </w:pPr>
    </w:p>
    <w:p w14:paraId="4AD2FE9A" w14:textId="31052135" w:rsidR="00CE791F" w:rsidRDefault="00CE791F">
      <w:pPr>
        <w:pStyle w:val="TOC1"/>
        <w:rPr>
          <w:rFonts w:asciiTheme="minorHAnsi" w:eastAsiaTheme="minorEastAsia" w:hAnsiTheme="minorHAnsi" w:cstheme="minorBidi"/>
          <w:b w:val="0"/>
          <w:spacing w:val="0"/>
          <w:sz w:val="22"/>
          <w:szCs w:val="22"/>
        </w:rPr>
      </w:pPr>
      <w:r>
        <w:rPr>
          <w:rFonts w:cs="Arial"/>
          <w:b w:val="0"/>
          <w:szCs w:val="26"/>
        </w:rPr>
        <w:fldChar w:fldCharType="begin"/>
      </w:r>
      <w:r>
        <w:rPr>
          <w:rFonts w:cs="Arial"/>
          <w:b w:val="0"/>
          <w:szCs w:val="26"/>
        </w:rPr>
        <w:instrText xml:space="preserve"> TOC \o "1-2" \h \z \t "ACMA_ExecSummaryHeading,1" </w:instrText>
      </w:r>
      <w:r>
        <w:rPr>
          <w:rFonts w:cs="Arial"/>
          <w:b w:val="0"/>
          <w:szCs w:val="26"/>
        </w:rPr>
        <w:fldChar w:fldCharType="separate"/>
      </w:r>
      <w:hyperlink w:anchor="_Toc58401276" w:history="1">
        <w:r w:rsidRPr="0053348B">
          <w:rPr>
            <w:rStyle w:val="Hyperlink"/>
          </w:rPr>
          <w:t>Executive summary</w:t>
        </w:r>
        <w:r>
          <w:rPr>
            <w:webHidden/>
          </w:rPr>
          <w:tab/>
        </w:r>
        <w:r>
          <w:rPr>
            <w:webHidden/>
          </w:rPr>
          <w:fldChar w:fldCharType="begin"/>
        </w:r>
        <w:r>
          <w:rPr>
            <w:webHidden/>
          </w:rPr>
          <w:instrText xml:space="preserve"> PAGEREF _Toc58401276 \h </w:instrText>
        </w:r>
        <w:r>
          <w:rPr>
            <w:webHidden/>
          </w:rPr>
        </w:r>
        <w:r>
          <w:rPr>
            <w:webHidden/>
          </w:rPr>
          <w:fldChar w:fldCharType="separate"/>
        </w:r>
        <w:r w:rsidR="00741DBA">
          <w:rPr>
            <w:webHidden/>
          </w:rPr>
          <w:t>1</w:t>
        </w:r>
        <w:r>
          <w:rPr>
            <w:webHidden/>
          </w:rPr>
          <w:fldChar w:fldCharType="end"/>
        </w:r>
      </w:hyperlink>
    </w:p>
    <w:p w14:paraId="1B7E4A1E" w14:textId="4088A56C" w:rsidR="00CE791F" w:rsidRDefault="00573BB2">
      <w:pPr>
        <w:pStyle w:val="TOC2"/>
        <w:rPr>
          <w:rFonts w:asciiTheme="minorHAnsi" w:eastAsiaTheme="minorEastAsia" w:hAnsiTheme="minorHAnsi" w:cstheme="minorBidi"/>
          <w:spacing w:val="0"/>
          <w:sz w:val="22"/>
          <w:szCs w:val="22"/>
        </w:rPr>
      </w:pPr>
      <w:hyperlink w:anchor="_Toc58401277" w:history="1">
        <w:r w:rsidR="00CE791F" w:rsidRPr="0053348B">
          <w:rPr>
            <w:rStyle w:val="Hyperlink"/>
          </w:rPr>
          <w:t>Key findings</w:t>
        </w:r>
        <w:r w:rsidR="00CE791F">
          <w:rPr>
            <w:webHidden/>
          </w:rPr>
          <w:tab/>
        </w:r>
        <w:r w:rsidR="00CE791F">
          <w:rPr>
            <w:webHidden/>
          </w:rPr>
          <w:fldChar w:fldCharType="begin"/>
        </w:r>
        <w:r w:rsidR="00CE791F">
          <w:rPr>
            <w:webHidden/>
          </w:rPr>
          <w:instrText xml:space="preserve"> PAGEREF _Toc58401277 \h </w:instrText>
        </w:r>
        <w:r w:rsidR="00CE791F">
          <w:rPr>
            <w:webHidden/>
          </w:rPr>
        </w:r>
        <w:r w:rsidR="00CE791F">
          <w:rPr>
            <w:webHidden/>
          </w:rPr>
          <w:fldChar w:fldCharType="separate"/>
        </w:r>
        <w:r w:rsidR="00741DBA">
          <w:rPr>
            <w:webHidden/>
          </w:rPr>
          <w:t>1</w:t>
        </w:r>
        <w:r w:rsidR="00CE791F">
          <w:rPr>
            <w:webHidden/>
          </w:rPr>
          <w:fldChar w:fldCharType="end"/>
        </w:r>
      </w:hyperlink>
    </w:p>
    <w:p w14:paraId="56EE1127" w14:textId="693DDCE7" w:rsidR="00CE791F" w:rsidRDefault="00573BB2">
      <w:pPr>
        <w:pStyle w:val="TOC2"/>
        <w:rPr>
          <w:rFonts w:asciiTheme="minorHAnsi" w:eastAsiaTheme="minorEastAsia" w:hAnsiTheme="minorHAnsi" w:cstheme="minorBidi"/>
          <w:spacing w:val="0"/>
          <w:sz w:val="22"/>
          <w:szCs w:val="22"/>
        </w:rPr>
      </w:pPr>
      <w:hyperlink w:anchor="_Toc58401278" w:history="1">
        <w:r w:rsidR="00CE791F" w:rsidRPr="0053348B">
          <w:rPr>
            <w:rStyle w:val="Hyperlink"/>
          </w:rPr>
          <w:t>Summary of regulatory approaches</w:t>
        </w:r>
        <w:r w:rsidR="00CE791F">
          <w:rPr>
            <w:webHidden/>
          </w:rPr>
          <w:tab/>
        </w:r>
        <w:r w:rsidR="00CE791F">
          <w:rPr>
            <w:webHidden/>
          </w:rPr>
          <w:fldChar w:fldCharType="begin"/>
        </w:r>
        <w:r w:rsidR="00CE791F">
          <w:rPr>
            <w:webHidden/>
          </w:rPr>
          <w:instrText xml:space="preserve"> PAGEREF _Toc58401278 \h </w:instrText>
        </w:r>
        <w:r w:rsidR="00CE791F">
          <w:rPr>
            <w:webHidden/>
          </w:rPr>
        </w:r>
        <w:r w:rsidR="00CE791F">
          <w:rPr>
            <w:webHidden/>
          </w:rPr>
          <w:fldChar w:fldCharType="separate"/>
        </w:r>
        <w:r w:rsidR="00741DBA">
          <w:rPr>
            <w:webHidden/>
          </w:rPr>
          <w:t>3</w:t>
        </w:r>
        <w:r w:rsidR="00CE791F">
          <w:rPr>
            <w:webHidden/>
          </w:rPr>
          <w:fldChar w:fldCharType="end"/>
        </w:r>
      </w:hyperlink>
    </w:p>
    <w:p w14:paraId="0614DE1D" w14:textId="7CE9A347" w:rsidR="00CE791F" w:rsidRDefault="00573BB2">
      <w:pPr>
        <w:pStyle w:val="TOC1"/>
        <w:rPr>
          <w:rFonts w:asciiTheme="minorHAnsi" w:eastAsiaTheme="minorEastAsia" w:hAnsiTheme="minorHAnsi" w:cstheme="minorBidi"/>
          <w:b w:val="0"/>
          <w:spacing w:val="0"/>
          <w:sz w:val="22"/>
          <w:szCs w:val="22"/>
        </w:rPr>
      </w:pPr>
      <w:hyperlink w:anchor="_Toc58401279" w:history="1">
        <w:r w:rsidR="00CE791F" w:rsidRPr="0053348B">
          <w:rPr>
            <w:rStyle w:val="Hyperlink"/>
          </w:rPr>
          <w:t>About the research</w:t>
        </w:r>
        <w:r w:rsidR="00CE791F">
          <w:rPr>
            <w:webHidden/>
          </w:rPr>
          <w:tab/>
        </w:r>
        <w:r w:rsidR="00CE791F">
          <w:rPr>
            <w:webHidden/>
          </w:rPr>
          <w:fldChar w:fldCharType="begin"/>
        </w:r>
        <w:r w:rsidR="00CE791F">
          <w:rPr>
            <w:webHidden/>
          </w:rPr>
          <w:instrText xml:space="preserve"> PAGEREF _Toc58401279 \h </w:instrText>
        </w:r>
        <w:r w:rsidR="00CE791F">
          <w:rPr>
            <w:webHidden/>
          </w:rPr>
        </w:r>
        <w:r w:rsidR="00CE791F">
          <w:rPr>
            <w:webHidden/>
          </w:rPr>
          <w:fldChar w:fldCharType="separate"/>
        </w:r>
        <w:r w:rsidR="00741DBA">
          <w:rPr>
            <w:webHidden/>
          </w:rPr>
          <w:t>4</w:t>
        </w:r>
        <w:r w:rsidR="00CE791F">
          <w:rPr>
            <w:webHidden/>
          </w:rPr>
          <w:fldChar w:fldCharType="end"/>
        </w:r>
      </w:hyperlink>
    </w:p>
    <w:p w14:paraId="6999A2F3" w14:textId="205C1610" w:rsidR="00CE791F" w:rsidRDefault="00573BB2">
      <w:pPr>
        <w:pStyle w:val="TOC2"/>
        <w:rPr>
          <w:rFonts w:asciiTheme="minorHAnsi" w:eastAsiaTheme="minorEastAsia" w:hAnsiTheme="minorHAnsi" w:cstheme="minorBidi"/>
          <w:spacing w:val="0"/>
          <w:sz w:val="22"/>
          <w:szCs w:val="22"/>
        </w:rPr>
      </w:pPr>
      <w:hyperlink w:anchor="_Toc58401280" w:history="1">
        <w:r w:rsidR="00CE791F" w:rsidRPr="0053348B">
          <w:rPr>
            <w:rStyle w:val="Hyperlink"/>
          </w:rPr>
          <w:t>researchacma</w:t>
        </w:r>
        <w:r w:rsidR="00CE791F">
          <w:rPr>
            <w:webHidden/>
          </w:rPr>
          <w:tab/>
        </w:r>
        <w:r w:rsidR="00CE791F">
          <w:rPr>
            <w:webHidden/>
          </w:rPr>
          <w:fldChar w:fldCharType="begin"/>
        </w:r>
        <w:r w:rsidR="00CE791F">
          <w:rPr>
            <w:webHidden/>
          </w:rPr>
          <w:instrText xml:space="preserve"> PAGEREF _Toc58401280 \h </w:instrText>
        </w:r>
        <w:r w:rsidR="00CE791F">
          <w:rPr>
            <w:webHidden/>
          </w:rPr>
        </w:r>
        <w:r w:rsidR="00CE791F">
          <w:rPr>
            <w:webHidden/>
          </w:rPr>
          <w:fldChar w:fldCharType="separate"/>
        </w:r>
        <w:r w:rsidR="00741DBA">
          <w:rPr>
            <w:webHidden/>
          </w:rPr>
          <w:t>4</w:t>
        </w:r>
        <w:r w:rsidR="00CE791F">
          <w:rPr>
            <w:webHidden/>
          </w:rPr>
          <w:fldChar w:fldCharType="end"/>
        </w:r>
      </w:hyperlink>
    </w:p>
    <w:p w14:paraId="460D28C2" w14:textId="7CBE1913" w:rsidR="00CE791F" w:rsidRDefault="00573BB2">
      <w:pPr>
        <w:pStyle w:val="TOC1"/>
        <w:rPr>
          <w:rFonts w:asciiTheme="minorHAnsi" w:eastAsiaTheme="minorEastAsia" w:hAnsiTheme="minorHAnsi" w:cstheme="minorBidi"/>
          <w:b w:val="0"/>
          <w:spacing w:val="0"/>
          <w:sz w:val="22"/>
          <w:szCs w:val="22"/>
        </w:rPr>
      </w:pPr>
      <w:hyperlink w:anchor="_Toc58401281" w:history="1">
        <w:r w:rsidR="00CE791F" w:rsidRPr="0053348B">
          <w:rPr>
            <w:rStyle w:val="Hyperlink"/>
          </w:rPr>
          <w:t>Background</w:t>
        </w:r>
        <w:r w:rsidR="00CE791F">
          <w:rPr>
            <w:webHidden/>
          </w:rPr>
          <w:tab/>
        </w:r>
        <w:r w:rsidR="00CE791F">
          <w:rPr>
            <w:webHidden/>
          </w:rPr>
          <w:fldChar w:fldCharType="begin"/>
        </w:r>
        <w:r w:rsidR="00CE791F">
          <w:rPr>
            <w:webHidden/>
          </w:rPr>
          <w:instrText xml:space="preserve"> PAGEREF _Toc58401281 \h </w:instrText>
        </w:r>
        <w:r w:rsidR="00CE791F">
          <w:rPr>
            <w:webHidden/>
          </w:rPr>
        </w:r>
        <w:r w:rsidR="00CE791F">
          <w:rPr>
            <w:webHidden/>
          </w:rPr>
          <w:fldChar w:fldCharType="separate"/>
        </w:r>
        <w:r w:rsidR="00741DBA">
          <w:rPr>
            <w:webHidden/>
          </w:rPr>
          <w:t>5</w:t>
        </w:r>
        <w:r w:rsidR="00CE791F">
          <w:rPr>
            <w:webHidden/>
          </w:rPr>
          <w:fldChar w:fldCharType="end"/>
        </w:r>
      </w:hyperlink>
    </w:p>
    <w:p w14:paraId="01E16436" w14:textId="3C65E09F" w:rsidR="00CE791F" w:rsidRDefault="00573BB2">
      <w:pPr>
        <w:pStyle w:val="TOC2"/>
        <w:rPr>
          <w:rFonts w:asciiTheme="minorHAnsi" w:eastAsiaTheme="minorEastAsia" w:hAnsiTheme="minorHAnsi" w:cstheme="minorBidi"/>
          <w:spacing w:val="0"/>
          <w:sz w:val="22"/>
          <w:szCs w:val="22"/>
        </w:rPr>
      </w:pPr>
      <w:hyperlink w:anchor="_Toc58401282" w:history="1">
        <w:r w:rsidR="00CE791F" w:rsidRPr="0053348B">
          <w:rPr>
            <w:rStyle w:val="Hyperlink"/>
          </w:rPr>
          <w:t>Changes to the market and regulatory landscapes</w:t>
        </w:r>
        <w:r w:rsidR="00CE791F">
          <w:rPr>
            <w:webHidden/>
          </w:rPr>
          <w:tab/>
        </w:r>
        <w:r w:rsidR="00CE791F">
          <w:rPr>
            <w:webHidden/>
          </w:rPr>
          <w:fldChar w:fldCharType="begin"/>
        </w:r>
        <w:r w:rsidR="00CE791F">
          <w:rPr>
            <w:webHidden/>
          </w:rPr>
          <w:instrText xml:space="preserve"> PAGEREF _Toc58401282 \h </w:instrText>
        </w:r>
        <w:r w:rsidR="00CE791F">
          <w:rPr>
            <w:webHidden/>
          </w:rPr>
        </w:r>
        <w:r w:rsidR="00CE791F">
          <w:rPr>
            <w:webHidden/>
          </w:rPr>
          <w:fldChar w:fldCharType="separate"/>
        </w:r>
        <w:r w:rsidR="00741DBA">
          <w:rPr>
            <w:webHidden/>
          </w:rPr>
          <w:t>5</w:t>
        </w:r>
        <w:r w:rsidR="00CE791F">
          <w:rPr>
            <w:webHidden/>
          </w:rPr>
          <w:fldChar w:fldCharType="end"/>
        </w:r>
      </w:hyperlink>
    </w:p>
    <w:p w14:paraId="3ECE14E7" w14:textId="28FADBB8" w:rsidR="00CE791F" w:rsidRDefault="00573BB2">
      <w:pPr>
        <w:pStyle w:val="TOC2"/>
        <w:rPr>
          <w:rFonts w:asciiTheme="minorHAnsi" w:eastAsiaTheme="minorEastAsia" w:hAnsiTheme="minorHAnsi" w:cstheme="minorBidi"/>
          <w:spacing w:val="0"/>
          <w:sz w:val="22"/>
          <w:szCs w:val="22"/>
        </w:rPr>
      </w:pPr>
      <w:hyperlink w:anchor="_Toc58401283" w:history="1">
        <w:r w:rsidR="00CE791F" w:rsidRPr="0053348B">
          <w:rPr>
            <w:rStyle w:val="Hyperlink"/>
          </w:rPr>
          <w:t>Purpose and scope</w:t>
        </w:r>
        <w:r w:rsidR="00CE791F">
          <w:rPr>
            <w:webHidden/>
          </w:rPr>
          <w:tab/>
        </w:r>
        <w:r w:rsidR="00CE791F">
          <w:rPr>
            <w:webHidden/>
          </w:rPr>
          <w:fldChar w:fldCharType="begin"/>
        </w:r>
        <w:r w:rsidR="00CE791F">
          <w:rPr>
            <w:webHidden/>
          </w:rPr>
          <w:instrText xml:space="preserve"> PAGEREF _Toc58401283 \h </w:instrText>
        </w:r>
        <w:r w:rsidR="00CE791F">
          <w:rPr>
            <w:webHidden/>
          </w:rPr>
        </w:r>
        <w:r w:rsidR="00CE791F">
          <w:rPr>
            <w:webHidden/>
          </w:rPr>
          <w:fldChar w:fldCharType="separate"/>
        </w:r>
        <w:r w:rsidR="00741DBA">
          <w:rPr>
            <w:webHidden/>
          </w:rPr>
          <w:t>6</w:t>
        </w:r>
        <w:r w:rsidR="00CE791F">
          <w:rPr>
            <w:webHidden/>
          </w:rPr>
          <w:fldChar w:fldCharType="end"/>
        </w:r>
      </w:hyperlink>
    </w:p>
    <w:p w14:paraId="0304BEFC" w14:textId="39AC51FC" w:rsidR="00CE791F" w:rsidRDefault="00573BB2">
      <w:pPr>
        <w:pStyle w:val="TOC1"/>
        <w:rPr>
          <w:rFonts w:asciiTheme="minorHAnsi" w:eastAsiaTheme="minorEastAsia" w:hAnsiTheme="minorHAnsi" w:cstheme="minorBidi"/>
          <w:b w:val="0"/>
          <w:spacing w:val="0"/>
          <w:sz w:val="22"/>
          <w:szCs w:val="22"/>
        </w:rPr>
      </w:pPr>
      <w:hyperlink w:anchor="_Toc58401284" w:history="1">
        <w:r w:rsidR="00CE791F" w:rsidRPr="0053348B">
          <w:rPr>
            <w:rStyle w:val="Hyperlink"/>
          </w:rPr>
          <w:t>Key regulatory interventions</w:t>
        </w:r>
        <w:r w:rsidR="00CE791F">
          <w:rPr>
            <w:webHidden/>
          </w:rPr>
          <w:tab/>
        </w:r>
        <w:r w:rsidR="00CE791F">
          <w:rPr>
            <w:webHidden/>
          </w:rPr>
          <w:fldChar w:fldCharType="begin"/>
        </w:r>
        <w:r w:rsidR="00CE791F">
          <w:rPr>
            <w:webHidden/>
          </w:rPr>
          <w:instrText xml:space="preserve"> PAGEREF _Toc58401284 \h </w:instrText>
        </w:r>
        <w:r w:rsidR="00CE791F">
          <w:rPr>
            <w:webHidden/>
          </w:rPr>
        </w:r>
        <w:r w:rsidR="00CE791F">
          <w:rPr>
            <w:webHidden/>
          </w:rPr>
          <w:fldChar w:fldCharType="separate"/>
        </w:r>
        <w:r w:rsidR="00741DBA">
          <w:rPr>
            <w:webHidden/>
          </w:rPr>
          <w:t>7</w:t>
        </w:r>
        <w:r w:rsidR="00CE791F">
          <w:rPr>
            <w:webHidden/>
          </w:rPr>
          <w:fldChar w:fldCharType="end"/>
        </w:r>
      </w:hyperlink>
    </w:p>
    <w:p w14:paraId="681F8497" w14:textId="708BD6A0" w:rsidR="00CE791F" w:rsidRDefault="00573BB2">
      <w:pPr>
        <w:pStyle w:val="TOC2"/>
        <w:rPr>
          <w:rFonts w:asciiTheme="minorHAnsi" w:eastAsiaTheme="minorEastAsia" w:hAnsiTheme="minorHAnsi" w:cstheme="minorBidi"/>
          <w:spacing w:val="0"/>
          <w:sz w:val="22"/>
          <w:szCs w:val="22"/>
        </w:rPr>
      </w:pPr>
      <w:hyperlink w:anchor="_Toc58401285" w:history="1">
        <w:r w:rsidR="00CE791F" w:rsidRPr="0053348B">
          <w:rPr>
            <w:rStyle w:val="Hyperlink"/>
          </w:rPr>
          <w:t>Media ownership rules</w:t>
        </w:r>
        <w:r w:rsidR="00CE791F">
          <w:rPr>
            <w:webHidden/>
          </w:rPr>
          <w:tab/>
        </w:r>
        <w:r w:rsidR="00CE791F">
          <w:rPr>
            <w:webHidden/>
          </w:rPr>
          <w:fldChar w:fldCharType="begin"/>
        </w:r>
        <w:r w:rsidR="00CE791F">
          <w:rPr>
            <w:webHidden/>
          </w:rPr>
          <w:instrText xml:space="preserve"> PAGEREF _Toc58401285 \h </w:instrText>
        </w:r>
        <w:r w:rsidR="00CE791F">
          <w:rPr>
            <w:webHidden/>
          </w:rPr>
        </w:r>
        <w:r w:rsidR="00CE791F">
          <w:rPr>
            <w:webHidden/>
          </w:rPr>
          <w:fldChar w:fldCharType="separate"/>
        </w:r>
        <w:r w:rsidR="00741DBA">
          <w:rPr>
            <w:webHidden/>
          </w:rPr>
          <w:t>7</w:t>
        </w:r>
        <w:r w:rsidR="00CE791F">
          <w:rPr>
            <w:webHidden/>
          </w:rPr>
          <w:fldChar w:fldCharType="end"/>
        </w:r>
      </w:hyperlink>
    </w:p>
    <w:p w14:paraId="1C2E73CB" w14:textId="34CFD557" w:rsidR="00CE791F" w:rsidRDefault="00573BB2">
      <w:pPr>
        <w:pStyle w:val="TOC2"/>
        <w:rPr>
          <w:rFonts w:asciiTheme="minorHAnsi" w:eastAsiaTheme="minorEastAsia" w:hAnsiTheme="minorHAnsi" w:cstheme="minorBidi"/>
          <w:spacing w:val="0"/>
          <w:sz w:val="22"/>
          <w:szCs w:val="22"/>
        </w:rPr>
      </w:pPr>
      <w:hyperlink w:anchor="_Toc58401286" w:history="1">
        <w:r w:rsidR="00CE791F" w:rsidRPr="0053348B">
          <w:rPr>
            <w:rStyle w:val="Hyperlink"/>
          </w:rPr>
          <w:t>News content quotas and local news requirements</w:t>
        </w:r>
        <w:r w:rsidR="00CE791F">
          <w:rPr>
            <w:webHidden/>
          </w:rPr>
          <w:tab/>
        </w:r>
        <w:r w:rsidR="00CE791F">
          <w:rPr>
            <w:webHidden/>
          </w:rPr>
          <w:fldChar w:fldCharType="begin"/>
        </w:r>
        <w:r w:rsidR="00CE791F">
          <w:rPr>
            <w:webHidden/>
          </w:rPr>
          <w:instrText xml:space="preserve"> PAGEREF _Toc58401286 \h </w:instrText>
        </w:r>
        <w:r w:rsidR="00CE791F">
          <w:rPr>
            <w:webHidden/>
          </w:rPr>
        </w:r>
        <w:r w:rsidR="00CE791F">
          <w:rPr>
            <w:webHidden/>
          </w:rPr>
          <w:fldChar w:fldCharType="separate"/>
        </w:r>
        <w:r w:rsidR="00741DBA">
          <w:rPr>
            <w:webHidden/>
          </w:rPr>
          <w:t>10</w:t>
        </w:r>
        <w:r w:rsidR="00CE791F">
          <w:rPr>
            <w:webHidden/>
          </w:rPr>
          <w:fldChar w:fldCharType="end"/>
        </w:r>
      </w:hyperlink>
    </w:p>
    <w:p w14:paraId="3D1D028C" w14:textId="1E72B1E8" w:rsidR="00CE791F" w:rsidRDefault="00573BB2">
      <w:pPr>
        <w:pStyle w:val="TOC2"/>
        <w:rPr>
          <w:rFonts w:asciiTheme="minorHAnsi" w:eastAsiaTheme="minorEastAsia" w:hAnsiTheme="minorHAnsi" w:cstheme="minorBidi"/>
          <w:spacing w:val="0"/>
          <w:sz w:val="22"/>
          <w:szCs w:val="22"/>
        </w:rPr>
      </w:pPr>
      <w:hyperlink w:anchor="_Toc58401287" w:history="1">
        <w:r w:rsidR="00CE791F" w:rsidRPr="0053348B">
          <w:rPr>
            <w:rStyle w:val="Hyperlink"/>
          </w:rPr>
          <w:t>Subsidies and tax concessions</w:t>
        </w:r>
        <w:r w:rsidR="00CE791F">
          <w:rPr>
            <w:webHidden/>
          </w:rPr>
          <w:tab/>
        </w:r>
        <w:r w:rsidR="00CE791F">
          <w:rPr>
            <w:webHidden/>
          </w:rPr>
          <w:fldChar w:fldCharType="begin"/>
        </w:r>
        <w:r w:rsidR="00CE791F">
          <w:rPr>
            <w:webHidden/>
          </w:rPr>
          <w:instrText xml:space="preserve"> PAGEREF _Toc58401287 \h </w:instrText>
        </w:r>
        <w:r w:rsidR="00CE791F">
          <w:rPr>
            <w:webHidden/>
          </w:rPr>
        </w:r>
        <w:r w:rsidR="00CE791F">
          <w:rPr>
            <w:webHidden/>
          </w:rPr>
          <w:fldChar w:fldCharType="separate"/>
        </w:r>
        <w:r w:rsidR="00741DBA">
          <w:rPr>
            <w:webHidden/>
          </w:rPr>
          <w:t>12</w:t>
        </w:r>
        <w:r w:rsidR="00CE791F">
          <w:rPr>
            <w:webHidden/>
          </w:rPr>
          <w:fldChar w:fldCharType="end"/>
        </w:r>
      </w:hyperlink>
    </w:p>
    <w:p w14:paraId="1CF7797F" w14:textId="2CDFE03A" w:rsidR="00CE791F" w:rsidRDefault="00573BB2">
      <w:pPr>
        <w:pStyle w:val="TOC2"/>
        <w:rPr>
          <w:rFonts w:asciiTheme="minorHAnsi" w:eastAsiaTheme="minorEastAsia" w:hAnsiTheme="minorHAnsi" w:cstheme="minorBidi"/>
          <w:spacing w:val="0"/>
          <w:sz w:val="22"/>
          <w:szCs w:val="22"/>
        </w:rPr>
      </w:pPr>
      <w:hyperlink w:anchor="_Toc58401288" w:history="1">
        <w:r w:rsidR="00CE791F" w:rsidRPr="0053348B">
          <w:rPr>
            <w:rStyle w:val="Hyperlink"/>
          </w:rPr>
          <w:t>Support for local and minority news production</w:t>
        </w:r>
        <w:r w:rsidR="00CE791F">
          <w:rPr>
            <w:webHidden/>
          </w:rPr>
          <w:tab/>
        </w:r>
        <w:r w:rsidR="00CE791F">
          <w:rPr>
            <w:webHidden/>
          </w:rPr>
          <w:fldChar w:fldCharType="begin"/>
        </w:r>
        <w:r w:rsidR="00CE791F">
          <w:rPr>
            <w:webHidden/>
          </w:rPr>
          <w:instrText xml:space="preserve"> PAGEREF _Toc58401288 \h </w:instrText>
        </w:r>
        <w:r w:rsidR="00CE791F">
          <w:rPr>
            <w:webHidden/>
          </w:rPr>
        </w:r>
        <w:r w:rsidR="00CE791F">
          <w:rPr>
            <w:webHidden/>
          </w:rPr>
          <w:fldChar w:fldCharType="separate"/>
        </w:r>
        <w:r w:rsidR="00741DBA">
          <w:rPr>
            <w:webHidden/>
          </w:rPr>
          <w:t>13</w:t>
        </w:r>
        <w:r w:rsidR="00CE791F">
          <w:rPr>
            <w:webHidden/>
          </w:rPr>
          <w:fldChar w:fldCharType="end"/>
        </w:r>
      </w:hyperlink>
    </w:p>
    <w:p w14:paraId="5CFCBF4C" w14:textId="438F98E7" w:rsidR="00CE791F" w:rsidRDefault="00573BB2">
      <w:pPr>
        <w:pStyle w:val="TOC2"/>
        <w:rPr>
          <w:rFonts w:asciiTheme="minorHAnsi" w:eastAsiaTheme="minorEastAsia" w:hAnsiTheme="minorHAnsi" w:cstheme="minorBidi"/>
          <w:spacing w:val="0"/>
          <w:sz w:val="22"/>
          <w:szCs w:val="22"/>
        </w:rPr>
      </w:pPr>
      <w:hyperlink w:anchor="_Toc58401289" w:history="1">
        <w:r w:rsidR="00CE791F" w:rsidRPr="0053348B">
          <w:rPr>
            <w:rStyle w:val="Hyperlink"/>
          </w:rPr>
          <w:t>Obligations on publicly funded broadcasters</w:t>
        </w:r>
        <w:r w:rsidR="00CE791F">
          <w:rPr>
            <w:webHidden/>
          </w:rPr>
          <w:tab/>
        </w:r>
        <w:r w:rsidR="00CE791F">
          <w:rPr>
            <w:webHidden/>
          </w:rPr>
          <w:fldChar w:fldCharType="begin"/>
        </w:r>
        <w:r w:rsidR="00CE791F">
          <w:rPr>
            <w:webHidden/>
          </w:rPr>
          <w:instrText xml:space="preserve"> PAGEREF _Toc58401289 \h </w:instrText>
        </w:r>
        <w:r w:rsidR="00CE791F">
          <w:rPr>
            <w:webHidden/>
          </w:rPr>
        </w:r>
        <w:r w:rsidR="00CE791F">
          <w:rPr>
            <w:webHidden/>
          </w:rPr>
          <w:fldChar w:fldCharType="separate"/>
        </w:r>
        <w:r w:rsidR="00741DBA">
          <w:rPr>
            <w:webHidden/>
          </w:rPr>
          <w:t>16</w:t>
        </w:r>
        <w:r w:rsidR="00CE791F">
          <w:rPr>
            <w:webHidden/>
          </w:rPr>
          <w:fldChar w:fldCharType="end"/>
        </w:r>
      </w:hyperlink>
    </w:p>
    <w:p w14:paraId="6743AF5B" w14:textId="7C05EE4B" w:rsidR="00CE791F" w:rsidRDefault="00573BB2">
      <w:pPr>
        <w:pStyle w:val="TOC1"/>
        <w:rPr>
          <w:rFonts w:asciiTheme="minorHAnsi" w:eastAsiaTheme="minorEastAsia" w:hAnsiTheme="minorHAnsi" w:cstheme="minorBidi"/>
          <w:b w:val="0"/>
          <w:spacing w:val="0"/>
          <w:sz w:val="22"/>
          <w:szCs w:val="22"/>
        </w:rPr>
      </w:pPr>
      <w:hyperlink w:anchor="_Toc58401290" w:history="1">
        <w:r w:rsidR="00CE791F" w:rsidRPr="0053348B">
          <w:rPr>
            <w:rStyle w:val="Hyperlink"/>
          </w:rPr>
          <w:t>Conclusion</w:t>
        </w:r>
        <w:r w:rsidR="00CE791F">
          <w:rPr>
            <w:webHidden/>
          </w:rPr>
          <w:tab/>
        </w:r>
        <w:r w:rsidR="00CE791F">
          <w:rPr>
            <w:webHidden/>
          </w:rPr>
          <w:fldChar w:fldCharType="begin"/>
        </w:r>
        <w:r w:rsidR="00CE791F">
          <w:rPr>
            <w:webHidden/>
          </w:rPr>
          <w:instrText xml:space="preserve"> PAGEREF _Toc58401290 \h </w:instrText>
        </w:r>
        <w:r w:rsidR="00CE791F">
          <w:rPr>
            <w:webHidden/>
          </w:rPr>
        </w:r>
        <w:r w:rsidR="00CE791F">
          <w:rPr>
            <w:webHidden/>
          </w:rPr>
          <w:fldChar w:fldCharType="separate"/>
        </w:r>
        <w:r w:rsidR="00741DBA">
          <w:rPr>
            <w:webHidden/>
          </w:rPr>
          <w:t>19</w:t>
        </w:r>
        <w:r w:rsidR="00CE791F">
          <w:rPr>
            <w:webHidden/>
          </w:rPr>
          <w:fldChar w:fldCharType="end"/>
        </w:r>
      </w:hyperlink>
    </w:p>
    <w:p w14:paraId="0216E882" w14:textId="2AAB33B7" w:rsidR="000A4A51" w:rsidRPr="000D76E0" w:rsidRDefault="00CE791F">
      <w:pPr>
        <w:rPr>
          <w:rFonts w:cs="Arial"/>
        </w:rPr>
      </w:pPr>
      <w:r>
        <w:rPr>
          <w:rFonts w:cs="Arial"/>
          <w:b/>
          <w:noProof/>
          <w:spacing w:val="-14"/>
          <w:sz w:val="28"/>
          <w:szCs w:val="26"/>
        </w:rPr>
        <w:fldChar w:fldCharType="end"/>
      </w:r>
    </w:p>
    <w:p w14:paraId="43E2811E" w14:textId="77777777" w:rsidR="004D56FF" w:rsidRPr="000D76E0" w:rsidRDefault="004D56FF">
      <w:pPr>
        <w:rPr>
          <w:rFonts w:cs="Arial"/>
        </w:rPr>
        <w:sectPr w:rsidR="004D56FF" w:rsidRPr="000D76E0" w:rsidSect="00C77380">
          <w:headerReference w:type="even" r:id="rId16"/>
          <w:headerReference w:type="default" r:id="rId17"/>
          <w:footerReference w:type="even" r:id="rId18"/>
          <w:footerReference w:type="default" r:id="rId19"/>
          <w:footerReference w:type="first" r:id="rId20"/>
          <w:endnotePr>
            <w:numFmt w:val="decimal"/>
          </w:endnotePr>
          <w:pgSz w:w="11906" w:h="16838" w:code="9"/>
          <w:pgMar w:top="3646" w:right="3101" w:bottom="1134" w:left="1134" w:header="709" w:footer="119" w:gutter="0"/>
          <w:cols w:space="708"/>
          <w:titlePg/>
          <w:docGrid w:linePitch="360"/>
        </w:sectPr>
      </w:pPr>
    </w:p>
    <w:p w14:paraId="63803716" w14:textId="63F4A34F" w:rsidR="009D6C71" w:rsidRDefault="009D6C71" w:rsidP="009174F3">
      <w:pPr>
        <w:pStyle w:val="ACMAExecSummaryHeading"/>
      </w:pPr>
      <w:bookmarkStart w:id="0" w:name="_Toc58401276"/>
      <w:r w:rsidRPr="009174F3">
        <w:lastRenderedPageBreak/>
        <w:t>Executive summary</w:t>
      </w:r>
      <w:bookmarkEnd w:id="0"/>
    </w:p>
    <w:p w14:paraId="396EEB1A" w14:textId="5B5D58E3" w:rsidR="00EF60A5" w:rsidRDefault="00441008" w:rsidP="00EF60A5">
      <w:r>
        <w:t>Media d</w:t>
      </w:r>
      <w:r w:rsidR="00EF60A5">
        <w:t>iversity and the provision of local news are both</w:t>
      </w:r>
      <w:r>
        <w:t xml:space="preserve"> </w:t>
      </w:r>
      <w:r w:rsidR="00EF60A5">
        <w:t xml:space="preserve">long-recognised public policy objectives </w:t>
      </w:r>
      <w:r w:rsidR="00E37455">
        <w:t xml:space="preserve">for the media sector </w:t>
      </w:r>
      <w:r w:rsidR="00C1674F">
        <w:t>in Australia</w:t>
      </w:r>
      <w:r w:rsidR="00EF60A5">
        <w:t xml:space="preserve">. </w:t>
      </w:r>
      <w:r w:rsidR="00314B3C">
        <w:t xml:space="preserve">Enacted through </w:t>
      </w:r>
      <w:r w:rsidR="006A177F">
        <w:t xml:space="preserve">a range of regulatory </w:t>
      </w:r>
      <w:r w:rsidR="00E8057B">
        <w:t>measures</w:t>
      </w:r>
      <w:r w:rsidR="00314B3C">
        <w:t xml:space="preserve">, </w:t>
      </w:r>
      <w:r w:rsidR="00A92226">
        <w:t xml:space="preserve">these </w:t>
      </w:r>
      <w:r w:rsidR="00D12EC9">
        <w:t>objectives</w:t>
      </w:r>
      <w:r w:rsidR="00C93DE5">
        <w:t xml:space="preserve"> </w:t>
      </w:r>
      <w:r w:rsidR="00F451F1">
        <w:t xml:space="preserve">help </w:t>
      </w:r>
      <w:r w:rsidR="00743F81">
        <w:t xml:space="preserve">promote </w:t>
      </w:r>
      <w:r w:rsidR="003B4A2E">
        <w:t>an</w:t>
      </w:r>
      <w:r w:rsidR="00B063DC">
        <w:t xml:space="preserve"> </w:t>
      </w:r>
      <w:r w:rsidR="0086297E">
        <w:t xml:space="preserve">open, </w:t>
      </w:r>
      <w:r w:rsidR="00B063DC">
        <w:t xml:space="preserve">informed </w:t>
      </w:r>
      <w:r w:rsidR="00071003">
        <w:t xml:space="preserve">and inclusive </w:t>
      </w:r>
      <w:r w:rsidR="0086297E">
        <w:t>society</w:t>
      </w:r>
      <w:r w:rsidR="00DC4A4B">
        <w:t xml:space="preserve"> </w:t>
      </w:r>
      <w:r w:rsidR="00A96898">
        <w:t xml:space="preserve">by </w:t>
      </w:r>
      <w:r w:rsidR="00A315FB">
        <w:t>encouraging</w:t>
      </w:r>
      <w:r w:rsidR="00AD726C">
        <w:t xml:space="preserve"> </w:t>
      </w:r>
      <w:r w:rsidR="00334FD1">
        <w:t>a</w:t>
      </w:r>
      <w:r w:rsidR="00B64E5A">
        <w:t xml:space="preserve"> </w:t>
      </w:r>
      <w:r w:rsidR="0069285F">
        <w:t xml:space="preserve">plurality of </w:t>
      </w:r>
      <w:r w:rsidR="00B6098F">
        <w:t xml:space="preserve">viewpoints </w:t>
      </w:r>
      <w:r w:rsidR="00ED107C">
        <w:t>across</w:t>
      </w:r>
      <w:r w:rsidR="00DA2362">
        <w:t xml:space="preserve"> </w:t>
      </w:r>
      <w:r w:rsidR="003B73DC">
        <w:t xml:space="preserve">the media </w:t>
      </w:r>
      <w:r w:rsidR="00ED107C">
        <w:t xml:space="preserve">landscape </w:t>
      </w:r>
      <w:r w:rsidR="00B6098F">
        <w:t>and</w:t>
      </w:r>
      <w:r w:rsidR="00ED107C">
        <w:t xml:space="preserve"> </w:t>
      </w:r>
      <w:r w:rsidR="00C8096F">
        <w:t xml:space="preserve">preventing </w:t>
      </w:r>
      <w:r w:rsidR="005C2E4D">
        <w:t xml:space="preserve">any one voice having </w:t>
      </w:r>
      <w:r w:rsidR="00B64E5A">
        <w:t xml:space="preserve">disproportionate </w:t>
      </w:r>
      <w:r w:rsidR="00D74173">
        <w:t>influence</w:t>
      </w:r>
      <w:r w:rsidR="0085790E">
        <w:t xml:space="preserve"> in public debate.</w:t>
      </w:r>
    </w:p>
    <w:p w14:paraId="1842063A" w14:textId="769DEAC8" w:rsidR="00D609A6" w:rsidRDefault="00BD69D6" w:rsidP="00C50932">
      <w:r>
        <w:rPr>
          <w:rFonts w:cs="Arial"/>
        </w:rPr>
        <w:t>However, n</w:t>
      </w:r>
      <w:r w:rsidR="00633AE0">
        <w:rPr>
          <w:rFonts w:cs="Arial"/>
        </w:rPr>
        <w:t xml:space="preserve">ews media markets globally are experiencing </w:t>
      </w:r>
      <w:r w:rsidR="00D33606">
        <w:rPr>
          <w:rFonts w:cs="Arial"/>
        </w:rPr>
        <w:t xml:space="preserve">significant </w:t>
      </w:r>
      <w:r w:rsidR="00633AE0">
        <w:rPr>
          <w:rFonts w:cs="Arial"/>
        </w:rPr>
        <w:t>structural change, driven by the rise of digital platforms, increased global connectivity and competition, and changes in the way people access and consume media.</w:t>
      </w:r>
      <w:r w:rsidR="00B401E7">
        <w:rPr>
          <w:rFonts w:cs="Arial"/>
        </w:rPr>
        <w:t xml:space="preserve"> </w:t>
      </w:r>
      <w:r w:rsidR="00D40FD8">
        <w:rPr>
          <w:rFonts w:cs="Arial"/>
        </w:rPr>
        <w:t xml:space="preserve">These changes are </w:t>
      </w:r>
      <w:r w:rsidR="00D609A6">
        <w:rPr>
          <w:rFonts w:cs="Arial"/>
        </w:rPr>
        <w:t>putting pressure on existing regulatory frameworks</w:t>
      </w:r>
      <w:r w:rsidR="0078213E">
        <w:rPr>
          <w:rFonts w:cs="Arial"/>
        </w:rPr>
        <w:t xml:space="preserve"> and </w:t>
      </w:r>
      <w:r w:rsidR="009D4084">
        <w:rPr>
          <w:rFonts w:cs="Arial"/>
        </w:rPr>
        <w:t xml:space="preserve">raising questions about </w:t>
      </w:r>
      <w:r w:rsidR="00A93055">
        <w:rPr>
          <w:rFonts w:cs="Arial"/>
        </w:rPr>
        <w:t xml:space="preserve">how </w:t>
      </w:r>
      <w:r w:rsidR="00E72E1D">
        <w:rPr>
          <w:rFonts w:cs="Arial"/>
        </w:rPr>
        <w:t xml:space="preserve">governments </w:t>
      </w:r>
      <w:r w:rsidR="005F49A6">
        <w:rPr>
          <w:rFonts w:cs="Arial"/>
        </w:rPr>
        <w:t xml:space="preserve">and regulators </w:t>
      </w:r>
      <w:r w:rsidR="00E72E1D">
        <w:rPr>
          <w:rFonts w:cs="Arial"/>
        </w:rPr>
        <w:t xml:space="preserve">should respond to </w:t>
      </w:r>
      <w:r w:rsidR="00753AEE">
        <w:rPr>
          <w:rFonts w:cs="Arial"/>
        </w:rPr>
        <w:t>digital</w:t>
      </w:r>
      <w:r w:rsidR="000F4980">
        <w:rPr>
          <w:rFonts w:cs="Arial"/>
        </w:rPr>
        <w:t xml:space="preserve"> </w:t>
      </w:r>
      <w:r w:rsidR="00A50730">
        <w:rPr>
          <w:rFonts w:cs="Arial"/>
        </w:rPr>
        <w:t xml:space="preserve">news </w:t>
      </w:r>
      <w:r w:rsidR="000F4980">
        <w:rPr>
          <w:rFonts w:cs="Arial"/>
        </w:rPr>
        <w:t>media</w:t>
      </w:r>
      <w:r w:rsidR="00E72E1D">
        <w:rPr>
          <w:rFonts w:cs="Arial"/>
        </w:rPr>
        <w:t>.</w:t>
      </w:r>
      <w:r w:rsidR="000F4980">
        <w:rPr>
          <w:rFonts w:cs="Arial"/>
        </w:rPr>
        <w:t xml:space="preserve"> </w:t>
      </w:r>
      <w:r w:rsidR="00D609A6">
        <w:rPr>
          <w:rFonts w:cs="Arial"/>
        </w:rPr>
        <w:t xml:space="preserve"> </w:t>
      </w:r>
    </w:p>
    <w:p w14:paraId="74E0AA81" w14:textId="2FAC51AC" w:rsidR="0062116F" w:rsidRDefault="00A96898" w:rsidP="00A36F96">
      <w:r>
        <w:t>T</w:t>
      </w:r>
      <w:r w:rsidR="0062116F">
        <w:t>his paper explore</w:t>
      </w:r>
      <w:r>
        <w:t>s</w:t>
      </w:r>
      <w:r w:rsidR="0062116F">
        <w:t xml:space="preserve"> how </w:t>
      </w:r>
      <w:r w:rsidR="004243B6">
        <w:t xml:space="preserve">different </w:t>
      </w:r>
      <w:r w:rsidR="0062116F">
        <w:t>countries regulate for diversity and localism outcomes</w:t>
      </w:r>
      <w:r w:rsidR="009A121B">
        <w:t>.</w:t>
      </w:r>
      <w:r w:rsidR="0062116F">
        <w:t xml:space="preserve"> </w:t>
      </w:r>
      <w:r w:rsidR="00BD1C72" w:rsidRPr="00BD1C72">
        <w:t xml:space="preserve">The selected countries—the United Kingdom (UK), Canada, the United States (US), France and Norway— have similar media markets and overarching goals for diversity and localism, </w:t>
      </w:r>
      <w:r w:rsidR="00BD1C72">
        <w:t>while adopting a diverging and</w:t>
      </w:r>
      <w:r w:rsidR="00BD1C72" w:rsidRPr="00BD1C72">
        <w:t xml:space="preserve"> wide range of regulatory approaches. This allows for direct comparisons to be made between Australia and comparable countries, while providing information about alternative approaches or tools that could help support diversity outcomes and local news production in the future.</w:t>
      </w:r>
    </w:p>
    <w:p w14:paraId="00C60A41" w14:textId="208399A2" w:rsidR="00045161" w:rsidRDefault="00045161" w:rsidP="00A36F96">
      <w:r>
        <w:t>This report was completed in March 2020. Other than brief Australian-based updates, it has not been further amended to address developments since March.</w:t>
      </w:r>
    </w:p>
    <w:p w14:paraId="6919A35B" w14:textId="77777777" w:rsidR="0062116F" w:rsidRDefault="0062116F" w:rsidP="00EF60A5">
      <w:pPr>
        <w:pStyle w:val="Heading2"/>
      </w:pPr>
      <w:bookmarkStart w:id="1" w:name="_Toc58401277"/>
      <w:r>
        <w:t>Key findings</w:t>
      </w:r>
      <w:bookmarkEnd w:id="1"/>
    </w:p>
    <w:p w14:paraId="179CC43C" w14:textId="3819D914" w:rsidR="0062116F" w:rsidRDefault="0062116F" w:rsidP="00CD2084">
      <w:pPr>
        <w:pStyle w:val="ListBullet"/>
        <w:spacing w:before="240" w:after="240"/>
      </w:pPr>
      <w:r>
        <w:t xml:space="preserve">The pressures facing Australia’s news industry are not unique—the countries we examined have experienced consolidation of media ownership </w:t>
      </w:r>
      <w:r w:rsidR="00774C06">
        <w:t xml:space="preserve">coupled with an apparent decline in the levels of local news content </w:t>
      </w:r>
      <w:r>
        <w:t xml:space="preserve">in recent years. </w:t>
      </w:r>
      <w:r w:rsidR="00DF3DBB">
        <w:t>M</w:t>
      </w:r>
      <w:r>
        <w:t xml:space="preserve">ost print news publications </w:t>
      </w:r>
      <w:r w:rsidR="00DF3DBB">
        <w:t xml:space="preserve">are controlled by five or less media groups </w:t>
      </w:r>
      <w:r>
        <w:t xml:space="preserve">within each country, and radio and television markets are also highly concentrated in terms of ownership and </w:t>
      </w:r>
      <w:r w:rsidRPr="00A96898">
        <w:t>control</w:t>
      </w:r>
      <w:r>
        <w:t>.</w:t>
      </w:r>
    </w:p>
    <w:p w14:paraId="14AFFA57" w14:textId="520D790A" w:rsidR="0062116F" w:rsidRPr="00115A5E" w:rsidRDefault="0062116F" w:rsidP="00CD2084">
      <w:pPr>
        <w:pStyle w:val="ListBullet"/>
        <w:spacing w:before="240" w:after="240"/>
      </w:pPr>
      <w:r>
        <w:t xml:space="preserve">There is little to no regulation of online news providers or digital platforms </w:t>
      </w:r>
      <w:r w:rsidR="002651FF">
        <w:t xml:space="preserve">that are </w:t>
      </w:r>
      <w:r>
        <w:t xml:space="preserve">involved in news dissemination, noting this is an evolving space. </w:t>
      </w:r>
      <w:r w:rsidR="00B6106E">
        <w:t>Some</w:t>
      </w:r>
      <w:r>
        <w:t xml:space="preserve"> countries have instead sought deregulation of legacy media ownership rules to support traditional </w:t>
      </w:r>
      <w:r w:rsidRPr="00A96898">
        <w:t>media</w:t>
      </w:r>
      <w:r>
        <w:t xml:space="preserve"> outlets in their transition to new media markets.</w:t>
      </w:r>
    </w:p>
    <w:p w14:paraId="2F3EC6A0" w14:textId="1DC422E0" w:rsidR="0062116F" w:rsidRDefault="00A96898" w:rsidP="00CD2084">
      <w:pPr>
        <w:pStyle w:val="ListBullet"/>
        <w:spacing w:before="240" w:after="240"/>
      </w:pPr>
      <w:r>
        <w:t>A</w:t>
      </w:r>
      <w:r w:rsidR="0062116F">
        <w:t>ll six countries see a need for some sector-specific regulation to promote diversity and localism objectives. This analysis identified five broad categories of government intervention relied upon to promote media diversity and/</w:t>
      </w:r>
      <w:r w:rsidR="0062116F" w:rsidRPr="00A96898">
        <w:t>or</w:t>
      </w:r>
      <w:r w:rsidR="0062116F">
        <w:t xml:space="preserve"> localism:</w:t>
      </w:r>
    </w:p>
    <w:p w14:paraId="185EFDC9" w14:textId="4861280F" w:rsidR="0062116F" w:rsidRDefault="0062116F" w:rsidP="00CD2084">
      <w:pPr>
        <w:pStyle w:val="ListBullet2"/>
        <w:spacing w:before="240" w:after="240"/>
      </w:pPr>
      <w:r>
        <w:rPr>
          <w:b/>
          <w:bCs/>
        </w:rPr>
        <w:t>Media ownership rules</w:t>
      </w:r>
      <w:r>
        <w:t>: Media ownership rules remain a common feature of news media markets, despite economic pressures on legacy media outlets. S</w:t>
      </w:r>
      <w:r>
        <w:rPr>
          <w:rFonts w:cs="Arial"/>
        </w:rPr>
        <w:t>ome countries, predominantly the US, Norway and Australia, have taken steps in recent years to repeal aspects of their media ownership rules.</w:t>
      </w:r>
      <w:r>
        <w:t xml:space="preserve"> All countries, however, carefully scrutinise proposed </w:t>
      </w:r>
      <w:r w:rsidRPr="00B54417">
        <w:t>mergers and acquisitions</w:t>
      </w:r>
      <w:r>
        <w:t xml:space="preserve"> between media groups</w:t>
      </w:r>
      <w:r w:rsidR="00A96898">
        <w:t>,</w:t>
      </w:r>
      <w:r w:rsidR="00DB3491">
        <w:t xml:space="preserve"> given their </w:t>
      </w:r>
      <w:r w:rsidR="00B5508E">
        <w:t>potential impact on</w:t>
      </w:r>
      <w:r w:rsidR="00B22883">
        <w:t xml:space="preserve"> society</w:t>
      </w:r>
      <w:r>
        <w:t>.</w:t>
      </w:r>
    </w:p>
    <w:p w14:paraId="0F3ACC6F" w14:textId="05016771" w:rsidR="0062116F" w:rsidRPr="00A26B0C" w:rsidRDefault="0062116F" w:rsidP="00CD2084">
      <w:pPr>
        <w:pStyle w:val="ListBullet2"/>
        <w:spacing w:before="240" w:after="240"/>
      </w:pPr>
      <w:r>
        <w:rPr>
          <w:b/>
          <w:bCs/>
        </w:rPr>
        <w:lastRenderedPageBreak/>
        <w:t>Quotas for news content</w:t>
      </w:r>
      <w:r>
        <w:t>: Content quotas can be relied upon by governments to support both localism and diversity. As a condition of broadcast licences, t</w:t>
      </w:r>
      <w:r w:rsidRPr="007D1EC8">
        <w:rPr>
          <w:rFonts w:cs="Arial"/>
        </w:rPr>
        <w:t xml:space="preserve">he UK, Australia and Canada </w:t>
      </w:r>
      <w:r>
        <w:rPr>
          <w:rFonts w:cs="Arial"/>
        </w:rPr>
        <w:t xml:space="preserve">all </w:t>
      </w:r>
      <w:r w:rsidRPr="007D1EC8">
        <w:rPr>
          <w:rFonts w:cs="Arial"/>
        </w:rPr>
        <w:t xml:space="preserve">have </w:t>
      </w:r>
      <w:r>
        <w:rPr>
          <w:rFonts w:cs="Arial"/>
        </w:rPr>
        <w:t xml:space="preserve">some form of </w:t>
      </w:r>
      <w:r w:rsidRPr="007D1EC8">
        <w:rPr>
          <w:rFonts w:cs="Arial"/>
        </w:rPr>
        <w:t>content quota</w:t>
      </w:r>
      <w:r>
        <w:rPr>
          <w:rFonts w:cs="Arial"/>
        </w:rPr>
        <w:t>s</w:t>
      </w:r>
      <w:r w:rsidRPr="007D1EC8">
        <w:rPr>
          <w:rFonts w:cs="Arial"/>
        </w:rPr>
        <w:t xml:space="preserve"> </w:t>
      </w:r>
      <w:r>
        <w:rPr>
          <w:rFonts w:cs="Arial"/>
        </w:rPr>
        <w:t xml:space="preserve">or other </w:t>
      </w:r>
      <w:r w:rsidRPr="007D1EC8">
        <w:rPr>
          <w:rFonts w:cs="Arial"/>
        </w:rPr>
        <w:t>local news requirements.</w:t>
      </w:r>
    </w:p>
    <w:p w14:paraId="5DC16B94" w14:textId="196B2CF2" w:rsidR="0062116F" w:rsidRPr="00A26B0C" w:rsidRDefault="0062116F" w:rsidP="00CD2084">
      <w:pPr>
        <w:pStyle w:val="ListBullet2"/>
        <w:spacing w:before="240" w:after="240"/>
      </w:pPr>
      <w:r>
        <w:rPr>
          <w:b/>
          <w:bCs/>
        </w:rPr>
        <w:t>Support for small/minority news providers</w:t>
      </w:r>
      <w:r>
        <w:t>: A range of regulatory and non-regulatory approaches</w:t>
      </w:r>
      <w:r w:rsidR="00A96898">
        <w:t>—</w:t>
      </w:r>
      <w:r>
        <w:t>including grants and incentivisation schemes</w:t>
      </w:r>
      <w:r w:rsidR="00A96898">
        <w:t>—</w:t>
      </w:r>
      <w:r>
        <w:t xml:space="preserve">have been used to support diversity and localism. </w:t>
      </w:r>
      <w:r w:rsidR="00A96898">
        <w:t>F</w:t>
      </w:r>
      <w:r>
        <w:t xml:space="preserve">or example, the US </w:t>
      </w:r>
      <w:r w:rsidR="00D33606">
        <w:t xml:space="preserve">gives </w:t>
      </w:r>
      <w:r>
        <w:rPr>
          <w:rFonts w:cs="Arial"/>
        </w:rPr>
        <w:t xml:space="preserve">preference </w:t>
      </w:r>
      <w:r w:rsidR="00D33606">
        <w:rPr>
          <w:rFonts w:cs="Arial"/>
        </w:rPr>
        <w:t>to minority-owned media outlets when making licensing decisions</w:t>
      </w:r>
      <w:r>
        <w:rPr>
          <w:rFonts w:cs="Arial"/>
        </w:rPr>
        <w:t xml:space="preserve">.  </w:t>
      </w:r>
    </w:p>
    <w:p w14:paraId="604901E0" w14:textId="4ABE4F1A" w:rsidR="0062116F" w:rsidRPr="00A26B0C" w:rsidRDefault="0062116F" w:rsidP="00CD2084">
      <w:pPr>
        <w:pStyle w:val="ListBullet2"/>
        <w:spacing w:before="240" w:after="240"/>
      </w:pPr>
      <w:r>
        <w:rPr>
          <w:b/>
          <w:bCs/>
        </w:rPr>
        <w:t>Tax breaks and exemptions</w:t>
      </w:r>
      <w:r>
        <w:t>: Some countries (UK, Norway, France and Canada) are subsidising and</w:t>
      </w:r>
      <w:r w:rsidR="0031160C">
        <w:t>/or</w:t>
      </w:r>
      <w:r>
        <w:t xml:space="preserve"> providing tax concessions to their more vulnerable media industries during the structural shifts </w:t>
      </w:r>
      <w:r w:rsidRPr="00723AFA">
        <w:t>occurring</w:t>
      </w:r>
      <w:r>
        <w:t xml:space="preserve"> in the media market.</w:t>
      </w:r>
    </w:p>
    <w:p w14:paraId="6BD9EAE7" w14:textId="52390BF9" w:rsidR="0062116F" w:rsidRPr="006E7F2F" w:rsidRDefault="0062116F" w:rsidP="00CD2084">
      <w:pPr>
        <w:pStyle w:val="ListBullet2"/>
        <w:spacing w:before="240" w:after="240"/>
      </w:pPr>
      <w:r>
        <w:rPr>
          <w:b/>
          <w:bCs/>
        </w:rPr>
        <w:t>Publicly</w:t>
      </w:r>
      <w:r w:rsidR="002125CB">
        <w:rPr>
          <w:b/>
          <w:bCs/>
        </w:rPr>
        <w:t xml:space="preserve"> </w:t>
      </w:r>
      <w:r>
        <w:rPr>
          <w:b/>
          <w:bCs/>
        </w:rPr>
        <w:t>funded broadcasters</w:t>
      </w:r>
      <w:r>
        <w:t xml:space="preserve">: </w:t>
      </w:r>
      <w:r w:rsidRPr="00C64848">
        <w:t>The provision of public service broadcasting is common in most countries and is used as a way of contributing to a diverse media sector and provid</w:t>
      </w:r>
      <w:r w:rsidR="00723AFA">
        <w:t>ing</w:t>
      </w:r>
      <w:r w:rsidRPr="00C64848">
        <w:t xml:space="preserve"> local relevant content. The UK, Australia, Canada and Norway </w:t>
      </w:r>
      <w:r>
        <w:t>provide financial support</w:t>
      </w:r>
      <w:r w:rsidRPr="00C64848">
        <w:t xml:space="preserve"> </w:t>
      </w:r>
      <w:r w:rsidR="00D33606">
        <w:t>to</w:t>
      </w:r>
      <w:r>
        <w:t xml:space="preserve"> </w:t>
      </w:r>
      <w:r w:rsidRPr="00C64848">
        <w:t xml:space="preserve">public </w:t>
      </w:r>
      <w:r w:rsidR="00D33606" w:rsidRPr="00C64848">
        <w:t>broadcast</w:t>
      </w:r>
      <w:r w:rsidR="00D33606">
        <w:t>ers</w:t>
      </w:r>
      <w:r w:rsidR="00D33606" w:rsidRPr="00C64848">
        <w:t xml:space="preserve"> </w:t>
      </w:r>
      <w:r w:rsidR="00D33606">
        <w:t>to deliver news obligations</w:t>
      </w:r>
      <w:r w:rsidRPr="00C64848">
        <w:t>.</w:t>
      </w:r>
    </w:p>
    <w:p w14:paraId="6BDBEB1C" w14:textId="45C591F3" w:rsidR="0062116F" w:rsidRPr="00FF0234" w:rsidRDefault="00723AFA" w:rsidP="002F33E2">
      <w:pPr>
        <w:pStyle w:val="ListBullet"/>
        <w:spacing w:after="240"/>
      </w:pPr>
      <w:r>
        <w:t>Without</w:t>
      </w:r>
      <w:r w:rsidR="0062116F" w:rsidRPr="00FF0234">
        <w:t xml:space="preserve"> clear monitoring and evaluation frameworks for assessing the effectiveness of these policies, there is no clear way of determining how effective regulation and policy has been in promoting a diversity of voices in the news media and the provision of local news.</w:t>
      </w:r>
      <w:r w:rsidR="0031160C">
        <w:t xml:space="preserve"> This could be an area of </w:t>
      </w:r>
      <w:r w:rsidR="00FB0164">
        <w:t xml:space="preserve">future </w:t>
      </w:r>
      <w:r w:rsidR="0031160C">
        <w:t>focus for Australia.</w:t>
      </w:r>
    </w:p>
    <w:p w14:paraId="51B85CE6" w14:textId="77777777" w:rsidR="0062116F" w:rsidRPr="009174F3" w:rsidRDefault="0062116F" w:rsidP="009174F3">
      <w:pPr>
        <w:pStyle w:val="ACMAExecSummaryHeading"/>
      </w:pPr>
    </w:p>
    <w:p w14:paraId="5FCC171B" w14:textId="77777777" w:rsidR="0062116F" w:rsidRDefault="0062116F" w:rsidP="00C96635">
      <w:pPr>
        <w:pStyle w:val="Heading1"/>
        <w:sectPr w:rsidR="0062116F" w:rsidSect="00611547">
          <w:headerReference w:type="even" r:id="rId21"/>
          <w:headerReference w:type="default" r:id="rId22"/>
          <w:footerReference w:type="even" r:id="rId23"/>
          <w:footerReference w:type="default" r:id="rId24"/>
          <w:endnotePr>
            <w:numFmt w:val="decimal"/>
          </w:endnotePr>
          <w:pgSz w:w="11906" w:h="16838" w:code="9"/>
          <w:pgMar w:top="1945" w:right="3101" w:bottom="1134" w:left="1134" w:header="709" w:footer="119" w:gutter="0"/>
          <w:pgNumType w:start="1"/>
          <w:cols w:space="708"/>
          <w:docGrid w:linePitch="360"/>
        </w:sectPr>
      </w:pPr>
    </w:p>
    <w:p w14:paraId="0BA923E5" w14:textId="5CB8FEC3" w:rsidR="00C524A1" w:rsidRPr="00C524A1" w:rsidRDefault="0062116F" w:rsidP="00C524A1">
      <w:pPr>
        <w:pStyle w:val="Heading2"/>
      </w:pPr>
      <w:bookmarkStart w:id="2" w:name="_Toc58401278"/>
      <w:r>
        <w:lastRenderedPageBreak/>
        <w:t>Summary of regulatory approaches</w:t>
      </w:r>
      <w:bookmarkEnd w:id="2"/>
    </w:p>
    <w:p w14:paraId="13A8DE47" w14:textId="40AB884B" w:rsidR="0062116F" w:rsidRPr="00085E58" w:rsidRDefault="00C524A1" w:rsidP="00BD1C72">
      <w:pPr>
        <w:pStyle w:val="ACMATableHeader"/>
      </w:pPr>
      <w:r>
        <w:t>Regulatory approaches per country</w:t>
      </w:r>
    </w:p>
    <w:tbl>
      <w:tblPr>
        <w:tblStyle w:val="TableGrid"/>
        <w:tblW w:w="14170" w:type="dxa"/>
        <w:jc w:val="center"/>
        <w:tblLook w:val="04A0" w:firstRow="1" w:lastRow="0" w:firstColumn="1" w:lastColumn="0" w:noHBand="0" w:noVBand="1"/>
      </w:tblPr>
      <w:tblGrid>
        <w:gridCol w:w="1072"/>
        <w:gridCol w:w="2619"/>
        <w:gridCol w:w="2620"/>
        <w:gridCol w:w="2619"/>
        <w:gridCol w:w="2552"/>
        <w:gridCol w:w="2688"/>
      </w:tblGrid>
      <w:tr w:rsidR="0062116F" w14:paraId="2737E663" w14:textId="77777777" w:rsidTr="00CD2084">
        <w:trPr>
          <w:jc w:val="center"/>
        </w:trPr>
        <w:tc>
          <w:tcPr>
            <w:tcW w:w="1072" w:type="dxa"/>
            <w:tcBorders>
              <w:top w:val="nil"/>
              <w:left w:val="nil"/>
              <w:bottom w:val="single" w:sz="4" w:space="0" w:color="auto"/>
              <w:right w:val="single" w:sz="4" w:space="0" w:color="auto"/>
            </w:tcBorders>
            <w:shd w:val="clear" w:color="auto" w:fill="auto"/>
            <w:tcMar>
              <w:top w:w="57" w:type="dxa"/>
              <w:left w:w="57" w:type="dxa"/>
              <w:bottom w:w="57" w:type="dxa"/>
              <w:right w:w="57" w:type="dxa"/>
            </w:tcMar>
            <w:vAlign w:val="center"/>
          </w:tcPr>
          <w:p w14:paraId="36C33DC9" w14:textId="77777777" w:rsidR="0062116F" w:rsidRPr="00270DDC" w:rsidRDefault="0062116F" w:rsidP="00BD1C72">
            <w:pPr>
              <w:spacing w:after="0" w:line="240" w:lineRule="auto"/>
              <w:jc w:val="center"/>
              <w:rPr>
                <w:sz w:val="18"/>
                <w:szCs w:val="18"/>
              </w:rPr>
            </w:pPr>
          </w:p>
        </w:tc>
        <w:tc>
          <w:tcPr>
            <w:tcW w:w="2619" w:type="dxa"/>
            <w:tcBorders>
              <w:left w:val="single" w:sz="4" w:space="0" w:color="auto"/>
              <w:bottom w:val="single" w:sz="4" w:space="0" w:color="auto"/>
            </w:tcBorders>
            <w:shd w:val="clear" w:color="auto" w:fill="404040" w:themeFill="text1" w:themeFillTint="BF"/>
            <w:tcMar>
              <w:top w:w="57" w:type="dxa"/>
              <w:left w:w="57" w:type="dxa"/>
              <w:bottom w:w="57" w:type="dxa"/>
              <w:right w:w="57" w:type="dxa"/>
            </w:tcMar>
            <w:vAlign w:val="center"/>
          </w:tcPr>
          <w:p w14:paraId="7B2619FD" w14:textId="42A7148A" w:rsidR="0062116F" w:rsidRPr="00BD1C72" w:rsidRDefault="0062116F" w:rsidP="00BD1C72">
            <w:pPr>
              <w:tabs>
                <w:tab w:val="left" w:pos="467"/>
              </w:tabs>
              <w:spacing w:after="0" w:line="240" w:lineRule="auto"/>
              <w:jc w:val="center"/>
              <w:rPr>
                <w:b/>
                <w:bCs/>
                <w:color w:val="FFFFFF" w:themeColor="background1"/>
                <w:sz w:val="18"/>
                <w:szCs w:val="18"/>
              </w:rPr>
            </w:pPr>
            <w:r w:rsidRPr="00BD1C72">
              <w:rPr>
                <w:b/>
                <w:bCs/>
                <w:color w:val="FFFFFF" w:themeColor="background1"/>
                <w:sz w:val="18"/>
                <w:szCs w:val="18"/>
              </w:rPr>
              <w:t xml:space="preserve">Media ownership and </w:t>
            </w:r>
            <w:r w:rsidR="00EB1FB6">
              <w:rPr>
                <w:b/>
                <w:bCs/>
                <w:color w:val="FFFFFF" w:themeColor="background1"/>
                <w:sz w:val="18"/>
                <w:szCs w:val="18"/>
              </w:rPr>
              <w:br/>
            </w:r>
            <w:r w:rsidRPr="00BD1C72">
              <w:rPr>
                <w:b/>
                <w:bCs/>
                <w:color w:val="FFFFFF" w:themeColor="background1"/>
                <w:sz w:val="18"/>
                <w:szCs w:val="18"/>
              </w:rPr>
              <w:t>control rules</w:t>
            </w:r>
          </w:p>
        </w:tc>
        <w:tc>
          <w:tcPr>
            <w:tcW w:w="2620" w:type="dxa"/>
            <w:tcBorders>
              <w:bottom w:val="single" w:sz="4" w:space="0" w:color="auto"/>
            </w:tcBorders>
            <w:shd w:val="clear" w:color="auto" w:fill="404040" w:themeFill="text1" w:themeFillTint="BF"/>
            <w:tcMar>
              <w:top w:w="57" w:type="dxa"/>
              <w:left w:w="57" w:type="dxa"/>
              <w:bottom w:w="57" w:type="dxa"/>
              <w:right w:w="57" w:type="dxa"/>
            </w:tcMar>
            <w:vAlign w:val="center"/>
          </w:tcPr>
          <w:p w14:paraId="0207202B" w14:textId="77777777" w:rsidR="0062116F" w:rsidRPr="00BD1C72" w:rsidRDefault="0062116F" w:rsidP="00BD1C72">
            <w:pPr>
              <w:spacing w:after="0" w:line="240" w:lineRule="auto"/>
              <w:jc w:val="center"/>
              <w:rPr>
                <w:b/>
                <w:bCs/>
                <w:color w:val="FFFFFF" w:themeColor="background1"/>
                <w:sz w:val="18"/>
                <w:szCs w:val="18"/>
              </w:rPr>
            </w:pPr>
            <w:r w:rsidRPr="00BD1C72">
              <w:rPr>
                <w:b/>
                <w:bCs/>
                <w:color w:val="FFFFFF" w:themeColor="background1"/>
                <w:sz w:val="18"/>
                <w:szCs w:val="18"/>
              </w:rPr>
              <w:t>News content quotas and local news requirements</w:t>
            </w:r>
          </w:p>
        </w:tc>
        <w:tc>
          <w:tcPr>
            <w:tcW w:w="2619" w:type="dxa"/>
            <w:tcBorders>
              <w:bottom w:val="single" w:sz="4" w:space="0" w:color="auto"/>
            </w:tcBorders>
            <w:shd w:val="clear" w:color="auto" w:fill="404040" w:themeFill="text1" w:themeFillTint="BF"/>
            <w:tcMar>
              <w:top w:w="57" w:type="dxa"/>
              <w:left w:w="57" w:type="dxa"/>
              <w:bottom w:w="57" w:type="dxa"/>
              <w:right w:w="57" w:type="dxa"/>
            </w:tcMar>
            <w:vAlign w:val="center"/>
          </w:tcPr>
          <w:p w14:paraId="6669BF8D" w14:textId="1475B4FA" w:rsidR="0062116F" w:rsidRPr="00BD1C72" w:rsidRDefault="0062116F" w:rsidP="00BD1C72">
            <w:pPr>
              <w:spacing w:after="0" w:line="240" w:lineRule="auto"/>
              <w:jc w:val="center"/>
              <w:rPr>
                <w:b/>
                <w:bCs/>
                <w:color w:val="FFFFFF" w:themeColor="background1"/>
                <w:sz w:val="18"/>
                <w:szCs w:val="18"/>
              </w:rPr>
            </w:pPr>
            <w:r w:rsidRPr="00BD1C72">
              <w:rPr>
                <w:b/>
                <w:bCs/>
                <w:color w:val="FFFFFF" w:themeColor="background1"/>
                <w:sz w:val="18"/>
                <w:szCs w:val="18"/>
              </w:rPr>
              <w:t xml:space="preserve">Subsidies and </w:t>
            </w:r>
            <w:r w:rsidRPr="00BD1C72">
              <w:rPr>
                <w:b/>
                <w:bCs/>
                <w:color w:val="FFFFFF" w:themeColor="background1"/>
                <w:sz w:val="18"/>
                <w:szCs w:val="18"/>
              </w:rPr>
              <w:br/>
              <w:t>tax concessions</w:t>
            </w:r>
          </w:p>
        </w:tc>
        <w:tc>
          <w:tcPr>
            <w:tcW w:w="2552" w:type="dxa"/>
            <w:tcBorders>
              <w:bottom w:val="single" w:sz="4" w:space="0" w:color="auto"/>
            </w:tcBorders>
            <w:shd w:val="clear" w:color="auto" w:fill="404040" w:themeFill="text1" w:themeFillTint="BF"/>
            <w:tcMar>
              <w:top w:w="57" w:type="dxa"/>
              <w:left w:w="57" w:type="dxa"/>
              <w:bottom w:w="57" w:type="dxa"/>
              <w:right w:w="57" w:type="dxa"/>
            </w:tcMar>
            <w:vAlign w:val="center"/>
          </w:tcPr>
          <w:p w14:paraId="01E66B55" w14:textId="1ECBC980" w:rsidR="0062116F" w:rsidRPr="00BD1C72" w:rsidRDefault="0062116F" w:rsidP="00BD1C72">
            <w:pPr>
              <w:spacing w:after="0" w:line="240" w:lineRule="auto"/>
              <w:jc w:val="center"/>
              <w:rPr>
                <w:b/>
                <w:bCs/>
                <w:color w:val="FFFFFF" w:themeColor="background1"/>
                <w:sz w:val="18"/>
                <w:szCs w:val="18"/>
              </w:rPr>
            </w:pPr>
            <w:r w:rsidRPr="00BD1C72">
              <w:rPr>
                <w:b/>
                <w:bCs/>
                <w:color w:val="FFFFFF" w:themeColor="background1"/>
                <w:sz w:val="18"/>
                <w:szCs w:val="18"/>
              </w:rPr>
              <w:t xml:space="preserve">Support for local and </w:t>
            </w:r>
            <w:r w:rsidR="00D33606">
              <w:rPr>
                <w:b/>
                <w:bCs/>
                <w:color w:val="FFFFFF" w:themeColor="background1"/>
                <w:sz w:val="18"/>
                <w:szCs w:val="18"/>
              </w:rPr>
              <w:br/>
            </w:r>
            <w:r w:rsidRPr="00BD1C72">
              <w:rPr>
                <w:b/>
                <w:bCs/>
                <w:color w:val="FFFFFF" w:themeColor="background1"/>
                <w:sz w:val="18"/>
                <w:szCs w:val="18"/>
              </w:rPr>
              <w:t>diverse news production</w:t>
            </w:r>
          </w:p>
        </w:tc>
        <w:tc>
          <w:tcPr>
            <w:tcW w:w="2688" w:type="dxa"/>
            <w:tcBorders>
              <w:bottom w:val="single" w:sz="4" w:space="0" w:color="auto"/>
            </w:tcBorders>
            <w:shd w:val="clear" w:color="auto" w:fill="404040" w:themeFill="text1" w:themeFillTint="BF"/>
            <w:tcMar>
              <w:top w:w="57" w:type="dxa"/>
              <w:left w:w="57" w:type="dxa"/>
              <w:bottom w:w="57" w:type="dxa"/>
              <w:right w:w="57" w:type="dxa"/>
            </w:tcMar>
            <w:vAlign w:val="center"/>
          </w:tcPr>
          <w:p w14:paraId="7FB03D98" w14:textId="512B069F" w:rsidR="0062116F" w:rsidRPr="00BD1C72" w:rsidRDefault="0062116F" w:rsidP="00BD1C72">
            <w:pPr>
              <w:spacing w:after="0" w:line="240" w:lineRule="auto"/>
              <w:jc w:val="center"/>
              <w:rPr>
                <w:b/>
                <w:bCs/>
                <w:color w:val="FFFFFF" w:themeColor="background1"/>
                <w:sz w:val="18"/>
                <w:szCs w:val="18"/>
              </w:rPr>
            </w:pPr>
            <w:r w:rsidRPr="00BD1C72">
              <w:rPr>
                <w:b/>
                <w:bCs/>
                <w:color w:val="FFFFFF" w:themeColor="background1"/>
                <w:sz w:val="18"/>
                <w:szCs w:val="18"/>
              </w:rPr>
              <w:t>Obligations on</w:t>
            </w:r>
            <w:r w:rsidR="00D238CE">
              <w:rPr>
                <w:b/>
                <w:bCs/>
                <w:color w:val="FFFFFF" w:themeColor="background1"/>
                <w:sz w:val="18"/>
                <w:szCs w:val="18"/>
              </w:rPr>
              <w:t xml:space="preserve"> </w:t>
            </w:r>
            <w:r w:rsidR="00D238CE">
              <w:rPr>
                <w:b/>
                <w:bCs/>
                <w:color w:val="FFFFFF" w:themeColor="background1"/>
                <w:sz w:val="18"/>
                <w:szCs w:val="18"/>
              </w:rPr>
              <w:br/>
            </w:r>
            <w:r w:rsidR="002125CB" w:rsidRPr="00BD1C72">
              <w:rPr>
                <w:b/>
                <w:bCs/>
                <w:color w:val="FFFFFF" w:themeColor="background1"/>
                <w:sz w:val="18"/>
                <w:szCs w:val="18"/>
              </w:rPr>
              <w:t>public</w:t>
            </w:r>
            <w:r w:rsidR="002125CB">
              <w:rPr>
                <w:b/>
                <w:bCs/>
                <w:color w:val="FFFFFF" w:themeColor="background1"/>
                <w:sz w:val="18"/>
                <w:szCs w:val="18"/>
              </w:rPr>
              <w:t>ly funded</w:t>
            </w:r>
            <w:r w:rsidRPr="00BD1C72">
              <w:rPr>
                <w:b/>
                <w:bCs/>
                <w:color w:val="FFFFFF" w:themeColor="background1"/>
                <w:sz w:val="18"/>
                <w:szCs w:val="18"/>
              </w:rPr>
              <w:t xml:space="preserve"> broadcasters</w:t>
            </w:r>
          </w:p>
        </w:tc>
      </w:tr>
      <w:tr w:rsidR="0062116F" w14:paraId="13816124" w14:textId="77777777" w:rsidTr="00CD2084">
        <w:trPr>
          <w:trHeight w:hRule="exact" w:val="1021"/>
          <w:jc w:val="center"/>
        </w:trPr>
        <w:tc>
          <w:tcPr>
            <w:tcW w:w="1072" w:type="dxa"/>
            <w:tcBorders>
              <w:top w:val="single" w:sz="4" w:space="0" w:color="auto"/>
            </w:tcBorders>
            <w:shd w:val="clear" w:color="auto" w:fill="F2F2F2" w:themeFill="background1" w:themeFillShade="F2"/>
            <w:tcMar>
              <w:top w:w="57" w:type="dxa"/>
              <w:left w:w="57" w:type="dxa"/>
              <w:bottom w:w="57" w:type="dxa"/>
              <w:right w:w="57" w:type="dxa"/>
            </w:tcMar>
            <w:vAlign w:val="center"/>
          </w:tcPr>
          <w:p w14:paraId="5BB5F918" w14:textId="3884F4F1" w:rsidR="0062116F" w:rsidRPr="00270DDC" w:rsidRDefault="0062116F" w:rsidP="00CD2084">
            <w:pPr>
              <w:spacing w:after="60"/>
              <w:jc w:val="center"/>
              <w:rPr>
                <w:sz w:val="18"/>
                <w:szCs w:val="18"/>
              </w:rPr>
            </w:pPr>
            <w:r w:rsidRPr="00270DDC">
              <w:rPr>
                <w:b/>
                <w:bCs/>
                <w:sz w:val="18"/>
                <w:szCs w:val="18"/>
              </w:rPr>
              <w:t>Australia</w:t>
            </w:r>
            <w:r w:rsidRPr="00270DDC">
              <w:rPr>
                <w:b/>
                <w:bCs/>
                <w:noProof/>
                <w:sz w:val="18"/>
                <w:szCs w:val="18"/>
              </w:rPr>
              <w:drawing>
                <wp:inline distT="0" distB="0" distL="0" distR="0" wp14:anchorId="5017E6B7" wp14:editId="114841B3">
                  <wp:extent cx="457200" cy="457200"/>
                  <wp:effectExtent l="0" t="0" r="0" b="0"/>
                  <wp:docPr id="29" name="Picture 29" descr="Map of Austra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457200" cy="457200"/>
                          </a:xfrm>
                          <a:prstGeom prst="rect">
                            <a:avLst/>
                          </a:prstGeom>
                          <a:noFill/>
                          <a:ln>
                            <a:noFill/>
                          </a:ln>
                        </pic:spPr>
                      </pic:pic>
                    </a:graphicData>
                  </a:graphic>
                </wp:inline>
              </w:drawing>
            </w:r>
          </w:p>
        </w:tc>
        <w:tc>
          <w:tcPr>
            <w:tcW w:w="2619" w:type="dxa"/>
            <w:tcBorders>
              <w:top w:val="single" w:sz="4" w:space="0" w:color="auto"/>
            </w:tcBorders>
            <w:tcMar>
              <w:top w:w="57" w:type="dxa"/>
              <w:left w:w="57" w:type="dxa"/>
              <w:bottom w:w="57" w:type="dxa"/>
              <w:right w:w="57" w:type="dxa"/>
            </w:tcMar>
            <w:vAlign w:val="center"/>
          </w:tcPr>
          <w:p w14:paraId="6F21E3BC" w14:textId="04361ADD" w:rsidR="0062116F" w:rsidRPr="00D8112A" w:rsidRDefault="0062116F" w:rsidP="00C41ADE">
            <w:pPr>
              <w:tabs>
                <w:tab w:val="left" w:pos="467"/>
              </w:tabs>
              <w:spacing w:after="0" w:line="240" w:lineRule="auto"/>
              <w:jc w:val="center"/>
              <w:rPr>
                <w:b/>
                <w:bCs/>
                <w:sz w:val="18"/>
                <w:szCs w:val="18"/>
              </w:rPr>
            </w:pPr>
            <w:r>
              <w:rPr>
                <w:noProof/>
              </w:rPr>
              <w:drawing>
                <wp:anchor distT="0" distB="0" distL="114300" distR="114300" simplePos="0" relativeHeight="251657216" behindDoc="0" locked="0" layoutInCell="1" allowOverlap="1" wp14:anchorId="49A5FB5A" wp14:editId="65748A40">
                  <wp:simplePos x="0" y="0"/>
                  <wp:positionH relativeFrom="column">
                    <wp:posOffset>639597</wp:posOffset>
                  </wp:positionH>
                  <wp:positionV relativeFrom="paragraph">
                    <wp:posOffset>-1994</wp:posOffset>
                  </wp:positionV>
                  <wp:extent cx="251209" cy="251209"/>
                  <wp:effectExtent l="0" t="0" r="0" b="0"/>
                  <wp:wrapNone/>
                  <wp:docPr id="4" name="Graphic 4" descr="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heckmark.svg"/>
                          <pic:cNvPicPr/>
                        </pic:nvPicPr>
                        <pic:blipFill>
                          <a:blip r:embed="rId26" cstate="print">
                            <a:extLst>
                              <a:ext uri="{28A0092B-C50C-407E-A947-70E740481C1C}">
                                <a14:useLocalDpi xmlns:a14="http://schemas.microsoft.com/office/drawing/2010/main" val="0"/>
                              </a:ext>
                              <a:ext uri="{96DAC541-7B7A-43D3-8B79-37D633B846F1}">
                                <asvg:svgBlip xmlns:asvg="http://schemas.microsoft.com/office/drawing/2016/SVG/main" r:embed="rId27"/>
                              </a:ext>
                            </a:extLst>
                          </a:blip>
                          <a:stretch>
                            <a:fillRect/>
                          </a:stretch>
                        </pic:blipFill>
                        <pic:spPr>
                          <a:xfrm>
                            <a:off x="0" y="0"/>
                            <a:ext cx="251209" cy="251209"/>
                          </a:xfrm>
                          <a:prstGeom prst="rect">
                            <a:avLst/>
                          </a:prstGeom>
                        </pic:spPr>
                      </pic:pic>
                    </a:graphicData>
                  </a:graphic>
                  <wp14:sizeRelH relativeFrom="page">
                    <wp14:pctWidth>0</wp14:pctWidth>
                  </wp14:sizeRelH>
                  <wp14:sizeRelV relativeFrom="page">
                    <wp14:pctHeight>0</wp14:pctHeight>
                  </wp14:sizeRelV>
                </wp:anchor>
              </w:drawing>
            </w:r>
          </w:p>
        </w:tc>
        <w:tc>
          <w:tcPr>
            <w:tcW w:w="2620" w:type="dxa"/>
            <w:tcBorders>
              <w:top w:val="single" w:sz="4" w:space="0" w:color="auto"/>
            </w:tcBorders>
            <w:tcMar>
              <w:top w:w="57" w:type="dxa"/>
              <w:left w:w="57" w:type="dxa"/>
              <w:bottom w:w="57" w:type="dxa"/>
              <w:right w:w="57" w:type="dxa"/>
            </w:tcMar>
            <w:vAlign w:val="center"/>
          </w:tcPr>
          <w:p w14:paraId="3611D6CE" w14:textId="7568C675" w:rsidR="0062116F" w:rsidRPr="00D8112A" w:rsidRDefault="0062116F" w:rsidP="00C41ADE">
            <w:pPr>
              <w:spacing w:after="0" w:line="240" w:lineRule="auto"/>
              <w:jc w:val="center"/>
              <w:rPr>
                <w:b/>
                <w:bCs/>
                <w:sz w:val="18"/>
                <w:szCs w:val="18"/>
              </w:rPr>
            </w:pPr>
            <w:r>
              <w:rPr>
                <w:noProof/>
              </w:rPr>
              <w:drawing>
                <wp:inline distT="0" distB="0" distL="0" distR="0" wp14:anchorId="4F927881" wp14:editId="4984EEDD">
                  <wp:extent cx="251209" cy="251209"/>
                  <wp:effectExtent l="0" t="0" r="0" b="0"/>
                  <wp:docPr id="46" name="Graphic 46" descr="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heckmark.svg"/>
                          <pic:cNvPicPr/>
                        </pic:nvPicPr>
                        <pic:blipFill>
                          <a:blip r:embed="rId26" cstate="print">
                            <a:extLst>
                              <a:ext uri="{28A0092B-C50C-407E-A947-70E740481C1C}">
                                <a14:useLocalDpi xmlns:a14="http://schemas.microsoft.com/office/drawing/2010/main" val="0"/>
                              </a:ext>
                              <a:ext uri="{96DAC541-7B7A-43D3-8B79-37D633B846F1}">
                                <asvg:svgBlip xmlns:asvg="http://schemas.microsoft.com/office/drawing/2016/SVG/main" r:embed="rId27"/>
                              </a:ext>
                            </a:extLst>
                          </a:blip>
                          <a:stretch>
                            <a:fillRect/>
                          </a:stretch>
                        </pic:blipFill>
                        <pic:spPr>
                          <a:xfrm>
                            <a:off x="0" y="0"/>
                            <a:ext cx="262905" cy="262905"/>
                          </a:xfrm>
                          <a:prstGeom prst="rect">
                            <a:avLst/>
                          </a:prstGeom>
                        </pic:spPr>
                      </pic:pic>
                    </a:graphicData>
                  </a:graphic>
                </wp:inline>
              </w:drawing>
            </w:r>
          </w:p>
        </w:tc>
        <w:tc>
          <w:tcPr>
            <w:tcW w:w="2619" w:type="dxa"/>
            <w:tcBorders>
              <w:top w:val="single" w:sz="4" w:space="0" w:color="auto"/>
            </w:tcBorders>
            <w:tcMar>
              <w:top w:w="57" w:type="dxa"/>
              <w:left w:w="57" w:type="dxa"/>
              <w:bottom w:w="57" w:type="dxa"/>
              <w:right w:w="57" w:type="dxa"/>
            </w:tcMar>
            <w:vAlign w:val="center"/>
          </w:tcPr>
          <w:p w14:paraId="656A5EEC" w14:textId="2B30D2C2" w:rsidR="0062116F" w:rsidRPr="00D8112A" w:rsidRDefault="00121A55" w:rsidP="00C41ADE">
            <w:pPr>
              <w:spacing w:after="0" w:line="240" w:lineRule="auto"/>
              <w:jc w:val="center"/>
              <w:rPr>
                <w:b/>
                <w:bCs/>
                <w:sz w:val="18"/>
                <w:szCs w:val="18"/>
              </w:rPr>
            </w:pPr>
            <w:r>
              <w:rPr>
                <w:noProof/>
              </w:rPr>
              <w:drawing>
                <wp:inline distT="0" distB="0" distL="0" distR="0" wp14:anchorId="0B122E4D" wp14:editId="38C74477">
                  <wp:extent cx="252000" cy="252000"/>
                  <wp:effectExtent l="0" t="0" r="0" b="0"/>
                  <wp:docPr id="12" name="Graphic 12" descr="Clo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close.svg"/>
                          <pic:cNvPicPr/>
                        </pic:nvPicPr>
                        <pic:blipFill>
                          <a:blip r:embed="rId28">
                            <a:extLst>
                              <a:ext uri="{96DAC541-7B7A-43D3-8B79-37D633B846F1}">
                                <asvg:svgBlip xmlns:asvg="http://schemas.microsoft.com/office/drawing/2016/SVG/main" r:embed="rId29"/>
                              </a:ext>
                            </a:extLst>
                          </a:blip>
                          <a:stretch>
                            <a:fillRect/>
                          </a:stretch>
                        </pic:blipFill>
                        <pic:spPr>
                          <a:xfrm>
                            <a:off x="0" y="0"/>
                            <a:ext cx="252000" cy="252000"/>
                          </a:xfrm>
                          <a:prstGeom prst="rect">
                            <a:avLst/>
                          </a:prstGeom>
                        </pic:spPr>
                      </pic:pic>
                    </a:graphicData>
                  </a:graphic>
                </wp:inline>
              </w:drawing>
            </w:r>
          </w:p>
        </w:tc>
        <w:tc>
          <w:tcPr>
            <w:tcW w:w="2552" w:type="dxa"/>
            <w:tcBorders>
              <w:top w:val="single" w:sz="4" w:space="0" w:color="auto"/>
            </w:tcBorders>
            <w:tcMar>
              <w:top w:w="57" w:type="dxa"/>
              <w:left w:w="57" w:type="dxa"/>
              <w:bottom w:w="57" w:type="dxa"/>
              <w:right w:w="57" w:type="dxa"/>
            </w:tcMar>
            <w:vAlign w:val="center"/>
          </w:tcPr>
          <w:p w14:paraId="3CC87C85" w14:textId="2FA447BE" w:rsidR="0062116F" w:rsidRPr="000B36E9" w:rsidRDefault="0062116F" w:rsidP="00C41ADE">
            <w:pPr>
              <w:spacing w:after="0" w:line="240" w:lineRule="auto"/>
              <w:jc w:val="center"/>
              <w:rPr>
                <w:bCs/>
                <w:sz w:val="16"/>
                <w:szCs w:val="16"/>
              </w:rPr>
            </w:pPr>
            <w:r w:rsidRPr="000B36E9">
              <w:rPr>
                <w:bCs/>
                <w:noProof/>
                <w:sz w:val="16"/>
                <w:szCs w:val="16"/>
              </w:rPr>
              <w:drawing>
                <wp:inline distT="0" distB="0" distL="0" distR="0" wp14:anchorId="3587EEB3" wp14:editId="13BD5CD0">
                  <wp:extent cx="251209" cy="251209"/>
                  <wp:effectExtent l="0" t="0" r="0" b="0"/>
                  <wp:docPr id="48" name="Graphic 48" descr="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heckmark.svg"/>
                          <pic:cNvPicPr/>
                        </pic:nvPicPr>
                        <pic:blipFill>
                          <a:blip r:embed="rId26" cstate="print">
                            <a:extLst>
                              <a:ext uri="{28A0092B-C50C-407E-A947-70E740481C1C}">
                                <a14:useLocalDpi xmlns:a14="http://schemas.microsoft.com/office/drawing/2010/main" val="0"/>
                              </a:ext>
                              <a:ext uri="{96DAC541-7B7A-43D3-8B79-37D633B846F1}">
                                <asvg:svgBlip xmlns:asvg="http://schemas.microsoft.com/office/drawing/2016/SVG/main" r:embed="rId27"/>
                              </a:ext>
                            </a:extLst>
                          </a:blip>
                          <a:stretch>
                            <a:fillRect/>
                          </a:stretch>
                        </pic:blipFill>
                        <pic:spPr>
                          <a:xfrm>
                            <a:off x="0" y="0"/>
                            <a:ext cx="262905" cy="262905"/>
                          </a:xfrm>
                          <a:prstGeom prst="rect">
                            <a:avLst/>
                          </a:prstGeom>
                        </pic:spPr>
                      </pic:pic>
                    </a:graphicData>
                  </a:graphic>
                </wp:inline>
              </w:drawing>
            </w:r>
            <w:r w:rsidRPr="000B36E9">
              <w:rPr>
                <w:bCs/>
                <w:sz w:val="16"/>
                <w:szCs w:val="16"/>
              </w:rPr>
              <w:br/>
            </w:r>
          </w:p>
        </w:tc>
        <w:tc>
          <w:tcPr>
            <w:tcW w:w="2688" w:type="dxa"/>
            <w:tcBorders>
              <w:top w:val="single" w:sz="4" w:space="0" w:color="auto"/>
            </w:tcBorders>
            <w:tcMar>
              <w:top w:w="57" w:type="dxa"/>
              <w:left w:w="57" w:type="dxa"/>
              <w:bottom w:w="57" w:type="dxa"/>
              <w:right w:w="57" w:type="dxa"/>
            </w:tcMar>
            <w:vAlign w:val="center"/>
          </w:tcPr>
          <w:p w14:paraId="725DCCA9" w14:textId="301C8F5B" w:rsidR="0062116F" w:rsidRPr="00D8112A" w:rsidRDefault="0062116F" w:rsidP="00C41ADE">
            <w:pPr>
              <w:spacing w:after="0" w:line="240" w:lineRule="auto"/>
              <w:jc w:val="center"/>
              <w:rPr>
                <w:b/>
                <w:bCs/>
                <w:sz w:val="18"/>
                <w:szCs w:val="18"/>
              </w:rPr>
            </w:pPr>
            <w:r>
              <w:rPr>
                <w:noProof/>
              </w:rPr>
              <w:drawing>
                <wp:inline distT="0" distB="0" distL="0" distR="0" wp14:anchorId="52B46C73" wp14:editId="11876F16">
                  <wp:extent cx="251209" cy="251209"/>
                  <wp:effectExtent l="0" t="0" r="0" b="0"/>
                  <wp:docPr id="49" name="Graphic 49" descr="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heckmark.svg"/>
                          <pic:cNvPicPr/>
                        </pic:nvPicPr>
                        <pic:blipFill>
                          <a:blip r:embed="rId26" cstate="print">
                            <a:extLst>
                              <a:ext uri="{28A0092B-C50C-407E-A947-70E740481C1C}">
                                <a14:useLocalDpi xmlns:a14="http://schemas.microsoft.com/office/drawing/2010/main" val="0"/>
                              </a:ext>
                              <a:ext uri="{96DAC541-7B7A-43D3-8B79-37D633B846F1}">
                                <asvg:svgBlip xmlns:asvg="http://schemas.microsoft.com/office/drawing/2016/SVG/main" r:embed="rId27"/>
                              </a:ext>
                            </a:extLst>
                          </a:blip>
                          <a:stretch>
                            <a:fillRect/>
                          </a:stretch>
                        </pic:blipFill>
                        <pic:spPr>
                          <a:xfrm>
                            <a:off x="0" y="0"/>
                            <a:ext cx="262905" cy="262905"/>
                          </a:xfrm>
                          <a:prstGeom prst="rect">
                            <a:avLst/>
                          </a:prstGeom>
                        </pic:spPr>
                      </pic:pic>
                    </a:graphicData>
                  </a:graphic>
                </wp:inline>
              </w:drawing>
            </w:r>
          </w:p>
        </w:tc>
      </w:tr>
      <w:tr w:rsidR="0062116F" w:rsidRPr="00D81995" w14:paraId="4101929D" w14:textId="77777777" w:rsidTr="00CD2084">
        <w:trPr>
          <w:trHeight w:hRule="exact" w:val="1021"/>
          <w:jc w:val="center"/>
        </w:trPr>
        <w:tc>
          <w:tcPr>
            <w:tcW w:w="1072" w:type="dxa"/>
            <w:shd w:val="clear" w:color="auto" w:fill="F2F2F2" w:themeFill="background1" w:themeFillShade="F2"/>
            <w:tcMar>
              <w:top w:w="57" w:type="dxa"/>
              <w:left w:w="57" w:type="dxa"/>
              <w:bottom w:w="57" w:type="dxa"/>
              <w:right w:w="57" w:type="dxa"/>
            </w:tcMar>
            <w:vAlign w:val="center"/>
          </w:tcPr>
          <w:p w14:paraId="6C81BF27" w14:textId="77777777" w:rsidR="0062116F" w:rsidRPr="00270DDC" w:rsidRDefault="0062116F" w:rsidP="00CD2084">
            <w:pPr>
              <w:spacing w:after="60"/>
              <w:jc w:val="center"/>
              <w:rPr>
                <w:b/>
                <w:bCs/>
                <w:sz w:val="18"/>
                <w:szCs w:val="18"/>
              </w:rPr>
            </w:pPr>
            <w:r w:rsidRPr="00270DDC">
              <w:rPr>
                <w:b/>
                <w:bCs/>
                <w:sz w:val="18"/>
                <w:szCs w:val="18"/>
              </w:rPr>
              <w:t>UK</w:t>
            </w:r>
          </w:p>
          <w:p w14:paraId="0DCFD5C3" w14:textId="488F25CA" w:rsidR="0062116F" w:rsidRPr="00270DDC" w:rsidRDefault="0062116F" w:rsidP="00C41ADE">
            <w:pPr>
              <w:spacing w:after="0"/>
              <w:jc w:val="center"/>
              <w:rPr>
                <w:b/>
                <w:bCs/>
                <w:sz w:val="18"/>
                <w:szCs w:val="18"/>
              </w:rPr>
            </w:pPr>
            <w:r w:rsidRPr="00270DDC">
              <w:rPr>
                <w:b/>
                <w:bCs/>
                <w:noProof/>
                <w:sz w:val="18"/>
                <w:szCs w:val="18"/>
              </w:rPr>
              <w:drawing>
                <wp:inline distT="0" distB="0" distL="0" distR="0" wp14:anchorId="36A9A281" wp14:editId="15A38ED9">
                  <wp:extent cx="360000" cy="360000"/>
                  <wp:effectExtent l="0" t="0" r="2540" b="2540"/>
                  <wp:docPr id="30" name="Picture 30" descr="Map of the United Kingdom.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ln>
                            <a:noFill/>
                          </a:ln>
                        </pic:spPr>
                      </pic:pic>
                    </a:graphicData>
                  </a:graphic>
                </wp:inline>
              </w:drawing>
            </w:r>
          </w:p>
        </w:tc>
        <w:tc>
          <w:tcPr>
            <w:tcW w:w="2619" w:type="dxa"/>
            <w:tcMar>
              <w:top w:w="57" w:type="dxa"/>
              <w:left w:w="57" w:type="dxa"/>
              <w:bottom w:w="57" w:type="dxa"/>
              <w:right w:w="57" w:type="dxa"/>
            </w:tcMar>
            <w:vAlign w:val="center"/>
          </w:tcPr>
          <w:p w14:paraId="79485807" w14:textId="66196E75" w:rsidR="0062116F" w:rsidRPr="00D81995" w:rsidRDefault="0062116F" w:rsidP="00C41ADE">
            <w:pPr>
              <w:spacing w:after="0" w:line="240" w:lineRule="auto"/>
              <w:jc w:val="center"/>
              <w:rPr>
                <w:b/>
                <w:bCs/>
              </w:rPr>
            </w:pPr>
            <w:r>
              <w:rPr>
                <w:noProof/>
              </w:rPr>
              <w:drawing>
                <wp:inline distT="0" distB="0" distL="0" distR="0" wp14:anchorId="3BF61D47" wp14:editId="3DFE8BFD">
                  <wp:extent cx="251209" cy="251209"/>
                  <wp:effectExtent l="0" t="0" r="0" b="0"/>
                  <wp:docPr id="35" name="Graphic 35" descr="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heckmark.svg"/>
                          <pic:cNvPicPr/>
                        </pic:nvPicPr>
                        <pic:blipFill>
                          <a:blip r:embed="rId31" cstate="print">
                            <a:extLst>
                              <a:ext uri="{28A0092B-C50C-407E-A947-70E740481C1C}">
                                <a14:useLocalDpi xmlns:a14="http://schemas.microsoft.com/office/drawing/2010/main" val="0"/>
                              </a:ext>
                              <a:ext uri="{96DAC541-7B7A-43D3-8B79-37D633B846F1}">
                                <asvg:svgBlip xmlns:asvg="http://schemas.microsoft.com/office/drawing/2016/SVG/main" r:embed="rId32"/>
                              </a:ext>
                            </a:extLst>
                          </a:blip>
                          <a:stretch>
                            <a:fillRect/>
                          </a:stretch>
                        </pic:blipFill>
                        <pic:spPr>
                          <a:xfrm>
                            <a:off x="0" y="0"/>
                            <a:ext cx="262905" cy="262905"/>
                          </a:xfrm>
                          <a:prstGeom prst="rect">
                            <a:avLst/>
                          </a:prstGeom>
                        </pic:spPr>
                      </pic:pic>
                    </a:graphicData>
                  </a:graphic>
                </wp:inline>
              </w:drawing>
            </w:r>
            <w:r>
              <w:rPr>
                <w:b/>
                <w:bCs/>
              </w:rPr>
              <w:br/>
            </w:r>
            <w:r w:rsidRPr="00BC7A3D">
              <w:rPr>
                <w:bCs/>
                <w:sz w:val="16"/>
                <w:szCs w:val="16"/>
              </w:rPr>
              <w:t xml:space="preserve">Legislated </w:t>
            </w:r>
            <w:r w:rsidR="00BC7A3D">
              <w:rPr>
                <w:bCs/>
                <w:sz w:val="16"/>
                <w:szCs w:val="16"/>
              </w:rPr>
              <w:t>p</w:t>
            </w:r>
            <w:r w:rsidRPr="00BC7A3D">
              <w:rPr>
                <w:bCs/>
                <w:sz w:val="16"/>
                <w:szCs w:val="16"/>
              </w:rPr>
              <w:t xml:space="preserve">ublic </w:t>
            </w:r>
            <w:r w:rsidR="00BC7A3D">
              <w:rPr>
                <w:bCs/>
                <w:sz w:val="16"/>
                <w:szCs w:val="16"/>
              </w:rPr>
              <w:t>i</w:t>
            </w:r>
            <w:r w:rsidRPr="00BC7A3D">
              <w:rPr>
                <w:bCs/>
                <w:sz w:val="16"/>
                <w:szCs w:val="16"/>
              </w:rPr>
              <w:t xml:space="preserve">nterest </w:t>
            </w:r>
            <w:r w:rsidR="00BC7A3D">
              <w:rPr>
                <w:bCs/>
                <w:sz w:val="16"/>
                <w:szCs w:val="16"/>
              </w:rPr>
              <w:t>t</w:t>
            </w:r>
            <w:r w:rsidRPr="00BC7A3D">
              <w:rPr>
                <w:bCs/>
                <w:sz w:val="16"/>
                <w:szCs w:val="16"/>
              </w:rPr>
              <w:t>est</w:t>
            </w:r>
            <w:r>
              <w:rPr>
                <w:bCs/>
                <w:sz w:val="16"/>
                <w:szCs w:val="16"/>
              </w:rPr>
              <w:t xml:space="preserve"> for media mergers and acquisitions</w:t>
            </w:r>
            <w:r>
              <w:rPr>
                <w:b/>
                <w:bCs/>
              </w:rPr>
              <w:br/>
            </w:r>
          </w:p>
        </w:tc>
        <w:tc>
          <w:tcPr>
            <w:tcW w:w="2620" w:type="dxa"/>
            <w:tcMar>
              <w:top w:w="57" w:type="dxa"/>
              <w:left w:w="57" w:type="dxa"/>
              <w:bottom w:w="57" w:type="dxa"/>
              <w:right w:w="57" w:type="dxa"/>
            </w:tcMar>
            <w:vAlign w:val="center"/>
          </w:tcPr>
          <w:p w14:paraId="4E7234E9" w14:textId="215B7351" w:rsidR="0062116F" w:rsidRPr="007A1260" w:rsidRDefault="0062116F" w:rsidP="00C41ADE">
            <w:pPr>
              <w:spacing w:after="0" w:line="240" w:lineRule="auto"/>
              <w:jc w:val="center"/>
              <w:rPr>
                <w:bCs/>
                <w:sz w:val="16"/>
                <w:szCs w:val="16"/>
              </w:rPr>
            </w:pPr>
            <w:r w:rsidRPr="007A1260">
              <w:rPr>
                <w:noProof/>
                <w:sz w:val="16"/>
                <w:szCs w:val="16"/>
              </w:rPr>
              <w:drawing>
                <wp:inline distT="0" distB="0" distL="0" distR="0" wp14:anchorId="1D27ECE2" wp14:editId="1FD1D63F">
                  <wp:extent cx="251209" cy="251209"/>
                  <wp:effectExtent l="0" t="0" r="0" b="0"/>
                  <wp:docPr id="54" name="Graphic 54" descr="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heckmark.svg"/>
                          <pic:cNvPicPr/>
                        </pic:nvPicPr>
                        <pic:blipFill>
                          <a:blip r:embed="rId31" cstate="print">
                            <a:extLst>
                              <a:ext uri="{28A0092B-C50C-407E-A947-70E740481C1C}">
                                <a14:useLocalDpi xmlns:a14="http://schemas.microsoft.com/office/drawing/2010/main" val="0"/>
                              </a:ext>
                              <a:ext uri="{96DAC541-7B7A-43D3-8B79-37D633B846F1}">
                                <asvg:svgBlip xmlns:asvg="http://schemas.microsoft.com/office/drawing/2016/SVG/main" r:embed="rId32"/>
                              </a:ext>
                            </a:extLst>
                          </a:blip>
                          <a:stretch>
                            <a:fillRect/>
                          </a:stretch>
                        </pic:blipFill>
                        <pic:spPr>
                          <a:xfrm>
                            <a:off x="0" y="0"/>
                            <a:ext cx="262905" cy="262905"/>
                          </a:xfrm>
                          <a:prstGeom prst="rect">
                            <a:avLst/>
                          </a:prstGeom>
                        </pic:spPr>
                      </pic:pic>
                    </a:graphicData>
                  </a:graphic>
                </wp:inline>
              </w:drawing>
            </w:r>
            <w:r w:rsidRPr="007A1260">
              <w:rPr>
                <w:bCs/>
                <w:sz w:val="16"/>
                <w:szCs w:val="16"/>
              </w:rPr>
              <w:br/>
              <w:t xml:space="preserve">Specific news </w:t>
            </w:r>
            <w:r>
              <w:rPr>
                <w:bCs/>
                <w:sz w:val="16"/>
                <w:szCs w:val="16"/>
              </w:rPr>
              <w:t xml:space="preserve">content </w:t>
            </w:r>
            <w:r>
              <w:rPr>
                <w:bCs/>
                <w:sz w:val="16"/>
                <w:szCs w:val="16"/>
              </w:rPr>
              <w:br/>
            </w:r>
            <w:r w:rsidRPr="007A1260">
              <w:rPr>
                <w:bCs/>
                <w:sz w:val="16"/>
                <w:szCs w:val="16"/>
              </w:rPr>
              <w:t xml:space="preserve">obligations on </w:t>
            </w:r>
            <w:r>
              <w:rPr>
                <w:bCs/>
                <w:sz w:val="16"/>
                <w:szCs w:val="16"/>
              </w:rPr>
              <w:t xml:space="preserve">both </w:t>
            </w:r>
            <w:r w:rsidRPr="007A1260">
              <w:rPr>
                <w:bCs/>
                <w:sz w:val="16"/>
                <w:szCs w:val="16"/>
              </w:rPr>
              <w:t xml:space="preserve">public and </w:t>
            </w:r>
            <w:r>
              <w:rPr>
                <w:bCs/>
                <w:sz w:val="16"/>
                <w:szCs w:val="16"/>
              </w:rPr>
              <w:br/>
            </w:r>
            <w:r w:rsidRPr="007A1260">
              <w:rPr>
                <w:bCs/>
                <w:sz w:val="16"/>
                <w:szCs w:val="16"/>
              </w:rPr>
              <w:t>commercial broadcasters</w:t>
            </w:r>
          </w:p>
        </w:tc>
        <w:tc>
          <w:tcPr>
            <w:tcW w:w="2619" w:type="dxa"/>
            <w:tcMar>
              <w:top w:w="57" w:type="dxa"/>
              <w:left w:w="57" w:type="dxa"/>
              <w:bottom w:w="57" w:type="dxa"/>
              <w:right w:w="57" w:type="dxa"/>
            </w:tcMar>
            <w:vAlign w:val="center"/>
          </w:tcPr>
          <w:p w14:paraId="0E64B30D" w14:textId="7CB8796E" w:rsidR="0062116F" w:rsidRPr="00D81995" w:rsidRDefault="0062116F" w:rsidP="00C41ADE">
            <w:pPr>
              <w:spacing w:after="0" w:line="240" w:lineRule="auto"/>
              <w:jc w:val="center"/>
              <w:rPr>
                <w:b/>
                <w:bCs/>
              </w:rPr>
            </w:pPr>
            <w:r>
              <w:rPr>
                <w:noProof/>
              </w:rPr>
              <w:drawing>
                <wp:inline distT="0" distB="0" distL="0" distR="0" wp14:anchorId="51D2DEE7" wp14:editId="7300EED9">
                  <wp:extent cx="251209" cy="251209"/>
                  <wp:effectExtent l="0" t="0" r="0" b="0"/>
                  <wp:docPr id="53" name="Graphic 53" descr="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heckmark.svg"/>
                          <pic:cNvPicPr/>
                        </pic:nvPicPr>
                        <pic:blipFill>
                          <a:blip r:embed="rId26" cstate="print">
                            <a:extLst>
                              <a:ext uri="{28A0092B-C50C-407E-A947-70E740481C1C}">
                                <a14:useLocalDpi xmlns:a14="http://schemas.microsoft.com/office/drawing/2010/main" val="0"/>
                              </a:ext>
                              <a:ext uri="{96DAC541-7B7A-43D3-8B79-37D633B846F1}">
                                <asvg:svgBlip xmlns:asvg="http://schemas.microsoft.com/office/drawing/2016/SVG/main" r:embed="rId27"/>
                              </a:ext>
                            </a:extLst>
                          </a:blip>
                          <a:stretch>
                            <a:fillRect/>
                          </a:stretch>
                        </pic:blipFill>
                        <pic:spPr>
                          <a:xfrm>
                            <a:off x="0" y="0"/>
                            <a:ext cx="262905" cy="262905"/>
                          </a:xfrm>
                          <a:prstGeom prst="rect">
                            <a:avLst/>
                          </a:prstGeom>
                        </pic:spPr>
                      </pic:pic>
                    </a:graphicData>
                  </a:graphic>
                </wp:inline>
              </w:drawing>
            </w:r>
          </w:p>
        </w:tc>
        <w:tc>
          <w:tcPr>
            <w:tcW w:w="2552" w:type="dxa"/>
            <w:tcMar>
              <w:top w:w="57" w:type="dxa"/>
              <w:left w:w="57" w:type="dxa"/>
              <w:bottom w:w="57" w:type="dxa"/>
              <w:right w:w="57" w:type="dxa"/>
            </w:tcMar>
            <w:vAlign w:val="center"/>
          </w:tcPr>
          <w:p w14:paraId="4835BC7C" w14:textId="30079641" w:rsidR="0062116F" w:rsidRPr="00D81995" w:rsidRDefault="003E7E50" w:rsidP="00C41ADE">
            <w:pPr>
              <w:spacing w:after="0"/>
              <w:jc w:val="center"/>
              <w:rPr>
                <w:b/>
                <w:bCs/>
              </w:rPr>
            </w:pPr>
            <w:r w:rsidRPr="000B36E9">
              <w:rPr>
                <w:bCs/>
                <w:noProof/>
                <w:sz w:val="16"/>
                <w:szCs w:val="16"/>
              </w:rPr>
              <w:drawing>
                <wp:inline distT="0" distB="0" distL="0" distR="0" wp14:anchorId="2E1C11C8" wp14:editId="05E2FB27">
                  <wp:extent cx="251209" cy="251209"/>
                  <wp:effectExtent l="0" t="0" r="0" b="0"/>
                  <wp:docPr id="5" name="Graphic 5" descr="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heckmark.svg"/>
                          <pic:cNvPicPr/>
                        </pic:nvPicPr>
                        <pic:blipFill>
                          <a:blip r:embed="rId26" cstate="print">
                            <a:extLst>
                              <a:ext uri="{28A0092B-C50C-407E-A947-70E740481C1C}">
                                <a14:useLocalDpi xmlns:a14="http://schemas.microsoft.com/office/drawing/2010/main" val="0"/>
                              </a:ext>
                              <a:ext uri="{96DAC541-7B7A-43D3-8B79-37D633B846F1}">
                                <asvg:svgBlip xmlns:asvg="http://schemas.microsoft.com/office/drawing/2016/SVG/main" r:embed="rId27"/>
                              </a:ext>
                            </a:extLst>
                          </a:blip>
                          <a:stretch>
                            <a:fillRect/>
                          </a:stretch>
                        </pic:blipFill>
                        <pic:spPr>
                          <a:xfrm>
                            <a:off x="0" y="0"/>
                            <a:ext cx="262905" cy="262905"/>
                          </a:xfrm>
                          <a:prstGeom prst="rect">
                            <a:avLst/>
                          </a:prstGeom>
                        </pic:spPr>
                      </pic:pic>
                    </a:graphicData>
                  </a:graphic>
                </wp:inline>
              </w:drawing>
            </w:r>
          </w:p>
        </w:tc>
        <w:tc>
          <w:tcPr>
            <w:tcW w:w="2688" w:type="dxa"/>
            <w:tcMar>
              <w:top w:w="57" w:type="dxa"/>
              <w:left w:w="57" w:type="dxa"/>
              <w:bottom w:w="57" w:type="dxa"/>
              <w:right w:w="57" w:type="dxa"/>
            </w:tcMar>
            <w:vAlign w:val="center"/>
          </w:tcPr>
          <w:p w14:paraId="4F7A4DCA" w14:textId="5BBD4DC3" w:rsidR="00D33606" w:rsidRDefault="0062116F" w:rsidP="00C41ADE">
            <w:pPr>
              <w:spacing w:after="0"/>
              <w:jc w:val="center"/>
              <w:rPr>
                <w:b/>
                <w:bCs/>
              </w:rPr>
            </w:pPr>
            <w:r>
              <w:rPr>
                <w:noProof/>
              </w:rPr>
              <w:drawing>
                <wp:inline distT="0" distB="0" distL="0" distR="0" wp14:anchorId="294230D1" wp14:editId="651AF2D7">
                  <wp:extent cx="251209" cy="251209"/>
                  <wp:effectExtent l="0" t="0" r="0" b="0"/>
                  <wp:docPr id="51" name="Graphic 51" descr="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heckmark.svg"/>
                          <pic:cNvPicPr/>
                        </pic:nvPicPr>
                        <pic:blipFill>
                          <a:blip r:embed="rId31" cstate="print">
                            <a:extLst>
                              <a:ext uri="{28A0092B-C50C-407E-A947-70E740481C1C}">
                                <a14:useLocalDpi xmlns:a14="http://schemas.microsoft.com/office/drawing/2010/main" val="0"/>
                              </a:ext>
                              <a:ext uri="{96DAC541-7B7A-43D3-8B79-37D633B846F1}">
                                <asvg:svgBlip xmlns:asvg="http://schemas.microsoft.com/office/drawing/2016/SVG/main" r:embed="rId32"/>
                              </a:ext>
                            </a:extLst>
                          </a:blip>
                          <a:stretch>
                            <a:fillRect/>
                          </a:stretch>
                        </pic:blipFill>
                        <pic:spPr>
                          <a:xfrm>
                            <a:off x="0" y="0"/>
                            <a:ext cx="262905" cy="262905"/>
                          </a:xfrm>
                          <a:prstGeom prst="rect">
                            <a:avLst/>
                          </a:prstGeom>
                        </pic:spPr>
                      </pic:pic>
                    </a:graphicData>
                  </a:graphic>
                </wp:inline>
              </w:drawing>
            </w:r>
          </w:p>
          <w:p w14:paraId="508CB4D1" w14:textId="7EAA6076" w:rsidR="0062116F" w:rsidRPr="00D81995" w:rsidRDefault="00BD42FB" w:rsidP="00CD2084">
            <w:pPr>
              <w:spacing w:after="0" w:line="200" w:lineRule="atLeast"/>
              <w:jc w:val="center"/>
              <w:rPr>
                <w:b/>
                <w:bCs/>
              </w:rPr>
            </w:pPr>
            <w:r>
              <w:rPr>
                <w:bCs/>
                <w:sz w:val="16"/>
                <w:szCs w:val="16"/>
              </w:rPr>
              <w:t xml:space="preserve">Strengthened BBC </w:t>
            </w:r>
            <w:r w:rsidR="00A60F02">
              <w:rPr>
                <w:bCs/>
                <w:sz w:val="16"/>
                <w:szCs w:val="16"/>
              </w:rPr>
              <w:t xml:space="preserve">news requirements </w:t>
            </w:r>
            <w:r>
              <w:rPr>
                <w:bCs/>
                <w:sz w:val="16"/>
                <w:szCs w:val="16"/>
              </w:rPr>
              <w:t>in 2017</w:t>
            </w:r>
          </w:p>
        </w:tc>
      </w:tr>
      <w:tr w:rsidR="0062116F" w:rsidRPr="00D81995" w14:paraId="3E9A1E21" w14:textId="77777777" w:rsidTr="00CD2084">
        <w:trPr>
          <w:trHeight w:hRule="exact" w:val="1021"/>
          <w:jc w:val="center"/>
        </w:trPr>
        <w:tc>
          <w:tcPr>
            <w:tcW w:w="1072" w:type="dxa"/>
            <w:shd w:val="clear" w:color="auto" w:fill="F2F2F2" w:themeFill="background1" w:themeFillShade="F2"/>
            <w:tcMar>
              <w:top w:w="57" w:type="dxa"/>
              <w:left w:w="57" w:type="dxa"/>
              <w:bottom w:w="57" w:type="dxa"/>
              <w:right w:w="57" w:type="dxa"/>
            </w:tcMar>
            <w:vAlign w:val="center"/>
          </w:tcPr>
          <w:p w14:paraId="4314CBF3" w14:textId="77777777" w:rsidR="0062116F" w:rsidRPr="00270DDC" w:rsidRDefault="0062116F" w:rsidP="00D33606">
            <w:pPr>
              <w:spacing w:after="0"/>
              <w:jc w:val="center"/>
              <w:rPr>
                <w:b/>
                <w:bCs/>
                <w:sz w:val="18"/>
                <w:szCs w:val="18"/>
              </w:rPr>
            </w:pPr>
            <w:r w:rsidRPr="00270DDC">
              <w:rPr>
                <w:b/>
                <w:bCs/>
                <w:sz w:val="18"/>
                <w:szCs w:val="18"/>
              </w:rPr>
              <w:t>Canada</w:t>
            </w:r>
          </w:p>
          <w:p w14:paraId="4895157C" w14:textId="0FE10631" w:rsidR="0062116F" w:rsidRPr="00270DDC" w:rsidRDefault="0062116F" w:rsidP="00C41ADE">
            <w:pPr>
              <w:spacing w:after="0"/>
              <w:jc w:val="center"/>
              <w:rPr>
                <w:b/>
                <w:bCs/>
                <w:sz w:val="18"/>
                <w:szCs w:val="18"/>
              </w:rPr>
            </w:pPr>
            <w:r w:rsidRPr="00270DDC">
              <w:rPr>
                <w:b/>
                <w:bCs/>
                <w:noProof/>
                <w:sz w:val="18"/>
                <w:szCs w:val="18"/>
              </w:rPr>
              <w:drawing>
                <wp:inline distT="0" distB="0" distL="0" distR="0" wp14:anchorId="46B74245" wp14:editId="2B6AE999">
                  <wp:extent cx="444500" cy="444500"/>
                  <wp:effectExtent l="0" t="0" r="0" b="0"/>
                  <wp:docPr id="31" name="Picture 31" descr="Map of Canada.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445229" cy="445229"/>
                          </a:xfrm>
                          <a:prstGeom prst="rect">
                            <a:avLst/>
                          </a:prstGeom>
                          <a:noFill/>
                          <a:ln>
                            <a:noFill/>
                          </a:ln>
                        </pic:spPr>
                      </pic:pic>
                    </a:graphicData>
                  </a:graphic>
                </wp:inline>
              </w:drawing>
            </w:r>
          </w:p>
        </w:tc>
        <w:tc>
          <w:tcPr>
            <w:tcW w:w="2619" w:type="dxa"/>
            <w:tcMar>
              <w:top w:w="57" w:type="dxa"/>
              <w:left w:w="57" w:type="dxa"/>
              <w:bottom w:w="57" w:type="dxa"/>
              <w:right w:w="57" w:type="dxa"/>
            </w:tcMar>
            <w:vAlign w:val="center"/>
          </w:tcPr>
          <w:p w14:paraId="1A661BE1" w14:textId="43A988E5" w:rsidR="0062116F" w:rsidRPr="00D81995" w:rsidRDefault="0062116F" w:rsidP="00C41ADE">
            <w:pPr>
              <w:spacing w:after="0"/>
              <w:jc w:val="center"/>
              <w:rPr>
                <w:b/>
                <w:bCs/>
              </w:rPr>
            </w:pPr>
            <w:r>
              <w:rPr>
                <w:noProof/>
              </w:rPr>
              <w:drawing>
                <wp:inline distT="0" distB="0" distL="0" distR="0" wp14:anchorId="59F58265" wp14:editId="6FC432F9">
                  <wp:extent cx="251209" cy="251209"/>
                  <wp:effectExtent l="0" t="0" r="0" b="0"/>
                  <wp:docPr id="36" name="Graphic 36" descr="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heckmark.svg"/>
                          <pic:cNvPicPr/>
                        </pic:nvPicPr>
                        <pic:blipFill>
                          <a:blip r:embed="rId26" cstate="print">
                            <a:extLst>
                              <a:ext uri="{28A0092B-C50C-407E-A947-70E740481C1C}">
                                <a14:useLocalDpi xmlns:a14="http://schemas.microsoft.com/office/drawing/2010/main" val="0"/>
                              </a:ext>
                              <a:ext uri="{96DAC541-7B7A-43D3-8B79-37D633B846F1}">
                                <asvg:svgBlip xmlns:asvg="http://schemas.microsoft.com/office/drawing/2016/SVG/main" r:embed="rId27"/>
                              </a:ext>
                            </a:extLst>
                          </a:blip>
                          <a:stretch>
                            <a:fillRect/>
                          </a:stretch>
                        </pic:blipFill>
                        <pic:spPr>
                          <a:xfrm>
                            <a:off x="0" y="0"/>
                            <a:ext cx="262905" cy="262905"/>
                          </a:xfrm>
                          <a:prstGeom prst="rect">
                            <a:avLst/>
                          </a:prstGeom>
                        </pic:spPr>
                      </pic:pic>
                    </a:graphicData>
                  </a:graphic>
                </wp:inline>
              </w:drawing>
            </w:r>
          </w:p>
        </w:tc>
        <w:tc>
          <w:tcPr>
            <w:tcW w:w="2620" w:type="dxa"/>
            <w:tcMar>
              <w:top w:w="57" w:type="dxa"/>
              <w:left w:w="57" w:type="dxa"/>
              <w:bottom w:w="57" w:type="dxa"/>
              <w:right w:w="57" w:type="dxa"/>
            </w:tcMar>
            <w:vAlign w:val="center"/>
          </w:tcPr>
          <w:p w14:paraId="1F10CB9D" w14:textId="578D5FF5" w:rsidR="0062116F" w:rsidRPr="00D81995" w:rsidRDefault="0062116F" w:rsidP="00C41ADE">
            <w:pPr>
              <w:spacing w:after="0"/>
              <w:jc w:val="center"/>
              <w:rPr>
                <w:b/>
                <w:bCs/>
              </w:rPr>
            </w:pPr>
            <w:r>
              <w:rPr>
                <w:noProof/>
              </w:rPr>
              <w:drawing>
                <wp:inline distT="0" distB="0" distL="0" distR="0" wp14:anchorId="65A729DF" wp14:editId="3F7B29D7">
                  <wp:extent cx="251209" cy="251209"/>
                  <wp:effectExtent l="0" t="0" r="0" b="0"/>
                  <wp:docPr id="56" name="Graphic 56" descr="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heckmark.svg"/>
                          <pic:cNvPicPr/>
                        </pic:nvPicPr>
                        <pic:blipFill>
                          <a:blip r:embed="rId26" cstate="print">
                            <a:extLst>
                              <a:ext uri="{28A0092B-C50C-407E-A947-70E740481C1C}">
                                <a14:useLocalDpi xmlns:a14="http://schemas.microsoft.com/office/drawing/2010/main" val="0"/>
                              </a:ext>
                              <a:ext uri="{96DAC541-7B7A-43D3-8B79-37D633B846F1}">
                                <asvg:svgBlip xmlns:asvg="http://schemas.microsoft.com/office/drawing/2016/SVG/main" r:embed="rId27"/>
                              </a:ext>
                            </a:extLst>
                          </a:blip>
                          <a:stretch>
                            <a:fillRect/>
                          </a:stretch>
                        </pic:blipFill>
                        <pic:spPr>
                          <a:xfrm>
                            <a:off x="0" y="0"/>
                            <a:ext cx="262905" cy="262905"/>
                          </a:xfrm>
                          <a:prstGeom prst="rect">
                            <a:avLst/>
                          </a:prstGeom>
                        </pic:spPr>
                      </pic:pic>
                    </a:graphicData>
                  </a:graphic>
                </wp:inline>
              </w:drawing>
            </w:r>
          </w:p>
        </w:tc>
        <w:tc>
          <w:tcPr>
            <w:tcW w:w="2619" w:type="dxa"/>
            <w:tcMar>
              <w:top w:w="57" w:type="dxa"/>
              <w:left w:w="57" w:type="dxa"/>
              <w:bottom w:w="57" w:type="dxa"/>
              <w:right w:w="57" w:type="dxa"/>
            </w:tcMar>
            <w:vAlign w:val="center"/>
          </w:tcPr>
          <w:p w14:paraId="62600379" w14:textId="3D24BB25" w:rsidR="0062116F" w:rsidRPr="00D81995" w:rsidRDefault="0062116F" w:rsidP="00C41ADE">
            <w:pPr>
              <w:spacing w:after="0" w:line="240" w:lineRule="auto"/>
              <w:jc w:val="center"/>
              <w:rPr>
                <w:b/>
                <w:bCs/>
              </w:rPr>
            </w:pPr>
            <w:r>
              <w:rPr>
                <w:noProof/>
              </w:rPr>
              <w:drawing>
                <wp:inline distT="0" distB="0" distL="0" distR="0" wp14:anchorId="54460F07" wp14:editId="23D297CF">
                  <wp:extent cx="251209" cy="251209"/>
                  <wp:effectExtent l="0" t="0" r="0" b="0"/>
                  <wp:docPr id="60" name="Graphic 60" descr="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heckmark.svg"/>
                          <pic:cNvPicPr/>
                        </pic:nvPicPr>
                        <pic:blipFill>
                          <a:blip r:embed="rId31" cstate="print">
                            <a:extLst>
                              <a:ext uri="{28A0092B-C50C-407E-A947-70E740481C1C}">
                                <a14:useLocalDpi xmlns:a14="http://schemas.microsoft.com/office/drawing/2010/main" val="0"/>
                              </a:ext>
                              <a:ext uri="{96DAC541-7B7A-43D3-8B79-37D633B846F1}">
                                <asvg:svgBlip xmlns:asvg="http://schemas.microsoft.com/office/drawing/2016/SVG/main" r:embed="rId32"/>
                              </a:ext>
                            </a:extLst>
                          </a:blip>
                          <a:stretch>
                            <a:fillRect/>
                          </a:stretch>
                        </pic:blipFill>
                        <pic:spPr>
                          <a:xfrm>
                            <a:off x="0" y="0"/>
                            <a:ext cx="262905" cy="262905"/>
                          </a:xfrm>
                          <a:prstGeom prst="rect">
                            <a:avLst/>
                          </a:prstGeom>
                        </pic:spPr>
                      </pic:pic>
                    </a:graphicData>
                  </a:graphic>
                </wp:inline>
              </w:drawing>
            </w:r>
            <w:r>
              <w:rPr>
                <w:b/>
                <w:bCs/>
              </w:rPr>
              <w:br/>
            </w:r>
            <w:r>
              <w:rPr>
                <w:bCs/>
                <w:sz w:val="16"/>
                <w:szCs w:val="16"/>
              </w:rPr>
              <w:t xml:space="preserve">Tax breaks for journalists and </w:t>
            </w:r>
            <w:r>
              <w:rPr>
                <w:bCs/>
                <w:sz w:val="16"/>
                <w:szCs w:val="16"/>
              </w:rPr>
              <w:br/>
              <w:t>tax credits for digital news subscriptions</w:t>
            </w:r>
          </w:p>
        </w:tc>
        <w:tc>
          <w:tcPr>
            <w:tcW w:w="2552" w:type="dxa"/>
            <w:tcMar>
              <w:top w:w="57" w:type="dxa"/>
              <w:left w:w="57" w:type="dxa"/>
              <w:bottom w:w="57" w:type="dxa"/>
              <w:right w:w="57" w:type="dxa"/>
            </w:tcMar>
            <w:vAlign w:val="center"/>
          </w:tcPr>
          <w:p w14:paraId="18723710" w14:textId="174C4A3D" w:rsidR="0062116F" w:rsidRPr="00D81995" w:rsidRDefault="00081C71" w:rsidP="00C41ADE">
            <w:pPr>
              <w:spacing w:after="0"/>
              <w:jc w:val="center"/>
              <w:rPr>
                <w:b/>
                <w:bCs/>
              </w:rPr>
            </w:pPr>
            <w:r>
              <w:rPr>
                <w:noProof/>
              </w:rPr>
              <w:drawing>
                <wp:inline distT="0" distB="0" distL="0" distR="0" wp14:anchorId="64C8B6B6" wp14:editId="031658EF">
                  <wp:extent cx="251209" cy="251209"/>
                  <wp:effectExtent l="0" t="0" r="0" b="0"/>
                  <wp:docPr id="2" name="Graphic 2" descr="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heckmark.svg"/>
                          <pic:cNvPicPr/>
                        </pic:nvPicPr>
                        <pic:blipFill>
                          <a:blip r:embed="rId26" cstate="print">
                            <a:extLst>
                              <a:ext uri="{28A0092B-C50C-407E-A947-70E740481C1C}">
                                <a14:useLocalDpi xmlns:a14="http://schemas.microsoft.com/office/drawing/2010/main" val="0"/>
                              </a:ext>
                              <a:ext uri="{96DAC541-7B7A-43D3-8B79-37D633B846F1}">
                                <asvg:svgBlip xmlns:asvg="http://schemas.microsoft.com/office/drawing/2016/SVG/main" r:embed="rId27"/>
                              </a:ext>
                            </a:extLst>
                          </a:blip>
                          <a:stretch>
                            <a:fillRect/>
                          </a:stretch>
                        </pic:blipFill>
                        <pic:spPr>
                          <a:xfrm>
                            <a:off x="0" y="0"/>
                            <a:ext cx="262905" cy="262905"/>
                          </a:xfrm>
                          <a:prstGeom prst="rect">
                            <a:avLst/>
                          </a:prstGeom>
                        </pic:spPr>
                      </pic:pic>
                    </a:graphicData>
                  </a:graphic>
                </wp:inline>
              </w:drawing>
            </w:r>
          </w:p>
        </w:tc>
        <w:tc>
          <w:tcPr>
            <w:tcW w:w="2688" w:type="dxa"/>
            <w:tcMar>
              <w:top w:w="57" w:type="dxa"/>
              <w:left w:w="57" w:type="dxa"/>
              <w:bottom w:w="57" w:type="dxa"/>
              <w:right w:w="57" w:type="dxa"/>
            </w:tcMar>
            <w:vAlign w:val="center"/>
          </w:tcPr>
          <w:p w14:paraId="647E300A" w14:textId="694397D5" w:rsidR="0062116F" w:rsidRDefault="00D33606" w:rsidP="00C41ADE">
            <w:pPr>
              <w:spacing w:after="0"/>
              <w:jc w:val="center"/>
              <w:rPr>
                <w:b/>
                <w:bCs/>
              </w:rPr>
            </w:pPr>
            <w:r>
              <w:rPr>
                <w:noProof/>
              </w:rPr>
              <w:drawing>
                <wp:inline distT="0" distB="0" distL="0" distR="0" wp14:anchorId="378AB1B4" wp14:editId="5ED0185C">
                  <wp:extent cx="251209" cy="251209"/>
                  <wp:effectExtent l="0" t="0" r="0" b="0"/>
                  <wp:docPr id="6" name="Graphic 6" descr="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heckmark.svg"/>
                          <pic:cNvPicPr/>
                        </pic:nvPicPr>
                        <pic:blipFill>
                          <a:blip r:embed="rId26" cstate="print">
                            <a:extLst>
                              <a:ext uri="{28A0092B-C50C-407E-A947-70E740481C1C}">
                                <a14:useLocalDpi xmlns:a14="http://schemas.microsoft.com/office/drawing/2010/main" val="0"/>
                              </a:ext>
                              <a:ext uri="{96DAC541-7B7A-43D3-8B79-37D633B846F1}">
                                <asvg:svgBlip xmlns:asvg="http://schemas.microsoft.com/office/drawing/2016/SVG/main" r:embed="rId27"/>
                              </a:ext>
                            </a:extLst>
                          </a:blip>
                          <a:stretch>
                            <a:fillRect/>
                          </a:stretch>
                        </pic:blipFill>
                        <pic:spPr>
                          <a:xfrm>
                            <a:off x="0" y="0"/>
                            <a:ext cx="262905" cy="262905"/>
                          </a:xfrm>
                          <a:prstGeom prst="rect">
                            <a:avLst/>
                          </a:prstGeom>
                        </pic:spPr>
                      </pic:pic>
                    </a:graphicData>
                  </a:graphic>
                </wp:inline>
              </w:drawing>
            </w:r>
          </w:p>
          <w:p w14:paraId="70B72F2F" w14:textId="44807313" w:rsidR="0062116F" w:rsidRPr="00D81995" w:rsidRDefault="0062116F" w:rsidP="00C41ADE">
            <w:pPr>
              <w:spacing w:after="0" w:line="240" w:lineRule="auto"/>
              <w:jc w:val="center"/>
              <w:rPr>
                <w:b/>
                <w:bCs/>
              </w:rPr>
            </w:pPr>
          </w:p>
        </w:tc>
      </w:tr>
      <w:tr w:rsidR="0062116F" w:rsidRPr="00D81995" w14:paraId="14FD6B0F" w14:textId="77777777" w:rsidTr="00CD2084">
        <w:trPr>
          <w:trHeight w:hRule="exact" w:val="1126"/>
          <w:jc w:val="center"/>
        </w:trPr>
        <w:tc>
          <w:tcPr>
            <w:tcW w:w="1072" w:type="dxa"/>
            <w:shd w:val="clear" w:color="auto" w:fill="F2F2F2" w:themeFill="background1" w:themeFillShade="F2"/>
            <w:tcMar>
              <w:top w:w="57" w:type="dxa"/>
              <w:left w:w="57" w:type="dxa"/>
              <w:bottom w:w="57" w:type="dxa"/>
              <w:right w:w="57" w:type="dxa"/>
            </w:tcMar>
            <w:vAlign w:val="center"/>
          </w:tcPr>
          <w:p w14:paraId="70F4937F" w14:textId="77777777" w:rsidR="0062116F" w:rsidRPr="00270DDC" w:rsidRDefault="0062116F" w:rsidP="00D33606">
            <w:pPr>
              <w:spacing w:after="0"/>
              <w:jc w:val="center"/>
              <w:rPr>
                <w:b/>
                <w:bCs/>
                <w:sz w:val="18"/>
                <w:szCs w:val="18"/>
              </w:rPr>
            </w:pPr>
            <w:r w:rsidRPr="00270DDC">
              <w:rPr>
                <w:b/>
                <w:bCs/>
                <w:sz w:val="18"/>
                <w:szCs w:val="18"/>
              </w:rPr>
              <w:t>US</w:t>
            </w:r>
          </w:p>
          <w:p w14:paraId="10889868" w14:textId="71CB6A64" w:rsidR="0062116F" w:rsidRPr="00270DDC" w:rsidRDefault="0062116F" w:rsidP="00C41ADE">
            <w:pPr>
              <w:spacing w:after="0"/>
              <w:jc w:val="center"/>
              <w:rPr>
                <w:b/>
                <w:bCs/>
                <w:sz w:val="18"/>
                <w:szCs w:val="18"/>
              </w:rPr>
            </w:pPr>
            <w:r w:rsidRPr="00270DDC">
              <w:rPr>
                <w:b/>
                <w:bCs/>
                <w:noProof/>
                <w:sz w:val="18"/>
                <w:szCs w:val="18"/>
              </w:rPr>
              <w:drawing>
                <wp:inline distT="0" distB="0" distL="0" distR="0" wp14:anchorId="23BD76E4" wp14:editId="3D8DE627">
                  <wp:extent cx="482600" cy="482600"/>
                  <wp:effectExtent l="0" t="0" r="0" b="0"/>
                  <wp:docPr id="32" name="Picture 32" descr="Map of the United Stat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483392" cy="483392"/>
                          </a:xfrm>
                          <a:prstGeom prst="rect">
                            <a:avLst/>
                          </a:prstGeom>
                          <a:noFill/>
                          <a:ln>
                            <a:noFill/>
                          </a:ln>
                        </pic:spPr>
                      </pic:pic>
                    </a:graphicData>
                  </a:graphic>
                </wp:inline>
              </w:drawing>
            </w:r>
          </w:p>
        </w:tc>
        <w:tc>
          <w:tcPr>
            <w:tcW w:w="2619" w:type="dxa"/>
            <w:tcMar>
              <w:top w:w="57" w:type="dxa"/>
              <w:left w:w="57" w:type="dxa"/>
              <w:bottom w:w="57" w:type="dxa"/>
              <w:right w:w="57" w:type="dxa"/>
            </w:tcMar>
            <w:vAlign w:val="center"/>
          </w:tcPr>
          <w:p w14:paraId="634B9257" w14:textId="73D9ADE5" w:rsidR="0062116F" w:rsidRPr="00911685" w:rsidRDefault="0062116F" w:rsidP="00C41ADE">
            <w:pPr>
              <w:spacing w:after="0" w:line="240" w:lineRule="auto"/>
              <w:jc w:val="center"/>
              <w:rPr>
                <w:bCs/>
                <w:sz w:val="16"/>
                <w:szCs w:val="16"/>
              </w:rPr>
            </w:pPr>
            <w:r w:rsidRPr="00911685">
              <w:rPr>
                <w:bCs/>
                <w:noProof/>
                <w:sz w:val="16"/>
                <w:szCs w:val="16"/>
              </w:rPr>
              <w:drawing>
                <wp:inline distT="0" distB="0" distL="0" distR="0" wp14:anchorId="2291B124" wp14:editId="54E47291">
                  <wp:extent cx="251209" cy="251209"/>
                  <wp:effectExtent l="0" t="0" r="0" b="0"/>
                  <wp:docPr id="37" name="Graphic 37" descr="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heckmark.svg"/>
                          <pic:cNvPicPr/>
                        </pic:nvPicPr>
                        <pic:blipFill>
                          <a:blip r:embed="rId26" cstate="print">
                            <a:extLst>
                              <a:ext uri="{28A0092B-C50C-407E-A947-70E740481C1C}">
                                <a14:useLocalDpi xmlns:a14="http://schemas.microsoft.com/office/drawing/2010/main" val="0"/>
                              </a:ext>
                              <a:ext uri="{96DAC541-7B7A-43D3-8B79-37D633B846F1}">
                                <asvg:svgBlip xmlns:asvg="http://schemas.microsoft.com/office/drawing/2016/SVG/main" r:embed="rId27"/>
                              </a:ext>
                            </a:extLst>
                          </a:blip>
                          <a:stretch>
                            <a:fillRect/>
                          </a:stretch>
                        </pic:blipFill>
                        <pic:spPr>
                          <a:xfrm>
                            <a:off x="0" y="0"/>
                            <a:ext cx="262905" cy="262905"/>
                          </a:xfrm>
                          <a:prstGeom prst="rect">
                            <a:avLst/>
                          </a:prstGeom>
                        </pic:spPr>
                      </pic:pic>
                    </a:graphicData>
                  </a:graphic>
                </wp:inline>
              </w:drawing>
            </w:r>
            <w:r w:rsidRPr="00911685">
              <w:rPr>
                <w:bCs/>
                <w:sz w:val="16"/>
                <w:szCs w:val="16"/>
              </w:rPr>
              <w:br/>
            </w:r>
          </w:p>
        </w:tc>
        <w:tc>
          <w:tcPr>
            <w:tcW w:w="2620" w:type="dxa"/>
            <w:tcMar>
              <w:top w:w="57" w:type="dxa"/>
              <w:left w:w="57" w:type="dxa"/>
              <w:bottom w:w="57" w:type="dxa"/>
              <w:right w:w="57" w:type="dxa"/>
            </w:tcMar>
            <w:vAlign w:val="center"/>
          </w:tcPr>
          <w:p w14:paraId="7B7F12C3" w14:textId="62EE773A" w:rsidR="0062116F" w:rsidRPr="00CD2084" w:rsidRDefault="00121A55" w:rsidP="00C41ADE">
            <w:pPr>
              <w:spacing w:after="0"/>
              <w:jc w:val="center"/>
            </w:pPr>
            <w:r>
              <w:rPr>
                <w:noProof/>
              </w:rPr>
              <w:drawing>
                <wp:inline distT="0" distB="0" distL="0" distR="0" wp14:anchorId="7160E228" wp14:editId="4F9A5030">
                  <wp:extent cx="252000" cy="252000"/>
                  <wp:effectExtent l="0" t="0" r="0" b="0"/>
                  <wp:docPr id="9" name="Graphic 9" descr="Clo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close.svg"/>
                          <pic:cNvPicPr/>
                        </pic:nvPicPr>
                        <pic:blipFill>
                          <a:blip r:embed="rId28">
                            <a:extLst>
                              <a:ext uri="{96DAC541-7B7A-43D3-8B79-37D633B846F1}">
                                <asvg:svgBlip xmlns:asvg="http://schemas.microsoft.com/office/drawing/2016/SVG/main" r:embed="rId29"/>
                              </a:ext>
                            </a:extLst>
                          </a:blip>
                          <a:stretch>
                            <a:fillRect/>
                          </a:stretch>
                        </pic:blipFill>
                        <pic:spPr>
                          <a:xfrm>
                            <a:off x="0" y="0"/>
                            <a:ext cx="252000" cy="252000"/>
                          </a:xfrm>
                          <a:prstGeom prst="rect">
                            <a:avLst/>
                          </a:prstGeom>
                        </pic:spPr>
                      </pic:pic>
                    </a:graphicData>
                  </a:graphic>
                </wp:inline>
              </w:drawing>
            </w:r>
          </w:p>
        </w:tc>
        <w:tc>
          <w:tcPr>
            <w:tcW w:w="2619" w:type="dxa"/>
            <w:tcMar>
              <w:top w:w="57" w:type="dxa"/>
              <w:left w:w="57" w:type="dxa"/>
              <w:bottom w:w="57" w:type="dxa"/>
              <w:right w:w="57" w:type="dxa"/>
            </w:tcMar>
            <w:vAlign w:val="center"/>
          </w:tcPr>
          <w:p w14:paraId="1378FF92" w14:textId="77777777" w:rsidR="0062116F" w:rsidRDefault="0062116F" w:rsidP="00C41ADE">
            <w:pPr>
              <w:spacing w:after="0"/>
              <w:jc w:val="center"/>
              <w:rPr>
                <w:b/>
                <w:bCs/>
              </w:rPr>
            </w:pPr>
            <w:r>
              <w:rPr>
                <w:noProof/>
              </w:rPr>
              <w:drawing>
                <wp:inline distT="0" distB="0" distL="0" distR="0" wp14:anchorId="2C860DFA" wp14:editId="2DD30324">
                  <wp:extent cx="251209" cy="251209"/>
                  <wp:effectExtent l="0" t="0" r="0" b="0"/>
                  <wp:docPr id="8" name="Graphic 8" descr="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heckmark.svg"/>
                          <pic:cNvPicPr/>
                        </pic:nvPicPr>
                        <pic:blipFill>
                          <a:blip r:embed="rId26" cstate="print">
                            <a:extLst>
                              <a:ext uri="{28A0092B-C50C-407E-A947-70E740481C1C}">
                                <a14:useLocalDpi xmlns:a14="http://schemas.microsoft.com/office/drawing/2010/main" val="0"/>
                              </a:ext>
                              <a:ext uri="{96DAC541-7B7A-43D3-8B79-37D633B846F1}">
                                <asvg:svgBlip xmlns:asvg="http://schemas.microsoft.com/office/drawing/2016/SVG/main" r:embed="rId27"/>
                              </a:ext>
                            </a:extLst>
                          </a:blip>
                          <a:stretch>
                            <a:fillRect/>
                          </a:stretch>
                        </pic:blipFill>
                        <pic:spPr>
                          <a:xfrm>
                            <a:off x="0" y="0"/>
                            <a:ext cx="262905" cy="262905"/>
                          </a:xfrm>
                          <a:prstGeom prst="rect">
                            <a:avLst/>
                          </a:prstGeom>
                        </pic:spPr>
                      </pic:pic>
                    </a:graphicData>
                  </a:graphic>
                </wp:inline>
              </w:drawing>
            </w:r>
          </w:p>
          <w:p w14:paraId="54FFC01E" w14:textId="4BDF3CBA" w:rsidR="0062116F" w:rsidRPr="007A1260" w:rsidRDefault="0062116F" w:rsidP="00C41ADE">
            <w:pPr>
              <w:spacing w:after="0" w:line="240" w:lineRule="auto"/>
              <w:rPr>
                <w:sz w:val="16"/>
                <w:szCs w:val="16"/>
              </w:rPr>
            </w:pPr>
          </w:p>
        </w:tc>
        <w:tc>
          <w:tcPr>
            <w:tcW w:w="2552" w:type="dxa"/>
            <w:tcMar>
              <w:top w:w="57" w:type="dxa"/>
              <w:left w:w="57" w:type="dxa"/>
              <w:bottom w:w="57" w:type="dxa"/>
              <w:right w:w="57" w:type="dxa"/>
            </w:tcMar>
            <w:vAlign w:val="center"/>
          </w:tcPr>
          <w:p w14:paraId="727A33B5" w14:textId="1A27E533" w:rsidR="0062116F" w:rsidRPr="00D2125C" w:rsidRDefault="0062116F" w:rsidP="00C41ADE">
            <w:pPr>
              <w:spacing w:after="0" w:line="240" w:lineRule="auto"/>
              <w:jc w:val="center"/>
              <w:rPr>
                <w:bCs/>
                <w:sz w:val="16"/>
                <w:szCs w:val="16"/>
              </w:rPr>
            </w:pPr>
            <w:r w:rsidRPr="00D2125C">
              <w:rPr>
                <w:bCs/>
                <w:noProof/>
                <w:sz w:val="16"/>
                <w:szCs w:val="16"/>
              </w:rPr>
              <w:drawing>
                <wp:inline distT="0" distB="0" distL="0" distR="0" wp14:anchorId="3DF0295E" wp14:editId="14A9426D">
                  <wp:extent cx="251209" cy="251209"/>
                  <wp:effectExtent l="0" t="0" r="0" b="0"/>
                  <wp:docPr id="24" name="Graphic 24" descr="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heckmark.svg"/>
                          <pic:cNvPicPr/>
                        </pic:nvPicPr>
                        <pic:blipFill>
                          <a:blip r:embed="rId31" cstate="print">
                            <a:extLst>
                              <a:ext uri="{28A0092B-C50C-407E-A947-70E740481C1C}">
                                <a14:useLocalDpi xmlns:a14="http://schemas.microsoft.com/office/drawing/2010/main" val="0"/>
                              </a:ext>
                              <a:ext uri="{96DAC541-7B7A-43D3-8B79-37D633B846F1}">
                                <asvg:svgBlip xmlns:asvg="http://schemas.microsoft.com/office/drawing/2016/SVG/main" r:embed="rId32"/>
                              </a:ext>
                            </a:extLst>
                          </a:blip>
                          <a:stretch>
                            <a:fillRect/>
                          </a:stretch>
                        </pic:blipFill>
                        <pic:spPr>
                          <a:xfrm>
                            <a:off x="0" y="0"/>
                            <a:ext cx="262905" cy="262905"/>
                          </a:xfrm>
                          <a:prstGeom prst="rect">
                            <a:avLst/>
                          </a:prstGeom>
                        </pic:spPr>
                      </pic:pic>
                    </a:graphicData>
                  </a:graphic>
                </wp:inline>
              </w:drawing>
            </w:r>
            <w:r w:rsidRPr="00D2125C">
              <w:rPr>
                <w:bCs/>
                <w:sz w:val="16"/>
                <w:szCs w:val="16"/>
              </w:rPr>
              <w:br/>
            </w:r>
            <w:r>
              <w:rPr>
                <w:bCs/>
                <w:sz w:val="16"/>
                <w:szCs w:val="16"/>
              </w:rPr>
              <w:t xml:space="preserve">Regulatory focus on minority ownership, including </w:t>
            </w:r>
            <w:r w:rsidR="00A67AFE">
              <w:rPr>
                <w:bCs/>
                <w:sz w:val="16"/>
                <w:szCs w:val="16"/>
              </w:rPr>
              <w:t xml:space="preserve">through </w:t>
            </w:r>
            <w:r w:rsidRPr="00D2125C">
              <w:rPr>
                <w:bCs/>
                <w:sz w:val="16"/>
                <w:szCs w:val="16"/>
              </w:rPr>
              <w:t xml:space="preserve">Incubator </w:t>
            </w:r>
            <w:r>
              <w:rPr>
                <w:bCs/>
                <w:sz w:val="16"/>
                <w:szCs w:val="16"/>
              </w:rPr>
              <w:t>P</w:t>
            </w:r>
            <w:r w:rsidRPr="00D2125C">
              <w:rPr>
                <w:bCs/>
                <w:sz w:val="16"/>
                <w:szCs w:val="16"/>
              </w:rPr>
              <w:t>rogram</w:t>
            </w:r>
          </w:p>
        </w:tc>
        <w:tc>
          <w:tcPr>
            <w:tcW w:w="2688" w:type="dxa"/>
            <w:tcMar>
              <w:top w:w="57" w:type="dxa"/>
              <w:left w:w="57" w:type="dxa"/>
              <w:bottom w:w="57" w:type="dxa"/>
              <w:right w:w="57" w:type="dxa"/>
            </w:tcMar>
            <w:vAlign w:val="center"/>
          </w:tcPr>
          <w:p w14:paraId="551EADC6" w14:textId="78B09276" w:rsidR="0062116F" w:rsidRPr="00D81995" w:rsidRDefault="0062116F" w:rsidP="00C41ADE">
            <w:pPr>
              <w:spacing w:after="0"/>
              <w:jc w:val="center"/>
              <w:rPr>
                <w:b/>
                <w:bCs/>
              </w:rPr>
            </w:pPr>
            <w:r>
              <w:rPr>
                <w:noProof/>
              </w:rPr>
              <w:drawing>
                <wp:inline distT="0" distB="0" distL="0" distR="0" wp14:anchorId="28EFB2DA" wp14:editId="3668AF60">
                  <wp:extent cx="251209" cy="251209"/>
                  <wp:effectExtent l="0" t="0" r="0" b="0"/>
                  <wp:docPr id="68" name="Graphic 68" descr="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heckmark.svg"/>
                          <pic:cNvPicPr/>
                        </pic:nvPicPr>
                        <pic:blipFill>
                          <a:blip r:embed="rId26" cstate="print">
                            <a:extLst>
                              <a:ext uri="{28A0092B-C50C-407E-A947-70E740481C1C}">
                                <a14:useLocalDpi xmlns:a14="http://schemas.microsoft.com/office/drawing/2010/main" val="0"/>
                              </a:ext>
                              <a:ext uri="{96DAC541-7B7A-43D3-8B79-37D633B846F1}">
                                <asvg:svgBlip xmlns:asvg="http://schemas.microsoft.com/office/drawing/2016/SVG/main" r:embed="rId27"/>
                              </a:ext>
                            </a:extLst>
                          </a:blip>
                          <a:stretch>
                            <a:fillRect/>
                          </a:stretch>
                        </pic:blipFill>
                        <pic:spPr>
                          <a:xfrm>
                            <a:off x="0" y="0"/>
                            <a:ext cx="262905" cy="262905"/>
                          </a:xfrm>
                          <a:prstGeom prst="rect">
                            <a:avLst/>
                          </a:prstGeom>
                        </pic:spPr>
                      </pic:pic>
                    </a:graphicData>
                  </a:graphic>
                </wp:inline>
              </w:drawing>
            </w:r>
          </w:p>
        </w:tc>
      </w:tr>
      <w:tr w:rsidR="0062116F" w:rsidRPr="00D81995" w14:paraId="6F1AED58" w14:textId="77777777" w:rsidTr="00CD2084">
        <w:trPr>
          <w:trHeight w:hRule="exact" w:val="1021"/>
          <w:jc w:val="center"/>
        </w:trPr>
        <w:tc>
          <w:tcPr>
            <w:tcW w:w="1072" w:type="dxa"/>
            <w:shd w:val="clear" w:color="auto" w:fill="F2F2F2" w:themeFill="background1" w:themeFillShade="F2"/>
            <w:tcMar>
              <w:top w:w="57" w:type="dxa"/>
              <w:left w:w="57" w:type="dxa"/>
              <w:bottom w:w="57" w:type="dxa"/>
              <w:right w:w="57" w:type="dxa"/>
            </w:tcMar>
            <w:vAlign w:val="center"/>
          </w:tcPr>
          <w:p w14:paraId="56BC9978" w14:textId="1C587620" w:rsidR="00D33606" w:rsidRPr="00270DDC" w:rsidRDefault="0062116F" w:rsidP="00CD2084">
            <w:pPr>
              <w:spacing w:after="60"/>
              <w:jc w:val="center"/>
              <w:rPr>
                <w:b/>
                <w:bCs/>
                <w:sz w:val="18"/>
                <w:szCs w:val="18"/>
              </w:rPr>
            </w:pPr>
            <w:r w:rsidRPr="00270DDC">
              <w:rPr>
                <w:b/>
                <w:bCs/>
                <w:sz w:val="18"/>
                <w:szCs w:val="18"/>
              </w:rPr>
              <w:t>France</w:t>
            </w:r>
          </w:p>
          <w:p w14:paraId="5259CD29" w14:textId="5BB16977" w:rsidR="0062116F" w:rsidRPr="00270DDC" w:rsidRDefault="0062116F" w:rsidP="00C41ADE">
            <w:pPr>
              <w:spacing w:after="0"/>
              <w:jc w:val="center"/>
              <w:rPr>
                <w:b/>
                <w:bCs/>
                <w:sz w:val="18"/>
                <w:szCs w:val="18"/>
              </w:rPr>
            </w:pPr>
            <w:r w:rsidRPr="00270DDC">
              <w:rPr>
                <w:b/>
                <w:bCs/>
                <w:noProof/>
                <w:sz w:val="18"/>
                <w:szCs w:val="18"/>
              </w:rPr>
              <w:drawing>
                <wp:inline distT="0" distB="0" distL="0" distR="0" wp14:anchorId="4027D45F" wp14:editId="0D2D3D1B">
                  <wp:extent cx="360000" cy="360000"/>
                  <wp:effectExtent l="0" t="0" r="2540" b="2540"/>
                  <wp:docPr id="33" name="Picture 33" descr="Map of Franc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ln>
                            <a:noFill/>
                          </a:ln>
                        </pic:spPr>
                      </pic:pic>
                    </a:graphicData>
                  </a:graphic>
                </wp:inline>
              </w:drawing>
            </w:r>
          </w:p>
        </w:tc>
        <w:tc>
          <w:tcPr>
            <w:tcW w:w="2619" w:type="dxa"/>
            <w:tcMar>
              <w:top w:w="57" w:type="dxa"/>
              <w:left w:w="57" w:type="dxa"/>
              <w:bottom w:w="57" w:type="dxa"/>
              <w:right w:w="57" w:type="dxa"/>
            </w:tcMar>
            <w:vAlign w:val="center"/>
          </w:tcPr>
          <w:p w14:paraId="2DB31639" w14:textId="5F2B0B99" w:rsidR="0062116F" w:rsidRDefault="0062116F" w:rsidP="00C41ADE">
            <w:pPr>
              <w:spacing w:after="0"/>
              <w:jc w:val="center"/>
              <w:rPr>
                <w:b/>
                <w:bCs/>
              </w:rPr>
            </w:pPr>
            <w:r>
              <w:rPr>
                <w:noProof/>
              </w:rPr>
              <w:drawing>
                <wp:inline distT="0" distB="0" distL="0" distR="0" wp14:anchorId="3E24C064" wp14:editId="537F82F7">
                  <wp:extent cx="251209" cy="251209"/>
                  <wp:effectExtent l="0" t="0" r="0" b="0"/>
                  <wp:docPr id="38" name="Graphic 38" descr="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heckmark.svg"/>
                          <pic:cNvPicPr/>
                        </pic:nvPicPr>
                        <pic:blipFill>
                          <a:blip r:embed="rId31" cstate="print">
                            <a:extLst>
                              <a:ext uri="{28A0092B-C50C-407E-A947-70E740481C1C}">
                                <a14:useLocalDpi xmlns:a14="http://schemas.microsoft.com/office/drawing/2010/main" val="0"/>
                              </a:ext>
                              <a:ext uri="{96DAC541-7B7A-43D3-8B79-37D633B846F1}">
                                <asvg:svgBlip xmlns:asvg="http://schemas.microsoft.com/office/drawing/2016/SVG/main" r:embed="rId32"/>
                              </a:ext>
                            </a:extLst>
                          </a:blip>
                          <a:stretch>
                            <a:fillRect/>
                          </a:stretch>
                        </pic:blipFill>
                        <pic:spPr>
                          <a:xfrm>
                            <a:off x="0" y="0"/>
                            <a:ext cx="262905" cy="262905"/>
                          </a:xfrm>
                          <a:prstGeom prst="rect">
                            <a:avLst/>
                          </a:prstGeom>
                        </pic:spPr>
                      </pic:pic>
                    </a:graphicData>
                  </a:graphic>
                </wp:inline>
              </w:drawing>
            </w:r>
          </w:p>
          <w:p w14:paraId="5A2090D5" w14:textId="0ECB7FE4" w:rsidR="0062116F" w:rsidRPr="00D81995" w:rsidRDefault="0062116F" w:rsidP="00C41ADE">
            <w:pPr>
              <w:spacing w:after="0" w:line="240" w:lineRule="auto"/>
              <w:jc w:val="center"/>
              <w:rPr>
                <w:b/>
                <w:bCs/>
              </w:rPr>
            </w:pPr>
            <w:r w:rsidRPr="000A4609">
              <w:rPr>
                <w:bCs/>
                <w:sz w:val="16"/>
                <w:szCs w:val="16"/>
              </w:rPr>
              <w:t xml:space="preserve">Strong </w:t>
            </w:r>
            <w:r>
              <w:rPr>
                <w:bCs/>
                <w:sz w:val="16"/>
                <w:szCs w:val="16"/>
              </w:rPr>
              <w:t xml:space="preserve">foreign ownership restrictions and ownership </w:t>
            </w:r>
            <w:r>
              <w:rPr>
                <w:bCs/>
                <w:sz w:val="16"/>
                <w:szCs w:val="16"/>
              </w:rPr>
              <w:br/>
              <w:t xml:space="preserve">limits </w:t>
            </w:r>
            <w:r w:rsidR="00D33606">
              <w:rPr>
                <w:bCs/>
                <w:sz w:val="16"/>
                <w:szCs w:val="16"/>
              </w:rPr>
              <w:t xml:space="preserve">that apply to </w:t>
            </w:r>
            <w:r>
              <w:rPr>
                <w:bCs/>
                <w:sz w:val="16"/>
                <w:szCs w:val="16"/>
              </w:rPr>
              <w:t>press</w:t>
            </w:r>
            <w:r w:rsidR="00D33606">
              <w:rPr>
                <w:bCs/>
                <w:sz w:val="16"/>
                <w:szCs w:val="16"/>
              </w:rPr>
              <w:t xml:space="preserve"> outlets</w:t>
            </w:r>
          </w:p>
        </w:tc>
        <w:tc>
          <w:tcPr>
            <w:tcW w:w="2620" w:type="dxa"/>
            <w:tcMar>
              <w:top w:w="57" w:type="dxa"/>
              <w:left w:w="57" w:type="dxa"/>
              <w:bottom w:w="57" w:type="dxa"/>
              <w:right w:w="57" w:type="dxa"/>
            </w:tcMar>
            <w:vAlign w:val="center"/>
          </w:tcPr>
          <w:p w14:paraId="6120ECDB" w14:textId="5A3E3F99" w:rsidR="0062116F" w:rsidRPr="00CD2084" w:rsidRDefault="00121A55" w:rsidP="00C41ADE">
            <w:pPr>
              <w:spacing w:after="0"/>
              <w:jc w:val="center"/>
            </w:pPr>
            <w:r>
              <w:rPr>
                <w:noProof/>
              </w:rPr>
              <w:drawing>
                <wp:inline distT="0" distB="0" distL="0" distR="0" wp14:anchorId="211AC4CC" wp14:editId="6E031BCC">
                  <wp:extent cx="252000" cy="252000"/>
                  <wp:effectExtent l="0" t="0" r="0" b="0"/>
                  <wp:docPr id="10" name="Graphic 10" descr="Clo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close.svg"/>
                          <pic:cNvPicPr/>
                        </pic:nvPicPr>
                        <pic:blipFill>
                          <a:blip r:embed="rId28">
                            <a:extLst>
                              <a:ext uri="{96DAC541-7B7A-43D3-8B79-37D633B846F1}">
                                <asvg:svgBlip xmlns:asvg="http://schemas.microsoft.com/office/drawing/2016/SVG/main" r:embed="rId29"/>
                              </a:ext>
                            </a:extLst>
                          </a:blip>
                          <a:stretch>
                            <a:fillRect/>
                          </a:stretch>
                        </pic:blipFill>
                        <pic:spPr>
                          <a:xfrm>
                            <a:off x="0" y="0"/>
                            <a:ext cx="252000" cy="252000"/>
                          </a:xfrm>
                          <a:prstGeom prst="rect">
                            <a:avLst/>
                          </a:prstGeom>
                        </pic:spPr>
                      </pic:pic>
                    </a:graphicData>
                  </a:graphic>
                </wp:inline>
              </w:drawing>
            </w:r>
          </w:p>
        </w:tc>
        <w:tc>
          <w:tcPr>
            <w:tcW w:w="2619" w:type="dxa"/>
            <w:tcMar>
              <w:top w:w="57" w:type="dxa"/>
              <w:left w:w="57" w:type="dxa"/>
              <w:bottom w:w="57" w:type="dxa"/>
              <w:right w:w="57" w:type="dxa"/>
            </w:tcMar>
            <w:vAlign w:val="center"/>
          </w:tcPr>
          <w:p w14:paraId="472B6633" w14:textId="2EC011C0" w:rsidR="0062116F" w:rsidRPr="00D81995" w:rsidRDefault="0062116F" w:rsidP="00C41ADE">
            <w:pPr>
              <w:spacing w:after="0"/>
              <w:jc w:val="center"/>
              <w:rPr>
                <w:b/>
                <w:bCs/>
              </w:rPr>
            </w:pPr>
            <w:r>
              <w:rPr>
                <w:noProof/>
              </w:rPr>
              <w:drawing>
                <wp:inline distT="0" distB="0" distL="0" distR="0" wp14:anchorId="1975D116" wp14:editId="4AC06ED7">
                  <wp:extent cx="251209" cy="251209"/>
                  <wp:effectExtent l="0" t="0" r="0" b="0"/>
                  <wp:docPr id="62" name="Graphic 62" descr="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heckmark.svg"/>
                          <pic:cNvPicPr/>
                        </pic:nvPicPr>
                        <pic:blipFill>
                          <a:blip r:embed="rId26" cstate="print">
                            <a:extLst>
                              <a:ext uri="{28A0092B-C50C-407E-A947-70E740481C1C}">
                                <a14:useLocalDpi xmlns:a14="http://schemas.microsoft.com/office/drawing/2010/main" val="0"/>
                              </a:ext>
                              <a:ext uri="{96DAC541-7B7A-43D3-8B79-37D633B846F1}">
                                <asvg:svgBlip xmlns:asvg="http://schemas.microsoft.com/office/drawing/2016/SVG/main" r:embed="rId27"/>
                              </a:ext>
                            </a:extLst>
                          </a:blip>
                          <a:stretch>
                            <a:fillRect/>
                          </a:stretch>
                        </pic:blipFill>
                        <pic:spPr>
                          <a:xfrm>
                            <a:off x="0" y="0"/>
                            <a:ext cx="262905" cy="262905"/>
                          </a:xfrm>
                          <a:prstGeom prst="rect">
                            <a:avLst/>
                          </a:prstGeom>
                        </pic:spPr>
                      </pic:pic>
                    </a:graphicData>
                  </a:graphic>
                </wp:inline>
              </w:drawing>
            </w:r>
          </w:p>
        </w:tc>
        <w:tc>
          <w:tcPr>
            <w:tcW w:w="2552" w:type="dxa"/>
            <w:tcMar>
              <w:top w:w="57" w:type="dxa"/>
              <w:left w:w="57" w:type="dxa"/>
              <w:bottom w:w="57" w:type="dxa"/>
              <w:right w:w="57" w:type="dxa"/>
            </w:tcMar>
            <w:vAlign w:val="center"/>
          </w:tcPr>
          <w:p w14:paraId="66FC87CB" w14:textId="32F19D9A" w:rsidR="0062116F" w:rsidRPr="00D81995" w:rsidRDefault="0062116F" w:rsidP="00C41ADE">
            <w:pPr>
              <w:spacing w:after="0"/>
              <w:jc w:val="center"/>
              <w:rPr>
                <w:b/>
                <w:bCs/>
              </w:rPr>
            </w:pPr>
            <w:r>
              <w:rPr>
                <w:noProof/>
              </w:rPr>
              <w:drawing>
                <wp:inline distT="0" distB="0" distL="0" distR="0" wp14:anchorId="7A37EB51" wp14:editId="5369082B">
                  <wp:extent cx="251209" cy="251209"/>
                  <wp:effectExtent l="0" t="0" r="0" b="0"/>
                  <wp:docPr id="65" name="Graphic 65" descr="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heckmark.svg"/>
                          <pic:cNvPicPr/>
                        </pic:nvPicPr>
                        <pic:blipFill>
                          <a:blip r:embed="rId26" cstate="print">
                            <a:extLst>
                              <a:ext uri="{28A0092B-C50C-407E-A947-70E740481C1C}">
                                <a14:useLocalDpi xmlns:a14="http://schemas.microsoft.com/office/drawing/2010/main" val="0"/>
                              </a:ext>
                              <a:ext uri="{96DAC541-7B7A-43D3-8B79-37D633B846F1}">
                                <asvg:svgBlip xmlns:asvg="http://schemas.microsoft.com/office/drawing/2016/SVG/main" r:embed="rId27"/>
                              </a:ext>
                            </a:extLst>
                          </a:blip>
                          <a:stretch>
                            <a:fillRect/>
                          </a:stretch>
                        </pic:blipFill>
                        <pic:spPr>
                          <a:xfrm>
                            <a:off x="0" y="0"/>
                            <a:ext cx="262905" cy="262905"/>
                          </a:xfrm>
                          <a:prstGeom prst="rect">
                            <a:avLst/>
                          </a:prstGeom>
                        </pic:spPr>
                      </pic:pic>
                    </a:graphicData>
                  </a:graphic>
                </wp:inline>
              </w:drawing>
            </w:r>
          </w:p>
        </w:tc>
        <w:tc>
          <w:tcPr>
            <w:tcW w:w="2688" w:type="dxa"/>
            <w:tcMar>
              <w:top w:w="57" w:type="dxa"/>
              <w:left w:w="57" w:type="dxa"/>
              <w:bottom w:w="57" w:type="dxa"/>
              <w:right w:w="57" w:type="dxa"/>
            </w:tcMar>
            <w:vAlign w:val="center"/>
          </w:tcPr>
          <w:p w14:paraId="00F26BB7" w14:textId="24111702" w:rsidR="0062116F" w:rsidRPr="00D81995" w:rsidRDefault="0062116F" w:rsidP="00C41ADE">
            <w:pPr>
              <w:spacing w:after="0"/>
              <w:jc w:val="center"/>
              <w:rPr>
                <w:b/>
                <w:bCs/>
              </w:rPr>
            </w:pPr>
            <w:r>
              <w:rPr>
                <w:noProof/>
              </w:rPr>
              <w:drawing>
                <wp:inline distT="0" distB="0" distL="0" distR="0" wp14:anchorId="3EAC6DB6" wp14:editId="73CA63EF">
                  <wp:extent cx="251209" cy="251209"/>
                  <wp:effectExtent l="0" t="0" r="0" b="0"/>
                  <wp:docPr id="70" name="Graphic 70" descr="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heckmark.svg"/>
                          <pic:cNvPicPr/>
                        </pic:nvPicPr>
                        <pic:blipFill>
                          <a:blip r:embed="rId26" cstate="print">
                            <a:extLst>
                              <a:ext uri="{28A0092B-C50C-407E-A947-70E740481C1C}">
                                <a14:useLocalDpi xmlns:a14="http://schemas.microsoft.com/office/drawing/2010/main" val="0"/>
                              </a:ext>
                              <a:ext uri="{96DAC541-7B7A-43D3-8B79-37D633B846F1}">
                                <asvg:svgBlip xmlns:asvg="http://schemas.microsoft.com/office/drawing/2016/SVG/main" r:embed="rId27"/>
                              </a:ext>
                            </a:extLst>
                          </a:blip>
                          <a:stretch>
                            <a:fillRect/>
                          </a:stretch>
                        </pic:blipFill>
                        <pic:spPr>
                          <a:xfrm>
                            <a:off x="0" y="0"/>
                            <a:ext cx="262905" cy="262905"/>
                          </a:xfrm>
                          <a:prstGeom prst="rect">
                            <a:avLst/>
                          </a:prstGeom>
                        </pic:spPr>
                      </pic:pic>
                    </a:graphicData>
                  </a:graphic>
                </wp:inline>
              </w:drawing>
            </w:r>
          </w:p>
        </w:tc>
      </w:tr>
      <w:tr w:rsidR="0062116F" w:rsidRPr="00D81995" w14:paraId="2A017B1C" w14:textId="77777777" w:rsidTr="00CD2084">
        <w:trPr>
          <w:trHeight w:hRule="exact" w:val="1021"/>
          <w:jc w:val="center"/>
        </w:trPr>
        <w:tc>
          <w:tcPr>
            <w:tcW w:w="1072" w:type="dxa"/>
            <w:shd w:val="clear" w:color="auto" w:fill="F2F2F2" w:themeFill="background1" w:themeFillShade="F2"/>
            <w:tcMar>
              <w:top w:w="57" w:type="dxa"/>
              <w:left w:w="57" w:type="dxa"/>
              <w:bottom w:w="57" w:type="dxa"/>
              <w:right w:w="57" w:type="dxa"/>
            </w:tcMar>
            <w:vAlign w:val="center"/>
          </w:tcPr>
          <w:p w14:paraId="7C701876" w14:textId="77777777" w:rsidR="00D33606" w:rsidRDefault="0062116F" w:rsidP="00CD2084">
            <w:pPr>
              <w:spacing w:after="60"/>
              <w:jc w:val="center"/>
              <w:rPr>
                <w:b/>
                <w:bCs/>
                <w:sz w:val="18"/>
                <w:szCs w:val="18"/>
              </w:rPr>
            </w:pPr>
            <w:r w:rsidRPr="00270DDC">
              <w:rPr>
                <w:b/>
                <w:bCs/>
                <w:sz w:val="18"/>
                <w:szCs w:val="18"/>
              </w:rPr>
              <w:t>Norway</w:t>
            </w:r>
          </w:p>
          <w:p w14:paraId="54007CDD" w14:textId="1A4FA4C0" w:rsidR="0062116F" w:rsidRPr="00270DDC" w:rsidRDefault="0062116F" w:rsidP="00C41ADE">
            <w:pPr>
              <w:spacing w:after="0"/>
              <w:jc w:val="center"/>
              <w:rPr>
                <w:b/>
                <w:bCs/>
                <w:sz w:val="18"/>
                <w:szCs w:val="18"/>
              </w:rPr>
            </w:pPr>
            <w:r w:rsidRPr="00270DDC">
              <w:rPr>
                <w:b/>
                <w:bCs/>
                <w:noProof/>
                <w:sz w:val="18"/>
                <w:szCs w:val="18"/>
              </w:rPr>
              <w:drawing>
                <wp:inline distT="0" distB="0" distL="0" distR="0" wp14:anchorId="5CEF0CDE" wp14:editId="018D8B58">
                  <wp:extent cx="360000" cy="360000"/>
                  <wp:effectExtent l="0" t="0" r="2540" b="2540"/>
                  <wp:docPr id="34" name="Picture 34" descr="Map of Norway.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ln>
                            <a:noFill/>
                          </a:ln>
                        </pic:spPr>
                      </pic:pic>
                    </a:graphicData>
                  </a:graphic>
                </wp:inline>
              </w:drawing>
            </w:r>
          </w:p>
        </w:tc>
        <w:tc>
          <w:tcPr>
            <w:tcW w:w="2619" w:type="dxa"/>
            <w:tcMar>
              <w:top w:w="57" w:type="dxa"/>
              <w:left w:w="57" w:type="dxa"/>
              <w:bottom w:w="57" w:type="dxa"/>
              <w:right w:w="57" w:type="dxa"/>
            </w:tcMar>
            <w:vAlign w:val="center"/>
          </w:tcPr>
          <w:p w14:paraId="1180D9D0" w14:textId="77777777" w:rsidR="0062116F" w:rsidRDefault="0062116F" w:rsidP="00C41ADE">
            <w:pPr>
              <w:spacing w:after="0"/>
              <w:jc w:val="center"/>
              <w:rPr>
                <w:b/>
                <w:bCs/>
              </w:rPr>
            </w:pPr>
            <w:r>
              <w:rPr>
                <w:noProof/>
              </w:rPr>
              <w:drawing>
                <wp:inline distT="0" distB="0" distL="0" distR="0" wp14:anchorId="7731C6E0" wp14:editId="5B0C051B">
                  <wp:extent cx="251209" cy="251209"/>
                  <wp:effectExtent l="0" t="0" r="0" b="0"/>
                  <wp:docPr id="39" name="Graphic 39" descr="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heckmark.svg"/>
                          <pic:cNvPicPr/>
                        </pic:nvPicPr>
                        <pic:blipFill>
                          <a:blip r:embed="rId26" cstate="print">
                            <a:extLst>
                              <a:ext uri="{28A0092B-C50C-407E-A947-70E740481C1C}">
                                <a14:useLocalDpi xmlns:a14="http://schemas.microsoft.com/office/drawing/2010/main" val="0"/>
                              </a:ext>
                              <a:ext uri="{96DAC541-7B7A-43D3-8B79-37D633B846F1}">
                                <asvg:svgBlip xmlns:asvg="http://schemas.microsoft.com/office/drawing/2016/SVG/main" r:embed="rId27"/>
                              </a:ext>
                            </a:extLst>
                          </a:blip>
                          <a:stretch>
                            <a:fillRect/>
                          </a:stretch>
                        </pic:blipFill>
                        <pic:spPr>
                          <a:xfrm>
                            <a:off x="0" y="0"/>
                            <a:ext cx="262905" cy="262905"/>
                          </a:xfrm>
                          <a:prstGeom prst="rect">
                            <a:avLst/>
                          </a:prstGeom>
                        </pic:spPr>
                      </pic:pic>
                    </a:graphicData>
                  </a:graphic>
                </wp:inline>
              </w:drawing>
            </w:r>
          </w:p>
          <w:p w14:paraId="31C309D2" w14:textId="69021F8A" w:rsidR="0062116F" w:rsidRPr="00D81995" w:rsidRDefault="0062116F" w:rsidP="00C41ADE">
            <w:pPr>
              <w:spacing w:after="0"/>
              <w:jc w:val="center"/>
              <w:rPr>
                <w:b/>
                <w:bCs/>
              </w:rPr>
            </w:pPr>
          </w:p>
        </w:tc>
        <w:tc>
          <w:tcPr>
            <w:tcW w:w="2620" w:type="dxa"/>
            <w:tcMar>
              <w:top w:w="57" w:type="dxa"/>
              <w:left w:w="57" w:type="dxa"/>
              <w:bottom w:w="57" w:type="dxa"/>
              <w:right w:w="57" w:type="dxa"/>
            </w:tcMar>
            <w:vAlign w:val="center"/>
          </w:tcPr>
          <w:p w14:paraId="52C5D9B0" w14:textId="225306C2" w:rsidR="0062116F" w:rsidRPr="00CD2084" w:rsidRDefault="00121A55" w:rsidP="00C41ADE">
            <w:pPr>
              <w:spacing w:after="0"/>
              <w:jc w:val="center"/>
            </w:pPr>
            <w:r>
              <w:rPr>
                <w:noProof/>
              </w:rPr>
              <w:drawing>
                <wp:inline distT="0" distB="0" distL="0" distR="0" wp14:anchorId="66370A0E" wp14:editId="084E6390">
                  <wp:extent cx="252000" cy="252000"/>
                  <wp:effectExtent l="0" t="0" r="0" b="0"/>
                  <wp:docPr id="11" name="Graphic 11" descr="Clo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close.svg"/>
                          <pic:cNvPicPr/>
                        </pic:nvPicPr>
                        <pic:blipFill>
                          <a:blip r:embed="rId28">
                            <a:extLst>
                              <a:ext uri="{96DAC541-7B7A-43D3-8B79-37D633B846F1}">
                                <asvg:svgBlip xmlns:asvg="http://schemas.microsoft.com/office/drawing/2016/SVG/main" r:embed="rId29"/>
                              </a:ext>
                            </a:extLst>
                          </a:blip>
                          <a:stretch>
                            <a:fillRect/>
                          </a:stretch>
                        </pic:blipFill>
                        <pic:spPr>
                          <a:xfrm>
                            <a:off x="0" y="0"/>
                            <a:ext cx="252000" cy="252000"/>
                          </a:xfrm>
                          <a:prstGeom prst="rect">
                            <a:avLst/>
                          </a:prstGeom>
                        </pic:spPr>
                      </pic:pic>
                    </a:graphicData>
                  </a:graphic>
                </wp:inline>
              </w:drawing>
            </w:r>
          </w:p>
        </w:tc>
        <w:tc>
          <w:tcPr>
            <w:tcW w:w="2619" w:type="dxa"/>
            <w:tcMar>
              <w:top w:w="57" w:type="dxa"/>
              <w:left w:w="57" w:type="dxa"/>
              <w:bottom w:w="57" w:type="dxa"/>
              <w:right w:w="57" w:type="dxa"/>
            </w:tcMar>
            <w:vAlign w:val="center"/>
          </w:tcPr>
          <w:p w14:paraId="0B3D1FA4" w14:textId="235C67C1" w:rsidR="0062116F" w:rsidRPr="00D81995" w:rsidRDefault="0062116F" w:rsidP="00C41ADE">
            <w:pPr>
              <w:spacing w:after="0" w:line="240" w:lineRule="auto"/>
              <w:jc w:val="center"/>
              <w:rPr>
                <w:b/>
                <w:bCs/>
              </w:rPr>
            </w:pPr>
            <w:r>
              <w:rPr>
                <w:noProof/>
              </w:rPr>
              <w:drawing>
                <wp:inline distT="0" distB="0" distL="0" distR="0" wp14:anchorId="4F42EF2F" wp14:editId="60C22F9B">
                  <wp:extent cx="251209" cy="251209"/>
                  <wp:effectExtent l="0" t="0" r="0" b="0"/>
                  <wp:docPr id="63" name="Graphic 63" descr="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heckmark.svg"/>
                          <pic:cNvPicPr/>
                        </pic:nvPicPr>
                        <pic:blipFill>
                          <a:blip r:embed="rId31" cstate="print">
                            <a:extLst>
                              <a:ext uri="{28A0092B-C50C-407E-A947-70E740481C1C}">
                                <a14:useLocalDpi xmlns:a14="http://schemas.microsoft.com/office/drawing/2010/main" val="0"/>
                              </a:ext>
                              <a:ext uri="{96DAC541-7B7A-43D3-8B79-37D633B846F1}">
                                <asvg:svgBlip xmlns:asvg="http://schemas.microsoft.com/office/drawing/2016/SVG/main" r:embed="rId32"/>
                              </a:ext>
                            </a:extLst>
                          </a:blip>
                          <a:stretch>
                            <a:fillRect/>
                          </a:stretch>
                        </pic:blipFill>
                        <pic:spPr>
                          <a:xfrm>
                            <a:off x="0" y="0"/>
                            <a:ext cx="262905" cy="262905"/>
                          </a:xfrm>
                          <a:prstGeom prst="rect">
                            <a:avLst/>
                          </a:prstGeom>
                        </pic:spPr>
                      </pic:pic>
                    </a:graphicData>
                  </a:graphic>
                </wp:inline>
              </w:drawing>
            </w:r>
            <w:r>
              <w:rPr>
                <w:b/>
                <w:bCs/>
              </w:rPr>
              <w:br/>
            </w:r>
            <w:r>
              <w:rPr>
                <w:bCs/>
                <w:sz w:val="16"/>
                <w:szCs w:val="16"/>
              </w:rPr>
              <w:t>VAT ‘zero rating’ for both newspapers and digital news</w:t>
            </w:r>
          </w:p>
        </w:tc>
        <w:tc>
          <w:tcPr>
            <w:tcW w:w="2552" w:type="dxa"/>
            <w:tcMar>
              <w:top w:w="57" w:type="dxa"/>
              <w:left w:w="57" w:type="dxa"/>
              <w:bottom w:w="57" w:type="dxa"/>
              <w:right w:w="57" w:type="dxa"/>
            </w:tcMar>
            <w:vAlign w:val="center"/>
          </w:tcPr>
          <w:p w14:paraId="4F0E5378" w14:textId="77777777" w:rsidR="0062116F" w:rsidRDefault="0062116F" w:rsidP="00C41ADE">
            <w:pPr>
              <w:spacing w:after="0"/>
              <w:jc w:val="center"/>
              <w:rPr>
                <w:b/>
                <w:bCs/>
              </w:rPr>
            </w:pPr>
            <w:r>
              <w:rPr>
                <w:noProof/>
              </w:rPr>
              <w:drawing>
                <wp:inline distT="0" distB="0" distL="0" distR="0" wp14:anchorId="39D8664A" wp14:editId="59AE9633">
                  <wp:extent cx="251209" cy="251209"/>
                  <wp:effectExtent l="0" t="0" r="0" b="0"/>
                  <wp:docPr id="64" name="Graphic 64" descr="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heckmark.svg"/>
                          <pic:cNvPicPr/>
                        </pic:nvPicPr>
                        <pic:blipFill>
                          <a:blip r:embed="rId31" cstate="print">
                            <a:extLst>
                              <a:ext uri="{28A0092B-C50C-407E-A947-70E740481C1C}">
                                <a14:useLocalDpi xmlns:a14="http://schemas.microsoft.com/office/drawing/2010/main" val="0"/>
                              </a:ext>
                              <a:ext uri="{96DAC541-7B7A-43D3-8B79-37D633B846F1}">
                                <asvg:svgBlip xmlns:asvg="http://schemas.microsoft.com/office/drawing/2016/SVG/main" r:embed="rId32"/>
                              </a:ext>
                            </a:extLst>
                          </a:blip>
                          <a:stretch>
                            <a:fillRect/>
                          </a:stretch>
                        </pic:blipFill>
                        <pic:spPr>
                          <a:xfrm>
                            <a:off x="0" y="0"/>
                            <a:ext cx="262905" cy="262905"/>
                          </a:xfrm>
                          <a:prstGeom prst="rect">
                            <a:avLst/>
                          </a:prstGeom>
                        </pic:spPr>
                      </pic:pic>
                    </a:graphicData>
                  </a:graphic>
                </wp:inline>
              </w:drawing>
            </w:r>
          </w:p>
          <w:p w14:paraId="1A278F00" w14:textId="5CDDE4D2" w:rsidR="0062116F" w:rsidRDefault="0062116F" w:rsidP="00C41ADE">
            <w:pPr>
              <w:spacing w:after="0" w:line="240" w:lineRule="auto"/>
              <w:jc w:val="center"/>
              <w:rPr>
                <w:b/>
                <w:bCs/>
              </w:rPr>
            </w:pPr>
            <w:r>
              <w:rPr>
                <w:bCs/>
                <w:sz w:val="16"/>
                <w:szCs w:val="16"/>
              </w:rPr>
              <w:t>Production grants for newspapers and local broadcasters</w:t>
            </w:r>
          </w:p>
          <w:p w14:paraId="42F37CDE" w14:textId="73A4F3BD" w:rsidR="0062116F" w:rsidRPr="00D81995" w:rsidRDefault="0062116F" w:rsidP="00C41ADE">
            <w:pPr>
              <w:spacing w:after="0"/>
              <w:rPr>
                <w:b/>
                <w:bCs/>
              </w:rPr>
            </w:pPr>
          </w:p>
        </w:tc>
        <w:tc>
          <w:tcPr>
            <w:tcW w:w="2688" w:type="dxa"/>
            <w:tcMar>
              <w:top w:w="57" w:type="dxa"/>
              <w:left w:w="57" w:type="dxa"/>
              <w:bottom w:w="57" w:type="dxa"/>
              <w:right w:w="57" w:type="dxa"/>
            </w:tcMar>
            <w:vAlign w:val="center"/>
          </w:tcPr>
          <w:p w14:paraId="120A2386" w14:textId="696C7C4A" w:rsidR="0062116F" w:rsidRPr="00D81995" w:rsidRDefault="0062116F" w:rsidP="00C41ADE">
            <w:pPr>
              <w:spacing w:after="0"/>
              <w:jc w:val="center"/>
              <w:rPr>
                <w:b/>
                <w:bCs/>
              </w:rPr>
            </w:pPr>
            <w:r>
              <w:rPr>
                <w:noProof/>
              </w:rPr>
              <w:drawing>
                <wp:inline distT="0" distB="0" distL="0" distR="0" wp14:anchorId="01E9220B" wp14:editId="508AB18E">
                  <wp:extent cx="251209" cy="251209"/>
                  <wp:effectExtent l="0" t="0" r="0" b="0"/>
                  <wp:docPr id="71" name="Graphic 71" descr="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heckmark.svg"/>
                          <pic:cNvPicPr/>
                        </pic:nvPicPr>
                        <pic:blipFill>
                          <a:blip r:embed="rId26" cstate="print">
                            <a:extLst>
                              <a:ext uri="{28A0092B-C50C-407E-A947-70E740481C1C}">
                                <a14:useLocalDpi xmlns:a14="http://schemas.microsoft.com/office/drawing/2010/main" val="0"/>
                              </a:ext>
                              <a:ext uri="{96DAC541-7B7A-43D3-8B79-37D633B846F1}">
                                <asvg:svgBlip xmlns:asvg="http://schemas.microsoft.com/office/drawing/2016/SVG/main" r:embed="rId27"/>
                              </a:ext>
                            </a:extLst>
                          </a:blip>
                          <a:stretch>
                            <a:fillRect/>
                          </a:stretch>
                        </pic:blipFill>
                        <pic:spPr>
                          <a:xfrm>
                            <a:off x="0" y="0"/>
                            <a:ext cx="262905" cy="262905"/>
                          </a:xfrm>
                          <a:prstGeom prst="rect">
                            <a:avLst/>
                          </a:prstGeom>
                        </pic:spPr>
                      </pic:pic>
                    </a:graphicData>
                  </a:graphic>
                </wp:inline>
              </w:drawing>
            </w:r>
          </w:p>
        </w:tc>
      </w:tr>
    </w:tbl>
    <w:p w14:paraId="6A1C56EE" w14:textId="77777777" w:rsidR="006225ED" w:rsidRDefault="0062116F" w:rsidP="00CE791F">
      <w:pPr>
        <w:pStyle w:val="ACMANotes"/>
        <w:spacing w:before="240" w:after="120"/>
      </w:pPr>
      <w:r>
        <w:t>Source: ACMA analysis</w:t>
      </w:r>
      <w:r w:rsidR="006225ED">
        <w:t>, as at March 2020.</w:t>
      </w:r>
    </w:p>
    <w:p w14:paraId="5D22DDC2" w14:textId="3ED77124" w:rsidR="00FE0A17" w:rsidRPr="00D2393F" w:rsidRDefault="00FE0A17" w:rsidP="006225ED">
      <w:pPr>
        <w:pStyle w:val="ACMANotes"/>
        <w:spacing w:before="120" w:after="120"/>
        <w:sectPr w:rsidR="00FE0A17" w:rsidRPr="00D2393F" w:rsidSect="006225ED">
          <w:endnotePr>
            <w:numFmt w:val="decimal"/>
          </w:endnotePr>
          <w:pgSz w:w="16838" w:h="11906" w:orient="landscape" w:code="9"/>
          <w:pgMar w:top="1134" w:right="1945" w:bottom="1701" w:left="1134" w:header="709" w:footer="848" w:gutter="0"/>
          <w:cols w:space="708"/>
          <w:docGrid w:linePitch="360"/>
        </w:sectPr>
      </w:pPr>
      <w:r>
        <w:t xml:space="preserve">Note: A tick </w:t>
      </w:r>
      <w:r w:rsidR="00EB1FB6">
        <w:t xml:space="preserve">indicates </w:t>
      </w:r>
      <w:r w:rsidR="006804CD">
        <w:t xml:space="preserve">known </w:t>
      </w:r>
      <w:r>
        <w:t>regulatory intervention, with darker blue indicating stronger regulatory approaches</w:t>
      </w:r>
      <w:r w:rsidR="00D33606">
        <w:t>.</w:t>
      </w:r>
      <w:r>
        <w:t xml:space="preserve"> This is a subjective analysis, included to illustrate the range and scope of regulatory interventions.</w:t>
      </w:r>
    </w:p>
    <w:p w14:paraId="1F3B6485" w14:textId="77777777" w:rsidR="0062116F" w:rsidRPr="00441C9A" w:rsidRDefault="0062116F" w:rsidP="00A8163A">
      <w:pPr>
        <w:pStyle w:val="Heading1"/>
        <w:ind w:right="284"/>
      </w:pPr>
      <w:bookmarkStart w:id="3" w:name="_Toc29988268"/>
      <w:bookmarkStart w:id="4" w:name="_Toc58401279"/>
      <w:r w:rsidRPr="00441C9A">
        <w:lastRenderedPageBreak/>
        <w:t>About the research</w:t>
      </w:r>
      <w:bookmarkEnd w:id="3"/>
      <w:bookmarkEnd w:id="4"/>
    </w:p>
    <w:p w14:paraId="448C03A7" w14:textId="58CDEEB8" w:rsidR="0062116F" w:rsidRPr="0088456C" w:rsidRDefault="0062116F" w:rsidP="002F33E2">
      <w:pPr>
        <w:spacing w:before="240" w:line="257" w:lineRule="auto"/>
        <w:ind w:right="284"/>
        <w:rPr>
          <w:rFonts w:cs="Arial"/>
          <w:iCs/>
          <w:szCs w:val="20"/>
          <w:lang w:val="en-US" w:eastAsia="en-US"/>
        </w:rPr>
      </w:pPr>
      <w:bookmarkStart w:id="5" w:name="_Toc285789711"/>
      <w:bookmarkStart w:id="6" w:name="_Toc285791790"/>
      <w:r w:rsidRPr="0088456C">
        <w:rPr>
          <w:rFonts w:cs="Arial"/>
          <w:iCs/>
          <w:szCs w:val="20"/>
          <w:lang w:val="en-US" w:eastAsia="en-US"/>
        </w:rPr>
        <w:t>News is an important source of information for Australians and p</w:t>
      </w:r>
      <w:r w:rsidR="00B6106E">
        <w:rPr>
          <w:rFonts w:cs="Arial"/>
          <w:iCs/>
          <w:szCs w:val="20"/>
          <w:lang w:val="en-US" w:eastAsia="en-US"/>
        </w:rPr>
        <w:t>lays</w:t>
      </w:r>
      <w:r w:rsidRPr="0088456C">
        <w:rPr>
          <w:rFonts w:cs="Arial"/>
          <w:iCs/>
          <w:szCs w:val="20"/>
          <w:lang w:val="en-US" w:eastAsia="en-US"/>
        </w:rPr>
        <w:t xml:space="preserve"> a key role in </w:t>
      </w:r>
      <w:r w:rsidR="00B6106E">
        <w:rPr>
          <w:rFonts w:cs="Arial"/>
          <w:iCs/>
          <w:szCs w:val="20"/>
          <w:lang w:val="en-US" w:eastAsia="en-US"/>
        </w:rPr>
        <w:t>promoting and supporting</w:t>
      </w:r>
      <w:r w:rsidRPr="0088456C">
        <w:rPr>
          <w:rFonts w:cs="Arial"/>
          <w:iCs/>
          <w:szCs w:val="20"/>
          <w:lang w:val="en-US" w:eastAsia="en-US"/>
        </w:rPr>
        <w:t xml:space="preserve"> democra</w:t>
      </w:r>
      <w:r w:rsidR="00B6106E">
        <w:rPr>
          <w:rFonts w:cs="Arial"/>
          <w:iCs/>
          <w:szCs w:val="20"/>
          <w:lang w:val="en-US" w:eastAsia="en-US"/>
        </w:rPr>
        <w:t>tic processes</w:t>
      </w:r>
      <w:r w:rsidRPr="0088456C">
        <w:rPr>
          <w:rFonts w:cs="Arial"/>
          <w:iCs/>
          <w:szCs w:val="20"/>
          <w:lang w:val="en-US" w:eastAsia="en-US"/>
        </w:rPr>
        <w:t>. However, recent changes in the media environment</w:t>
      </w:r>
      <w:r w:rsidR="002702FD">
        <w:rPr>
          <w:rFonts w:cs="Arial"/>
          <w:iCs/>
          <w:szCs w:val="20"/>
          <w:lang w:val="en-US" w:eastAsia="en-US"/>
        </w:rPr>
        <w:t xml:space="preserve">, along with </w:t>
      </w:r>
      <w:r w:rsidR="002702FD" w:rsidRPr="00BC7A3D">
        <w:rPr>
          <w:rFonts w:cs="Arial"/>
          <w:iCs/>
          <w:szCs w:val="20"/>
          <w:lang w:val="en-US" w:eastAsia="en-US"/>
        </w:rPr>
        <w:t>evolving consumer attitudes and consumption patterns</w:t>
      </w:r>
      <w:r w:rsidR="00E115E0">
        <w:rPr>
          <w:rFonts w:cs="Arial"/>
          <w:iCs/>
          <w:szCs w:val="20"/>
          <w:lang w:val="en-US" w:eastAsia="en-US"/>
        </w:rPr>
        <w:t>,</w:t>
      </w:r>
      <w:r w:rsidRPr="0088456C">
        <w:rPr>
          <w:rFonts w:cs="Arial"/>
          <w:iCs/>
          <w:szCs w:val="20"/>
          <w:lang w:val="en-US" w:eastAsia="en-US"/>
        </w:rPr>
        <w:t xml:space="preserve"> have been significant, changing the nature of news globally.  </w:t>
      </w:r>
    </w:p>
    <w:p w14:paraId="2230AB6D" w14:textId="283EE143" w:rsidR="0062116F" w:rsidRDefault="00772409" w:rsidP="00FE2082">
      <w:r>
        <w:rPr>
          <w:rFonts w:cs="Arial"/>
          <w:iCs/>
          <w:szCs w:val="20"/>
          <w:lang w:eastAsia="en-US"/>
        </w:rPr>
        <w:t>T</w:t>
      </w:r>
      <w:r w:rsidR="0062116F" w:rsidRPr="00441C9A">
        <w:rPr>
          <w:rFonts w:cs="Arial"/>
          <w:iCs/>
          <w:szCs w:val="20"/>
          <w:lang w:eastAsia="en-US"/>
        </w:rPr>
        <w:t xml:space="preserve">his report </w:t>
      </w:r>
      <w:r w:rsidR="0062116F">
        <w:rPr>
          <w:rFonts w:cs="Arial"/>
          <w:iCs/>
          <w:szCs w:val="20"/>
          <w:lang w:eastAsia="en-US"/>
        </w:rPr>
        <w:t xml:space="preserve">examines </w:t>
      </w:r>
      <w:r w:rsidR="00B6106E">
        <w:t>h</w:t>
      </w:r>
      <w:r w:rsidR="0062116F">
        <w:t xml:space="preserve">ow diversity and localism objectives are being regulated in Australia and abroad. </w:t>
      </w:r>
    </w:p>
    <w:p w14:paraId="48FA5A19" w14:textId="52AEA9BE" w:rsidR="00FF137B" w:rsidRPr="008D20CD" w:rsidRDefault="00FF137B" w:rsidP="00FF137B">
      <w:pPr>
        <w:rPr>
          <w:rFonts w:cs="Arial"/>
        </w:rPr>
      </w:pPr>
      <w:r>
        <w:t xml:space="preserve">As noted, this report was completed in March 2020. Other than brief Australian-based updates, it has not been further amended to address developments since March. </w:t>
      </w:r>
    </w:p>
    <w:p w14:paraId="2F6F2CF7" w14:textId="77777777" w:rsidR="0062116F" w:rsidRPr="00441C9A" w:rsidRDefault="0062116F" w:rsidP="00A8163A">
      <w:pPr>
        <w:pStyle w:val="Heading2"/>
      </w:pPr>
      <w:bookmarkStart w:id="7" w:name="_Toc29988269"/>
      <w:bookmarkStart w:id="8" w:name="_Toc33794740"/>
      <w:bookmarkStart w:id="9" w:name="_Toc58401280"/>
      <w:r w:rsidRPr="00441C9A">
        <w:rPr>
          <w:b w:val="0"/>
        </w:rPr>
        <w:t>research</w:t>
      </w:r>
      <w:r w:rsidRPr="00BD1C72">
        <w:rPr>
          <w:bCs w:val="0"/>
        </w:rPr>
        <w:t>acma</w:t>
      </w:r>
      <w:bookmarkEnd w:id="5"/>
      <w:bookmarkEnd w:id="6"/>
      <w:bookmarkEnd w:id="7"/>
      <w:bookmarkEnd w:id="8"/>
      <w:bookmarkEnd w:id="9"/>
    </w:p>
    <w:p w14:paraId="571CCACF" w14:textId="77777777" w:rsidR="0062116F" w:rsidRPr="00441C9A" w:rsidRDefault="0062116F" w:rsidP="00A8163A">
      <w:r w:rsidRPr="00441C9A">
        <w:t>Our research program—</w:t>
      </w:r>
      <w:r w:rsidRPr="00847A7D">
        <w:t>research</w:t>
      </w:r>
      <w:r w:rsidRPr="00BD1C72">
        <w:rPr>
          <w:b/>
        </w:rPr>
        <w:t>acma</w:t>
      </w:r>
      <w:r w:rsidRPr="007106AA">
        <w:rPr>
          <w:bCs/>
        </w:rPr>
        <w:t>—</w:t>
      </w:r>
      <w:r w:rsidRPr="00441C9A">
        <w:t xml:space="preserve">underpins our work and decisions as an evidence-informed regulator. It contributes to our strategic policy development, regulatory reviews and investigations, and </w:t>
      </w:r>
      <w:r w:rsidRPr="0042385B">
        <w:t>provides a regulatory framework that anticipates change in dynamic communications and media markets.</w:t>
      </w:r>
    </w:p>
    <w:p w14:paraId="069D4131" w14:textId="6DA73645" w:rsidR="0062116F" w:rsidRPr="00441C9A" w:rsidRDefault="0062116F" w:rsidP="00A8163A">
      <w:pPr>
        <w:spacing w:before="240"/>
        <w:rPr>
          <w:rFonts w:cs="Arial"/>
          <w:b/>
          <w:bCs/>
          <w:iCs/>
          <w:sz w:val="28"/>
          <w:szCs w:val="28"/>
        </w:rPr>
      </w:pPr>
      <w:r w:rsidRPr="00441C9A">
        <w:t xml:space="preserve">The </w:t>
      </w:r>
      <w:r>
        <w:t xml:space="preserve">desktop </w:t>
      </w:r>
      <w:r w:rsidRPr="00441C9A">
        <w:t xml:space="preserve">research conducted in this report contributes to the ‘News—transparency, distinguishability and impartiality’ project. Further details can be found in the </w:t>
      </w:r>
      <w:r w:rsidRPr="00573BB2">
        <w:t>ACMA research program 2019–20</w:t>
      </w:r>
      <w:r w:rsidRPr="00441C9A">
        <w:t>.</w:t>
      </w:r>
    </w:p>
    <w:p w14:paraId="34E01857" w14:textId="48D7B3A8" w:rsidR="0062116F" w:rsidRDefault="0062116F" w:rsidP="00C96635">
      <w:pPr>
        <w:pStyle w:val="Heading1"/>
      </w:pPr>
      <w:bookmarkStart w:id="10" w:name="_Toc58401281"/>
      <w:r>
        <w:lastRenderedPageBreak/>
        <w:t>Background</w:t>
      </w:r>
      <w:bookmarkEnd w:id="10"/>
    </w:p>
    <w:p w14:paraId="33E658FD" w14:textId="77777777" w:rsidR="0062116F" w:rsidRDefault="0062116F" w:rsidP="00BF6CE5">
      <w:pPr>
        <w:pStyle w:val="Heading2"/>
      </w:pPr>
      <w:bookmarkStart w:id="11" w:name="_Toc58401282"/>
      <w:r>
        <w:t>Changes to the market and regulatory landscapes</w:t>
      </w:r>
      <w:bookmarkEnd w:id="11"/>
    </w:p>
    <w:p w14:paraId="7FCF3BC6" w14:textId="2839EEE8" w:rsidR="0062116F" w:rsidRDefault="0062116F" w:rsidP="0065382B">
      <w:pPr>
        <w:rPr>
          <w:rFonts w:cs="Arial"/>
        </w:rPr>
      </w:pPr>
      <w:r>
        <w:rPr>
          <w:rFonts w:cs="Arial"/>
        </w:rPr>
        <w:t xml:space="preserve">News media markets globally are experiencing structural </w:t>
      </w:r>
      <w:r w:rsidR="00F87870">
        <w:rPr>
          <w:rFonts w:cs="Arial"/>
        </w:rPr>
        <w:t>shifts</w:t>
      </w:r>
      <w:r>
        <w:rPr>
          <w:rFonts w:cs="Arial"/>
        </w:rPr>
        <w:t xml:space="preserve">, driven by the rise of digital platforms, increased global connectivity and competition, and changes in the way people access and consume media. </w:t>
      </w:r>
    </w:p>
    <w:p w14:paraId="240B9C33" w14:textId="0D928000" w:rsidR="0062116F" w:rsidRDefault="0062116F" w:rsidP="001B5544">
      <w:pPr>
        <w:rPr>
          <w:rFonts w:cs="Arial"/>
        </w:rPr>
      </w:pPr>
      <w:r>
        <w:rPr>
          <w:rFonts w:cs="Arial"/>
        </w:rPr>
        <w:t>The business models of traditional broadcast and print news outlets ha</w:t>
      </w:r>
      <w:r w:rsidR="00850FA3">
        <w:rPr>
          <w:rFonts w:cs="Arial"/>
        </w:rPr>
        <w:t>ve</w:t>
      </w:r>
      <w:r>
        <w:rPr>
          <w:rFonts w:cs="Arial"/>
        </w:rPr>
        <w:t xml:space="preserve"> come under strain in the era of global digital connectivity. </w:t>
      </w:r>
      <w:r w:rsidR="00FC6FA3">
        <w:rPr>
          <w:rFonts w:cs="Arial"/>
        </w:rPr>
        <w:t xml:space="preserve">In addition to </w:t>
      </w:r>
      <w:r w:rsidR="004F6B42">
        <w:rPr>
          <w:rFonts w:cs="Arial"/>
        </w:rPr>
        <w:t>the arrival of</w:t>
      </w:r>
      <w:r w:rsidR="00FC6FA3">
        <w:rPr>
          <w:rFonts w:cs="Arial"/>
        </w:rPr>
        <w:t xml:space="preserve"> new </w:t>
      </w:r>
      <w:r w:rsidR="00FB3B79">
        <w:rPr>
          <w:rFonts w:cs="Arial"/>
        </w:rPr>
        <w:t>online</w:t>
      </w:r>
      <w:r w:rsidR="00FC6FA3">
        <w:rPr>
          <w:rFonts w:cs="Arial"/>
        </w:rPr>
        <w:t xml:space="preserve"> news outlets, d</w:t>
      </w:r>
      <w:r>
        <w:rPr>
          <w:rFonts w:cs="Arial"/>
        </w:rPr>
        <w:t>igital platform giants like Google and Facebook have emerged as major competitors for advertising revenue, offering personalised advertising that traditional news providers are unable to provide through print o</w:t>
      </w:r>
      <w:r w:rsidR="00DF2156">
        <w:rPr>
          <w:rFonts w:cs="Arial"/>
        </w:rPr>
        <w:t>r</w:t>
      </w:r>
      <w:r>
        <w:rPr>
          <w:rFonts w:cs="Arial"/>
        </w:rPr>
        <w:t xml:space="preserve"> broadcasting mediums.</w:t>
      </w:r>
    </w:p>
    <w:p w14:paraId="6E3DBDA8" w14:textId="053D2F9B" w:rsidR="0062116F" w:rsidRDefault="00705A61" w:rsidP="001B5544">
      <w:r>
        <w:rPr>
          <w:rFonts w:cstheme="minorHAnsi"/>
        </w:rPr>
        <w:t>However</w:t>
      </w:r>
      <w:r w:rsidR="0062116F">
        <w:rPr>
          <w:rFonts w:cstheme="minorHAnsi"/>
        </w:rPr>
        <w:t xml:space="preserve">, traditional news outlets are </w:t>
      </w:r>
      <w:r>
        <w:rPr>
          <w:rFonts w:cstheme="minorHAnsi"/>
        </w:rPr>
        <w:t xml:space="preserve">also </w:t>
      </w:r>
      <w:r w:rsidR="00BA267F">
        <w:rPr>
          <w:rFonts w:cstheme="minorHAnsi"/>
        </w:rPr>
        <w:t xml:space="preserve">increasingly </w:t>
      </w:r>
      <w:r w:rsidR="0062116F">
        <w:rPr>
          <w:rFonts w:cstheme="minorHAnsi"/>
        </w:rPr>
        <w:t>depend</w:t>
      </w:r>
      <w:r w:rsidR="00BA267F">
        <w:rPr>
          <w:rFonts w:cstheme="minorHAnsi"/>
        </w:rPr>
        <w:t xml:space="preserve">ent </w:t>
      </w:r>
      <w:r w:rsidR="0062116F">
        <w:rPr>
          <w:rFonts w:cstheme="minorHAnsi"/>
        </w:rPr>
        <w:t xml:space="preserve">on </w:t>
      </w:r>
      <w:r>
        <w:rPr>
          <w:rFonts w:cstheme="minorHAnsi"/>
        </w:rPr>
        <w:t xml:space="preserve">these </w:t>
      </w:r>
      <w:r w:rsidR="0062116F">
        <w:rPr>
          <w:rFonts w:cstheme="minorHAnsi"/>
        </w:rPr>
        <w:t xml:space="preserve">platforms to build and maintain an audience. </w:t>
      </w:r>
      <w:r w:rsidR="00282179">
        <w:rPr>
          <w:rFonts w:cstheme="minorHAnsi"/>
        </w:rPr>
        <w:t>Search engines, s</w:t>
      </w:r>
      <w:r w:rsidR="0014041E">
        <w:rPr>
          <w:rFonts w:cstheme="minorHAnsi"/>
        </w:rPr>
        <w:t xml:space="preserve">ocial media platforms </w:t>
      </w:r>
      <w:r w:rsidR="0062116F">
        <w:rPr>
          <w:rFonts w:cstheme="minorHAnsi"/>
        </w:rPr>
        <w:t xml:space="preserve">and </w:t>
      </w:r>
      <w:r w:rsidR="00BA267F">
        <w:rPr>
          <w:rFonts w:cstheme="minorHAnsi"/>
        </w:rPr>
        <w:t xml:space="preserve">digital </w:t>
      </w:r>
      <w:r w:rsidR="0062116F">
        <w:rPr>
          <w:rFonts w:cstheme="minorHAnsi"/>
        </w:rPr>
        <w:t xml:space="preserve">news aggregators are key players in the distribution of news and content more broadly. Google and Facebook, for example, account for about </w:t>
      </w:r>
      <w:r w:rsidR="0062116F">
        <w:t>50 per cent of traffic to Australian news media sites.</w:t>
      </w:r>
      <w:r w:rsidR="0062116F">
        <w:rPr>
          <w:rStyle w:val="FootnoteReference"/>
        </w:rPr>
        <w:footnoteReference w:id="2"/>
      </w:r>
      <w:r w:rsidR="0062116F">
        <w:t xml:space="preserve"> Traditional news outlets generally have limited control and </w:t>
      </w:r>
      <w:r w:rsidR="00BD1C72">
        <w:t xml:space="preserve">visibility </w:t>
      </w:r>
      <w:r w:rsidR="0062116F">
        <w:t>over how their material is presented on these platforms.</w:t>
      </w:r>
    </w:p>
    <w:p w14:paraId="40B0B7C1" w14:textId="1E7EE581" w:rsidR="0062116F" w:rsidRDefault="0062116F" w:rsidP="00BD1C72">
      <w:pPr>
        <w:spacing w:after="80"/>
      </w:pPr>
      <w:r>
        <w:t>The financial challenges faced by traditional news ha</w:t>
      </w:r>
      <w:r w:rsidR="008D1208">
        <w:t>v</w:t>
      </w:r>
      <w:r w:rsidR="00A548F7">
        <w:t>e</w:t>
      </w:r>
      <w:r>
        <w:t xml:space="preserve"> been </w:t>
      </w:r>
      <w:r w:rsidR="00BD1C72">
        <w:t xml:space="preserve">evidenced </w:t>
      </w:r>
      <w:r>
        <w:t xml:space="preserve">globally by the closure of numerous legacy outlets and </w:t>
      </w:r>
      <w:r w:rsidR="0086199D">
        <w:t>declining numbers of</w:t>
      </w:r>
      <w:r>
        <w:t xml:space="preserve"> </w:t>
      </w:r>
      <w:r w:rsidR="0086199D">
        <w:t xml:space="preserve">full-time </w:t>
      </w:r>
      <w:r>
        <w:t>journalis</w:t>
      </w:r>
      <w:r w:rsidR="0086199D">
        <w:t>m</w:t>
      </w:r>
      <w:r>
        <w:t xml:space="preserve"> positions. For example:</w:t>
      </w:r>
    </w:p>
    <w:p w14:paraId="7EB7F945" w14:textId="77283E11" w:rsidR="0062116F" w:rsidRPr="00252722" w:rsidRDefault="00C82B5E" w:rsidP="00BD1C72">
      <w:pPr>
        <w:pStyle w:val="ListBullet"/>
      </w:pPr>
      <w:r>
        <w:t>i</w:t>
      </w:r>
      <w:r w:rsidR="0062116F" w:rsidRPr="00D87F95">
        <w:t xml:space="preserve">n the US, </w:t>
      </w:r>
      <w:r w:rsidR="00DB5855" w:rsidRPr="00D87F95">
        <w:t>almost</w:t>
      </w:r>
      <w:r w:rsidR="0062116F" w:rsidRPr="00D87F95">
        <w:t xml:space="preserve"> 1,800 local </w:t>
      </w:r>
      <w:r w:rsidR="00C469A1" w:rsidRPr="00D87F95">
        <w:t xml:space="preserve">print </w:t>
      </w:r>
      <w:r w:rsidR="0062116F" w:rsidRPr="00D87F95">
        <w:t xml:space="preserve">newspapers </w:t>
      </w:r>
      <w:r w:rsidR="00DE1738">
        <w:t xml:space="preserve">were lost </w:t>
      </w:r>
      <w:r w:rsidR="00DB5855" w:rsidRPr="00D87F95">
        <w:t>between</w:t>
      </w:r>
      <w:r w:rsidR="0062116F" w:rsidRPr="00D87F95">
        <w:t xml:space="preserve"> 2004</w:t>
      </w:r>
      <w:r w:rsidR="00DB5855" w:rsidRPr="00D87F95">
        <w:t xml:space="preserve"> and 2018</w:t>
      </w:r>
      <w:r w:rsidR="005B51DB" w:rsidRPr="00D87F95">
        <w:rPr>
          <w:rStyle w:val="FootnoteReference"/>
          <w:rFonts w:cs="Arial"/>
        </w:rPr>
        <w:footnoteReference w:id="3"/>
      </w:r>
    </w:p>
    <w:p w14:paraId="7573AB34" w14:textId="12A08134" w:rsidR="00252722" w:rsidRPr="00D87F95" w:rsidRDefault="00C82B5E" w:rsidP="00BD1C72">
      <w:pPr>
        <w:pStyle w:val="ListBullet"/>
      </w:pPr>
      <w:r>
        <w:t>i</w:t>
      </w:r>
      <w:r w:rsidR="00252722">
        <w:t xml:space="preserve">n Canada, </w:t>
      </w:r>
      <w:r w:rsidR="00081E53">
        <w:t xml:space="preserve">260 local newspapers, online news sites, </w:t>
      </w:r>
      <w:r>
        <w:t xml:space="preserve">and </w:t>
      </w:r>
      <w:r w:rsidR="00081E53">
        <w:t xml:space="preserve">radio </w:t>
      </w:r>
      <w:r w:rsidR="00977EA5">
        <w:t xml:space="preserve">and television </w:t>
      </w:r>
      <w:r w:rsidR="00381593">
        <w:t xml:space="preserve">outlets </w:t>
      </w:r>
      <w:r w:rsidR="00223D7E">
        <w:t>across</w:t>
      </w:r>
      <w:r w:rsidR="00381593">
        <w:t xml:space="preserve"> 190</w:t>
      </w:r>
      <w:r w:rsidR="00E8764B">
        <w:t xml:space="preserve"> communities</w:t>
      </w:r>
      <w:r w:rsidR="000A7CAB">
        <w:t xml:space="preserve"> </w:t>
      </w:r>
      <w:r w:rsidR="00DE1738">
        <w:t xml:space="preserve">were lost </w:t>
      </w:r>
      <w:r w:rsidR="00602B72">
        <w:t>between</w:t>
      </w:r>
      <w:r w:rsidR="000A7CAB">
        <w:t xml:space="preserve"> 2008 and 2018</w:t>
      </w:r>
      <w:r w:rsidR="00D75568">
        <w:rPr>
          <w:rStyle w:val="FootnoteReference"/>
          <w:rFonts w:cs="Arial"/>
        </w:rPr>
        <w:footnoteReference w:id="4"/>
      </w:r>
    </w:p>
    <w:p w14:paraId="1B049086" w14:textId="5D901ABD" w:rsidR="0062116F" w:rsidRPr="00680554" w:rsidRDefault="00C82B5E" w:rsidP="00BD1C72">
      <w:pPr>
        <w:pStyle w:val="ListBullet"/>
      </w:pPr>
      <w:r>
        <w:t>i</w:t>
      </w:r>
      <w:r w:rsidR="00E3188E" w:rsidRPr="00680554">
        <w:t>n the</w:t>
      </w:r>
      <w:r w:rsidR="0062116F" w:rsidRPr="00680554">
        <w:t xml:space="preserve"> UK</w:t>
      </w:r>
      <w:r w:rsidR="00E3188E" w:rsidRPr="00680554">
        <w:t>,</w:t>
      </w:r>
      <w:r w:rsidR="0062116F" w:rsidRPr="00680554">
        <w:t xml:space="preserve"> </w:t>
      </w:r>
      <w:r w:rsidR="00F948B0" w:rsidRPr="00680554">
        <w:t xml:space="preserve">the </w:t>
      </w:r>
      <w:r w:rsidR="0062116F" w:rsidRPr="00680554">
        <w:t xml:space="preserve">local print sector has lost approximately 200 local newspapers </w:t>
      </w:r>
      <w:r w:rsidR="005B3176" w:rsidRPr="00680554">
        <w:t>between</w:t>
      </w:r>
      <w:r w:rsidR="0062116F" w:rsidRPr="00680554">
        <w:t xml:space="preserve"> 2005</w:t>
      </w:r>
      <w:r w:rsidR="005B3176" w:rsidRPr="00680554">
        <w:t xml:space="preserve"> and 201</w:t>
      </w:r>
      <w:r w:rsidR="00680554">
        <w:t>6</w:t>
      </w:r>
      <w:r w:rsidR="0062116F" w:rsidRPr="00680554">
        <w:rPr>
          <w:vertAlign w:val="superscript"/>
        </w:rPr>
        <w:footnoteReference w:id="5"/>
      </w:r>
    </w:p>
    <w:p w14:paraId="4BDC3062" w14:textId="05373A2B" w:rsidR="0062116F" w:rsidRDefault="00DE1738" w:rsidP="00BD1C72">
      <w:pPr>
        <w:pStyle w:val="ListBulletLast"/>
      </w:pPr>
      <w:r>
        <w:t>i</w:t>
      </w:r>
      <w:r w:rsidR="006442C1">
        <w:t>n Australia</w:t>
      </w:r>
      <w:r w:rsidR="0062116F">
        <w:t xml:space="preserve">, </w:t>
      </w:r>
      <w:r w:rsidR="00BD1C72">
        <w:t>an estimated</w:t>
      </w:r>
      <w:r w:rsidR="00F85E4E">
        <w:t xml:space="preserve"> </w:t>
      </w:r>
      <w:r w:rsidR="0062116F">
        <w:t>3,000 journalist positions</w:t>
      </w:r>
      <w:r w:rsidR="00B71287">
        <w:t xml:space="preserve"> were lost between 2011 and 2017</w:t>
      </w:r>
      <w:r w:rsidR="0062116F">
        <w:t>.</w:t>
      </w:r>
      <w:r w:rsidR="0062116F">
        <w:rPr>
          <w:rStyle w:val="FootnoteReference"/>
          <w:rFonts w:cstheme="minorHAnsi"/>
        </w:rPr>
        <w:footnoteReference w:id="6"/>
      </w:r>
      <w:r w:rsidR="0062116F">
        <w:rPr>
          <w:rFonts w:cstheme="minorHAnsi"/>
        </w:rPr>
        <w:t xml:space="preserve">  </w:t>
      </w:r>
    </w:p>
    <w:p w14:paraId="59F5AE76" w14:textId="1F99B82A" w:rsidR="0062116F" w:rsidRDefault="0062116F" w:rsidP="007A1260">
      <w:pPr>
        <w:spacing w:before="240"/>
      </w:pPr>
      <w:r>
        <w:t xml:space="preserve">The financial challenges </w:t>
      </w:r>
      <w:r w:rsidR="009D0453">
        <w:t xml:space="preserve">to </w:t>
      </w:r>
      <w:r>
        <w:t xml:space="preserve">traditional news media are anticipated to continue as online audiences grow. </w:t>
      </w:r>
      <w:r w:rsidRPr="00A03972">
        <w:rPr>
          <w:rFonts w:cstheme="minorHAnsi"/>
        </w:rPr>
        <w:t>Increasing take-up of faster data</w:t>
      </w:r>
      <w:r w:rsidRPr="00664B6A">
        <w:rPr>
          <w:rFonts w:cstheme="minorHAnsi"/>
        </w:rPr>
        <w:t xml:space="preserve"> services </w:t>
      </w:r>
      <w:r>
        <w:rPr>
          <w:rFonts w:cstheme="minorHAnsi"/>
        </w:rPr>
        <w:t>is</w:t>
      </w:r>
      <w:r w:rsidRPr="00664B6A">
        <w:rPr>
          <w:rFonts w:cstheme="minorHAnsi"/>
        </w:rPr>
        <w:t xml:space="preserve"> extend</w:t>
      </w:r>
      <w:r>
        <w:rPr>
          <w:rFonts w:cstheme="minorHAnsi"/>
        </w:rPr>
        <w:t>ing</w:t>
      </w:r>
      <w:r w:rsidRPr="00664B6A">
        <w:rPr>
          <w:rFonts w:cstheme="minorHAnsi"/>
        </w:rPr>
        <w:t xml:space="preserve"> choice over how, where and when people consume news.</w:t>
      </w:r>
      <w:r>
        <w:rPr>
          <w:rFonts w:cstheme="minorHAnsi"/>
        </w:rPr>
        <w:t xml:space="preserve"> Digital platforms, including social media, news aggregators and search engines, have become key sources of information, commentary and entertainment. </w:t>
      </w:r>
    </w:p>
    <w:p w14:paraId="340EFCF8" w14:textId="673AE3EB" w:rsidR="0062116F" w:rsidRDefault="0062116F" w:rsidP="00656A6E">
      <w:pPr>
        <w:rPr>
          <w:rFonts w:cstheme="minorHAnsi"/>
        </w:rPr>
      </w:pPr>
      <w:r>
        <w:rPr>
          <w:rFonts w:cstheme="minorHAnsi"/>
        </w:rPr>
        <w:t xml:space="preserve">Traditional news providers are pursuing new approaches and strategies to achieve financial sustainability. This includes greater consolidation, </w:t>
      </w:r>
      <w:r w:rsidRPr="00664B6A">
        <w:rPr>
          <w:rFonts w:cstheme="minorHAnsi"/>
        </w:rPr>
        <w:t>cost-cutting and diversification</w:t>
      </w:r>
      <w:r>
        <w:rPr>
          <w:rFonts w:cstheme="minorHAnsi"/>
        </w:rPr>
        <w:t xml:space="preserve">. </w:t>
      </w:r>
      <w:r w:rsidRPr="001A5669">
        <w:t>Broadcast media and print newspapers have established their presence online and are adapting their funding models</w:t>
      </w:r>
      <w:r>
        <w:t xml:space="preserve"> accordingly</w:t>
      </w:r>
      <w:r w:rsidRPr="001A5669">
        <w:t>.</w:t>
      </w:r>
      <w:r w:rsidRPr="00E66A73">
        <w:rPr>
          <w:rFonts w:cstheme="minorHAnsi"/>
        </w:rPr>
        <w:t xml:space="preserve"> </w:t>
      </w:r>
      <w:r w:rsidRPr="001A5669">
        <w:t>For example, to compensate for declining advertising revenue and physical sales</w:t>
      </w:r>
      <w:r>
        <w:t xml:space="preserve">, </w:t>
      </w:r>
      <w:r w:rsidRPr="001A5669">
        <w:t xml:space="preserve">newspapers are pursuing a range of funding approaches </w:t>
      </w:r>
      <w:r>
        <w:t>such as</w:t>
      </w:r>
      <w:r w:rsidRPr="001A5669">
        <w:t xml:space="preserve"> implementing paywalls or </w:t>
      </w:r>
      <w:r>
        <w:t xml:space="preserve">seeking </w:t>
      </w:r>
      <w:r w:rsidRPr="001A5669">
        <w:t xml:space="preserve">voluntary </w:t>
      </w:r>
      <w:r w:rsidRPr="001A5669">
        <w:lastRenderedPageBreak/>
        <w:t>contributions (</w:t>
      </w:r>
      <w:r w:rsidRPr="00BD1C72">
        <w:rPr>
          <w:i/>
        </w:rPr>
        <w:t>The Guardian</w:t>
      </w:r>
      <w:r>
        <w:t xml:space="preserve"> is one example of where a voluntary contribution model is applied). </w:t>
      </w:r>
    </w:p>
    <w:p w14:paraId="1856ECC7" w14:textId="063CBF3E" w:rsidR="0062116F" w:rsidRDefault="0062116F" w:rsidP="00BD1C72">
      <w:pPr>
        <w:spacing w:after="80"/>
        <w:rPr>
          <w:rFonts w:cstheme="minorHAnsi"/>
        </w:rPr>
      </w:pPr>
      <w:r>
        <w:rPr>
          <w:rFonts w:cstheme="minorHAnsi"/>
        </w:rPr>
        <w:t>These market developments have implications for the delivery of diversity and localism</w:t>
      </w:r>
      <w:r w:rsidR="000A0CC9">
        <w:rPr>
          <w:rFonts w:cstheme="minorHAnsi"/>
        </w:rPr>
        <w:t>,</w:t>
      </w:r>
      <w:r>
        <w:rPr>
          <w:rFonts w:cstheme="minorHAnsi"/>
        </w:rPr>
        <w:t xml:space="preserve"> </w:t>
      </w:r>
      <w:r w:rsidR="000A0CC9">
        <w:rPr>
          <w:rFonts w:cstheme="minorHAnsi"/>
        </w:rPr>
        <w:t>including</w:t>
      </w:r>
      <w:r>
        <w:rPr>
          <w:rFonts w:cstheme="minorHAnsi"/>
        </w:rPr>
        <w:t>:</w:t>
      </w:r>
      <w:r w:rsidRPr="00A57583">
        <w:rPr>
          <w:rStyle w:val="FootnoteReference"/>
          <w:rFonts w:cstheme="minorHAnsi"/>
        </w:rPr>
        <w:t xml:space="preserve"> </w:t>
      </w:r>
    </w:p>
    <w:p w14:paraId="711870BD" w14:textId="77D7531F" w:rsidR="0062116F" w:rsidRDefault="000A0CC9" w:rsidP="00BD1C72">
      <w:pPr>
        <w:pStyle w:val="ListBullet"/>
      </w:pPr>
      <w:r>
        <w:t>d</w:t>
      </w:r>
      <w:r w:rsidR="0062116F" w:rsidRPr="00D50A93">
        <w:t xml:space="preserve">igital platforms, due to their prominence in the online media environment, have significant </w:t>
      </w:r>
      <w:r w:rsidR="00B6106E">
        <w:t xml:space="preserve">market </w:t>
      </w:r>
      <w:r w:rsidR="0062116F" w:rsidRPr="00D50A93">
        <w:t>power to affect public discourse by influencing the news people view</w:t>
      </w:r>
    </w:p>
    <w:p w14:paraId="44A1BD40" w14:textId="0ED4710A" w:rsidR="0062116F" w:rsidRPr="00D50A93" w:rsidRDefault="000A0CC9" w:rsidP="00BD1C72">
      <w:pPr>
        <w:pStyle w:val="ListBullet"/>
      </w:pPr>
      <w:r>
        <w:t>n</w:t>
      </w:r>
      <w:r w:rsidR="0062116F" w:rsidRPr="00D50A93">
        <w:t>ew business models, including paywalls, may limit access to news</w:t>
      </w:r>
    </w:p>
    <w:p w14:paraId="5068745D" w14:textId="71C8B1C3" w:rsidR="0062116F" w:rsidRDefault="0062116F" w:rsidP="00BD1C72">
      <w:pPr>
        <w:pStyle w:val="ListBullet"/>
      </w:pPr>
      <w:r w:rsidRPr="00D50A93">
        <w:t xml:space="preserve">the ability for outlets to fund resource-intensive journalism in the public-interest, such as investigative journalism, is </w:t>
      </w:r>
      <w:r w:rsidRPr="00A03972">
        <w:t>in question</w:t>
      </w:r>
      <w:r w:rsidRPr="00D50A93">
        <w:t xml:space="preserve"> </w:t>
      </w:r>
    </w:p>
    <w:p w14:paraId="5D2C75E5" w14:textId="4CED5366" w:rsidR="0062116F" w:rsidRDefault="000A0CC9" w:rsidP="00BD1C72">
      <w:pPr>
        <w:pStyle w:val="ListBullet"/>
      </w:pPr>
      <w:r>
        <w:t>l</w:t>
      </w:r>
      <w:r w:rsidR="0062116F">
        <w:t>ocal and niche content, which targets and appeals to smaller audiences, is less likely to be financially viable</w:t>
      </w:r>
    </w:p>
    <w:p w14:paraId="2D99A634" w14:textId="4F087557" w:rsidR="00127CC3" w:rsidRPr="00127CC3" w:rsidRDefault="000A0CC9" w:rsidP="00BD1C72">
      <w:pPr>
        <w:pStyle w:val="ListBulletLast"/>
      </w:pPr>
      <w:r>
        <w:t>t</w:t>
      </w:r>
      <w:r w:rsidR="00127CC3">
        <w:t xml:space="preserve">he extent </w:t>
      </w:r>
      <w:r>
        <w:t xml:space="preserve">to which </w:t>
      </w:r>
      <w:r w:rsidR="00127CC3">
        <w:t xml:space="preserve">digital platforms such as Facebook are supporting the production of local content that meets </w:t>
      </w:r>
      <w:r>
        <w:t xml:space="preserve">similar </w:t>
      </w:r>
      <w:r w:rsidR="00127CC3">
        <w:t>community requirements as traditional local news sources is unclear.</w:t>
      </w:r>
    </w:p>
    <w:p w14:paraId="1F594E2F" w14:textId="5AB12286" w:rsidR="0062116F" w:rsidRDefault="0062116F" w:rsidP="00AF55DD">
      <w:pPr>
        <w:pStyle w:val="Heading2"/>
      </w:pPr>
      <w:bookmarkStart w:id="12" w:name="_Toc58401283"/>
      <w:r>
        <w:t>Purpose and scope</w:t>
      </w:r>
      <w:bookmarkEnd w:id="12"/>
    </w:p>
    <w:p w14:paraId="1C88563E" w14:textId="625ECDBA" w:rsidR="0062116F" w:rsidRDefault="0062116F" w:rsidP="00FB6927">
      <w:r>
        <w:t xml:space="preserve">Following concerns raised about the decline in the production of local news and public interest journalism in the </w:t>
      </w:r>
      <w:r w:rsidR="000A0CC9" w:rsidRPr="000A0CC9">
        <w:t>Australian Competition and Consumer Commission</w:t>
      </w:r>
      <w:r w:rsidR="000A0CC9">
        <w:t>’s (</w:t>
      </w:r>
      <w:r>
        <w:t>ACCC’s</w:t>
      </w:r>
      <w:r w:rsidR="000A0CC9">
        <w:t>)</w:t>
      </w:r>
      <w:r>
        <w:t xml:space="preserve"> Digital Platforms Inquiry, it is timely for the ACMA to explore how diversity and localism objectives are being regulated in Australia and abroad.</w:t>
      </w:r>
    </w:p>
    <w:p w14:paraId="6524FE30" w14:textId="34EB8C5D" w:rsidR="0062116F" w:rsidRDefault="0062116F" w:rsidP="00213A39">
      <w:pPr>
        <w:rPr>
          <w:rFonts w:cstheme="minorHAnsi"/>
        </w:rPr>
      </w:pPr>
      <w:r>
        <w:rPr>
          <w:rFonts w:cs="Arial"/>
        </w:rPr>
        <w:t xml:space="preserve">This paper explores the regulatory frameworks of Australia, Canada, the </w:t>
      </w:r>
      <w:r w:rsidR="000A0CC9">
        <w:rPr>
          <w:rFonts w:cs="Arial"/>
        </w:rPr>
        <w:t>UK</w:t>
      </w:r>
      <w:r>
        <w:rPr>
          <w:rFonts w:cs="Arial"/>
        </w:rPr>
        <w:t xml:space="preserve">, the </w:t>
      </w:r>
      <w:r w:rsidR="000A0CC9">
        <w:rPr>
          <w:rFonts w:cs="Arial"/>
        </w:rPr>
        <w:t>US</w:t>
      </w:r>
      <w:r>
        <w:rPr>
          <w:rFonts w:cs="Arial"/>
        </w:rPr>
        <w:t xml:space="preserve">, France and Norway, and the extent to which they support diversity and localism. </w:t>
      </w:r>
      <w:r>
        <w:rPr>
          <w:rFonts w:cstheme="minorHAnsi"/>
        </w:rPr>
        <w:t>These countries were selected as they share overarching objectives for diversity and localism, while illustrating a range of regulatory approaches designed to support these outcomes.</w:t>
      </w:r>
    </w:p>
    <w:p w14:paraId="57386CA0" w14:textId="77777777" w:rsidR="0062116F" w:rsidRDefault="0062116F" w:rsidP="00CB78A7">
      <w:pPr>
        <w:spacing w:after="80"/>
        <w:rPr>
          <w:rFonts w:cstheme="minorHAnsi"/>
        </w:rPr>
      </w:pPr>
      <w:r>
        <w:rPr>
          <w:rFonts w:cstheme="minorHAnsi"/>
        </w:rPr>
        <w:t>Each of the markets assessed share some common features including:</w:t>
      </w:r>
    </w:p>
    <w:p w14:paraId="2AAC1343" w14:textId="6C21AE63" w:rsidR="0062116F" w:rsidRDefault="00543345" w:rsidP="00CB78A7">
      <w:pPr>
        <w:pStyle w:val="ListBullet"/>
      </w:pPr>
      <w:r>
        <w:t>mature</w:t>
      </w:r>
      <w:r w:rsidRPr="00813DA6">
        <w:t xml:space="preserve"> </w:t>
      </w:r>
      <w:r w:rsidR="0062116F">
        <w:t xml:space="preserve">media and communications </w:t>
      </w:r>
      <w:r>
        <w:t>markets</w:t>
      </w:r>
    </w:p>
    <w:p w14:paraId="266BC2B7" w14:textId="546783C8" w:rsidR="0062116F" w:rsidRDefault="000A0CC9" w:rsidP="00CB78A7">
      <w:pPr>
        <w:pStyle w:val="ListBullet"/>
      </w:pPr>
      <w:r>
        <w:t>g</w:t>
      </w:r>
      <w:r w:rsidR="0062116F">
        <w:t>eographically and/or linguistically diverse populations</w:t>
      </w:r>
    </w:p>
    <w:p w14:paraId="0F19A400" w14:textId="41A08CC7" w:rsidR="0062116F" w:rsidRDefault="000A0CC9" w:rsidP="00CB78A7">
      <w:pPr>
        <w:pStyle w:val="ListBullet"/>
      </w:pPr>
      <w:r>
        <w:t>a r</w:t>
      </w:r>
      <w:r w:rsidR="0062116F">
        <w:t>ang</w:t>
      </w:r>
      <w:r>
        <w:t>e of</w:t>
      </w:r>
      <w:r w:rsidR="0062116F">
        <w:t xml:space="preserve"> regulation relating to media diversity and localism</w:t>
      </w:r>
    </w:p>
    <w:p w14:paraId="65B54C58" w14:textId="4F28AD2E" w:rsidR="0062116F" w:rsidRDefault="000A0CC9" w:rsidP="00CB78A7">
      <w:pPr>
        <w:pStyle w:val="ListBullet"/>
      </w:pPr>
      <w:r>
        <w:t>a</w:t>
      </w:r>
      <w:r w:rsidR="0062116F" w:rsidRPr="004E6C96">
        <w:t xml:space="preserve"> commitment to a defined (albeit sometimes vaguely) public interest mandate, where media or news diversity and localism play an important role in the media sector and for democracy</w:t>
      </w:r>
    </w:p>
    <w:p w14:paraId="773EBC95" w14:textId="6688AC87" w:rsidR="0062116F" w:rsidRDefault="000A0CC9" w:rsidP="00CB78A7">
      <w:pPr>
        <w:pStyle w:val="ListBullet"/>
      </w:pPr>
      <w:r>
        <w:t>a</w:t>
      </w:r>
      <w:r w:rsidR="0062116F">
        <w:t xml:space="preserve"> concern for local journalism and local media ecologies</w:t>
      </w:r>
    </w:p>
    <w:p w14:paraId="4FFE45B3" w14:textId="244FA9AF" w:rsidR="0062116F" w:rsidRDefault="000A0CC9" w:rsidP="00CB78A7">
      <w:pPr>
        <w:pStyle w:val="ListBulletLast"/>
        <w:spacing w:before="0"/>
      </w:pPr>
      <w:r>
        <w:t>a</w:t>
      </w:r>
      <w:r w:rsidR="0062116F" w:rsidRPr="004E6C96">
        <w:t xml:space="preserve"> stated awareness that digital conversion and digital media is impacting the sustainability of traditional media groups and media concentration.</w:t>
      </w:r>
    </w:p>
    <w:p w14:paraId="55AAEC97" w14:textId="64D7DBDF" w:rsidR="0062116F" w:rsidRDefault="0062116F" w:rsidP="007A1260">
      <w:pPr>
        <w:spacing w:before="240"/>
        <w:rPr>
          <w:rFonts w:cstheme="minorHAnsi"/>
        </w:rPr>
      </w:pPr>
      <w:r>
        <w:rPr>
          <w:rFonts w:cstheme="minorHAnsi"/>
        </w:rPr>
        <w:t xml:space="preserve">However, the media markets and regulatory frameworks explored also reflect the unique culture and history of each country. This includes variations in how ‘diversity’ and ‘localism’ are conceived. </w:t>
      </w:r>
      <w:r w:rsidRPr="00043410">
        <w:rPr>
          <w:rFonts w:cstheme="minorHAnsi"/>
        </w:rPr>
        <w:t>Each country also has varying degrees of government intervention and different accountability systems in plac</w:t>
      </w:r>
      <w:r w:rsidR="00374ED3" w:rsidRPr="00043410">
        <w:rPr>
          <w:rFonts w:cstheme="minorHAnsi"/>
        </w:rPr>
        <w:t>e</w:t>
      </w:r>
      <w:r w:rsidRPr="00043410">
        <w:rPr>
          <w:rFonts w:cstheme="minorHAnsi"/>
        </w:rPr>
        <w:t>.</w:t>
      </w:r>
      <w:r>
        <w:rPr>
          <w:rFonts w:cstheme="minorHAnsi"/>
        </w:rPr>
        <w:t xml:space="preserve"> </w:t>
      </w:r>
    </w:p>
    <w:p w14:paraId="06663582" w14:textId="10C3BF28" w:rsidR="0062116F" w:rsidRPr="000D76E0" w:rsidRDefault="002B540A" w:rsidP="00777BA2">
      <w:pPr>
        <w:pStyle w:val="Heading1"/>
      </w:pPr>
      <w:bookmarkStart w:id="13" w:name="_Toc58401284"/>
      <w:r>
        <w:lastRenderedPageBreak/>
        <w:t xml:space="preserve">Key </w:t>
      </w:r>
      <w:r w:rsidR="0062116F">
        <w:t>regulatory interventions</w:t>
      </w:r>
      <w:bookmarkEnd w:id="13"/>
    </w:p>
    <w:p w14:paraId="1C695BF8" w14:textId="17CAFC59" w:rsidR="0062116F" w:rsidRDefault="0062116F" w:rsidP="00CB78A7">
      <w:pPr>
        <w:spacing w:after="80"/>
        <w:rPr>
          <w:rFonts w:cs="Arial"/>
        </w:rPr>
      </w:pPr>
      <w:r>
        <w:rPr>
          <w:rFonts w:cs="Arial"/>
        </w:rPr>
        <w:t xml:space="preserve">To </w:t>
      </w:r>
      <w:r w:rsidR="006B0B93">
        <w:rPr>
          <w:rFonts w:cs="Arial"/>
        </w:rPr>
        <w:t>help compare</w:t>
      </w:r>
      <w:r>
        <w:rPr>
          <w:rFonts w:cs="Arial"/>
        </w:rPr>
        <w:t xml:space="preserve"> international media markets, we identified five categories of policy or regulatory intervention used to promote media diversity and localism objectives: </w:t>
      </w:r>
    </w:p>
    <w:p w14:paraId="6416B77C" w14:textId="613F9069" w:rsidR="0062116F" w:rsidRDefault="006B0B93" w:rsidP="00CB78A7">
      <w:pPr>
        <w:pStyle w:val="ListNumber"/>
      </w:pPr>
      <w:r>
        <w:t>m</w:t>
      </w:r>
      <w:r w:rsidR="0062116F" w:rsidRPr="008D20CD">
        <w:t xml:space="preserve">edia ownership rules (including </w:t>
      </w:r>
      <w:r w:rsidR="0062116F" w:rsidRPr="00976415">
        <w:t>specific tests for media mergers</w:t>
      </w:r>
      <w:r w:rsidR="0062116F" w:rsidRPr="008D20CD">
        <w:t>)</w:t>
      </w:r>
    </w:p>
    <w:p w14:paraId="6909F610" w14:textId="6EFE3745" w:rsidR="0062116F" w:rsidRDefault="0062116F" w:rsidP="00CB78A7">
      <w:pPr>
        <w:pStyle w:val="ListNumber"/>
      </w:pPr>
      <w:r w:rsidRPr="008D20CD">
        <w:t>quotas for news content</w:t>
      </w:r>
    </w:p>
    <w:p w14:paraId="017319D9" w14:textId="46A75320" w:rsidR="0062116F" w:rsidRDefault="0062116F" w:rsidP="00CB78A7">
      <w:pPr>
        <w:pStyle w:val="ListNumber"/>
      </w:pPr>
      <w:r w:rsidRPr="008D20CD">
        <w:t xml:space="preserve">support </w:t>
      </w:r>
      <w:r>
        <w:t>for</w:t>
      </w:r>
      <w:r w:rsidRPr="008D20CD">
        <w:t xml:space="preserve"> local media outlets</w:t>
      </w:r>
    </w:p>
    <w:p w14:paraId="0896D6C2" w14:textId="7F75CE56" w:rsidR="0062116F" w:rsidRDefault="006B0B93" w:rsidP="00CB78A7">
      <w:pPr>
        <w:pStyle w:val="ListNumber"/>
      </w:pPr>
      <w:r>
        <w:t>t</w:t>
      </w:r>
      <w:r w:rsidR="0062116F" w:rsidRPr="008D20CD">
        <w:t>ax breaks and exemption</w:t>
      </w:r>
      <w:r w:rsidR="0062116F">
        <w:t>s</w:t>
      </w:r>
    </w:p>
    <w:p w14:paraId="4DCC8782" w14:textId="632BFD54" w:rsidR="0062116F" w:rsidRPr="008D20CD" w:rsidRDefault="006B0B93" w:rsidP="00CB78A7">
      <w:pPr>
        <w:pStyle w:val="ListNumberLast"/>
      </w:pPr>
      <w:r>
        <w:t>o</w:t>
      </w:r>
      <w:r w:rsidR="0062116F">
        <w:t xml:space="preserve">bligations on </w:t>
      </w:r>
      <w:r w:rsidR="0062116F" w:rsidRPr="008D20CD">
        <w:t>publicly</w:t>
      </w:r>
      <w:r w:rsidR="00291FF9">
        <w:t xml:space="preserve"> </w:t>
      </w:r>
      <w:r w:rsidR="0062116F" w:rsidRPr="008D20CD">
        <w:t xml:space="preserve">funded broadcasters </w:t>
      </w:r>
    </w:p>
    <w:p w14:paraId="53F741A7" w14:textId="41835B08" w:rsidR="0062116F" w:rsidRDefault="0062116F" w:rsidP="000A4532">
      <w:pPr>
        <w:pStyle w:val="Heading2"/>
      </w:pPr>
      <w:bookmarkStart w:id="14" w:name="_Toc58401285"/>
      <w:r w:rsidRPr="00902DCC">
        <w:t>Media ownership rules</w:t>
      </w:r>
      <w:bookmarkEnd w:id="14"/>
    </w:p>
    <w:p w14:paraId="4F9E7B7C" w14:textId="29A278FA" w:rsidR="0062116F" w:rsidRDefault="0062116F" w:rsidP="000A4532">
      <w:pPr>
        <w:rPr>
          <w:rFonts w:cs="Arial"/>
        </w:rPr>
      </w:pPr>
      <w:r>
        <w:rPr>
          <w:rFonts w:cs="Arial"/>
        </w:rPr>
        <w:t xml:space="preserve">Media ownership (and control) rules are the most common means through which governments regulate media diversity. These rules can take the form of regulatory limits on who can own media outlets (by factors such as geography, number, or type of medium), or mechanisms </w:t>
      </w:r>
      <w:r w:rsidR="006B0B93">
        <w:rPr>
          <w:rFonts w:cs="Arial"/>
        </w:rPr>
        <w:t xml:space="preserve">that </w:t>
      </w:r>
      <w:r>
        <w:rPr>
          <w:rFonts w:cs="Arial"/>
        </w:rPr>
        <w:t xml:space="preserve">require regulators to place </w:t>
      </w:r>
      <w:r>
        <w:t xml:space="preserve">greater scrutiny on proposed </w:t>
      </w:r>
      <w:r w:rsidRPr="00B54417">
        <w:t>mergers and acquisitions</w:t>
      </w:r>
      <w:r>
        <w:t xml:space="preserve"> between media groups.</w:t>
      </w:r>
      <w:r>
        <w:rPr>
          <w:rFonts w:cs="Arial"/>
        </w:rPr>
        <w:t xml:space="preserve"> Collectively, these types of interventions are designed to encourage a competitive media environment that can provide a plurality of news media, while restricting the levels of influence able to be exerted by any one person or outlet.</w:t>
      </w:r>
    </w:p>
    <w:p w14:paraId="7E8936AC" w14:textId="11B2C14E" w:rsidR="0062116F" w:rsidRDefault="0062116F" w:rsidP="00B248EE">
      <w:r>
        <w:rPr>
          <w:rFonts w:cs="Arial"/>
        </w:rPr>
        <w:t>Australia</w:t>
      </w:r>
      <w:r w:rsidR="001E7E04">
        <w:rPr>
          <w:rFonts w:cs="Arial"/>
        </w:rPr>
        <w:t>’</w:t>
      </w:r>
      <w:r>
        <w:rPr>
          <w:rFonts w:cs="Arial"/>
        </w:rPr>
        <w:t>s media ownership</w:t>
      </w:r>
      <w:r w:rsidR="0026693B">
        <w:rPr>
          <w:rFonts w:cs="Arial"/>
        </w:rPr>
        <w:t xml:space="preserve"> and control</w:t>
      </w:r>
      <w:r>
        <w:rPr>
          <w:rFonts w:cs="Arial"/>
        </w:rPr>
        <w:t xml:space="preserve"> rules</w:t>
      </w:r>
      <w:r w:rsidDel="00FA6307">
        <w:rPr>
          <w:rFonts w:cs="Arial"/>
        </w:rPr>
        <w:t xml:space="preserve"> </w:t>
      </w:r>
      <w:r w:rsidR="00043E44">
        <w:rPr>
          <w:rFonts w:cs="Arial"/>
        </w:rPr>
        <w:t xml:space="preserve">are </w:t>
      </w:r>
      <w:r w:rsidR="008B7FD0">
        <w:rPr>
          <w:rFonts w:cs="Arial"/>
        </w:rPr>
        <w:t xml:space="preserve">primarily </w:t>
      </w:r>
      <w:r w:rsidR="00043E44">
        <w:rPr>
          <w:rFonts w:cs="Arial"/>
        </w:rPr>
        <w:t>based on</w:t>
      </w:r>
      <w:r>
        <w:rPr>
          <w:rFonts w:cs="Arial"/>
        </w:rPr>
        <w:t xml:space="preserve"> the number of TV and radio broadcast stations that an entity can own in separate licence areas (</w:t>
      </w:r>
      <w:r w:rsidR="006B0B93">
        <w:rPr>
          <w:rFonts w:cs="Arial"/>
        </w:rPr>
        <w:t>for example, the</w:t>
      </w:r>
      <w:r>
        <w:rPr>
          <w:rFonts w:cs="Arial"/>
        </w:rPr>
        <w:t xml:space="preserve"> ‘one</w:t>
      </w:r>
      <w:r w:rsidR="006B0B93">
        <w:rPr>
          <w:rFonts w:cs="Arial"/>
        </w:rPr>
        <w:t>-</w:t>
      </w:r>
      <w:r>
        <w:rPr>
          <w:rFonts w:cs="Arial"/>
        </w:rPr>
        <w:t>to</w:t>
      </w:r>
      <w:r w:rsidR="006B0B93">
        <w:rPr>
          <w:rFonts w:cs="Arial"/>
        </w:rPr>
        <w:t>-</w:t>
      </w:r>
      <w:r>
        <w:rPr>
          <w:rFonts w:cs="Arial"/>
        </w:rPr>
        <w:t xml:space="preserve">a-market’ </w:t>
      </w:r>
      <w:r w:rsidR="006B0B93">
        <w:rPr>
          <w:rFonts w:cs="Arial"/>
        </w:rPr>
        <w:t>or</w:t>
      </w:r>
      <w:r>
        <w:rPr>
          <w:rFonts w:cs="Arial"/>
        </w:rPr>
        <w:t xml:space="preserve"> ‘two</w:t>
      </w:r>
      <w:r w:rsidR="006B0B93">
        <w:rPr>
          <w:rFonts w:cs="Arial"/>
        </w:rPr>
        <w:t>-</w:t>
      </w:r>
      <w:r>
        <w:rPr>
          <w:rFonts w:cs="Arial"/>
        </w:rPr>
        <w:t>to</w:t>
      </w:r>
      <w:r w:rsidR="006B0B93">
        <w:rPr>
          <w:rFonts w:cs="Arial"/>
        </w:rPr>
        <w:t>-</w:t>
      </w:r>
      <w:r>
        <w:rPr>
          <w:rFonts w:cs="Arial"/>
        </w:rPr>
        <w:t>a</w:t>
      </w:r>
      <w:r w:rsidR="006B0B93">
        <w:rPr>
          <w:rFonts w:cs="Arial"/>
        </w:rPr>
        <w:t>-</w:t>
      </w:r>
      <w:r>
        <w:rPr>
          <w:rFonts w:cs="Arial"/>
        </w:rPr>
        <w:t>market’ rule).</w:t>
      </w:r>
      <w:r w:rsidR="00776E93">
        <w:rPr>
          <w:rStyle w:val="FootnoteReference"/>
          <w:rFonts w:cs="Arial"/>
        </w:rPr>
        <w:footnoteReference w:id="7"/>
      </w:r>
      <w:r>
        <w:rPr>
          <w:rFonts w:cs="Arial"/>
        </w:rPr>
        <w:t xml:space="preserve"> </w:t>
      </w:r>
      <w:r>
        <w:t>The</w:t>
      </w:r>
      <w:r w:rsidR="008B7FD0">
        <w:t xml:space="preserve">se are </w:t>
      </w:r>
      <w:r w:rsidR="006E0B15">
        <w:t xml:space="preserve">supplemented by </w:t>
      </w:r>
      <w:r w:rsidR="009569C6">
        <w:t xml:space="preserve">a prohibition on </w:t>
      </w:r>
      <w:r w:rsidR="00681030">
        <w:t>media mergers or other market transaction</w:t>
      </w:r>
      <w:r w:rsidR="00E615AE">
        <w:t>s</w:t>
      </w:r>
      <w:r w:rsidR="00681030">
        <w:t xml:space="preserve"> that could result in an</w:t>
      </w:r>
      <w:r w:rsidR="006E0B15">
        <w:t xml:space="preserve"> ‘unacceptable media diversity situation’</w:t>
      </w:r>
      <w:r w:rsidR="00A72BAB">
        <w:t xml:space="preserve">; </w:t>
      </w:r>
      <w:r w:rsidR="00E615AE">
        <w:t xml:space="preserve">that is, </w:t>
      </w:r>
      <w:r w:rsidR="006A254A">
        <w:t xml:space="preserve">where </w:t>
      </w:r>
      <w:r w:rsidR="006E0B15">
        <w:t xml:space="preserve">there </w:t>
      </w:r>
      <w:r w:rsidR="00C156FB">
        <w:t>are</w:t>
      </w:r>
      <w:r w:rsidR="006E0B15">
        <w:t xml:space="preserve"> </w:t>
      </w:r>
      <w:r w:rsidR="006E0B15" w:rsidRPr="007009B4">
        <w:t xml:space="preserve">less than five independent media operations or groups in metropolitan areas </w:t>
      </w:r>
      <w:r w:rsidR="006E0B15">
        <w:t>or</w:t>
      </w:r>
      <w:r w:rsidR="006E0B15" w:rsidRPr="007009B4">
        <w:t xml:space="preserve"> less than four in regional areas</w:t>
      </w:r>
      <w:r w:rsidR="006E0B15">
        <w:t xml:space="preserve"> (the ‘5/4 rule’</w:t>
      </w:r>
      <w:r w:rsidR="006E0B15" w:rsidRPr="007009B4">
        <w:t>)</w:t>
      </w:r>
      <w:r>
        <w:t>.</w:t>
      </w:r>
      <w:r w:rsidR="00681030">
        <w:rPr>
          <w:rStyle w:val="FootnoteReference"/>
        </w:rPr>
        <w:footnoteReference w:id="8"/>
      </w:r>
      <w:r>
        <w:t xml:space="preserve"> Media mergers are also subject to review by the ACCC, which assesses whether a specific media merger </w:t>
      </w:r>
      <w:r w:rsidR="00370A93">
        <w:t>w</w:t>
      </w:r>
      <w:r>
        <w:t xml:space="preserve">ould result in a substantial lessening of competition in contravention of the </w:t>
      </w:r>
      <w:r w:rsidRPr="007A1260">
        <w:rPr>
          <w:i/>
        </w:rPr>
        <w:t>Competition and Consumer Act 2010</w:t>
      </w:r>
      <w:r w:rsidR="00D3695A">
        <w:rPr>
          <w:i/>
        </w:rPr>
        <w:t xml:space="preserve">. </w:t>
      </w:r>
      <w:r w:rsidR="00670DB7" w:rsidRPr="00670DB7">
        <w:rPr>
          <w:iCs/>
        </w:rPr>
        <w:t>A</w:t>
      </w:r>
      <w:r w:rsidR="00670DB7">
        <w:rPr>
          <w:iCs/>
        </w:rPr>
        <w:t xml:space="preserve">s outlined in its </w:t>
      </w:r>
      <w:r w:rsidR="00EF45F9">
        <w:rPr>
          <w:iCs/>
        </w:rPr>
        <w:t>M</w:t>
      </w:r>
      <w:r w:rsidR="00670DB7">
        <w:t xml:space="preserve">edia </w:t>
      </w:r>
      <w:r w:rsidR="00EF45F9">
        <w:t>M</w:t>
      </w:r>
      <w:r w:rsidR="00670DB7">
        <w:t xml:space="preserve">erger </w:t>
      </w:r>
      <w:r w:rsidR="00EF45F9">
        <w:t>G</w:t>
      </w:r>
      <w:r w:rsidR="00670DB7">
        <w:t>uidelines,</w:t>
      </w:r>
      <w:r w:rsidR="00670DB7">
        <w:rPr>
          <w:iCs/>
        </w:rPr>
        <w:t xml:space="preserve"> t</w:t>
      </w:r>
      <w:r w:rsidR="00DC6BDD">
        <w:rPr>
          <w:iCs/>
        </w:rPr>
        <w:t xml:space="preserve">he ACCC can take </w:t>
      </w:r>
      <w:r w:rsidR="006B0B93">
        <w:rPr>
          <w:iCs/>
        </w:rPr>
        <w:t>several</w:t>
      </w:r>
      <w:r w:rsidR="00670DB7">
        <w:rPr>
          <w:iCs/>
        </w:rPr>
        <w:t xml:space="preserve"> </w:t>
      </w:r>
      <w:r w:rsidR="002B0258">
        <w:rPr>
          <w:iCs/>
        </w:rPr>
        <w:t xml:space="preserve">factors </w:t>
      </w:r>
      <w:r w:rsidR="00AC15C4">
        <w:rPr>
          <w:iCs/>
        </w:rPr>
        <w:t xml:space="preserve">into account </w:t>
      </w:r>
      <w:r w:rsidR="002B0258">
        <w:rPr>
          <w:iCs/>
        </w:rPr>
        <w:t xml:space="preserve">when undertaking this assessment, </w:t>
      </w:r>
      <w:r w:rsidR="006B0B93">
        <w:rPr>
          <w:iCs/>
        </w:rPr>
        <w:t xml:space="preserve">such as </w:t>
      </w:r>
      <w:r w:rsidR="00555892">
        <w:rPr>
          <w:iCs/>
        </w:rPr>
        <w:t>the diversity of media voices, impact of technological change and access to content</w:t>
      </w:r>
      <w:r>
        <w:t>.</w:t>
      </w:r>
      <w:r w:rsidR="004A60D5">
        <w:rPr>
          <w:rStyle w:val="FootnoteReference"/>
        </w:rPr>
        <w:footnoteReference w:id="9"/>
      </w:r>
    </w:p>
    <w:p w14:paraId="09B91C44" w14:textId="115F7B36" w:rsidR="00390EB4" w:rsidRDefault="0062116F" w:rsidP="000A4532">
      <w:pPr>
        <w:rPr>
          <w:rFonts w:cs="Arial"/>
        </w:rPr>
      </w:pPr>
      <w:r>
        <w:rPr>
          <w:rFonts w:cs="Arial"/>
        </w:rPr>
        <w:t>Looking abroad</w:t>
      </w:r>
      <w:r w:rsidR="008458FB">
        <w:rPr>
          <w:rFonts w:cs="Arial"/>
        </w:rPr>
        <w:t xml:space="preserve">, </w:t>
      </w:r>
      <w:r w:rsidR="00AC15C4">
        <w:rPr>
          <w:rFonts w:cs="Arial"/>
        </w:rPr>
        <w:t>all</w:t>
      </w:r>
      <w:r w:rsidR="00E01B0B">
        <w:rPr>
          <w:rFonts w:cs="Arial"/>
        </w:rPr>
        <w:t xml:space="preserve"> the </w:t>
      </w:r>
      <w:r>
        <w:rPr>
          <w:rFonts w:cs="Arial"/>
        </w:rPr>
        <w:t xml:space="preserve">countries assessed in this </w:t>
      </w:r>
      <w:r w:rsidR="008458FB">
        <w:rPr>
          <w:rFonts w:cs="Arial"/>
        </w:rPr>
        <w:t xml:space="preserve">review </w:t>
      </w:r>
      <w:r>
        <w:rPr>
          <w:rFonts w:cs="Arial"/>
        </w:rPr>
        <w:t>have some form of media ownership rules currently in place, which vary in complexity and scope.</w:t>
      </w:r>
      <w:r w:rsidR="003625FE">
        <w:rPr>
          <w:rFonts w:cs="Arial"/>
        </w:rPr>
        <w:t xml:space="preserve"> </w:t>
      </w:r>
      <w:r>
        <w:rPr>
          <w:rFonts w:cs="Arial"/>
        </w:rPr>
        <w:t xml:space="preserve">For example, while Australia relaxed </w:t>
      </w:r>
      <w:r w:rsidR="006B0B93">
        <w:rPr>
          <w:rFonts w:cs="Arial"/>
        </w:rPr>
        <w:t xml:space="preserve">its </w:t>
      </w:r>
      <w:r w:rsidRPr="00787B07">
        <w:rPr>
          <w:rFonts w:cs="Arial"/>
        </w:rPr>
        <w:t>cross-media limitations in</w:t>
      </w:r>
      <w:r>
        <w:rPr>
          <w:rFonts w:cs="Arial"/>
        </w:rPr>
        <w:t xml:space="preserve"> 2017, other countries like the UK</w:t>
      </w:r>
      <w:r w:rsidR="00AE4708">
        <w:rPr>
          <w:rFonts w:cs="Arial"/>
        </w:rPr>
        <w:t>,</w:t>
      </w:r>
      <w:r w:rsidR="003625FE">
        <w:rPr>
          <w:rStyle w:val="FootnoteReference"/>
          <w:rFonts w:cs="Arial"/>
        </w:rPr>
        <w:footnoteReference w:id="10"/>
      </w:r>
      <w:r w:rsidR="003625FE">
        <w:rPr>
          <w:rFonts w:cs="Arial"/>
        </w:rPr>
        <w:t xml:space="preserve"> </w:t>
      </w:r>
      <w:r>
        <w:rPr>
          <w:rFonts w:cs="Arial"/>
        </w:rPr>
        <w:t xml:space="preserve"> Canada</w:t>
      </w:r>
      <w:r w:rsidR="00AE4708">
        <w:rPr>
          <w:rFonts w:cs="Arial"/>
        </w:rPr>
        <w:t>,</w:t>
      </w:r>
      <w:r w:rsidR="00592F5D">
        <w:rPr>
          <w:rStyle w:val="FootnoteReference"/>
          <w:rFonts w:cs="Arial"/>
        </w:rPr>
        <w:footnoteReference w:id="11"/>
      </w:r>
      <w:r w:rsidR="00AE4708">
        <w:rPr>
          <w:rFonts w:cs="Arial"/>
        </w:rPr>
        <w:t xml:space="preserve"> and France</w:t>
      </w:r>
      <w:r>
        <w:rPr>
          <w:rFonts w:cs="Arial"/>
        </w:rPr>
        <w:t xml:space="preserve"> still maintain national cross-media ownership restrictions that prevent entities from owning a mix of print and broadcast </w:t>
      </w:r>
      <w:r w:rsidR="00AE4708">
        <w:rPr>
          <w:rFonts w:cs="Arial"/>
        </w:rPr>
        <w:t>outlets</w:t>
      </w:r>
      <w:r>
        <w:rPr>
          <w:rFonts w:cs="Arial"/>
        </w:rPr>
        <w:t xml:space="preserve"> in specific circumstances. </w:t>
      </w:r>
    </w:p>
    <w:p w14:paraId="0DF41965" w14:textId="332201A2" w:rsidR="0062116F" w:rsidRDefault="0062116F" w:rsidP="000A4532">
      <w:pPr>
        <w:rPr>
          <w:rFonts w:cs="Arial"/>
        </w:rPr>
      </w:pPr>
      <w:r>
        <w:rPr>
          <w:rFonts w:cs="Arial"/>
        </w:rPr>
        <w:lastRenderedPageBreak/>
        <w:t>Foreign ownership restrictions are also a key feature of several regimes</w:t>
      </w:r>
      <w:r w:rsidR="00094E3E">
        <w:rPr>
          <w:rFonts w:cs="Arial"/>
        </w:rPr>
        <w:t xml:space="preserve">. </w:t>
      </w:r>
      <w:r>
        <w:rPr>
          <w:rFonts w:cs="Arial"/>
        </w:rPr>
        <w:t xml:space="preserve">France, </w:t>
      </w:r>
      <w:r w:rsidR="00094E3E">
        <w:rPr>
          <w:rFonts w:cs="Arial"/>
        </w:rPr>
        <w:t xml:space="preserve">for example, </w:t>
      </w:r>
      <w:r>
        <w:rPr>
          <w:rFonts w:cs="Arial"/>
        </w:rPr>
        <w:t>prevents non-EU entities from controlling more th</w:t>
      </w:r>
      <w:r w:rsidR="006B0B93">
        <w:rPr>
          <w:rFonts w:cs="Arial"/>
        </w:rPr>
        <w:t>an</w:t>
      </w:r>
      <w:r>
        <w:rPr>
          <w:rFonts w:cs="Arial"/>
        </w:rPr>
        <w:t xml:space="preserve"> </w:t>
      </w:r>
      <w:r w:rsidR="006B0B93">
        <w:rPr>
          <w:rFonts w:cs="Arial"/>
        </w:rPr>
        <w:t xml:space="preserve">a </w:t>
      </w:r>
      <w:r>
        <w:rPr>
          <w:rFonts w:cs="Arial"/>
        </w:rPr>
        <w:t>20</w:t>
      </w:r>
      <w:r w:rsidR="006B0B93">
        <w:rPr>
          <w:rFonts w:cs="Arial"/>
        </w:rPr>
        <w:t xml:space="preserve"> per cent</w:t>
      </w:r>
      <w:r>
        <w:rPr>
          <w:rFonts w:cs="Arial"/>
        </w:rPr>
        <w:t xml:space="preserve"> share in a radio </w:t>
      </w:r>
      <w:r w:rsidR="00BA2C23">
        <w:rPr>
          <w:rFonts w:cs="Arial"/>
        </w:rPr>
        <w:t xml:space="preserve">or television </w:t>
      </w:r>
      <w:r>
        <w:rPr>
          <w:rFonts w:cs="Arial"/>
        </w:rPr>
        <w:t xml:space="preserve">broadcast entity </w:t>
      </w:r>
      <w:r w:rsidR="00CA45E2">
        <w:rPr>
          <w:rFonts w:cs="Arial"/>
        </w:rPr>
        <w:t>providing service</w:t>
      </w:r>
      <w:r w:rsidR="00094E3E">
        <w:rPr>
          <w:rFonts w:cs="Arial"/>
        </w:rPr>
        <w:t>s</w:t>
      </w:r>
      <w:r w:rsidR="00CA45E2">
        <w:rPr>
          <w:rFonts w:cs="Arial"/>
        </w:rPr>
        <w:t xml:space="preserve"> in the French language, </w:t>
      </w:r>
      <w:r>
        <w:rPr>
          <w:rFonts w:cs="Arial"/>
        </w:rPr>
        <w:t>or a 20</w:t>
      </w:r>
      <w:r w:rsidR="006B0B93">
        <w:rPr>
          <w:rFonts w:cs="Arial"/>
        </w:rPr>
        <w:t xml:space="preserve"> per cent</w:t>
      </w:r>
      <w:r>
        <w:rPr>
          <w:rFonts w:cs="Arial"/>
        </w:rPr>
        <w:t xml:space="preserve"> share in a French-language newspaper.</w:t>
      </w:r>
      <w:r w:rsidR="00507528">
        <w:rPr>
          <w:rStyle w:val="FootnoteReference"/>
          <w:rFonts w:cs="Arial"/>
        </w:rPr>
        <w:footnoteReference w:id="12"/>
      </w:r>
      <w:r>
        <w:rPr>
          <w:rFonts w:cs="Arial"/>
        </w:rPr>
        <w:t xml:space="preserve"> </w:t>
      </w:r>
      <w:r w:rsidR="002B457B">
        <w:rPr>
          <w:rFonts w:cs="Arial"/>
        </w:rPr>
        <w:t>B</w:t>
      </w:r>
      <w:r w:rsidR="00576902">
        <w:rPr>
          <w:rFonts w:cs="Arial"/>
        </w:rPr>
        <w:t xml:space="preserve">y contrast, </w:t>
      </w:r>
      <w:r w:rsidR="002B457B">
        <w:rPr>
          <w:rFonts w:cs="Arial"/>
        </w:rPr>
        <w:t xml:space="preserve">Australia </w:t>
      </w:r>
      <w:r w:rsidR="00390EB4">
        <w:rPr>
          <w:rFonts w:cs="Arial"/>
        </w:rPr>
        <w:t xml:space="preserve">does not have </w:t>
      </w:r>
      <w:r w:rsidR="004B1159">
        <w:rPr>
          <w:rFonts w:cs="Arial"/>
        </w:rPr>
        <w:t xml:space="preserve">a </w:t>
      </w:r>
      <w:r w:rsidR="00560ABC">
        <w:rPr>
          <w:rFonts w:cs="Arial"/>
        </w:rPr>
        <w:t xml:space="preserve">regulated ceiling </w:t>
      </w:r>
      <w:r w:rsidR="00390EB4">
        <w:rPr>
          <w:rFonts w:cs="Arial"/>
        </w:rPr>
        <w:t>on foreign ownership</w:t>
      </w:r>
      <w:r w:rsidR="00737053">
        <w:rPr>
          <w:rFonts w:cs="Arial"/>
        </w:rPr>
        <w:t xml:space="preserve"> of </w:t>
      </w:r>
      <w:r w:rsidR="00560ABC">
        <w:rPr>
          <w:rFonts w:cs="Arial"/>
        </w:rPr>
        <w:t xml:space="preserve">local </w:t>
      </w:r>
      <w:r w:rsidR="00737053">
        <w:rPr>
          <w:rFonts w:cs="Arial"/>
        </w:rPr>
        <w:t>media out</w:t>
      </w:r>
      <w:r w:rsidR="003F4D8C">
        <w:rPr>
          <w:rFonts w:cs="Arial"/>
        </w:rPr>
        <w:t>lets</w:t>
      </w:r>
      <w:r w:rsidR="00AA4407">
        <w:rPr>
          <w:rFonts w:cs="Arial"/>
        </w:rPr>
        <w:t>.</w:t>
      </w:r>
      <w:r w:rsidR="00E77A33">
        <w:rPr>
          <w:rFonts w:cs="Arial"/>
        </w:rPr>
        <w:t xml:space="preserve"> </w:t>
      </w:r>
      <w:r w:rsidR="002B457B">
        <w:rPr>
          <w:rFonts w:cs="Arial"/>
        </w:rPr>
        <w:t>I</w:t>
      </w:r>
      <w:r w:rsidR="00BF331F">
        <w:rPr>
          <w:rFonts w:cs="Arial"/>
        </w:rPr>
        <w:t>nstead</w:t>
      </w:r>
      <w:r w:rsidR="002B457B">
        <w:rPr>
          <w:rFonts w:cs="Arial"/>
        </w:rPr>
        <w:t>,</w:t>
      </w:r>
      <w:r w:rsidR="00BF331F">
        <w:rPr>
          <w:rFonts w:cs="Arial"/>
        </w:rPr>
        <w:t xml:space="preserve"> </w:t>
      </w:r>
      <w:r w:rsidR="00E77A33">
        <w:rPr>
          <w:rFonts w:cs="Arial"/>
        </w:rPr>
        <w:t xml:space="preserve">any foreign investments of more than </w:t>
      </w:r>
      <w:r w:rsidR="006B0B93">
        <w:rPr>
          <w:rFonts w:cs="Arial"/>
        </w:rPr>
        <w:t>five per cent</w:t>
      </w:r>
      <w:r w:rsidR="00E77A33">
        <w:rPr>
          <w:rFonts w:cs="Arial"/>
        </w:rPr>
        <w:t xml:space="preserve"> </w:t>
      </w:r>
      <w:r w:rsidR="003A2BE2">
        <w:rPr>
          <w:rFonts w:cs="Arial"/>
        </w:rPr>
        <w:t>must first be</w:t>
      </w:r>
      <w:r w:rsidR="00BF331F">
        <w:rPr>
          <w:rFonts w:cs="Arial"/>
        </w:rPr>
        <w:t xml:space="preserve"> </w:t>
      </w:r>
      <w:r w:rsidR="00E77A33">
        <w:rPr>
          <w:rFonts w:cs="Arial"/>
        </w:rPr>
        <w:t xml:space="preserve">approved by the </w:t>
      </w:r>
      <w:r w:rsidR="00E77A33" w:rsidRPr="00375FC5">
        <w:rPr>
          <w:rFonts w:cs="Arial"/>
        </w:rPr>
        <w:t>Foreign Investment Review Board</w:t>
      </w:r>
      <w:r w:rsidR="00E77A33">
        <w:rPr>
          <w:rFonts w:cs="Arial"/>
        </w:rPr>
        <w:t xml:space="preserve"> (FIRB)</w:t>
      </w:r>
      <w:r w:rsidR="00846D79">
        <w:rPr>
          <w:rFonts w:cs="Arial"/>
        </w:rPr>
        <w:t>.</w:t>
      </w:r>
      <w:r w:rsidR="00E77A33">
        <w:rPr>
          <w:rStyle w:val="FootnoteReference"/>
          <w:rFonts w:cs="Arial"/>
        </w:rPr>
        <w:footnoteReference w:id="13"/>
      </w:r>
      <w:r w:rsidR="00846D79">
        <w:rPr>
          <w:rFonts w:cs="Arial"/>
        </w:rPr>
        <w:t xml:space="preserve"> </w:t>
      </w:r>
      <w:r w:rsidR="00B86337">
        <w:rPr>
          <w:rFonts w:cs="Arial"/>
        </w:rPr>
        <w:t>As an additional transparency measure, a</w:t>
      </w:r>
      <w:r w:rsidR="007055ED" w:rsidRPr="007055ED">
        <w:rPr>
          <w:rFonts w:cs="Arial"/>
        </w:rPr>
        <w:t>ny foreign person with interests of 2.5</w:t>
      </w:r>
      <w:r w:rsidR="00C524A1">
        <w:rPr>
          <w:rFonts w:cs="Arial"/>
        </w:rPr>
        <w:t xml:space="preserve"> per cent</w:t>
      </w:r>
      <w:r w:rsidR="007055ED" w:rsidRPr="007055ED">
        <w:rPr>
          <w:rFonts w:cs="Arial"/>
        </w:rPr>
        <w:t xml:space="preserve"> </w:t>
      </w:r>
      <w:r w:rsidR="00F548F2">
        <w:rPr>
          <w:rFonts w:cs="Arial"/>
        </w:rPr>
        <w:t xml:space="preserve">or more in an Australian media company </w:t>
      </w:r>
      <w:r w:rsidR="007055ED" w:rsidRPr="007055ED">
        <w:rPr>
          <w:rFonts w:cs="Arial"/>
        </w:rPr>
        <w:t xml:space="preserve">must </w:t>
      </w:r>
      <w:r w:rsidR="00A37E8D">
        <w:rPr>
          <w:rFonts w:cs="Arial"/>
        </w:rPr>
        <w:t xml:space="preserve">also </w:t>
      </w:r>
      <w:r w:rsidR="003C3BC1">
        <w:rPr>
          <w:rFonts w:cs="Arial"/>
        </w:rPr>
        <w:t>disclose</w:t>
      </w:r>
      <w:r w:rsidR="0097106B">
        <w:rPr>
          <w:rFonts w:cs="Arial"/>
        </w:rPr>
        <w:t xml:space="preserve"> their interest </w:t>
      </w:r>
      <w:r w:rsidR="00C524A1">
        <w:rPr>
          <w:rFonts w:cs="Arial"/>
        </w:rPr>
        <w:t>i</w:t>
      </w:r>
      <w:r w:rsidR="007055ED" w:rsidRPr="007055ED">
        <w:rPr>
          <w:rFonts w:cs="Arial"/>
        </w:rPr>
        <w:t>n a public register</w:t>
      </w:r>
      <w:r w:rsidDel="006C7129">
        <w:rPr>
          <w:rFonts w:cs="Arial"/>
        </w:rPr>
        <w:t>.</w:t>
      </w:r>
      <w:r w:rsidR="00B86337">
        <w:rPr>
          <w:rStyle w:val="FootnoteReference"/>
          <w:rFonts w:cs="Arial"/>
        </w:rPr>
        <w:footnoteReference w:id="14"/>
      </w:r>
    </w:p>
    <w:p w14:paraId="3BB88F29" w14:textId="5F9DBA37" w:rsidR="0062116F" w:rsidRDefault="00C524A1" w:rsidP="000A4532">
      <w:r>
        <w:rPr>
          <w:rFonts w:cs="Arial"/>
        </w:rPr>
        <w:t>T</w:t>
      </w:r>
      <w:r w:rsidR="0062116F">
        <w:rPr>
          <w:rFonts w:cs="Arial"/>
        </w:rPr>
        <w:t xml:space="preserve">able </w:t>
      </w:r>
      <w:r>
        <w:rPr>
          <w:rFonts w:cs="Arial"/>
        </w:rPr>
        <w:t xml:space="preserve">2 shows </w:t>
      </w:r>
      <w:r w:rsidR="0062116F">
        <w:rPr>
          <w:rFonts w:cs="Arial"/>
        </w:rPr>
        <w:t>some of the various components of media ownership rules, showcasing key difference</w:t>
      </w:r>
      <w:r w:rsidR="0060059F">
        <w:rPr>
          <w:rFonts w:cs="Arial"/>
        </w:rPr>
        <w:t>s</w:t>
      </w:r>
      <w:r w:rsidR="0062116F">
        <w:rPr>
          <w:rFonts w:cs="Arial"/>
        </w:rPr>
        <w:t xml:space="preserve"> between countries. Notably, </w:t>
      </w:r>
      <w:r w:rsidR="0062116F">
        <w:t xml:space="preserve">none of the countries in this study include online news providers in the scope of their media ownership regimes, although some regulators like </w:t>
      </w:r>
      <w:r w:rsidR="00B56EF6">
        <w:t xml:space="preserve">the UK’s </w:t>
      </w:r>
      <w:r w:rsidR="0062116F">
        <w:t>Ofcom have noted it is an area for future examination.</w:t>
      </w:r>
      <w:r w:rsidR="0062116F">
        <w:rPr>
          <w:rStyle w:val="FootnoteReference"/>
        </w:rPr>
        <w:footnoteReference w:id="15"/>
      </w:r>
    </w:p>
    <w:p w14:paraId="058408F2" w14:textId="02A66C55" w:rsidR="00C524A1" w:rsidRDefault="00C524A1" w:rsidP="00043410">
      <w:pPr>
        <w:pStyle w:val="ACMATableHeader"/>
      </w:pPr>
      <w:r>
        <w:t>Components of media ownership rules</w:t>
      </w:r>
      <w:r w:rsidR="009D0453">
        <w:t xml:space="preserve"> by country</w:t>
      </w:r>
    </w:p>
    <w:tbl>
      <w:tblPr>
        <w:tblStyle w:val="TableGrid"/>
        <w:tblW w:w="0" w:type="auto"/>
        <w:tblLook w:val="04A0" w:firstRow="1" w:lastRow="0" w:firstColumn="1" w:lastColumn="0" w:noHBand="0" w:noVBand="1"/>
      </w:tblPr>
      <w:tblGrid>
        <w:gridCol w:w="1276"/>
        <w:gridCol w:w="1277"/>
        <w:gridCol w:w="1277"/>
        <w:gridCol w:w="1277"/>
        <w:gridCol w:w="1277"/>
        <w:gridCol w:w="1277"/>
      </w:tblGrid>
      <w:tr w:rsidR="0062116F" w:rsidRPr="009D0453" w14:paraId="5D0177E2" w14:textId="77777777" w:rsidTr="009D0453">
        <w:tc>
          <w:tcPr>
            <w:tcW w:w="1276" w:type="dxa"/>
            <w:shd w:val="clear" w:color="auto" w:fill="404040" w:themeFill="text1" w:themeFillTint="BF"/>
            <w:tcMar>
              <w:top w:w="57" w:type="dxa"/>
              <w:left w:w="57" w:type="dxa"/>
              <w:bottom w:w="57" w:type="dxa"/>
              <w:right w:w="57" w:type="dxa"/>
            </w:tcMar>
          </w:tcPr>
          <w:p w14:paraId="623CC890" w14:textId="77777777" w:rsidR="0062116F" w:rsidRPr="009D0453" w:rsidRDefault="0062116F" w:rsidP="00CE1736">
            <w:pPr>
              <w:spacing w:after="0" w:line="240" w:lineRule="auto"/>
              <w:rPr>
                <w:rFonts w:cs="Arial"/>
                <w:b/>
                <w:color w:val="FFFFFF" w:themeColor="background1"/>
                <w:sz w:val="18"/>
                <w:szCs w:val="18"/>
              </w:rPr>
            </w:pPr>
          </w:p>
        </w:tc>
        <w:tc>
          <w:tcPr>
            <w:tcW w:w="1277" w:type="dxa"/>
            <w:shd w:val="clear" w:color="auto" w:fill="404040" w:themeFill="text1" w:themeFillTint="BF"/>
            <w:tcMar>
              <w:top w:w="57" w:type="dxa"/>
              <w:left w:w="57" w:type="dxa"/>
              <w:bottom w:w="57" w:type="dxa"/>
              <w:right w:w="57" w:type="dxa"/>
            </w:tcMar>
          </w:tcPr>
          <w:p w14:paraId="50E71F24" w14:textId="0F54CDFB" w:rsidR="0062116F" w:rsidRPr="009D0453" w:rsidRDefault="0062116F" w:rsidP="00CE1736">
            <w:pPr>
              <w:spacing w:after="0" w:line="240" w:lineRule="auto"/>
              <w:rPr>
                <w:rFonts w:cs="Arial"/>
                <w:b/>
                <w:color w:val="FFFFFF" w:themeColor="background1"/>
                <w:sz w:val="18"/>
                <w:szCs w:val="18"/>
              </w:rPr>
            </w:pPr>
            <w:r w:rsidRPr="009D0453">
              <w:rPr>
                <w:rFonts w:cs="Arial"/>
                <w:b/>
                <w:color w:val="FFFFFF" w:themeColor="background1"/>
                <w:sz w:val="18"/>
                <w:szCs w:val="18"/>
              </w:rPr>
              <w:t>Limits on TV ownership</w:t>
            </w:r>
          </w:p>
        </w:tc>
        <w:tc>
          <w:tcPr>
            <w:tcW w:w="1277" w:type="dxa"/>
            <w:shd w:val="clear" w:color="auto" w:fill="404040" w:themeFill="text1" w:themeFillTint="BF"/>
            <w:tcMar>
              <w:top w:w="57" w:type="dxa"/>
              <w:left w:w="57" w:type="dxa"/>
              <w:bottom w:w="57" w:type="dxa"/>
              <w:right w:w="57" w:type="dxa"/>
            </w:tcMar>
          </w:tcPr>
          <w:p w14:paraId="4DA29852" w14:textId="601C5BEC" w:rsidR="0062116F" w:rsidRPr="009D0453" w:rsidRDefault="0062116F" w:rsidP="00CE1736">
            <w:pPr>
              <w:spacing w:after="0" w:line="240" w:lineRule="auto"/>
              <w:rPr>
                <w:rFonts w:cs="Arial"/>
                <w:b/>
                <w:color w:val="FFFFFF" w:themeColor="background1"/>
                <w:sz w:val="18"/>
                <w:szCs w:val="18"/>
              </w:rPr>
            </w:pPr>
            <w:r w:rsidRPr="009D0453">
              <w:rPr>
                <w:rFonts w:cs="Arial"/>
                <w:b/>
                <w:color w:val="FFFFFF" w:themeColor="background1"/>
                <w:sz w:val="18"/>
                <w:szCs w:val="18"/>
              </w:rPr>
              <w:t>Limits on radio ownership</w:t>
            </w:r>
          </w:p>
        </w:tc>
        <w:tc>
          <w:tcPr>
            <w:tcW w:w="1277" w:type="dxa"/>
            <w:shd w:val="clear" w:color="auto" w:fill="404040" w:themeFill="text1" w:themeFillTint="BF"/>
            <w:tcMar>
              <w:top w:w="57" w:type="dxa"/>
              <w:left w:w="57" w:type="dxa"/>
              <w:bottom w:w="57" w:type="dxa"/>
              <w:right w:w="57" w:type="dxa"/>
            </w:tcMar>
          </w:tcPr>
          <w:p w14:paraId="71BA5F5F" w14:textId="5E91A8B7" w:rsidR="0062116F" w:rsidRPr="009D0453" w:rsidRDefault="0062116F" w:rsidP="00CE1736">
            <w:pPr>
              <w:spacing w:after="0" w:line="240" w:lineRule="auto"/>
              <w:rPr>
                <w:rFonts w:cs="Arial"/>
                <w:b/>
                <w:color w:val="FFFFFF" w:themeColor="background1"/>
                <w:sz w:val="18"/>
                <w:szCs w:val="18"/>
              </w:rPr>
            </w:pPr>
            <w:r w:rsidRPr="009D0453">
              <w:rPr>
                <w:rFonts w:cs="Arial"/>
                <w:b/>
                <w:color w:val="FFFFFF" w:themeColor="background1"/>
                <w:sz w:val="18"/>
                <w:szCs w:val="18"/>
              </w:rPr>
              <w:t>Limits on press ownership</w:t>
            </w:r>
          </w:p>
        </w:tc>
        <w:tc>
          <w:tcPr>
            <w:tcW w:w="1277" w:type="dxa"/>
            <w:shd w:val="clear" w:color="auto" w:fill="404040" w:themeFill="text1" w:themeFillTint="BF"/>
            <w:tcMar>
              <w:top w:w="57" w:type="dxa"/>
              <w:left w:w="57" w:type="dxa"/>
              <w:bottom w:w="57" w:type="dxa"/>
              <w:right w:w="57" w:type="dxa"/>
            </w:tcMar>
          </w:tcPr>
          <w:p w14:paraId="15E9BAB2" w14:textId="6586B9D8" w:rsidR="0062116F" w:rsidRPr="009D0453" w:rsidRDefault="0062116F" w:rsidP="00CE1736">
            <w:pPr>
              <w:spacing w:after="0" w:line="240" w:lineRule="auto"/>
              <w:rPr>
                <w:rFonts w:cs="Arial"/>
                <w:b/>
                <w:color w:val="FFFFFF" w:themeColor="background1"/>
                <w:sz w:val="18"/>
                <w:szCs w:val="18"/>
              </w:rPr>
            </w:pPr>
            <w:r w:rsidRPr="009D0453">
              <w:rPr>
                <w:rFonts w:cs="Arial"/>
                <w:b/>
                <w:color w:val="FFFFFF" w:themeColor="background1"/>
                <w:sz w:val="18"/>
                <w:szCs w:val="18"/>
              </w:rPr>
              <w:t>Limits on cross-media ownership</w:t>
            </w:r>
          </w:p>
        </w:tc>
        <w:tc>
          <w:tcPr>
            <w:tcW w:w="1277" w:type="dxa"/>
            <w:shd w:val="clear" w:color="auto" w:fill="404040" w:themeFill="text1" w:themeFillTint="BF"/>
            <w:tcMar>
              <w:top w:w="57" w:type="dxa"/>
              <w:left w:w="57" w:type="dxa"/>
              <w:bottom w:w="57" w:type="dxa"/>
              <w:right w:w="57" w:type="dxa"/>
            </w:tcMar>
          </w:tcPr>
          <w:p w14:paraId="42AC09D1" w14:textId="7347FE80" w:rsidR="0062116F" w:rsidRPr="009D0453" w:rsidRDefault="0062116F" w:rsidP="00CE1736">
            <w:pPr>
              <w:spacing w:after="0" w:line="240" w:lineRule="auto"/>
              <w:rPr>
                <w:rFonts w:cs="Arial"/>
                <w:b/>
                <w:color w:val="FFFFFF" w:themeColor="background1"/>
                <w:sz w:val="18"/>
                <w:szCs w:val="18"/>
              </w:rPr>
            </w:pPr>
            <w:r w:rsidRPr="009D0453">
              <w:rPr>
                <w:rFonts w:cs="Arial"/>
                <w:b/>
                <w:color w:val="FFFFFF" w:themeColor="background1"/>
                <w:sz w:val="18"/>
                <w:szCs w:val="18"/>
              </w:rPr>
              <w:t>Limits on foreign ownership</w:t>
            </w:r>
          </w:p>
        </w:tc>
      </w:tr>
      <w:tr w:rsidR="0062116F" w:rsidRPr="009D0453" w14:paraId="0DAEF50E" w14:textId="77777777" w:rsidTr="009D0453">
        <w:tc>
          <w:tcPr>
            <w:tcW w:w="1276" w:type="dxa"/>
            <w:shd w:val="clear" w:color="auto" w:fill="F2F2F2" w:themeFill="background1" w:themeFillShade="F2"/>
            <w:tcMar>
              <w:top w:w="57" w:type="dxa"/>
              <w:left w:w="57" w:type="dxa"/>
              <w:bottom w:w="57" w:type="dxa"/>
              <w:right w:w="57" w:type="dxa"/>
            </w:tcMar>
          </w:tcPr>
          <w:p w14:paraId="1C60F497" w14:textId="7DF23B9F" w:rsidR="0062116F" w:rsidRPr="009D0453" w:rsidRDefault="0062116F" w:rsidP="00CE1736">
            <w:pPr>
              <w:spacing w:after="0" w:line="240" w:lineRule="auto"/>
              <w:rPr>
                <w:rFonts w:cs="Arial"/>
                <w:sz w:val="18"/>
                <w:szCs w:val="18"/>
              </w:rPr>
            </w:pPr>
            <w:r w:rsidRPr="009D0453">
              <w:rPr>
                <w:rFonts w:cs="Arial"/>
                <w:sz w:val="18"/>
                <w:szCs w:val="18"/>
              </w:rPr>
              <w:t>Australia</w:t>
            </w:r>
          </w:p>
        </w:tc>
        <w:tc>
          <w:tcPr>
            <w:tcW w:w="1277" w:type="dxa"/>
            <w:tcMar>
              <w:top w:w="57" w:type="dxa"/>
              <w:left w:w="57" w:type="dxa"/>
              <w:bottom w:w="57" w:type="dxa"/>
              <w:right w:w="57" w:type="dxa"/>
            </w:tcMar>
          </w:tcPr>
          <w:p w14:paraId="4E941660" w14:textId="7D595161" w:rsidR="0062116F" w:rsidRPr="00043410" w:rsidRDefault="0062116F" w:rsidP="00EA2FB8">
            <w:pPr>
              <w:spacing w:after="0" w:line="240" w:lineRule="auto"/>
              <w:jc w:val="center"/>
              <w:rPr>
                <w:rFonts w:cs="Arial"/>
                <w:szCs w:val="20"/>
              </w:rPr>
            </w:pPr>
            <w:r w:rsidRPr="00043410">
              <w:rPr>
                <w:rFonts w:cs="Arial"/>
                <w:szCs w:val="20"/>
              </w:rPr>
              <w:sym w:font="Wingdings" w:char="F0FC"/>
            </w:r>
          </w:p>
        </w:tc>
        <w:tc>
          <w:tcPr>
            <w:tcW w:w="1277" w:type="dxa"/>
            <w:tcMar>
              <w:top w:w="57" w:type="dxa"/>
              <w:left w:w="57" w:type="dxa"/>
              <w:bottom w:w="57" w:type="dxa"/>
              <w:right w:w="57" w:type="dxa"/>
            </w:tcMar>
          </w:tcPr>
          <w:p w14:paraId="222B52B1" w14:textId="21B04061" w:rsidR="0062116F" w:rsidRPr="00043410" w:rsidRDefault="0062116F" w:rsidP="00EA2FB8">
            <w:pPr>
              <w:spacing w:after="0" w:line="240" w:lineRule="auto"/>
              <w:jc w:val="center"/>
              <w:rPr>
                <w:rFonts w:cs="Arial"/>
                <w:szCs w:val="20"/>
              </w:rPr>
            </w:pPr>
            <w:r w:rsidRPr="00043410">
              <w:rPr>
                <w:rFonts w:cs="Arial"/>
                <w:szCs w:val="20"/>
              </w:rPr>
              <w:sym w:font="Wingdings" w:char="F0FC"/>
            </w:r>
          </w:p>
        </w:tc>
        <w:tc>
          <w:tcPr>
            <w:tcW w:w="1277" w:type="dxa"/>
            <w:tcMar>
              <w:top w:w="57" w:type="dxa"/>
              <w:left w:w="57" w:type="dxa"/>
              <w:bottom w:w="57" w:type="dxa"/>
              <w:right w:w="57" w:type="dxa"/>
            </w:tcMar>
          </w:tcPr>
          <w:p w14:paraId="731026C4" w14:textId="16461389" w:rsidR="0062116F" w:rsidRPr="00043410" w:rsidRDefault="0062116F" w:rsidP="00EA2FB8">
            <w:pPr>
              <w:spacing w:after="0" w:line="240" w:lineRule="auto"/>
              <w:jc w:val="center"/>
              <w:rPr>
                <w:rFonts w:cs="Arial"/>
                <w:szCs w:val="20"/>
              </w:rPr>
            </w:pPr>
            <w:r w:rsidRPr="00043410">
              <w:rPr>
                <w:rFonts w:cs="Arial"/>
                <w:szCs w:val="20"/>
              </w:rPr>
              <w:sym w:font="Wingdings" w:char="F0FB"/>
            </w:r>
          </w:p>
        </w:tc>
        <w:tc>
          <w:tcPr>
            <w:tcW w:w="1277" w:type="dxa"/>
            <w:tcMar>
              <w:top w:w="57" w:type="dxa"/>
              <w:left w:w="57" w:type="dxa"/>
              <w:bottom w:w="57" w:type="dxa"/>
              <w:right w:w="57" w:type="dxa"/>
            </w:tcMar>
          </w:tcPr>
          <w:p w14:paraId="4DAC1E92" w14:textId="6693FDB5" w:rsidR="0062116F" w:rsidRPr="00043410" w:rsidRDefault="0062116F" w:rsidP="00EA2FB8">
            <w:pPr>
              <w:spacing w:after="0" w:line="240" w:lineRule="auto"/>
              <w:jc w:val="center"/>
              <w:rPr>
                <w:rFonts w:cs="Arial"/>
                <w:szCs w:val="20"/>
              </w:rPr>
            </w:pPr>
            <w:r w:rsidRPr="00043410">
              <w:rPr>
                <w:rFonts w:cs="Arial"/>
                <w:szCs w:val="20"/>
              </w:rPr>
              <w:sym w:font="Wingdings" w:char="F0FB"/>
            </w:r>
          </w:p>
        </w:tc>
        <w:tc>
          <w:tcPr>
            <w:tcW w:w="1277" w:type="dxa"/>
            <w:tcMar>
              <w:top w:w="57" w:type="dxa"/>
              <w:left w:w="57" w:type="dxa"/>
              <w:bottom w:w="57" w:type="dxa"/>
              <w:right w:w="57" w:type="dxa"/>
            </w:tcMar>
          </w:tcPr>
          <w:p w14:paraId="5F1D9A22" w14:textId="338719E6" w:rsidR="0062116F" w:rsidRPr="00043410" w:rsidRDefault="0062116F" w:rsidP="00EA2FB8">
            <w:pPr>
              <w:spacing w:after="0" w:line="240" w:lineRule="auto"/>
              <w:jc w:val="center"/>
              <w:rPr>
                <w:rFonts w:cs="Arial"/>
                <w:szCs w:val="20"/>
              </w:rPr>
            </w:pPr>
            <w:r w:rsidRPr="00043410">
              <w:rPr>
                <w:rFonts w:cs="Arial"/>
                <w:szCs w:val="20"/>
              </w:rPr>
              <w:sym w:font="Wingdings" w:char="F0FB"/>
            </w:r>
          </w:p>
        </w:tc>
      </w:tr>
      <w:tr w:rsidR="0062116F" w:rsidRPr="009D0453" w14:paraId="5F6D786B" w14:textId="77777777" w:rsidTr="009D0453">
        <w:tc>
          <w:tcPr>
            <w:tcW w:w="1276" w:type="dxa"/>
            <w:shd w:val="clear" w:color="auto" w:fill="F2F2F2" w:themeFill="background1" w:themeFillShade="F2"/>
            <w:tcMar>
              <w:top w:w="57" w:type="dxa"/>
              <w:left w:w="57" w:type="dxa"/>
              <w:bottom w:w="57" w:type="dxa"/>
              <w:right w:w="57" w:type="dxa"/>
            </w:tcMar>
          </w:tcPr>
          <w:p w14:paraId="0BFBC061" w14:textId="2E307DA2" w:rsidR="0062116F" w:rsidRPr="009D0453" w:rsidRDefault="0062116F" w:rsidP="00CE1736">
            <w:pPr>
              <w:spacing w:after="0" w:line="240" w:lineRule="auto"/>
              <w:rPr>
                <w:rFonts w:cs="Arial"/>
                <w:sz w:val="18"/>
                <w:szCs w:val="18"/>
              </w:rPr>
            </w:pPr>
            <w:r w:rsidRPr="009D0453">
              <w:rPr>
                <w:rFonts w:cs="Arial"/>
                <w:sz w:val="18"/>
                <w:szCs w:val="18"/>
              </w:rPr>
              <w:t>UK</w:t>
            </w:r>
          </w:p>
        </w:tc>
        <w:tc>
          <w:tcPr>
            <w:tcW w:w="1277" w:type="dxa"/>
            <w:tcMar>
              <w:top w:w="57" w:type="dxa"/>
              <w:left w:w="57" w:type="dxa"/>
              <w:bottom w:w="57" w:type="dxa"/>
              <w:right w:w="57" w:type="dxa"/>
            </w:tcMar>
          </w:tcPr>
          <w:p w14:paraId="540FF5BF" w14:textId="59BAED88" w:rsidR="0062116F" w:rsidRPr="00043410" w:rsidRDefault="0062116F" w:rsidP="00EA2FB8">
            <w:pPr>
              <w:spacing w:after="0" w:line="240" w:lineRule="auto"/>
              <w:jc w:val="center"/>
              <w:rPr>
                <w:rFonts w:cs="Arial"/>
                <w:szCs w:val="20"/>
              </w:rPr>
            </w:pPr>
            <w:r w:rsidRPr="00043410">
              <w:rPr>
                <w:rFonts w:cs="Arial"/>
                <w:szCs w:val="20"/>
              </w:rPr>
              <w:sym w:font="Wingdings" w:char="F0FC"/>
            </w:r>
          </w:p>
        </w:tc>
        <w:tc>
          <w:tcPr>
            <w:tcW w:w="1277" w:type="dxa"/>
            <w:tcMar>
              <w:top w:w="57" w:type="dxa"/>
              <w:left w:w="57" w:type="dxa"/>
              <w:bottom w:w="57" w:type="dxa"/>
              <w:right w:w="57" w:type="dxa"/>
            </w:tcMar>
          </w:tcPr>
          <w:p w14:paraId="0353762F" w14:textId="6C5A3405" w:rsidR="0062116F" w:rsidRPr="00043410" w:rsidRDefault="0062116F" w:rsidP="00EA2FB8">
            <w:pPr>
              <w:spacing w:after="0" w:line="240" w:lineRule="auto"/>
              <w:jc w:val="center"/>
              <w:rPr>
                <w:rFonts w:cs="Arial"/>
                <w:szCs w:val="20"/>
              </w:rPr>
            </w:pPr>
            <w:r w:rsidRPr="00043410">
              <w:rPr>
                <w:rFonts w:cs="Arial"/>
                <w:szCs w:val="20"/>
              </w:rPr>
              <w:sym w:font="Wingdings" w:char="F0FB"/>
            </w:r>
          </w:p>
        </w:tc>
        <w:tc>
          <w:tcPr>
            <w:tcW w:w="1277" w:type="dxa"/>
            <w:tcMar>
              <w:top w:w="57" w:type="dxa"/>
              <w:left w:w="57" w:type="dxa"/>
              <w:bottom w:w="57" w:type="dxa"/>
              <w:right w:w="57" w:type="dxa"/>
            </w:tcMar>
          </w:tcPr>
          <w:p w14:paraId="33E99BBA" w14:textId="613BC1A2" w:rsidR="0062116F" w:rsidRPr="00043410" w:rsidRDefault="0062116F" w:rsidP="00EA2FB8">
            <w:pPr>
              <w:spacing w:after="0" w:line="240" w:lineRule="auto"/>
              <w:jc w:val="center"/>
              <w:rPr>
                <w:rFonts w:cs="Arial"/>
                <w:szCs w:val="20"/>
              </w:rPr>
            </w:pPr>
            <w:r w:rsidRPr="00043410">
              <w:rPr>
                <w:rFonts w:cs="Arial"/>
                <w:szCs w:val="20"/>
              </w:rPr>
              <w:sym w:font="Wingdings" w:char="F0FB"/>
            </w:r>
          </w:p>
        </w:tc>
        <w:tc>
          <w:tcPr>
            <w:tcW w:w="1277" w:type="dxa"/>
            <w:tcMar>
              <w:top w:w="57" w:type="dxa"/>
              <w:left w:w="57" w:type="dxa"/>
              <w:bottom w:w="57" w:type="dxa"/>
              <w:right w:w="57" w:type="dxa"/>
            </w:tcMar>
          </w:tcPr>
          <w:p w14:paraId="24080052" w14:textId="4C80421C" w:rsidR="0062116F" w:rsidRPr="00043410" w:rsidRDefault="0062116F" w:rsidP="00EA2FB8">
            <w:pPr>
              <w:spacing w:after="0" w:line="240" w:lineRule="auto"/>
              <w:jc w:val="center"/>
              <w:rPr>
                <w:rFonts w:cs="Arial"/>
                <w:szCs w:val="20"/>
              </w:rPr>
            </w:pPr>
            <w:r w:rsidRPr="00043410">
              <w:rPr>
                <w:rFonts w:cs="Arial"/>
                <w:szCs w:val="20"/>
              </w:rPr>
              <w:sym w:font="Wingdings" w:char="F0FC"/>
            </w:r>
          </w:p>
        </w:tc>
        <w:tc>
          <w:tcPr>
            <w:tcW w:w="1277" w:type="dxa"/>
            <w:tcMar>
              <w:top w:w="57" w:type="dxa"/>
              <w:left w:w="57" w:type="dxa"/>
              <w:bottom w:w="57" w:type="dxa"/>
              <w:right w:w="57" w:type="dxa"/>
            </w:tcMar>
          </w:tcPr>
          <w:p w14:paraId="62011AC9" w14:textId="5B8A860C" w:rsidR="0062116F" w:rsidRPr="00043410" w:rsidRDefault="0062116F" w:rsidP="00EA2FB8">
            <w:pPr>
              <w:spacing w:after="0" w:line="240" w:lineRule="auto"/>
              <w:jc w:val="center"/>
              <w:rPr>
                <w:rFonts w:cs="Arial"/>
                <w:szCs w:val="20"/>
              </w:rPr>
            </w:pPr>
            <w:r w:rsidRPr="00043410">
              <w:rPr>
                <w:rFonts w:cs="Arial"/>
                <w:szCs w:val="20"/>
              </w:rPr>
              <w:sym w:font="Wingdings" w:char="F0FB"/>
            </w:r>
          </w:p>
        </w:tc>
      </w:tr>
      <w:tr w:rsidR="0062116F" w:rsidRPr="009D0453" w14:paraId="2DF91889" w14:textId="77777777" w:rsidTr="009D0453">
        <w:tc>
          <w:tcPr>
            <w:tcW w:w="1276" w:type="dxa"/>
            <w:shd w:val="clear" w:color="auto" w:fill="F2F2F2" w:themeFill="background1" w:themeFillShade="F2"/>
            <w:tcMar>
              <w:top w:w="57" w:type="dxa"/>
              <w:left w:w="57" w:type="dxa"/>
              <w:bottom w:w="57" w:type="dxa"/>
              <w:right w:w="57" w:type="dxa"/>
            </w:tcMar>
          </w:tcPr>
          <w:p w14:paraId="05B19431" w14:textId="0785DC37" w:rsidR="0062116F" w:rsidRPr="009D0453" w:rsidRDefault="0062116F" w:rsidP="00CE1736">
            <w:pPr>
              <w:spacing w:after="0" w:line="240" w:lineRule="auto"/>
              <w:rPr>
                <w:rFonts w:cs="Arial"/>
                <w:sz w:val="18"/>
                <w:szCs w:val="18"/>
              </w:rPr>
            </w:pPr>
            <w:r w:rsidRPr="009D0453">
              <w:rPr>
                <w:rFonts w:cs="Arial"/>
                <w:sz w:val="18"/>
                <w:szCs w:val="18"/>
              </w:rPr>
              <w:t>Canada</w:t>
            </w:r>
          </w:p>
        </w:tc>
        <w:tc>
          <w:tcPr>
            <w:tcW w:w="1277" w:type="dxa"/>
            <w:tcMar>
              <w:top w:w="57" w:type="dxa"/>
              <w:left w:w="57" w:type="dxa"/>
              <w:bottom w:w="57" w:type="dxa"/>
              <w:right w:w="57" w:type="dxa"/>
            </w:tcMar>
          </w:tcPr>
          <w:p w14:paraId="088EBDD2" w14:textId="21D76C1F" w:rsidR="0062116F" w:rsidRPr="00043410" w:rsidRDefault="0062116F" w:rsidP="00EA2FB8">
            <w:pPr>
              <w:spacing w:after="0" w:line="240" w:lineRule="auto"/>
              <w:jc w:val="center"/>
              <w:rPr>
                <w:rFonts w:cs="Arial"/>
                <w:szCs w:val="20"/>
              </w:rPr>
            </w:pPr>
            <w:r w:rsidRPr="00043410">
              <w:rPr>
                <w:rFonts w:cs="Arial"/>
                <w:szCs w:val="20"/>
              </w:rPr>
              <w:sym w:font="Wingdings" w:char="F0FC"/>
            </w:r>
          </w:p>
        </w:tc>
        <w:tc>
          <w:tcPr>
            <w:tcW w:w="1277" w:type="dxa"/>
            <w:tcMar>
              <w:top w:w="57" w:type="dxa"/>
              <w:left w:w="57" w:type="dxa"/>
              <w:bottom w:w="57" w:type="dxa"/>
              <w:right w:w="57" w:type="dxa"/>
            </w:tcMar>
          </w:tcPr>
          <w:p w14:paraId="6714E698" w14:textId="14573CC7" w:rsidR="0062116F" w:rsidRPr="00043410" w:rsidRDefault="0062116F" w:rsidP="00EA2FB8">
            <w:pPr>
              <w:spacing w:after="0" w:line="240" w:lineRule="auto"/>
              <w:jc w:val="center"/>
              <w:rPr>
                <w:rFonts w:cs="Arial"/>
                <w:szCs w:val="20"/>
              </w:rPr>
            </w:pPr>
            <w:r w:rsidRPr="00043410">
              <w:rPr>
                <w:rFonts w:cs="Arial"/>
                <w:szCs w:val="20"/>
              </w:rPr>
              <w:sym w:font="Wingdings" w:char="F0FB"/>
            </w:r>
          </w:p>
        </w:tc>
        <w:tc>
          <w:tcPr>
            <w:tcW w:w="1277" w:type="dxa"/>
            <w:tcMar>
              <w:top w:w="57" w:type="dxa"/>
              <w:left w:w="57" w:type="dxa"/>
              <w:bottom w:w="57" w:type="dxa"/>
              <w:right w:w="57" w:type="dxa"/>
            </w:tcMar>
          </w:tcPr>
          <w:p w14:paraId="27DF5619" w14:textId="35262B48" w:rsidR="0062116F" w:rsidRPr="00043410" w:rsidRDefault="0062116F" w:rsidP="00EA2FB8">
            <w:pPr>
              <w:spacing w:after="0" w:line="240" w:lineRule="auto"/>
              <w:jc w:val="center"/>
              <w:rPr>
                <w:rFonts w:cs="Arial"/>
                <w:szCs w:val="20"/>
              </w:rPr>
            </w:pPr>
            <w:r w:rsidRPr="00043410">
              <w:rPr>
                <w:rFonts w:cs="Arial"/>
                <w:szCs w:val="20"/>
              </w:rPr>
              <w:sym w:font="Wingdings" w:char="F0FB"/>
            </w:r>
          </w:p>
        </w:tc>
        <w:tc>
          <w:tcPr>
            <w:tcW w:w="1277" w:type="dxa"/>
            <w:tcMar>
              <w:top w:w="57" w:type="dxa"/>
              <w:left w:w="57" w:type="dxa"/>
              <w:bottom w:w="57" w:type="dxa"/>
              <w:right w:w="57" w:type="dxa"/>
            </w:tcMar>
          </w:tcPr>
          <w:p w14:paraId="3DF6C0BE" w14:textId="605B9782" w:rsidR="0062116F" w:rsidRPr="00043410" w:rsidRDefault="0062116F" w:rsidP="00EA2FB8">
            <w:pPr>
              <w:spacing w:after="0" w:line="240" w:lineRule="auto"/>
              <w:jc w:val="center"/>
              <w:rPr>
                <w:rFonts w:cs="Arial"/>
                <w:szCs w:val="20"/>
              </w:rPr>
            </w:pPr>
            <w:r w:rsidRPr="00043410">
              <w:rPr>
                <w:rFonts w:cs="Arial"/>
                <w:szCs w:val="20"/>
              </w:rPr>
              <w:sym w:font="Wingdings" w:char="F0FC"/>
            </w:r>
          </w:p>
        </w:tc>
        <w:tc>
          <w:tcPr>
            <w:tcW w:w="1277" w:type="dxa"/>
            <w:tcMar>
              <w:top w:w="57" w:type="dxa"/>
              <w:left w:w="57" w:type="dxa"/>
              <w:bottom w:w="57" w:type="dxa"/>
              <w:right w:w="57" w:type="dxa"/>
            </w:tcMar>
          </w:tcPr>
          <w:p w14:paraId="3E4D13B0" w14:textId="34D0438C" w:rsidR="0062116F" w:rsidRPr="00043410" w:rsidRDefault="0062116F" w:rsidP="00EA2FB8">
            <w:pPr>
              <w:spacing w:after="0" w:line="240" w:lineRule="auto"/>
              <w:jc w:val="center"/>
              <w:rPr>
                <w:rFonts w:cs="Arial"/>
                <w:szCs w:val="20"/>
              </w:rPr>
            </w:pPr>
            <w:r w:rsidRPr="00043410">
              <w:rPr>
                <w:rFonts w:cs="Arial"/>
                <w:szCs w:val="20"/>
              </w:rPr>
              <w:sym w:font="Wingdings" w:char="F0FC"/>
            </w:r>
          </w:p>
        </w:tc>
      </w:tr>
      <w:tr w:rsidR="0062116F" w:rsidRPr="009D0453" w14:paraId="0240F931" w14:textId="77777777" w:rsidTr="009D0453">
        <w:tc>
          <w:tcPr>
            <w:tcW w:w="1276" w:type="dxa"/>
            <w:shd w:val="clear" w:color="auto" w:fill="F2F2F2" w:themeFill="background1" w:themeFillShade="F2"/>
            <w:tcMar>
              <w:top w:w="57" w:type="dxa"/>
              <w:left w:w="57" w:type="dxa"/>
              <w:bottom w:w="57" w:type="dxa"/>
              <w:right w:w="57" w:type="dxa"/>
            </w:tcMar>
          </w:tcPr>
          <w:p w14:paraId="482F1231" w14:textId="6C05CEAF" w:rsidR="0062116F" w:rsidRPr="009D0453" w:rsidRDefault="0062116F" w:rsidP="00CE1736">
            <w:pPr>
              <w:spacing w:after="0" w:line="240" w:lineRule="auto"/>
              <w:rPr>
                <w:rFonts w:cs="Arial"/>
                <w:sz w:val="18"/>
                <w:szCs w:val="18"/>
              </w:rPr>
            </w:pPr>
            <w:r w:rsidRPr="009D0453">
              <w:rPr>
                <w:rFonts w:cs="Arial"/>
                <w:sz w:val="18"/>
                <w:szCs w:val="18"/>
              </w:rPr>
              <w:t>US</w:t>
            </w:r>
          </w:p>
        </w:tc>
        <w:tc>
          <w:tcPr>
            <w:tcW w:w="1277" w:type="dxa"/>
            <w:tcMar>
              <w:top w:w="57" w:type="dxa"/>
              <w:left w:w="57" w:type="dxa"/>
              <w:bottom w:w="57" w:type="dxa"/>
              <w:right w:w="57" w:type="dxa"/>
            </w:tcMar>
          </w:tcPr>
          <w:p w14:paraId="50D9B425" w14:textId="077E9F6B" w:rsidR="0062116F" w:rsidRPr="00043410" w:rsidRDefault="0062116F" w:rsidP="00EA2FB8">
            <w:pPr>
              <w:spacing w:after="0" w:line="240" w:lineRule="auto"/>
              <w:jc w:val="center"/>
              <w:rPr>
                <w:rFonts w:cs="Arial"/>
                <w:szCs w:val="20"/>
              </w:rPr>
            </w:pPr>
            <w:r w:rsidRPr="00043410">
              <w:rPr>
                <w:rFonts w:cs="Arial"/>
                <w:szCs w:val="20"/>
              </w:rPr>
              <w:sym w:font="Wingdings" w:char="F0FC"/>
            </w:r>
          </w:p>
        </w:tc>
        <w:tc>
          <w:tcPr>
            <w:tcW w:w="1277" w:type="dxa"/>
            <w:tcMar>
              <w:top w:w="57" w:type="dxa"/>
              <w:left w:w="57" w:type="dxa"/>
              <w:bottom w:w="57" w:type="dxa"/>
              <w:right w:w="57" w:type="dxa"/>
            </w:tcMar>
          </w:tcPr>
          <w:p w14:paraId="4AE0E12F" w14:textId="1FB680FF" w:rsidR="0062116F" w:rsidRPr="00043410" w:rsidRDefault="0062116F" w:rsidP="00EA2FB8">
            <w:pPr>
              <w:spacing w:after="0" w:line="240" w:lineRule="auto"/>
              <w:jc w:val="center"/>
              <w:rPr>
                <w:rFonts w:cs="Arial"/>
                <w:szCs w:val="20"/>
              </w:rPr>
            </w:pPr>
            <w:r w:rsidRPr="00043410">
              <w:rPr>
                <w:rFonts w:cs="Arial"/>
                <w:szCs w:val="20"/>
              </w:rPr>
              <w:sym w:font="Wingdings" w:char="F0FC"/>
            </w:r>
          </w:p>
        </w:tc>
        <w:tc>
          <w:tcPr>
            <w:tcW w:w="1277" w:type="dxa"/>
            <w:tcMar>
              <w:top w:w="57" w:type="dxa"/>
              <w:left w:w="57" w:type="dxa"/>
              <w:bottom w:w="57" w:type="dxa"/>
              <w:right w:w="57" w:type="dxa"/>
            </w:tcMar>
          </w:tcPr>
          <w:p w14:paraId="302B9793" w14:textId="1F1CF66B" w:rsidR="0062116F" w:rsidRPr="00043410" w:rsidRDefault="0062116F" w:rsidP="00EA2FB8">
            <w:pPr>
              <w:spacing w:after="0" w:line="240" w:lineRule="auto"/>
              <w:jc w:val="center"/>
              <w:rPr>
                <w:rFonts w:cs="Arial"/>
                <w:szCs w:val="20"/>
              </w:rPr>
            </w:pPr>
            <w:r w:rsidRPr="00043410">
              <w:rPr>
                <w:rFonts w:cs="Arial"/>
                <w:szCs w:val="20"/>
              </w:rPr>
              <w:sym w:font="Wingdings" w:char="F0FB"/>
            </w:r>
          </w:p>
        </w:tc>
        <w:tc>
          <w:tcPr>
            <w:tcW w:w="1277" w:type="dxa"/>
            <w:tcMar>
              <w:top w:w="57" w:type="dxa"/>
              <w:left w:w="57" w:type="dxa"/>
              <w:bottom w:w="57" w:type="dxa"/>
              <w:right w:w="57" w:type="dxa"/>
            </w:tcMar>
          </w:tcPr>
          <w:p w14:paraId="1362B188" w14:textId="377F8829" w:rsidR="0062116F" w:rsidRPr="00043410" w:rsidRDefault="0062116F" w:rsidP="00EA2FB8">
            <w:pPr>
              <w:spacing w:after="0" w:line="240" w:lineRule="auto"/>
              <w:jc w:val="center"/>
              <w:rPr>
                <w:rFonts w:cs="Arial"/>
                <w:szCs w:val="20"/>
              </w:rPr>
            </w:pPr>
            <w:r w:rsidRPr="00043410">
              <w:rPr>
                <w:rFonts w:cs="Arial"/>
                <w:szCs w:val="20"/>
              </w:rPr>
              <w:sym w:font="Wingdings" w:char="F0FC"/>
            </w:r>
          </w:p>
        </w:tc>
        <w:tc>
          <w:tcPr>
            <w:tcW w:w="1277" w:type="dxa"/>
            <w:tcMar>
              <w:top w:w="57" w:type="dxa"/>
              <w:left w:w="57" w:type="dxa"/>
              <w:bottom w:w="57" w:type="dxa"/>
              <w:right w:w="57" w:type="dxa"/>
            </w:tcMar>
          </w:tcPr>
          <w:p w14:paraId="4C415AB0" w14:textId="32975859" w:rsidR="0062116F" w:rsidRPr="00043410" w:rsidRDefault="0062116F" w:rsidP="00EA2FB8">
            <w:pPr>
              <w:spacing w:after="0" w:line="240" w:lineRule="auto"/>
              <w:jc w:val="center"/>
              <w:rPr>
                <w:rFonts w:cs="Arial"/>
                <w:szCs w:val="20"/>
              </w:rPr>
            </w:pPr>
            <w:r w:rsidRPr="00043410">
              <w:rPr>
                <w:rFonts w:cs="Arial"/>
                <w:szCs w:val="20"/>
              </w:rPr>
              <w:sym w:font="Wingdings" w:char="F0FC"/>
            </w:r>
          </w:p>
        </w:tc>
      </w:tr>
      <w:tr w:rsidR="0062116F" w:rsidRPr="00F04F0A" w14:paraId="49F6BDA7" w14:textId="77777777" w:rsidTr="009D0453">
        <w:tc>
          <w:tcPr>
            <w:tcW w:w="1276" w:type="dxa"/>
            <w:shd w:val="clear" w:color="auto" w:fill="F2F2F2" w:themeFill="background1" w:themeFillShade="F2"/>
            <w:tcMar>
              <w:top w:w="57" w:type="dxa"/>
              <w:left w:w="57" w:type="dxa"/>
              <w:bottom w:w="57" w:type="dxa"/>
              <w:right w:w="57" w:type="dxa"/>
            </w:tcMar>
          </w:tcPr>
          <w:p w14:paraId="11A48BD2" w14:textId="29CDD87F" w:rsidR="0062116F" w:rsidRPr="009D0453" w:rsidRDefault="0062116F" w:rsidP="00CE1736">
            <w:pPr>
              <w:spacing w:after="0" w:line="240" w:lineRule="auto"/>
              <w:rPr>
                <w:rFonts w:cs="Arial"/>
                <w:sz w:val="18"/>
                <w:szCs w:val="18"/>
              </w:rPr>
            </w:pPr>
            <w:r w:rsidRPr="009D0453">
              <w:rPr>
                <w:rFonts w:cs="Arial"/>
                <w:sz w:val="18"/>
                <w:szCs w:val="18"/>
              </w:rPr>
              <w:t>France</w:t>
            </w:r>
          </w:p>
        </w:tc>
        <w:tc>
          <w:tcPr>
            <w:tcW w:w="1277" w:type="dxa"/>
            <w:tcMar>
              <w:top w:w="57" w:type="dxa"/>
              <w:left w:w="57" w:type="dxa"/>
              <w:bottom w:w="57" w:type="dxa"/>
              <w:right w:w="57" w:type="dxa"/>
            </w:tcMar>
          </w:tcPr>
          <w:p w14:paraId="7094A18C" w14:textId="627268EC" w:rsidR="0062116F" w:rsidRPr="00043410" w:rsidRDefault="0062116F" w:rsidP="00EA2FB8">
            <w:pPr>
              <w:spacing w:after="0" w:line="240" w:lineRule="auto"/>
              <w:jc w:val="center"/>
              <w:rPr>
                <w:rFonts w:cs="Arial"/>
                <w:szCs w:val="20"/>
              </w:rPr>
            </w:pPr>
            <w:r w:rsidRPr="00043410">
              <w:rPr>
                <w:rFonts w:cs="Arial"/>
                <w:szCs w:val="20"/>
              </w:rPr>
              <w:sym w:font="Wingdings" w:char="F0FC"/>
            </w:r>
          </w:p>
        </w:tc>
        <w:tc>
          <w:tcPr>
            <w:tcW w:w="1277" w:type="dxa"/>
            <w:tcMar>
              <w:top w:w="57" w:type="dxa"/>
              <w:left w:w="57" w:type="dxa"/>
              <w:bottom w:w="57" w:type="dxa"/>
              <w:right w:w="57" w:type="dxa"/>
            </w:tcMar>
          </w:tcPr>
          <w:p w14:paraId="110679CA" w14:textId="5A300F88" w:rsidR="0062116F" w:rsidRPr="00043410" w:rsidRDefault="0062116F" w:rsidP="00EA2FB8">
            <w:pPr>
              <w:spacing w:after="0" w:line="240" w:lineRule="auto"/>
              <w:jc w:val="center"/>
              <w:rPr>
                <w:rFonts w:cs="Arial"/>
                <w:szCs w:val="20"/>
              </w:rPr>
            </w:pPr>
            <w:r w:rsidRPr="00043410">
              <w:rPr>
                <w:rFonts w:cs="Arial"/>
                <w:szCs w:val="20"/>
              </w:rPr>
              <w:sym w:font="Wingdings" w:char="F0FC"/>
            </w:r>
          </w:p>
        </w:tc>
        <w:tc>
          <w:tcPr>
            <w:tcW w:w="1277" w:type="dxa"/>
            <w:tcMar>
              <w:top w:w="57" w:type="dxa"/>
              <w:left w:w="57" w:type="dxa"/>
              <w:bottom w:w="57" w:type="dxa"/>
              <w:right w:w="57" w:type="dxa"/>
            </w:tcMar>
          </w:tcPr>
          <w:p w14:paraId="407AECA9" w14:textId="00D0C088" w:rsidR="0062116F" w:rsidRPr="00043410" w:rsidRDefault="0062116F" w:rsidP="00EA2FB8">
            <w:pPr>
              <w:spacing w:after="0" w:line="240" w:lineRule="auto"/>
              <w:jc w:val="center"/>
              <w:rPr>
                <w:rFonts w:cs="Arial"/>
                <w:szCs w:val="20"/>
              </w:rPr>
            </w:pPr>
            <w:r w:rsidRPr="00043410">
              <w:rPr>
                <w:rFonts w:cs="Arial"/>
                <w:szCs w:val="20"/>
              </w:rPr>
              <w:sym w:font="Wingdings" w:char="F0FC"/>
            </w:r>
          </w:p>
        </w:tc>
        <w:tc>
          <w:tcPr>
            <w:tcW w:w="1277" w:type="dxa"/>
            <w:tcMar>
              <w:top w:w="57" w:type="dxa"/>
              <w:left w:w="57" w:type="dxa"/>
              <w:bottom w:w="57" w:type="dxa"/>
              <w:right w:w="57" w:type="dxa"/>
            </w:tcMar>
          </w:tcPr>
          <w:p w14:paraId="46D5E4AA" w14:textId="6376D900" w:rsidR="0062116F" w:rsidRPr="00043410" w:rsidRDefault="0062116F" w:rsidP="00EA2FB8">
            <w:pPr>
              <w:spacing w:after="0" w:line="240" w:lineRule="auto"/>
              <w:jc w:val="center"/>
              <w:rPr>
                <w:rFonts w:cs="Arial"/>
                <w:szCs w:val="20"/>
              </w:rPr>
            </w:pPr>
            <w:r w:rsidRPr="00043410">
              <w:rPr>
                <w:rFonts w:cs="Arial"/>
                <w:szCs w:val="20"/>
              </w:rPr>
              <w:sym w:font="Wingdings" w:char="F0FC"/>
            </w:r>
          </w:p>
        </w:tc>
        <w:tc>
          <w:tcPr>
            <w:tcW w:w="1277" w:type="dxa"/>
            <w:tcMar>
              <w:top w:w="57" w:type="dxa"/>
              <w:left w:w="57" w:type="dxa"/>
              <w:bottom w:w="57" w:type="dxa"/>
              <w:right w:w="57" w:type="dxa"/>
            </w:tcMar>
          </w:tcPr>
          <w:p w14:paraId="16B21C5C" w14:textId="616FCCA9" w:rsidR="0062116F" w:rsidRPr="00043410" w:rsidRDefault="0062116F" w:rsidP="00EA2FB8">
            <w:pPr>
              <w:spacing w:after="0" w:line="240" w:lineRule="auto"/>
              <w:jc w:val="center"/>
              <w:rPr>
                <w:rFonts w:cs="Arial"/>
                <w:szCs w:val="20"/>
              </w:rPr>
            </w:pPr>
            <w:r w:rsidRPr="00043410">
              <w:rPr>
                <w:rFonts w:cs="Arial"/>
                <w:szCs w:val="20"/>
              </w:rPr>
              <w:sym w:font="Wingdings" w:char="F0FC"/>
            </w:r>
          </w:p>
        </w:tc>
      </w:tr>
    </w:tbl>
    <w:p w14:paraId="49C4F1AD" w14:textId="060C9CB5" w:rsidR="003C715F" w:rsidRDefault="003C715F" w:rsidP="0009141B">
      <w:pPr>
        <w:pStyle w:val="ACMANotes"/>
      </w:pPr>
      <w:r w:rsidRPr="009D0453">
        <w:t xml:space="preserve">Source: </w:t>
      </w:r>
      <w:r w:rsidR="00B07715" w:rsidRPr="009D0453">
        <w:t>ACMA research, b</w:t>
      </w:r>
      <w:r w:rsidRPr="009D0453">
        <w:t xml:space="preserve">ased on </w:t>
      </w:r>
      <w:r w:rsidR="00B07715" w:rsidRPr="009D0453">
        <w:t xml:space="preserve">update of </w:t>
      </w:r>
      <w:r w:rsidR="00FB30E2" w:rsidRPr="009D0453">
        <w:t xml:space="preserve">comparative table in </w:t>
      </w:r>
      <w:r w:rsidR="00EC2955" w:rsidRPr="009D0453">
        <w:t>Ofc</w:t>
      </w:r>
      <w:r w:rsidR="00EC2955">
        <w:t xml:space="preserve">om, </w:t>
      </w:r>
      <w:hyperlink r:id="rId37" w:history="1">
        <w:r w:rsidR="00EC2955" w:rsidRPr="00B07715">
          <w:rPr>
            <w:rStyle w:val="Hyperlink"/>
          </w:rPr>
          <w:t>Review of Media Ownership Rules</w:t>
        </w:r>
      </w:hyperlink>
      <w:r w:rsidR="00EC2955">
        <w:t xml:space="preserve">, </w:t>
      </w:r>
      <w:r w:rsidR="00B07715">
        <w:t xml:space="preserve">2006, </w:t>
      </w:r>
      <w:r w:rsidR="00EC2955">
        <w:t>p. 14.</w:t>
      </w:r>
    </w:p>
    <w:p w14:paraId="0DB8AA51" w14:textId="157F2541" w:rsidR="0062116F" w:rsidRPr="00A67872" w:rsidRDefault="0062116F" w:rsidP="0009141B">
      <w:pPr>
        <w:pStyle w:val="ACMANotes"/>
      </w:pPr>
      <w:r w:rsidRPr="00A67872">
        <w:t>Note: Norway has been excluded from</w:t>
      </w:r>
      <w:r>
        <w:t xml:space="preserve"> table due to a lack of information about the operations of its current media ownership rules following repeal of the Media Ownership Act in 2016.</w:t>
      </w:r>
      <w:r w:rsidRPr="00A67872">
        <w:t xml:space="preserve"> </w:t>
      </w:r>
    </w:p>
    <w:p w14:paraId="7CB7EA4E" w14:textId="3DD5E4B5" w:rsidR="0062116F" w:rsidRDefault="0062116F" w:rsidP="007A1260">
      <w:pPr>
        <w:spacing w:before="240"/>
        <w:rPr>
          <w:rFonts w:cs="Arial"/>
        </w:rPr>
      </w:pPr>
      <w:r>
        <w:rPr>
          <w:rFonts w:cs="Arial"/>
        </w:rPr>
        <w:t>Some countries also have public interest tests related to their media ownership rules, which apply when assessing media mergers and acquisitions. These go beyond traditional competition law considerations, requiring regulators to also consider the impacts of the proposed transaction on the diversity of the media market, with reference to sector-specific factors such as</w:t>
      </w:r>
      <w:r>
        <w:t xml:space="preserve"> media plurality and </w:t>
      </w:r>
      <w:r w:rsidR="00CB78A7">
        <w:t>influence</w:t>
      </w:r>
      <w:r>
        <w:rPr>
          <w:rFonts w:cs="Arial"/>
        </w:rPr>
        <w:t>.</w:t>
      </w:r>
    </w:p>
    <w:p w14:paraId="36A49AB6" w14:textId="21F3CE7A" w:rsidR="0062116F" w:rsidRDefault="0062116F" w:rsidP="001F0A8D">
      <w:r>
        <w:t xml:space="preserve">As discussed above, competition issues in Australia are assessed by the ACCC and public interest considerations are codified in media diversity laws enforced by the ACMA. The </w:t>
      </w:r>
      <w:r w:rsidRPr="00B54417">
        <w:t>UK</w:t>
      </w:r>
      <w:r>
        <w:t xml:space="preserve"> has a similar two-pronged approach. </w:t>
      </w:r>
      <w:r w:rsidR="008D7DD8">
        <w:t>Most m</w:t>
      </w:r>
      <w:r>
        <w:t xml:space="preserve">edia mergers in the UK are assessed by one of the independent competition authorities against a competition test. The </w:t>
      </w:r>
      <w:r w:rsidRPr="00163DBD">
        <w:rPr>
          <w:i/>
          <w:iCs/>
        </w:rPr>
        <w:t>Enterprise Act 2002</w:t>
      </w:r>
      <w:r w:rsidRPr="00163DBD">
        <w:t>,</w:t>
      </w:r>
      <w:r>
        <w:t xml:space="preserve"> however, allows for </w:t>
      </w:r>
      <w:r w:rsidRPr="00B54417">
        <w:t xml:space="preserve">the Secretary of State to intervene in a merger involving a broadcaster and/or a newspaper enterprise </w:t>
      </w:r>
      <w:r>
        <w:t xml:space="preserve">on public interest grounds </w:t>
      </w:r>
      <w:r w:rsidRPr="00B54417">
        <w:t>if certain conditions are met.</w:t>
      </w:r>
      <w:r w:rsidR="00163DBD">
        <w:t xml:space="preserve"> </w:t>
      </w:r>
      <w:r w:rsidR="00C0024E">
        <w:t>This</w:t>
      </w:r>
      <w:r>
        <w:t xml:space="preserve"> </w:t>
      </w:r>
      <w:r w:rsidRPr="00B54417">
        <w:t xml:space="preserve">triggers a review </w:t>
      </w:r>
      <w:r>
        <w:t xml:space="preserve">by Ofcom on </w:t>
      </w:r>
      <w:r w:rsidRPr="00B54417">
        <w:t>whether the merger might result in harm to the public interest</w:t>
      </w:r>
      <w:r>
        <w:t xml:space="preserve">, based on an assessment of legislative considerations established under the </w:t>
      </w:r>
      <w:r w:rsidRPr="00B54417">
        <w:t>Media Public Interest Test</w:t>
      </w:r>
      <w:r>
        <w:t xml:space="preserve">. This is a </w:t>
      </w:r>
      <w:r>
        <w:lastRenderedPageBreak/>
        <w:t>broader examination of media diversity than what is required in Australia, and although the test has only been applied in a handful of instances,</w:t>
      </w:r>
      <w:r w:rsidR="00AF7CBC">
        <w:rPr>
          <w:rStyle w:val="FootnoteReference"/>
        </w:rPr>
        <w:footnoteReference w:id="16"/>
      </w:r>
      <w:r>
        <w:t xml:space="preserve"> </w:t>
      </w:r>
      <w:r w:rsidR="009E3C5A">
        <w:t xml:space="preserve">the </w:t>
      </w:r>
      <w:r w:rsidR="00305A45">
        <w:t xml:space="preserve">application of this test in </w:t>
      </w:r>
      <w:r w:rsidR="00693581">
        <w:t>2010</w:t>
      </w:r>
      <w:r>
        <w:t xml:space="preserve"> provided the catalyst for the development of Ofcom’s </w:t>
      </w:r>
      <w:r w:rsidR="002A2FF5" w:rsidRPr="00CD2084">
        <w:rPr>
          <w:i/>
          <w:iCs/>
        </w:rPr>
        <w:t xml:space="preserve">Measurement Framework </w:t>
      </w:r>
      <w:r w:rsidRPr="00CD2084">
        <w:rPr>
          <w:i/>
          <w:iCs/>
        </w:rPr>
        <w:t xml:space="preserve">for </w:t>
      </w:r>
      <w:r w:rsidR="002A2FF5" w:rsidRPr="00CD2084">
        <w:rPr>
          <w:i/>
          <w:iCs/>
        </w:rPr>
        <w:t>Media P</w:t>
      </w:r>
      <w:r w:rsidRPr="00CD2084">
        <w:rPr>
          <w:i/>
          <w:iCs/>
        </w:rPr>
        <w:t>lurality</w:t>
      </w:r>
      <w:r>
        <w:t>.</w:t>
      </w:r>
      <w:r w:rsidR="00DF5907">
        <w:rPr>
          <w:rStyle w:val="FootnoteReference"/>
        </w:rPr>
        <w:footnoteReference w:id="17"/>
      </w:r>
    </w:p>
    <w:p w14:paraId="63D01301" w14:textId="2144DE89" w:rsidR="0062116F" w:rsidRDefault="0062116F" w:rsidP="001F0A8D">
      <w:r>
        <w:t xml:space="preserve">A broad test of diversity is also applied by the </w:t>
      </w:r>
      <w:r w:rsidRPr="007009B4">
        <w:t>Canadian Radio-television and Telecommunications Commission (CRTC)</w:t>
      </w:r>
      <w:r>
        <w:t xml:space="preserve"> when assessing mergers and other transactions that could raise cross-media ownership concerns. Since 2008, the CRTC has been required to assess the impact of editorial voices in local markets, while also taking into account the number of independently owned local media serving the market, the size and majority language of the market, and the use and ownership of new media as a source of local news and information. Like Australia, Canada’s media market is considered highly concentrated.</w:t>
      </w:r>
      <w:r>
        <w:rPr>
          <w:rStyle w:val="FootnoteReference"/>
        </w:rPr>
        <w:footnoteReference w:id="18"/>
      </w:r>
      <w:r>
        <w:t xml:space="preserve"> Importantly, however, Canada does not have a history of strong regulatory intervention in its media markets due to media companies holding a privileged position under the </w:t>
      </w:r>
      <w:r w:rsidRPr="00FE34CF">
        <w:rPr>
          <w:i/>
          <w:iCs/>
        </w:rPr>
        <w:t>Canadian Charter of Rights and Freedoms</w:t>
      </w:r>
      <w:r>
        <w:rPr>
          <w:i/>
          <w:iCs/>
        </w:rPr>
        <w:t xml:space="preserve">. </w:t>
      </w:r>
      <w:r>
        <w:rPr>
          <w:iCs/>
        </w:rPr>
        <w:t>This is similar to the U</w:t>
      </w:r>
      <w:r w:rsidR="009D0453">
        <w:rPr>
          <w:iCs/>
        </w:rPr>
        <w:t>S</w:t>
      </w:r>
      <w:r>
        <w:rPr>
          <w:iCs/>
        </w:rPr>
        <w:t>, which focuses more heavily on general competition issues when assessing media mergers</w:t>
      </w:r>
      <w:r w:rsidR="00161A9C">
        <w:rPr>
          <w:iCs/>
        </w:rPr>
        <w:t xml:space="preserve"> due</w:t>
      </w:r>
      <w:r>
        <w:rPr>
          <w:iCs/>
        </w:rPr>
        <w:t xml:space="preserve">, in part, to its </w:t>
      </w:r>
      <w:r w:rsidRPr="00F72CAC">
        <w:rPr>
          <w:iCs/>
        </w:rPr>
        <w:t>Constitutional</w:t>
      </w:r>
      <w:r>
        <w:rPr>
          <w:iCs/>
        </w:rPr>
        <w:t xml:space="preserve"> </w:t>
      </w:r>
      <w:r w:rsidR="00F72CAC">
        <w:rPr>
          <w:iCs/>
        </w:rPr>
        <w:t>F</w:t>
      </w:r>
      <w:r>
        <w:rPr>
          <w:iCs/>
        </w:rPr>
        <w:t xml:space="preserve">irst </w:t>
      </w:r>
      <w:r w:rsidR="00F72CAC">
        <w:rPr>
          <w:iCs/>
        </w:rPr>
        <w:t>A</w:t>
      </w:r>
      <w:r>
        <w:rPr>
          <w:iCs/>
        </w:rPr>
        <w:t xml:space="preserve">mendment right to freedom of speech. </w:t>
      </w:r>
    </w:p>
    <w:p w14:paraId="4075F3DE" w14:textId="5E71C81C" w:rsidR="0062116F" w:rsidRDefault="0062116F" w:rsidP="001F0A8D">
      <w:r>
        <w:t xml:space="preserve">By contrast, France has a strong history of regulatory interventions to </w:t>
      </w:r>
      <w:r w:rsidR="007B77BF">
        <w:t xml:space="preserve">protect and promote </w:t>
      </w:r>
      <w:r>
        <w:t xml:space="preserve">media diversity. </w:t>
      </w:r>
      <w:r w:rsidR="009D0453">
        <w:t>Its</w:t>
      </w:r>
      <w:r>
        <w:t xml:space="preserve"> </w:t>
      </w:r>
      <w:r w:rsidRPr="00B54417">
        <w:t xml:space="preserve">broadcasting </w:t>
      </w:r>
      <w:r>
        <w:t xml:space="preserve">sector is regulated </w:t>
      </w:r>
      <w:r w:rsidRPr="00B54417">
        <w:t xml:space="preserve">by the </w:t>
      </w:r>
      <w:r w:rsidRPr="007009B4">
        <w:t xml:space="preserve">High Council for Audiovisual Communication </w:t>
      </w:r>
      <w:r>
        <w:t>(</w:t>
      </w:r>
      <w:r w:rsidRPr="00B54417">
        <w:t>CSA</w:t>
      </w:r>
      <w:r>
        <w:t xml:space="preserve">), which is responsible for </w:t>
      </w:r>
      <w:r w:rsidRPr="007009B4">
        <w:t xml:space="preserve">monitoring compliance of media pluralism, </w:t>
      </w:r>
      <w:r>
        <w:t xml:space="preserve">ensuring a </w:t>
      </w:r>
      <w:r w:rsidRPr="007009B4">
        <w:t xml:space="preserve">diversity in </w:t>
      </w:r>
      <w:r>
        <w:t xml:space="preserve">the </w:t>
      </w:r>
      <w:r w:rsidRPr="007009B4">
        <w:t xml:space="preserve">opinions </w:t>
      </w:r>
      <w:r w:rsidRPr="00F72CAC">
        <w:t>expressed, a ‘rigorous news treatment’</w:t>
      </w:r>
      <w:r w:rsidRPr="007009B4">
        <w:t xml:space="preserve"> and </w:t>
      </w:r>
      <w:r>
        <w:t xml:space="preserve">a </w:t>
      </w:r>
      <w:r w:rsidRPr="007009B4">
        <w:t xml:space="preserve">media </w:t>
      </w:r>
      <w:r>
        <w:t xml:space="preserve">market </w:t>
      </w:r>
      <w:r w:rsidRPr="007009B4">
        <w:t>reflect</w:t>
      </w:r>
      <w:r>
        <w:t>ive</w:t>
      </w:r>
      <w:r w:rsidRPr="007009B4">
        <w:t xml:space="preserve"> of the diversity in French society</w:t>
      </w:r>
      <w:r>
        <w:t xml:space="preserve">. It achieves this, in part, through attributing licenses and placing restrictions on the </w:t>
      </w:r>
      <w:r w:rsidRPr="005D6745">
        <w:t xml:space="preserve">ownership and control of private sector broadcasters. The French Competition Authority oversees </w:t>
      </w:r>
      <w:r w:rsidRPr="00F72CAC">
        <w:t>transparency in concentration transactions</w:t>
      </w:r>
      <w:r w:rsidRPr="005D6745">
        <w:t xml:space="preserve"> and may request opinions from the CSA on issues of media plurality when assessing media mergers.</w:t>
      </w:r>
      <w:r w:rsidR="00886571">
        <w:t xml:space="preserve"> </w:t>
      </w:r>
      <w:r w:rsidR="00161A9C">
        <w:t>Th</w:t>
      </w:r>
      <w:r w:rsidR="00C24DBD">
        <w:t>e</w:t>
      </w:r>
      <w:r w:rsidR="00161A9C">
        <w:t>s</w:t>
      </w:r>
      <w:r w:rsidR="00C24DBD">
        <w:t>e</w:t>
      </w:r>
      <w:r w:rsidR="00161A9C">
        <w:t xml:space="preserve"> strong </w:t>
      </w:r>
      <w:r w:rsidR="00BF4C29">
        <w:t xml:space="preserve">media ownership </w:t>
      </w:r>
      <w:r w:rsidR="00C24DBD">
        <w:t xml:space="preserve">protections </w:t>
      </w:r>
      <w:r w:rsidR="00771708">
        <w:t>place France in the category of ‘low risk’ for market plurality</w:t>
      </w:r>
      <w:r w:rsidR="00C564B5">
        <w:t xml:space="preserve">, according to the </w:t>
      </w:r>
      <w:r w:rsidR="00A02D66">
        <w:t xml:space="preserve">2016 </w:t>
      </w:r>
      <w:r w:rsidR="00C564B5">
        <w:t>EU Media Pluralism Monitor</w:t>
      </w:r>
      <w:r w:rsidR="00A02D66">
        <w:t>.</w:t>
      </w:r>
      <w:r w:rsidR="00A02D66">
        <w:rPr>
          <w:rStyle w:val="FootnoteReference"/>
        </w:rPr>
        <w:footnoteReference w:id="19"/>
      </w:r>
    </w:p>
    <w:p w14:paraId="4E00686F" w14:textId="7F827DAD" w:rsidR="0062116F" w:rsidRPr="0091664D" w:rsidRDefault="00214DE1" w:rsidP="007A1260">
      <w:pPr>
        <w:pStyle w:val="Heading3"/>
      </w:pPr>
      <w:r>
        <w:t>Ongoing</w:t>
      </w:r>
      <w:r w:rsidR="0062116F">
        <w:t xml:space="preserve"> developments</w:t>
      </w:r>
    </w:p>
    <w:p w14:paraId="687EE6E5" w14:textId="739FEDEF" w:rsidR="0062116F" w:rsidRDefault="00481971" w:rsidP="007A1260">
      <w:pPr>
        <w:spacing w:before="120"/>
      </w:pPr>
      <w:r>
        <w:t>A</w:t>
      </w:r>
      <w:r w:rsidR="001F32DB">
        <w:t xml:space="preserve">n important </w:t>
      </w:r>
      <w:r w:rsidR="00DB5248">
        <w:t xml:space="preserve">question for </w:t>
      </w:r>
      <w:r w:rsidR="0062116F">
        <w:t xml:space="preserve">governments is the extent to which </w:t>
      </w:r>
      <w:r w:rsidR="001F32DB">
        <w:t xml:space="preserve">existing media diversity </w:t>
      </w:r>
      <w:r w:rsidR="0062116F">
        <w:t>rules should be extended to apply to operators or owners of digital media, or whether they even remain relevant in a landscape characterised by an increasing abundance and consumption of online media sources and news content.</w:t>
      </w:r>
    </w:p>
    <w:p w14:paraId="676CC9AA" w14:textId="593C8D23" w:rsidR="0062116F" w:rsidRDefault="0062116F" w:rsidP="00CB78A7">
      <w:pPr>
        <w:keepNext/>
        <w:keepLines/>
        <w:spacing w:after="80"/>
        <w:rPr>
          <w:rFonts w:cs="Arial"/>
        </w:rPr>
      </w:pPr>
      <w:r>
        <w:rPr>
          <w:rFonts w:cs="Arial"/>
        </w:rPr>
        <w:lastRenderedPageBreak/>
        <w:t>As noted above, none of the countries in this study have</w:t>
      </w:r>
      <w:r w:rsidR="00481971">
        <w:rPr>
          <w:rFonts w:cs="Arial"/>
        </w:rPr>
        <w:t>, to date,</w:t>
      </w:r>
      <w:r>
        <w:rPr>
          <w:rFonts w:cs="Arial"/>
        </w:rPr>
        <w:t xml:space="preserve"> extended their media ownership rules to apply to digital platforms. Instead, in response to significant structural market changes, some countries have sought to repeal aspects of these rules or regulations that are no longer deemed fit-for-purpose.</w:t>
      </w:r>
      <w:r w:rsidRPr="00111290">
        <w:rPr>
          <w:rFonts w:cs="Arial"/>
        </w:rPr>
        <w:t xml:space="preserve"> </w:t>
      </w:r>
      <w:r>
        <w:rPr>
          <w:rFonts w:cs="Arial"/>
        </w:rPr>
        <w:t>These reforms are intended to provide local media groups with greater flexibility to make changes to their ownership structures in response to international market pressures. Some examples include:</w:t>
      </w:r>
    </w:p>
    <w:p w14:paraId="24D48FE2" w14:textId="2ADC3873" w:rsidR="0062116F" w:rsidRDefault="0062116F" w:rsidP="00CB78A7">
      <w:pPr>
        <w:pStyle w:val="ListBullet"/>
      </w:pPr>
      <w:r>
        <w:t xml:space="preserve">In 2016, Norway abolished </w:t>
      </w:r>
      <w:r w:rsidR="00DB6B3D">
        <w:t xml:space="preserve">standalone </w:t>
      </w:r>
      <w:r>
        <w:t xml:space="preserve">legislation designed to prevent excessive media concentration, shifting </w:t>
      </w:r>
      <w:r w:rsidR="00FF436C">
        <w:t xml:space="preserve">media </w:t>
      </w:r>
      <w:r>
        <w:t>monitoring functions to its Competition Authority</w:t>
      </w:r>
      <w:r w:rsidR="00C722EF">
        <w:t xml:space="preserve">, </w:t>
      </w:r>
      <w:r w:rsidR="00C722EF" w:rsidRPr="00C722EF">
        <w:t>Konkurransetilsynet</w:t>
      </w:r>
      <w:r>
        <w:t>.</w:t>
      </w:r>
      <w:r w:rsidR="00AB606D">
        <w:rPr>
          <w:rStyle w:val="FootnoteReference"/>
          <w:rFonts w:cs="Arial"/>
        </w:rPr>
        <w:footnoteReference w:id="20"/>
      </w:r>
      <w:r>
        <w:t xml:space="preserve"> </w:t>
      </w:r>
    </w:p>
    <w:p w14:paraId="3361616D" w14:textId="7A297A38" w:rsidR="00481971" w:rsidRDefault="0062116F" w:rsidP="00CB78A7">
      <w:pPr>
        <w:pStyle w:val="ListBullet"/>
      </w:pPr>
      <w:r w:rsidRPr="007009B4">
        <w:t xml:space="preserve">In 2017, </w:t>
      </w:r>
      <w:r w:rsidR="00A1259B">
        <w:t xml:space="preserve">the </w:t>
      </w:r>
      <w:r w:rsidRPr="007009B4">
        <w:t>Australia</w:t>
      </w:r>
      <w:r w:rsidR="00A1259B">
        <w:t>n Government</w:t>
      </w:r>
      <w:r w:rsidRPr="007009B4">
        <w:t xml:space="preserve"> repealed the </w:t>
      </w:r>
      <w:r w:rsidR="00741608">
        <w:t>two</w:t>
      </w:r>
      <w:r w:rsidRPr="007009B4">
        <w:t>-out-of-</w:t>
      </w:r>
      <w:r w:rsidR="00741608">
        <w:t>three</w:t>
      </w:r>
      <w:r w:rsidRPr="007009B4">
        <w:t xml:space="preserve"> rule and </w:t>
      </w:r>
      <w:r w:rsidR="00741608">
        <w:t xml:space="preserve">the </w:t>
      </w:r>
      <w:r w:rsidRPr="007009B4">
        <w:t>75</w:t>
      </w:r>
      <w:r w:rsidR="00741608">
        <w:t xml:space="preserve"> per cent</w:t>
      </w:r>
      <w:r w:rsidRPr="007009B4">
        <w:t xml:space="preserve"> audience reach rule</w:t>
      </w:r>
      <w:r>
        <w:t>, removing restrictions on cross-media ownership</w:t>
      </w:r>
      <w:r w:rsidRPr="007009B4">
        <w:t>.</w:t>
      </w:r>
      <w:r w:rsidR="00705B35">
        <w:rPr>
          <w:rStyle w:val="FootnoteReference"/>
          <w:rFonts w:cs="Arial"/>
        </w:rPr>
        <w:footnoteReference w:id="21"/>
      </w:r>
    </w:p>
    <w:p w14:paraId="09A0A5C6" w14:textId="2442AFA8" w:rsidR="0062116F" w:rsidRPr="007009B4" w:rsidRDefault="00C214AC" w:rsidP="00CB78A7">
      <w:pPr>
        <w:pStyle w:val="ListBulletLast"/>
      </w:pPr>
      <w:r>
        <w:t>In 2017</w:t>
      </w:r>
      <w:r w:rsidR="0062116F" w:rsidRPr="007009B4">
        <w:t>, the US repealed two rules</w:t>
      </w:r>
      <w:r w:rsidR="0062116F">
        <w:t xml:space="preserve"> relating to cross-media ownership due to the </w:t>
      </w:r>
      <w:r w:rsidR="0062116F" w:rsidRPr="007A1709">
        <w:t>growth in the number and variety of sources of local news and information in the modern marketplace</w:t>
      </w:r>
      <w:r w:rsidR="0062116F">
        <w:t>.</w:t>
      </w:r>
      <w:r w:rsidR="001B7327">
        <w:rPr>
          <w:rStyle w:val="FootnoteReference"/>
        </w:rPr>
        <w:footnoteReference w:id="22"/>
      </w:r>
      <w:r w:rsidR="00D54B63">
        <w:t xml:space="preserve"> </w:t>
      </w:r>
      <w:r w:rsidR="004F7449">
        <w:t xml:space="preserve">Following </w:t>
      </w:r>
      <w:r w:rsidR="002A389D">
        <w:t xml:space="preserve">a </w:t>
      </w:r>
      <w:r w:rsidR="00F531DE">
        <w:t xml:space="preserve">recent </w:t>
      </w:r>
      <w:r w:rsidR="002A389D">
        <w:t>legal challenge, the</w:t>
      </w:r>
      <w:r w:rsidR="009664E2">
        <w:t xml:space="preserve"> </w:t>
      </w:r>
      <w:r w:rsidR="00C2175F">
        <w:t xml:space="preserve">US </w:t>
      </w:r>
      <w:r w:rsidR="00F531DE">
        <w:t>Court of Appeal has</w:t>
      </w:r>
      <w:r w:rsidR="00C2175F">
        <w:t xml:space="preserve"> subsequently reversed this decision</w:t>
      </w:r>
      <w:r w:rsidR="00690F30">
        <w:t xml:space="preserve"> and these rules have subsequently been reinstated</w:t>
      </w:r>
      <w:r w:rsidR="00740D67">
        <w:t>.</w:t>
      </w:r>
      <w:r w:rsidR="00740D67">
        <w:rPr>
          <w:rStyle w:val="FootnoteReference"/>
        </w:rPr>
        <w:footnoteReference w:id="23"/>
      </w:r>
      <w:r w:rsidR="00C2175F">
        <w:t xml:space="preserve">  </w:t>
      </w:r>
    </w:p>
    <w:p w14:paraId="1391D705" w14:textId="765F9AB3" w:rsidR="0058684F" w:rsidRDefault="0062116F" w:rsidP="000A4532">
      <w:r>
        <w:t>Some commentators have expressed concerns that these deregulatory measures could result in greater consolidation of media markets worldwide, which may reduce diversity.</w:t>
      </w:r>
      <w:r>
        <w:rPr>
          <w:rStyle w:val="FootnoteReference"/>
        </w:rPr>
        <w:footnoteReference w:id="24"/>
      </w:r>
      <w:r>
        <w:t xml:space="preserve"> Several countries mitigate this potential risk by requiring periodic reviews of their media ownership rules. </w:t>
      </w:r>
      <w:r w:rsidR="00741608">
        <w:t xml:space="preserve">The UK’s </w:t>
      </w:r>
      <w:r>
        <w:t>Ofcom, for example, has a statutory requirement to review its media ownership rules every three years, and in 2018 recommended that the</w:t>
      </w:r>
      <w:r w:rsidR="0058684F">
        <w:t>se rules</w:t>
      </w:r>
      <w:r>
        <w:t xml:space="preserve"> be retained ‘in their current form for the time being’.</w:t>
      </w:r>
      <w:r>
        <w:rPr>
          <w:rStyle w:val="FootnoteReference"/>
        </w:rPr>
        <w:footnoteReference w:id="25"/>
      </w:r>
      <w:r>
        <w:t xml:space="preserve"> Similarly, the US Congress requires the Federal </w:t>
      </w:r>
      <w:r>
        <w:rPr>
          <w:rFonts w:cstheme="minorHAnsi"/>
        </w:rPr>
        <w:t>Communication Commission</w:t>
      </w:r>
      <w:r w:rsidRPr="007009B4">
        <w:t xml:space="preserve"> </w:t>
      </w:r>
      <w:r>
        <w:t>(FCC) to review its media ownership rules every four years to ensure the rules remain in the public interest, with the next review scheduled for 2020.</w:t>
      </w:r>
      <w:r w:rsidR="00CA378A">
        <w:rPr>
          <w:rStyle w:val="FootnoteReference"/>
        </w:rPr>
        <w:footnoteReference w:id="26"/>
      </w:r>
    </w:p>
    <w:p w14:paraId="73045A25" w14:textId="6A19FACB" w:rsidR="0062116F" w:rsidRDefault="0062116F" w:rsidP="000A4532">
      <w:r>
        <w:t>Australia, by contrast, does not have regularly scheduled reviews into its media ownership rules</w:t>
      </w:r>
      <w:r w:rsidR="00683823">
        <w:t xml:space="preserve"> or broader media diversity framework</w:t>
      </w:r>
      <w:r>
        <w:t>.</w:t>
      </w:r>
    </w:p>
    <w:p w14:paraId="070D2D44" w14:textId="77777777" w:rsidR="0062116F" w:rsidRDefault="0062116F" w:rsidP="000A4532">
      <w:pPr>
        <w:pStyle w:val="Heading2"/>
        <w:rPr>
          <w:rFonts w:asciiTheme="minorHAnsi" w:hAnsiTheme="minorHAnsi"/>
        </w:rPr>
      </w:pPr>
      <w:bookmarkStart w:id="15" w:name="_Toc58401286"/>
      <w:r w:rsidRPr="00902DCC">
        <w:t>News content quotas and local news requirements</w:t>
      </w:r>
      <w:bookmarkEnd w:id="15"/>
    </w:p>
    <w:p w14:paraId="1F8E304B" w14:textId="0C63F518" w:rsidR="0062116F" w:rsidRDefault="0062116F" w:rsidP="000A4532">
      <w:pPr>
        <w:rPr>
          <w:rFonts w:cs="Arial"/>
        </w:rPr>
      </w:pPr>
      <w:r>
        <w:rPr>
          <w:rFonts w:cs="Arial"/>
        </w:rPr>
        <w:t xml:space="preserve">Governments can also create mechanisms to support news diversity and localism objectives such as news content quotas, or other specific news content requirements, on specific media outlets. These types of interventions have historically only applied to radio or TV, usually as a condition of an outlet’s broadcasting licence. </w:t>
      </w:r>
      <w:r w:rsidRPr="007009B4">
        <w:rPr>
          <w:rFonts w:cs="Arial"/>
        </w:rPr>
        <w:t xml:space="preserve">Australia, Canada and the UK all have </w:t>
      </w:r>
      <w:r>
        <w:rPr>
          <w:rFonts w:cs="Arial"/>
        </w:rPr>
        <w:t xml:space="preserve">some form of </w:t>
      </w:r>
      <w:r w:rsidRPr="007009B4">
        <w:rPr>
          <w:rFonts w:cs="Arial"/>
        </w:rPr>
        <w:t xml:space="preserve">content quotas </w:t>
      </w:r>
      <w:r>
        <w:rPr>
          <w:rFonts w:cs="Arial"/>
        </w:rPr>
        <w:t>or</w:t>
      </w:r>
      <w:r w:rsidRPr="007009B4">
        <w:rPr>
          <w:rFonts w:cs="Arial"/>
        </w:rPr>
        <w:t xml:space="preserve"> local news requirements</w:t>
      </w:r>
      <w:r>
        <w:rPr>
          <w:rFonts w:cs="Arial"/>
        </w:rPr>
        <w:t xml:space="preserve">.   </w:t>
      </w:r>
    </w:p>
    <w:p w14:paraId="13B066CD" w14:textId="1462A7AE" w:rsidR="0062116F" w:rsidRPr="0011773C" w:rsidRDefault="0062116F" w:rsidP="000A4532">
      <w:pPr>
        <w:spacing w:line="254" w:lineRule="auto"/>
      </w:pPr>
      <w:r w:rsidRPr="007C3485">
        <w:rPr>
          <w:rFonts w:cs="Arial"/>
        </w:rPr>
        <w:lastRenderedPageBreak/>
        <w:t xml:space="preserve">In Australia, </w:t>
      </w:r>
      <w:r w:rsidRPr="007A2C07">
        <w:rPr>
          <w:rFonts w:cs="Arial"/>
        </w:rPr>
        <w:t xml:space="preserve">there </w:t>
      </w:r>
      <w:r w:rsidRPr="00B72CDD">
        <w:rPr>
          <w:rFonts w:cs="Arial"/>
        </w:rPr>
        <w:t xml:space="preserve">are minimum service standards for </w:t>
      </w:r>
      <w:r w:rsidRPr="00AE2582">
        <w:rPr>
          <w:rFonts w:cs="Arial"/>
        </w:rPr>
        <w:t>the provision of</w:t>
      </w:r>
      <w:r>
        <w:rPr>
          <w:rFonts w:cs="Arial"/>
        </w:rPr>
        <w:t xml:space="preserve"> regional</w:t>
      </w:r>
      <w:r w:rsidRPr="00AE2582">
        <w:rPr>
          <w:rFonts w:cs="Arial"/>
        </w:rPr>
        <w:t xml:space="preserve"> local news and information. Certain regional television broadcasters must, for example, broadcast minimum levels of ‘material of local significance’, based on a points system which incentivises the production of news that directly relates to a local area.</w:t>
      </w:r>
      <w:r w:rsidR="008E787F">
        <w:rPr>
          <w:rStyle w:val="FootnoteReference"/>
          <w:rFonts w:cs="Arial"/>
        </w:rPr>
        <w:footnoteReference w:id="27"/>
      </w:r>
      <w:r w:rsidRPr="00AE2582">
        <w:rPr>
          <w:rFonts w:cs="Arial"/>
        </w:rPr>
        <w:t xml:space="preserve"> </w:t>
      </w:r>
      <w:r w:rsidRPr="00333791">
        <w:rPr>
          <w:rFonts w:cs="Arial"/>
        </w:rPr>
        <w:t xml:space="preserve">Regional commercial radio broadcasters must </w:t>
      </w:r>
      <w:r w:rsidRPr="00A922A8">
        <w:rPr>
          <w:rFonts w:cs="Arial"/>
        </w:rPr>
        <w:t xml:space="preserve">similarly broadcast </w:t>
      </w:r>
      <w:r w:rsidRPr="00A10B69">
        <w:rPr>
          <w:rFonts w:cs="Arial"/>
        </w:rPr>
        <w:t>prescribed levels of local content, and if subject to</w:t>
      </w:r>
      <w:r w:rsidRPr="00671F72">
        <w:rPr>
          <w:rFonts w:cs="Arial"/>
        </w:rPr>
        <w:t xml:space="preserve"> a ‘trigger event’, </w:t>
      </w:r>
      <w:r w:rsidRPr="00604E60">
        <w:rPr>
          <w:rFonts w:cs="Arial"/>
        </w:rPr>
        <w:t xml:space="preserve">must also produce </w:t>
      </w:r>
      <w:r w:rsidRPr="00A8163A">
        <w:rPr>
          <w:rFonts w:cs="Arial"/>
        </w:rPr>
        <w:t xml:space="preserve">local news bulletins </w:t>
      </w:r>
      <w:r w:rsidR="00AD1B48">
        <w:rPr>
          <w:rFonts w:cs="Arial"/>
        </w:rPr>
        <w:t>between 5</w:t>
      </w:r>
      <w:r w:rsidR="00CE791F">
        <w:rPr>
          <w:rFonts w:cs="Arial"/>
        </w:rPr>
        <w:t xml:space="preserve"> </w:t>
      </w:r>
      <w:r w:rsidR="00AD1B48">
        <w:rPr>
          <w:rFonts w:cs="Arial"/>
        </w:rPr>
        <w:t>am and 8</w:t>
      </w:r>
      <w:r w:rsidR="00CE791F">
        <w:rPr>
          <w:rFonts w:cs="Arial"/>
        </w:rPr>
        <w:t xml:space="preserve"> </w:t>
      </w:r>
      <w:r w:rsidR="00AD1B48">
        <w:rPr>
          <w:rFonts w:cs="Arial"/>
        </w:rPr>
        <w:t>pm each business day, for a total weekly duration</w:t>
      </w:r>
      <w:r w:rsidR="00AD1B48" w:rsidRPr="00A8163A">
        <w:rPr>
          <w:rFonts w:cs="Arial"/>
        </w:rPr>
        <w:t xml:space="preserve"> of at least </w:t>
      </w:r>
      <w:r w:rsidR="00AD1B48">
        <w:rPr>
          <w:rFonts w:cs="Arial"/>
        </w:rPr>
        <w:t>62.5 minutes</w:t>
      </w:r>
      <w:r w:rsidRPr="007C3485">
        <w:rPr>
          <w:rFonts w:cs="Arial"/>
        </w:rPr>
        <w:t>.</w:t>
      </w:r>
      <w:r w:rsidRPr="007C3485">
        <w:rPr>
          <w:rStyle w:val="FootnoteReference"/>
          <w:rFonts w:cs="Arial"/>
        </w:rPr>
        <w:footnoteReference w:id="28"/>
      </w:r>
      <w:r w:rsidRPr="007C3485">
        <w:rPr>
          <w:rFonts w:cs="Arial"/>
        </w:rPr>
        <w:t xml:space="preserve"> </w:t>
      </w:r>
      <w:r>
        <w:rPr>
          <w:rFonts w:cs="Arial"/>
        </w:rPr>
        <w:t>Although</w:t>
      </w:r>
      <w:r w:rsidRPr="007C3485">
        <w:rPr>
          <w:rFonts w:cs="Arial"/>
        </w:rPr>
        <w:t xml:space="preserve"> </w:t>
      </w:r>
      <w:r w:rsidRPr="0011773C">
        <w:rPr>
          <w:rFonts w:cs="Arial"/>
        </w:rPr>
        <w:t xml:space="preserve">playing a considerable role in </w:t>
      </w:r>
      <w:r w:rsidRPr="0039062B">
        <w:rPr>
          <w:rFonts w:cs="Arial"/>
        </w:rPr>
        <w:t>the provision of news content, public broadcasters are exempt from these requirements, due to specific content requirements in their respective codes of practices, discussed further below.</w:t>
      </w:r>
    </w:p>
    <w:p w14:paraId="71647A9F" w14:textId="68A533E2" w:rsidR="0062116F" w:rsidRPr="007009B4" w:rsidRDefault="0062116F" w:rsidP="00CB78A7">
      <w:pPr>
        <w:spacing w:after="80"/>
        <w:rPr>
          <w:rFonts w:cs="Arial"/>
        </w:rPr>
      </w:pPr>
      <w:r>
        <w:rPr>
          <w:rFonts w:cs="Arial"/>
        </w:rPr>
        <w:t>In the UK, public service TV broadcasters must meet specific quotas set by Ofcom for news and current affairs. L</w:t>
      </w:r>
      <w:r w:rsidRPr="007009B4">
        <w:rPr>
          <w:rFonts w:cs="Arial"/>
        </w:rPr>
        <w:t>ocal</w:t>
      </w:r>
      <w:r>
        <w:rPr>
          <w:rFonts w:cs="Arial"/>
        </w:rPr>
        <w:t xml:space="preserve"> commercial</w:t>
      </w:r>
      <w:r w:rsidRPr="007009B4">
        <w:rPr>
          <w:rFonts w:cs="Arial"/>
        </w:rPr>
        <w:t xml:space="preserve"> TV </w:t>
      </w:r>
      <w:r>
        <w:rPr>
          <w:rFonts w:cs="Arial"/>
        </w:rPr>
        <w:t>broadcasters</w:t>
      </w:r>
      <w:r w:rsidRPr="007009B4">
        <w:rPr>
          <w:rFonts w:cs="Arial"/>
        </w:rPr>
        <w:t xml:space="preserve"> are </w:t>
      </w:r>
      <w:r>
        <w:rPr>
          <w:rFonts w:cs="Arial"/>
        </w:rPr>
        <w:t xml:space="preserve">also </w:t>
      </w:r>
      <w:r w:rsidRPr="007009B4">
        <w:rPr>
          <w:rFonts w:cs="Arial"/>
        </w:rPr>
        <w:t xml:space="preserve">required to provide local content </w:t>
      </w:r>
      <w:r w:rsidR="00741608">
        <w:rPr>
          <w:rFonts w:cs="Arial"/>
        </w:rPr>
        <w:t>that</w:t>
      </w:r>
      <w:r w:rsidR="00741608" w:rsidRPr="007009B4">
        <w:rPr>
          <w:rFonts w:cs="Arial"/>
        </w:rPr>
        <w:t xml:space="preserve"> </w:t>
      </w:r>
      <w:r w:rsidRPr="007009B4">
        <w:rPr>
          <w:rFonts w:cs="Arial"/>
        </w:rPr>
        <w:t xml:space="preserve">meets the information and content needs of local people </w:t>
      </w:r>
      <w:r w:rsidR="00741608">
        <w:rPr>
          <w:rFonts w:cs="Arial"/>
        </w:rPr>
        <w:t>and is</w:t>
      </w:r>
      <w:r w:rsidR="00741608" w:rsidRPr="007009B4">
        <w:rPr>
          <w:rFonts w:cs="Arial"/>
        </w:rPr>
        <w:t xml:space="preserve"> </w:t>
      </w:r>
      <w:r w:rsidRPr="007009B4">
        <w:rPr>
          <w:rFonts w:cs="Arial"/>
        </w:rPr>
        <w:t>relevant to their daily lives</w:t>
      </w:r>
      <w:r>
        <w:rPr>
          <w:rFonts w:cs="Arial"/>
        </w:rPr>
        <w:t>, noting that Ofcom considers news to be ‘the most important’ type of local programming</w:t>
      </w:r>
      <w:r w:rsidRPr="007009B4">
        <w:rPr>
          <w:rFonts w:cs="Arial"/>
        </w:rPr>
        <w:t>.</w:t>
      </w:r>
      <w:r>
        <w:rPr>
          <w:rStyle w:val="FootnoteReference"/>
          <w:rFonts w:cs="Arial"/>
        </w:rPr>
        <w:footnoteReference w:id="29"/>
      </w:r>
      <w:r w:rsidRPr="007009B4">
        <w:rPr>
          <w:rFonts w:cs="Arial"/>
        </w:rPr>
        <w:t xml:space="preserve"> Th</w:t>
      </w:r>
      <w:r>
        <w:rPr>
          <w:rFonts w:cs="Arial"/>
        </w:rPr>
        <w:t>e</w:t>
      </w:r>
      <w:r w:rsidRPr="007009B4">
        <w:rPr>
          <w:rFonts w:cs="Arial"/>
        </w:rPr>
        <w:t>s</w:t>
      </w:r>
      <w:r>
        <w:rPr>
          <w:rFonts w:cs="Arial"/>
        </w:rPr>
        <w:t xml:space="preserve">e obligations vary by licensee, but </w:t>
      </w:r>
      <w:r w:rsidRPr="007009B4">
        <w:rPr>
          <w:rFonts w:cs="Arial"/>
        </w:rPr>
        <w:t>include:</w:t>
      </w:r>
    </w:p>
    <w:p w14:paraId="36C10FC9" w14:textId="1A6FB58A" w:rsidR="0062116F" w:rsidRPr="00553042" w:rsidRDefault="00741608" w:rsidP="00CB78A7">
      <w:pPr>
        <w:pStyle w:val="ListBullet"/>
      </w:pPr>
      <w:r>
        <w:t>a</w:t>
      </w:r>
      <w:r w:rsidR="0062116F" w:rsidRPr="001C6C45">
        <w:t xml:space="preserve"> reasonable provisio</w:t>
      </w:r>
      <w:r w:rsidR="0062116F" w:rsidRPr="003779DC">
        <w:t>n of news and current affairs, bearing in mind the public subsidy and public purposes of local TV</w:t>
      </w:r>
    </w:p>
    <w:p w14:paraId="27876CC2" w14:textId="33DA7FFC" w:rsidR="0062116F" w:rsidRPr="00E519B0" w:rsidRDefault="00741608" w:rsidP="00CB78A7">
      <w:pPr>
        <w:pStyle w:val="ListBullet"/>
      </w:pPr>
      <w:r>
        <w:t>p</w:t>
      </w:r>
      <w:r w:rsidR="0062116F" w:rsidRPr="00E519B0">
        <w:t>rioritis</w:t>
      </w:r>
      <w:r w:rsidR="0062116F">
        <w:t>ation of</w:t>
      </w:r>
      <w:r w:rsidR="0062116F" w:rsidRPr="00E519B0">
        <w:t xml:space="preserve"> journalism-led news</w:t>
      </w:r>
    </w:p>
    <w:p w14:paraId="1164270C" w14:textId="54F63456" w:rsidR="0062116F" w:rsidRPr="007009B4" w:rsidRDefault="00741608" w:rsidP="00CB78A7">
      <w:pPr>
        <w:pStyle w:val="ListBulletLast"/>
      </w:pPr>
      <w:r>
        <w:t>b</w:t>
      </w:r>
      <w:r w:rsidR="0062116F" w:rsidRPr="00431F9B">
        <w:t>roadcast</w:t>
      </w:r>
      <w:r w:rsidR="0062116F">
        <w:t xml:space="preserve">ing </w:t>
      </w:r>
      <w:r w:rsidR="0062116F" w:rsidRPr="00431F9B">
        <w:t xml:space="preserve">no less than seven hours in total of news per week, with a </w:t>
      </w:r>
      <w:r w:rsidR="0062116F" w:rsidRPr="007009B4">
        <w:t>substantial proportion during peak-time.</w:t>
      </w:r>
    </w:p>
    <w:p w14:paraId="4A3A9F4C" w14:textId="0AC5D8D5" w:rsidR="0062116F" w:rsidRPr="007009B4" w:rsidRDefault="0062116F" w:rsidP="000A4532">
      <w:pPr>
        <w:rPr>
          <w:rFonts w:cs="Arial"/>
        </w:rPr>
      </w:pPr>
      <w:r w:rsidRPr="007009B4">
        <w:rPr>
          <w:rFonts w:cs="Arial"/>
        </w:rPr>
        <w:t>Local commercial radio stations in the UK are also required to broadcast a certain number of news programs and a quota of local news</w:t>
      </w:r>
      <w:r>
        <w:rPr>
          <w:rFonts w:cs="Arial"/>
        </w:rPr>
        <w:t xml:space="preserve"> stories.</w:t>
      </w:r>
      <w:r>
        <w:rPr>
          <w:rStyle w:val="FootnoteReference"/>
          <w:rFonts w:cs="Arial"/>
        </w:rPr>
        <w:footnoteReference w:id="30"/>
      </w:r>
      <w:r>
        <w:rPr>
          <w:rFonts w:cs="Arial"/>
        </w:rPr>
        <w:t xml:space="preserve"> These must </w:t>
      </w:r>
      <w:r w:rsidRPr="007009B4">
        <w:rPr>
          <w:rFonts w:cs="Arial"/>
        </w:rPr>
        <w:t>reflect the interests and concerns of listeners living in the area</w:t>
      </w:r>
      <w:r>
        <w:rPr>
          <w:rFonts w:cs="Arial"/>
        </w:rPr>
        <w:t xml:space="preserve">, be </w:t>
      </w:r>
      <w:r w:rsidRPr="007009B4">
        <w:rPr>
          <w:rFonts w:cs="Arial"/>
        </w:rPr>
        <w:t>up</w:t>
      </w:r>
      <w:r w:rsidR="00741608">
        <w:rPr>
          <w:rFonts w:cs="Arial"/>
        </w:rPr>
        <w:t>-</w:t>
      </w:r>
      <w:r w:rsidRPr="007009B4">
        <w:rPr>
          <w:rFonts w:cs="Arial"/>
        </w:rPr>
        <w:t>to</w:t>
      </w:r>
      <w:r w:rsidR="00741608">
        <w:rPr>
          <w:rFonts w:cs="Arial"/>
        </w:rPr>
        <w:t>-</w:t>
      </w:r>
      <w:r w:rsidRPr="007009B4">
        <w:rPr>
          <w:rFonts w:cs="Arial"/>
        </w:rPr>
        <w:t>dat</w:t>
      </w:r>
      <w:r>
        <w:rPr>
          <w:rFonts w:cs="Arial"/>
        </w:rPr>
        <w:t>e</w:t>
      </w:r>
      <w:r w:rsidRPr="007009B4">
        <w:rPr>
          <w:rFonts w:cs="Arial"/>
        </w:rPr>
        <w:t xml:space="preserve"> and regularly refreshed. To ensure the news is locally relevant, </w:t>
      </w:r>
      <w:r>
        <w:rPr>
          <w:rFonts w:cs="Arial"/>
        </w:rPr>
        <w:t>syndicated</w:t>
      </w:r>
      <w:r w:rsidRPr="007009B4">
        <w:rPr>
          <w:rFonts w:cs="Arial"/>
        </w:rPr>
        <w:t xml:space="preserve"> UK-wide news without local information generation is not regarded as a contribution towards localness or fulfilling local news requirements.</w:t>
      </w:r>
    </w:p>
    <w:p w14:paraId="53D75603" w14:textId="51488DE4" w:rsidR="0062116F" w:rsidRDefault="0062116F" w:rsidP="000A4532">
      <w:pPr>
        <w:rPr>
          <w:rFonts w:cs="Arial"/>
        </w:rPr>
      </w:pPr>
      <w:r w:rsidRPr="007009B4">
        <w:rPr>
          <w:rFonts w:cs="Arial"/>
        </w:rPr>
        <w:t xml:space="preserve">In </w:t>
      </w:r>
      <w:r>
        <w:rPr>
          <w:rFonts w:cs="Arial"/>
        </w:rPr>
        <w:t xml:space="preserve">Canada, the objects of the </w:t>
      </w:r>
      <w:r w:rsidRPr="00877513">
        <w:rPr>
          <w:rFonts w:cs="Arial"/>
          <w:i/>
        </w:rPr>
        <w:t>Broadcasting Act 1991</w:t>
      </w:r>
      <w:r>
        <w:rPr>
          <w:rFonts w:cs="Arial"/>
        </w:rPr>
        <w:t xml:space="preserve"> include that Canadian broadcasting system should be ‘be drawn from local, regional, national and international sources.’</w:t>
      </w:r>
      <w:r>
        <w:rPr>
          <w:rStyle w:val="FootnoteReference"/>
          <w:rFonts w:cs="Arial"/>
        </w:rPr>
        <w:footnoteReference w:id="31"/>
      </w:r>
      <w:r>
        <w:rPr>
          <w:rFonts w:cs="Arial"/>
        </w:rPr>
        <w:t xml:space="preserve"> The </w:t>
      </w:r>
      <w:r w:rsidRPr="00D101F1">
        <w:rPr>
          <w:rFonts w:cs="Arial"/>
          <w:i/>
        </w:rPr>
        <w:t>Broadcasting Regulatory Policy</w:t>
      </w:r>
      <w:r w:rsidRPr="00D101F1">
        <w:rPr>
          <w:rFonts w:cs="Arial"/>
          <w:i/>
          <w:iCs/>
        </w:rPr>
        <w:t xml:space="preserve"> CRTC 2016-224</w:t>
      </w:r>
      <w:r>
        <w:rPr>
          <w:rFonts w:cs="Arial"/>
        </w:rPr>
        <w:t xml:space="preserve"> specifies</w:t>
      </w:r>
      <w:r w:rsidR="00D44B04">
        <w:rPr>
          <w:rFonts w:cs="Arial"/>
        </w:rPr>
        <w:t xml:space="preserve"> </w:t>
      </w:r>
      <w:r w:rsidR="00B95A57">
        <w:rPr>
          <w:rFonts w:cs="Arial"/>
        </w:rPr>
        <w:t>the</w:t>
      </w:r>
      <w:r w:rsidR="004A544D" w:rsidRPr="004A544D">
        <w:rPr>
          <w:rFonts w:cs="Arial"/>
        </w:rPr>
        <w:t xml:space="preserve"> minimum level of local news to </w:t>
      </w:r>
      <w:r w:rsidR="00B95A57">
        <w:rPr>
          <w:rFonts w:cs="Arial"/>
        </w:rPr>
        <w:t xml:space="preserve">be broadcast, </w:t>
      </w:r>
      <w:r w:rsidR="00D147AE">
        <w:rPr>
          <w:rFonts w:cs="Arial"/>
        </w:rPr>
        <w:t xml:space="preserve">as well as </w:t>
      </w:r>
      <w:r w:rsidR="004A544D" w:rsidRPr="004A544D">
        <w:rPr>
          <w:rFonts w:cs="Arial"/>
        </w:rPr>
        <w:t>allocat</w:t>
      </w:r>
      <w:r w:rsidR="00D147AE">
        <w:rPr>
          <w:rFonts w:cs="Arial"/>
        </w:rPr>
        <w:t>i</w:t>
      </w:r>
      <w:r w:rsidR="00CD6AA8">
        <w:rPr>
          <w:rFonts w:cs="Arial"/>
        </w:rPr>
        <w:t>ng</w:t>
      </w:r>
      <w:r w:rsidR="00D147AE">
        <w:rPr>
          <w:rFonts w:cs="Arial"/>
        </w:rPr>
        <w:t xml:space="preserve"> </w:t>
      </w:r>
      <w:r w:rsidR="004A544D" w:rsidRPr="004A544D">
        <w:rPr>
          <w:rFonts w:cs="Arial"/>
        </w:rPr>
        <w:t>a percentage of their previous year's revenues to such programming</w:t>
      </w:r>
      <w:r w:rsidR="00D147AE">
        <w:rPr>
          <w:rFonts w:cs="Arial"/>
        </w:rPr>
        <w:t>.</w:t>
      </w:r>
      <w:r>
        <w:rPr>
          <w:rStyle w:val="FootnoteReference"/>
          <w:rFonts w:cs="Arial"/>
        </w:rPr>
        <w:footnoteReference w:id="32"/>
      </w:r>
      <w:r w:rsidR="00D147AE">
        <w:rPr>
          <w:rFonts w:cs="Arial"/>
        </w:rPr>
        <w:t xml:space="preserve"> </w:t>
      </w:r>
    </w:p>
    <w:p w14:paraId="0C9E8C4B" w14:textId="4C1C5048" w:rsidR="0062116F" w:rsidRPr="00016F8D" w:rsidRDefault="00214DE1" w:rsidP="00CD6AA8">
      <w:pPr>
        <w:pStyle w:val="Heading3"/>
      </w:pPr>
      <w:r>
        <w:t>Ongoing</w:t>
      </w:r>
      <w:r w:rsidR="0062116F">
        <w:t xml:space="preserve"> </w:t>
      </w:r>
      <w:r w:rsidR="0062116F" w:rsidRPr="00CD6AA8">
        <w:t>developments</w:t>
      </w:r>
    </w:p>
    <w:p w14:paraId="2039D42F" w14:textId="13572DB0" w:rsidR="0062116F" w:rsidRPr="0091664D" w:rsidRDefault="0062116F" w:rsidP="00CB78A7">
      <w:r>
        <w:t>T</w:t>
      </w:r>
      <w:r w:rsidRPr="007A1260">
        <w:t>here are increasing calls for digital platforms to be subject to news quotas or targets in order to surface high-quality or public-interest news in people’s social media feeds or news aggregation services.</w:t>
      </w:r>
      <w:r>
        <w:rPr>
          <w:rStyle w:val="FootnoteReference"/>
          <w:szCs w:val="20"/>
        </w:rPr>
        <w:footnoteReference w:id="33"/>
      </w:r>
      <w:r>
        <w:t xml:space="preserve"> </w:t>
      </w:r>
      <w:r w:rsidRPr="007A1260">
        <w:t xml:space="preserve">This </w:t>
      </w:r>
      <w:r>
        <w:t>was discussed</w:t>
      </w:r>
      <w:r w:rsidRPr="007A1260">
        <w:t xml:space="preserve"> in the UK’s Cairncross Review</w:t>
      </w:r>
      <w:r>
        <w:t>, but did not form the basis of a recommendation to government</w:t>
      </w:r>
      <w:r w:rsidRPr="007A1260">
        <w:t>.</w:t>
      </w:r>
      <w:r w:rsidRPr="007A1260">
        <w:rPr>
          <w:rStyle w:val="FootnoteReference"/>
          <w:szCs w:val="20"/>
        </w:rPr>
        <w:footnoteReference w:id="34"/>
      </w:r>
    </w:p>
    <w:p w14:paraId="569F29D7" w14:textId="1117C515" w:rsidR="0062116F" w:rsidRDefault="0062116F" w:rsidP="00591E0E">
      <w:pPr>
        <w:pStyle w:val="Heading2"/>
        <w:rPr>
          <w:rFonts w:asciiTheme="minorHAnsi" w:hAnsiTheme="minorHAnsi"/>
        </w:rPr>
      </w:pPr>
      <w:bookmarkStart w:id="16" w:name="_Toc58401287"/>
      <w:r>
        <w:lastRenderedPageBreak/>
        <w:t>Subsidies and tax concessions</w:t>
      </w:r>
      <w:bookmarkEnd w:id="16"/>
    </w:p>
    <w:p w14:paraId="5198B4F1" w14:textId="53E57F4A" w:rsidR="0062116F" w:rsidRDefault="0062116F" w:rsidP="00375697">
      <w:pPr>
        <w:rPr>
          <w:rFonts w:cs="Arial"/>
        </w:rPr>
      </w:pPr>
      <w:r>
        <w:rPr>
          <w:rFonts w:cs="Arial"/>
        </w:rPr>
        <w:t>Subsidies and tax concessions are tools governments can use to encourage busines</w:t>
      </w:r>
      <w:r w:rsidRPr="00F72CAC">
        <w:rPr>
          <w:rFonts w:cs="Arial"/>
        </w:rPr>
        <w:t>s</w:t>
      </w:r>
      <w:r>
        <w:rPr>
          <w:rFonts w:cs="Arial"/>
        </w:rPr>
        <w:t xml:space="preserve"> investment, incentivising or relieving the burden of producing news. </w:t>
      </w:r>
      <w:r w:rsidR="00CD6AA8">
        <w:rPr>
          <w:rFonts w:cs="Arial"/>
        </w:rPr>
        <w:t>Most</w:t>
      </w:r>
      <w:r>
        <w:rPr>
          <w:rFonts w:cs="Arial"/>
        </w:rPr>
        <w:t xml:space="preserve"> countries </w:t>
      </w:r>
      <w:r w:rsidR="00CD6AA8">
        <w:rPr>
          <w:rFonts w:cs="Arial"/>
        </w:rPr>
        <w:t xml:space="preserve">examined </w:t>
      </w:r>
      <w:r>
        <w:rPr>
          <w:rFonts w:cs="Arial"/>
        </w:rPr>
        <w:t>in this paper have introduced subsidies or tax concessions to relieve some of the financial pressure traditional media industries (particularly print journalism) are facing as advertising revenue shifts to digital platforms. These measures may encourage greater diversity in traditional media markets by lowering operating costs for market players and thereby supporting their ongoing operation and contribution to the media environment.</w:t>
      </w:r>
    </w:p>
    <w:p w14:paraId="40D2DEC1" w14:textId="114E7C49" w:rsidR="0062116F" w:rsidRDefault="0062116F" w:rsidP="00375697">
      <w:pPr>
        <w:rPr>
          <w:rFonts w:cs="Arial"/>
        </w:rPr>
      </w:pPr>
      <w:r>
        <w:rPr>
          <w:rFonts w:cs="Arial"/>
        </w:rPr>
        <w:t>Australia has not implemented direct subsidies or tax concessions to date. Australian commercial broadcasters were, however, provided financial relief through the abolishment of commercial television and radio licence fees in 2017. This was in recognition that, with the move to online and on-demand content, ‘</w:t>
      </w:r>
      <w:r w:rsidRPr="008C45D3">
        <w:rPr>
          <w:rFonts w:cs="Arial"/>
        </w:rPr>
        <w:t>the imposition of fees and charges on commercial broadcasters is no longer warranted or sustainable, particularly as their competitors face no such fees</w:t>
      </w:r>
      <w:r>
        <w:rPr>
          <w:rFonts w:cs="Arial"/>
        </w:rPr>
        <w:t>’.</w:t>
      </w:r>
      <w:r>
        <w:rPr>
          <w:rStyle w:val="FootnoteReference"/>
          <w:rFonts w:cs="Arial"/>
        </w:rPr>
        <w:footnoteReference w:id="35"/>
      </w:r>
      <w:r>
        <w:rPr>
          <w:rFonts w:cs="Arial"/>
        </w:rPr>
        <w:t xml:space="preserve"> The </w:t>
      </w:r>
      <w:r w:rsidR="00CD6AA8">
        <w:rPr>
          <w:rFonts w:cs="Arial"/>
        </w:rPr>
        <w:t>US</w:t>
      </w:r>
      <w:r>
        <w:rPr>
          <w:rFonts w:cs="Arial"/>
        </w:rPr>
        <w:t xml:space="preserve"> is the only other country considered within this analysis </w:t>
      </w:r>
      <w:r w:rsidR="00CD6AA8">
        <w:rPr>
          <w:rFonts w:cs="Arial"/>
        </w:rPr>
        <w:t xml:space="preserve">that </w:t>
      </w:r>
      <w:r>
        <w:rPr>
          <w:rFonts w:cs="Arial"/>
        </w:rPr>
        <w:t>has not introduced tax concessions or subsid</w:t>
      </w:r>
      <w:r w:rsidR="00727293">
        <w:rPr>
          <w:rFonts w:cs="Arial"/>
        </w:rPr>
        <w:t>y</w:t>
      </w:r>
      <w:r>
        <w:rPr>
          <w:rFonts w:cs="Arial"/>
        </w:rPr>
        <w:t xml:space="preserve"> measures for the news media industry on a national scale, though some state-based measures exist.</w:t>
      </w:r>
      <w:r>
        <w:rPr>
          <w:rStyle w:val="FootnoteReference"/>
          <w:rFonts w:cs="Arial"/>
        </w:rPr>
        <w:footnoteReference w:id="36"/>
      </w:r>
    </w:p>
    <w:p w14:paraId="74B866B4" w14:textId="4276B709" w:rsidR="0062116F" w:rsidRDefault="00D9416B" w:rsidP="00CB78A7">
      <w:pPr>
        <w:spacing w:after="80"/>
        <w:rPr>
          <w:rFonts w:cs="Arial"/>
        </w:rPr>
      </w:pPr>
      <w:r>
        <w:rPr>
          <w:rFonts w:cs="Arial"/>
        </w:rPr>
        <w:t>Of t</w:t>
      </w:r>
      <w:r w:rsidR="00B57A5B">
        <w:rPr>
          <w:rFonts w:cs="Arial"/>
        </w:rPr>
        <w:t xml:space="preserve">he examined countries that do </w:t>
      </w:r>
      <w:r w:rsidR="00543CD6">
        <w:rPr>
          <w:rFonts w:cs="Arial"/>
        </w:rPr>
        <w:t xml:space="preserve">provide </w:t>
      </w:r>
      <w:r w:rsidR="00BE1EEA">
        <w:rPr>
          <w:rFonts w:cs="Arial"/>
        </w:rPr>
        <w:t>subsidies</w:t>
      </w:r>
      <w:r w:rsidR="00AD5009">
        <w:rPr>
          <w:rFonts w:cs="Arial"/>
        </w:rPr>
        <w:t xml:space="preserve"> to support news media industries</w:t>
      </w:r>
      <w:r w:rsidR="00BE1EEA">
        <w:rPr>
          <w:rFonts w:cs="Arial"/>
        </w:rPr>
        <w:t xml:space="preserve">, </w:t>
      </w:r>
      <w:r w:rsidR="00CB65DC">
        <w:rPr>
          <w:rFonts w:cs="Arial"/>
        </w:rPr>
        <w:t xml:space="preserve">this is </w:t>
      </w:r>
      <w:r w:rsidR="00DE68C4">
        <w:rPr>
          <w:rFonts w:cs="Arial"/>
        </w:rPr>
        <w:t>most commonly implemented through</w:t>
      </w:r>
      <w:r w:rsidR="0062116F">
        <w:rPr>
          <w:rFonts w:cs="Arial"/>
        </w:rPr>
        <w:t xml:space="preserve"> tax concessions in the form of exemptions to, or reduced, value added tax (VAT) rates. Examples include:</w:t>
      </w:r>
    </w:p>
    <w:p w14:paraId="61490A5D" w14:textId="0601565C" w:rsidR="0062116F" w:rsidRDefault="0062116F" w:rsidP="00CB78A7">
      <w:pPr>
        <w:pStyle w:val="ListBullet"/>
      </w:pPr>
      <w:r w:rsidRPr="00305C5F">
        <w:t xml:space="preserve">In the UK, </w:t>
      </w:r>
      <w:r>
        <w:t xml:space="preserve">physical </w:t>
      </w:r>
      <w:r w:rsidR="001B6D3E">
        <w:t>(an</w:t>
      </w:r>
      <w:r w:rsidR="00905989">
        <w:t>d</w:t>
      </w:r>
      <w:r w:rsidR="001B6D3E">
        <w:t xml:space="preserve"> potentially digital</w:t>
      </w:r>
      <w:r w:rsidR="00905989">
        <w:t>)</w:t>
      </w:r>
      <w:r w:rsidR="001B6D3E">
        <w:rPr>
          <w:rStyle w:val="FootnoteReference"/>
          <w:rFonts w:cs="Arial"/>
        </w:rPr>
        <w:footnoteReference w:id="37"/>
      </w:r>
      <w:r w:rsidR="001B6D3E">
        <w:t xml:space="preserve"> </w:t>
      </w:r>
      <w:r w:rsidRPr="00305C5F">
        <w:t xml:space="preserve">newspapers are </w:t>
      </w:r>
      <w:r w:rsidR="004731C3">
        <w:t xml:space="preserve">‘zero rated’ or </w:t>
      </w:r>
      <w:r w:rsidRPr="00305C5F">
        <w:t>exempt from VAT</w:t>
      </w:r>
      <w:r>
        <w:rPr>
          <w:rStyle w:val="FootnoteReference"/>
          <w:rFonts w:cs="Arial"/>
        </w:rPr>
        <w:footnoteReference w:id="38"/>
      </w:r>
    </w:p>
    <w:p w14:paraId="4A1F7F1B" w14:textId="7C5AB8A6" w:rsidR="0062116F" w:rsidRDefault="00CD6AA8" w:rsidP="00CB78A7">
      <w:pPr>
        <w:pStyle w:val="ListBullet"/>
      </w:pPr>
      <w:r>
        <w:t xml:space="preserve">In </w:t>
      </w:r>
      <w:r w:rsidR="0062116F">
        <w:t>France</w:t>
      </w:r>
      <w:r>
        <w:t>,</w:t>
      </w:r>
      <w:r w:rsidR="0062116F">
        <w:t xml:space="preserve"> newspapers and magazines </w:t>
      </w:r>
      <w:r>
        <w:t xml:space="preserve">are supported </w:t>
      </w:r>
      <w:r w:rsidR="0062116F">
        <w:t>through income tax breaks and reduced VAT rates, in addition to preferential postal and telecommunications tariffs.</w:t>
      </w:r>
      <w:r w:rsidR="0062116F">
        <w:rPr>
          <w:rStyle w:val="FootnoteReference"/>
          <w:rFonts w:cs="Arial"/>
        </w:rPr>
        <w:footnoteReference w:id="39"/>
      </w:r>
    </w:p>
    <w:p w14:paraId="7C2DD10E" w14:textId="7A1FBEEB" w:rsidR="0062116F" w:rsidRPr="00392E30" w:rsidRDefault="0062116F" w:rsidP="00CB78A7">
      <w:pPr>
        <w:pStyle w:val="ListBulletLast"/>
      </w:pPr>
      <w:r w:rsidRPr="00BB3EF6">
        <w:t xml:space="preserve">In Norway, newspapers, periodicals and electronic news media have a ‘zero rating’ for VAT, meaning that if they meet certain conditions, they are exempt from paying VAT. Newspapers are entitled to a zero rating if they, among other things, inform the public about news and current affairs </w:t>
      </w:r>
      <w:r w:rsidR="00CD6AA8">
        <w:t>domestically</w:t>
      </w:r>
      <w:r w:rsidRPr="00BB3EF6">
        <w:t xml:space="preserve"> and internationally and are published at least weekly. Newspapers must also provide relevant news content, that is ‘information of general public interest, such as politics, economics, and cultural matters</w:t>
      </w:r>
      <w:r w:rsidR="00CD6AA8">
        <w:t>’</w:t>
      </w:r>
      <w:r w:rsidRPr="00BB3EF6">
        <w:t>.</w:t>
      </w:r>
      <w:r w:rsidRPr="007A1260">
        <w:rPr>
          <w:vertAlign w:val="superscript"/>
        </w:rPr>
        <w:footnoteReference w:id="40"/>
      </w:r>
    </w:p>
    <w:p w14:paraId="423ED5DD" w14:textId="7540AC80" w:rsidR="0062116F" w:rsidRDefault="00214DE1" w:rsidP="007A1260">
      <w:pPr>
        <w:pStyle w:val="Heading3"/>
      </w:pPr>
      <w:r>
        <w:t>Ongoing</w:t>
      </w:r>
      <w:r w:rsidR="0062116F">
        <w:t xml:space="preserve"> developments</w:t>
      </w:r>
    </w:p>
    <w:p w14:paraId="622176F1" w14:textId="6302FB7C" w:rsidR="0062116F" w:rsidRPr="007A1260" w:rsidRDefault="0062116F" w:rsidP="00137815">
      <w:pPr>
        <w:rPr>
          <w:rFonts w:cs="Arial"/>
          <w:color w:val="000000"/>
          <w:shd w:val="clear" w:color="auto" w:fill="FFFFFF"/>
        </w:rPr>
      </w:pPr>
      <w:r>
        <w:rPr>
          <w:rFonts w:cs="Arial"/>
          <w:color w:val="000000"/>
          <w:shd w:val="clear" w:color="auto" w:fill="FFFFFF"/>
        </w:rPr>
        <w:t xml:space="preserve">The ACCC’s Digital Platform Inquiry examined whether tax offsets </w:t>
      </w:r>
      <w:r w:rsidR="009F17D0">
        <w:rPr>
          <w:rFonts w:cs="Arial"/>
          <w:color w:val="000000"/>
          <w:shd w:val="clear" w:color="auto" w:fill="FFFFFF"/>
        </w:rPr>
        <w:t xml:space="preserve">or tax deductions </w:t>
      </w:r>
      <w:r w:rsidR="002868A0">
        <w:rPr>
          <w:rFonts w:cs="Arial"/>
          <w:color w:val="000000"/>
          <w:shd w:val="clear" w:color="auto" w:fill="FFFFFF"/>
        </w:rPr>
        <w:t xml:space="preserve">for publication subscriptions </w:t>
      </w:r>
      <w:r>
        <w:rPr>
          <w:rFonts w:cs="Arial"/>
          <w:color w:val="000000"/>
          <w:shd w:val="clear" w:color="auto" w:fill="FFFFFF"/>
        </w:rPr>
        <w:t>could address the under</w:t>
      </w:r>
      <w:r w:rsidR="00CD6AA8">
        <w:rPr>
          <w:rFonts w:cs="Arial"/>
          <w:color w:val="000000"/>
          <w:shd w:val="clear" w:color="auto" w:fill="FFFFFF"/>
        </w:rPr>
        <w:t>-</w:t>
      </w:r>
      <w:r>
        <w:rPr>
          <w:rFonts w:cs="Arial"/>
          <w:color w:val="000000"/>
          <w:shd w:val="clear" w:color="auto" w:fill="FFFFFF"/>
        </w:rPr>
        <w:t>provision of particular types of public</w:t>
      </w:r>
      <w:r w:rsidR="00CD6AA8">
        <w:rPr>
          <w:rFonts w:cs="Arial"/>
          <w:color w:val="000000"/>
          <w:shd w:val="clear" w:color="auto" w:fill="FFFFFF"/>
        </w:rPr>
        <w:t>-</w:t>
      </w:r>
      <w:r>
        <w:rPr>
          <w:rFonts w:cs="Arial"/>
          <w:color w:val="000000"/>
          <w:shd w:val="clear" w:color="auto" w:fill="FFFFFF"/>
        </w:rPr>
        <w:t>benefit journalism</w:t>
      </w:r>
      <w:r w:rsidR="00D40853">
        <w:rPr>
          <w:rFonts w:cs="Arial"/>
          <w:color w:val="000000"/>
          <w:shd w:val="clear" w:color="auto" w:fill="FFFFFF"/>
        </w:rPr>
        <w:t>, but</w:t>
      </w:r>
      <w:r>
        <w:rPr>
          <w:rFonts w:cs="Arial"/>
          <w:color w:val="000000"/>
          <w:shd w:val="clear" w:color="auto" w:fill="FFFFFF"/>
        </w:rPr>
        <w:t xml:space="preserve"> </w:t>
      </w:r>
      <w:r w:rsidR="00421E85">
        <w:rPr>
          <w:rFonts w:cs="Arial"/>
          <w:color w:val="000000"/>
          <w:shd w:val="clear" w:color="auto" w:fill="FFFFFF"/>
        </w:rPr>
        <w:t xml:space="preserve">ultimately </w:t>
      </w:r>
      <w:r>
        <w:rPr>
          <w:rFonts w:cs="Arial"/>
          <w:color w:val="000000"/>
          <w:shd w:val="clear" w:color="auto" w:fill="FFFFFF"/>
        </w:rPr>
        <w:t xml:space="preserve">found that these measures ‘are not the most </w:t>
      </w:r>
      <w:r>
        <w:rPr>
          <w:rFonts w:cs="Arial"/>
          <w:color w:val="000000"/>
          <w:shd w:val="clear" w:color="auto" w:fill="FFFFFF"/>
        </w:rPr>
        <w:lastRenderedPageBreak/>
        <w:t>effective or efficient ways to address the risk of under-provision of particular types of journalism.’</w:t>
      </w:r>
      <w:r>
        <w:rPr>
          <w:rStyle w:val="FootnoteReference"/>
          <w:rFonts w:cs="Arial"/>
          <w:color w:val="000000"/>
          <w:shd w:val="clear" w:color="auto" w:fill="FFFFFF"/>
        </w:rPr>
        <w:footnoteReference w:id="41"/>
      </w:r>
      <w:r>
        <w:rPr>
          <w:rFonts w:cs="Arial"/>
          <w:color w:val="000000"/>
          <w:shd w:val="clear" w:color="auto" w:fill="FFFFFF"/>
        </w:rPr>
        <w:t xml:space="preserve"> </w:t>
      </w:r>
      <w:r w:rsidR="00421E85">
        <w:rPr>
          <w:rFonts w:cs="Arial"/>
          <w:color w:val="000000"/>
          <w:shd w:val="clear" w:color="auto" w:fill="FFFFFF"/>
        </w:rPr>
        <w:t>T</w:t>
      </w:r>
      <w:r>
        <w:rPr>
          <w:rFonts w:cs="Arial"/>
          <w:color w:val="000000"/>
          <w:shd w:val="clear" w:color="auto" w:fill="FFFFFF"/>
        </w:rPr>
        <w:t xml:space="preserve">he Australian Government’s response to the </w:t>
      </w:r>
      <w:r w:rsidRPr="00602495">
        <w:rPr>
          <w:rFonts w:cs="Arial"/>
          <w:color w:val="000000"/>
          <w:shd w:val="clear" w:color="auto" w:fill="FFFFFF"/>
        </w:rPr>
        <w:t>Digital Platforms Inquiry</w:t>
      </w:r>
      <w:r>
        <w:rPr>
          <w:rFonts w:cs="Arial"/>
          <w:color w:val="000000"/>
          <w:shd w:val="clear" w:color="auto" w:fill="FFFFFF"/>
        </w:rPr>
        <w:t xml:space="preserve"> </w:t>
      </w:r>
      <w:r w:rsidR="00421E85">
        <w:rPr>
          <w:rFonts w:cs="Arial"/>
          <w:color w:val="000000"/>
          <w:shd w:val="clear" w:color="auto" w:fill="FFFFFF"/>
        </w:rPr>
        <w:t>confirmed that it</w:t>
      </w:r>
      <w:r>
        <w:rPr>
          <w:rFonts w:cs="Arial"/>
          <w:color w:val="000000"/>
          <w:shd w:val="clear" w:color="auto" w:fill="FFFFFF"/>
        </w:rPr>
        <w:t xml:space="preserve"> will not be making further changes to taxation settings to support public interest journalism at this time.</w:t>
      </w:r>
      <w:r>
        <w:rPr>
          <w:rStyle w:val="FootnoteReference"/>
          <w:rFonts w:cs="Arial"/>
          <w:color w:val="000000"/>
          <w:shd w:val="clear" w:color="auto" w:fill="FFFFFF"/>
        </w:rPr>
        <w:footnoteReference w:id="42"/>
      </w:r>
      <w:r>
        <w:rPr>
          <w:rFonts w:cs="Arial"/>
          <w:color w:val="000000"/>
          <w:shd w:val="clear" w:color="auto" w:fill="FFFFFF"/>
        </w:rPr>
        <w:t xml:space="preserve"> </w:t>
      </w:r>
    </w:p>
    <w:p w14:paraId="3E29B714" w14:textId="758B2212" w:rsidR="00482D83" w:rsidRDefault="0062116F" w:rsidP="00CB78A7">
      <w:pPr>
        <w:spacing w:after="80"/>
        <w:rPr>
          <w:rFonts w:cs="Arial"/>
        </w:rPr>
      </w:pPr>
      <w:r>
        <w:rPr>
          <w:rFonts w:cs="Arial"/>
        </w:rPr>
        <w:t xml:space="preserve">In their 2019 </w:t>
      </w:r>
      <w:r w:rsidR="00CD6AA8">
        <w:rPr>
          <w:rFonts w:cs="Arial"/>
        </w:rPr>
        <w:t>b</w:t>
      </w:r>
      <w:r>
        <w:rPr>
          <w:rFonts w:cs="Arial"/>
        </w:rPr>
        <w:t xml:space="preserve">udget, the Canadian </w:t>
      </w:r>
      <w:r w:rsidR="00CD6AA8">
        <w:rPr>
          <w:rFonts w:cs="Arial"/>
        </w:rPr>
        <w:t>G</w:t>
      </w:r>
      <w:r>
        <w:rPr>
          <w:rFonts w:cs="Arial"/>
        </w:rPr>
        <w:t xml:space="preserve">overnment announced </w:t>
      </w:r>
      <w:r w:rsidRPr="009736C5">
        <w:rPr>
          <w:rFonts w:cs="Arial"/>
        </w:rPr>
        <w:t>a $595 million</w:t>
      </w:r>
      <w:r w:rsidR="00327F36">
        <w:rPr>
          <w:rFonts w:cs="Arial"/>
        </w:rPr>
        <w:t xml:space="preserve"> tax package </w:t>
      </w:r>
      <w:r w:rsidRPr="009736C5">
        <w:rPr>
          <w:rFonts w:cs="Arial"/>
        </w:rPr>
        <w:t>over</w:t>
      </w:r>
      <w:r w:rsidR="00327F36">
        <w:rPr>
          <w:rFonts w:cs="Arial"/>
        </w:rPr>
        <w:t xml:space="preserve"> </w:t>
      </w:r>
      <w:r w:rsidR="00CD6AA8">
        <w:rPr>
          <w:rFonts w:cs="Arial"/>
        </w:rPr>
        <w:t>five</w:t>
      </w:r>
      <w:r w:rsidR="00327F36">
        <w:rPr>
          <w:rFonts w:cs="Arial"/>
        </w:rPr>
        <w:t xml:space="preserve"> </w:t>
      </w:r>
      <w:r w:rsidRPr="009736C5">
        <w:rPr>
          <w:rFonts w:cs="Arial"/>
        </w:rPr>
        <w:t>years to support Canadian journalism and the media market.</w:t>
      </w:r>
      <w:r>
        <w:rPr>
          <w:rStyle w:val="FootnoteReference"/>
          <w:rFonts w:cs="Arial"/>
        </w:rPr>
        <w:footnoteReference w:id="43"/>
      </w:r>
      <w:r>
        <w:rPr>
          <w:rFonts w:cs="Arial"/>
        </w:rPr>
        <w:t xml:space="preserve"> This package </w:t>
      </w:r>
      <w:r w:rsidR="008B63A1">
        <w:rPr>
          <w:rFonts w:cs="Arial"/>
        </w:rPr>
        <w:t>provided</w:t>
      </w:r>
      <w:r w:rsidR="00482D83">
        <w:rPr>
          <w:rFonts w:cs="Arial"/>
        </w:rPr>
        <w:t>:</w:t>
      </w:r>
    </w:p>
    <w:p w14:paraId="48FD7DAF" w14:textId="75A7125C" w:rsidR="00482D83" w:rsidRDefault="00830640" w:rsidP="00CB78A7">
      <w:pPr>
        <w:pStyle w:val="ListBullet"/>
      </w:pPr>
      <w:r w:rsidRPr="003E7E50">
        <w:t xml:space="preserve">qualifying news organisations </w:t>
      </w:r>
      <w:r w:rsidR="00CD6AA8">
        <w:t xml:space="preserve">with </w:t>
      </w:r>
      <w:r w:rsidRPr="003E7E50">
        <w:t xml:space="preserve">a </w:t>
      </w:r>
      <w:r w:rsidR="0077160E" w:rsidRPr="003E7E50">
        <w:t xml:space="preserve">25 per cent </w:t>
      </w:r>
      <w:r w:rsidR="00B265EC" w:rsidRPr="00C17638">
        <w:t>refundable tax credit</w:t>
      </w:r>
      <w:r w:rsidR="000502EC" w:rsidRPr="00C17638">
        <w:t xml:space="preserve"> to offset labour costs associated with producing original content</w:t>
      </w:r>
    </w:p>
    <w:p w14:paraId="6ADDCC11" w14:textId="10CE99AC" w:rsidR="003473DE" w:rsidRDefault="00431B47" w:rsidP="00CB78A7">
      <w:pPr>
        <w:pStyle w:val="ListBullet"/>
      </w:pPr>
      <w:r w:rsidRPr="003E7E50">
        <w:t xml:space="preserve">non-profit </w:t>
      </w:r>
      <w:r w:rsidR="0062116F" w:rsidRPr="003E7E50">
        <w:t xml:space="preserve">Canadian journalism organisations </w:t>
      </w:r>
      <w:r w:rsidR="008B63A1" w:rsidRPr="00C17638">
        <w:t xml:space="preserve">with </w:t>
      </w:r>
      <w:r w:rsidR="005140F1" w:rsidRPr="00C17638">
        <w:t>charitable status</w:t>
      </w:r>
      <w:r w:rsidR="00326F34" w:rsidRPr="00C17638">
        <w:t xml:space="preserve"> for tax purposes</w:t>
      </w:r>
      <w:r w:rsidR="00482D83">
        <w:t>,</w:t>
      </w:r>
      <w:r w:rsidR="00C5110D">
        <w:t xml:space="preserve"> permitting them to issue receipts for donations</w:t>
      </w:r>
      <w:r w:rsidR="0062116F" w:rsidRPr="003E7E50">
        <w:t xml:space="preserve"> </w:t>
      </w:r>
    </w:p>
    <w:p w14:paraId="132CF10A" w14:textId="2071DE97" w:rsidR="0062116F" w:rsidRPr="003E7E50" w:rsidRDefault="00C34162" w:rsidP="00CB78A7">
      <w:pPr>
        <w:pStyle w:val="ListBulletLast"/>
      </w:pPr>
      <w:r>
        <w:t xml:space="preserve">all </w:t>
      </w:r>
      <w:r w:rsidR="0062116F" w:rsidRPr="00902DCC">
        <w:t xml:space="preserve">Canadians with </w:t>
      </w:r>
      <w:r w:rsidR="00FE5626">
        <w:t xml:space="preserve">an </w:t>
      </w:r>
      <w:r w:rsidR="0062116F">
        <w:t xml:space="preserve">eligible </w:t>
      </w:r>
      <w:r w:rsidR="0062116F" w:rsidRPr="00902DCC">
        <w:t xml:space="preserve">digital </w:t>
      </w:r>
      <w:r w:rsidR="0062116F">
        <w:t xml:space="preserve">news </w:t>
      </w:r>
      <w:r w:rsidR="0062116F" w:rsidRPr="00902DCC">
        <w:t xml:space="preserve">subscription </w:t>
      </w:r>
      <w:r w:rsidR="00F83495">
        <w:t xml:space="preserve">are granted </w:t>
      </w:r>
      <w:r w:rsidR="0062116F" w:rsidRPr="00902DCC">
        <w:t xml:space="preserve">an annual tax credit </w:t>
      </w:r>
      <w:r w:rsidR="008839FE">
        <w:t xml:space="preserve">of 15 per cent of the </w:t>
      </w:r>
      <w:r w:rsidR="00A50D18">
        <w:t xml:space="preserve">subscription </w:t>
      </w:r>
      <w:r w:rsidR="00D873CB">
        <w:t xml:space="preserve">purchase price </w:t>
      </w:r>
      <w:r w:rsidR="0062116F" w:rsidRPr="00902DCC">
        <w:t>until 2025.</w:t>
      </w:r>
      <w:r w:rsidR="003473DE" w:rsidRPr="00902DCC">
        <w:rPr>
          <w:rStyle w:val="FootnoteReference"/>
        </w:rPr>
        <w:footnoteReference w:id="44"/>
      </w:r>
    </w:p>
    <w:p w14:paraId="47A34843" w14:textId="60EA1E2B" w:rsidR="0062116F" w:rsidRDefault="0062116F" w:rsidP="00CB78A7">
      <w:pPr>
        <w:spacing w:after="80"/>
        <w:rPr>
          <w:rFonts w:cs="Arial"/>
        </w:rPr>
      </w:pPr>
      <w:r>
        <w:rPr>
          <w:rFonts w:cs="Arial"/>
        </w:rPr>
        <w:t>New forms of tax relief are also being considered by the UK</w:t>
      </w:r>
      <w:r w:rsidR="00CD6AA8">
        <w:rPr>
          <w:rFonts w:cs="Arial"/>
        </w:rPr>
        <w:t>—</w:t>
      </w:r>
      <w:r>
        <w:rPr>
          <w:rFonts w:cs="Arial"/>
        </w:rPr>
        <w:t>and unlike most measures implemented to date, these may focus on the online news market. The UK’s Cairncross Review recommended that</w:t>
      </w:r>
      <w:r w:rsidR="00FC23AB">
        <w:rPr>
          <w:rFonts w:cs="Arial"/>
        </w:rPr>
        <w:t xml:space="preserve"> the government</w:t>
      </w:r>
      <w:r>
        <w:rPr>
          <w:rFonts w:cs="Arial"/>
        </w:rPr>
        <w:t>:</w:t>
      </w:r>
      <w:r w:rsidDel="006D295E">
        <w:rPr>
          <w:rStyle w:val="FootnoteReference"/>
          <w:rFonts w:cs="Arial"/>
        </w:rPr>
        <w:t xml:space="preserve"> </w:t>
      </w:r>
    </w:p>
    <w:p w14:paraId="5E180BCD" w14:textId="2405E1D4" w:rsidR="0062116F" w:rsidRPr="00E519B0" w:rsidRDefault="0062116F" w:rsidP="00CB78A7">
      <w:pPr>
        <w:pStyle w:val="ListBullet"/>
      </w:pPr>
      <w:r w:rsidRPr="0054717A">
        <w:t xml:space="preserve">introduce new tax reliefs aimed at encouraging payments for </w:t>
      </w:r>
      <w:r w:rsidRPr="001C6C45">
        <w:t xml:space="preserve">online news </w:t>
      </w:r>
      <w:r w:rsidRPr="003779DC">
        <w:t>content and the provision of local and investiga</w:t>
      </w:r>
      <w:r w:rsidRPr="00553042">
        <w:t>tive journalism</w:t>
      </w:r>
    </w:p>
    <w:p w14:paraId="5B89B307" w14:textId="3618BDA0" w:rsidR="0062116F" w:rsidRPr="004B58B6" w:rsidRDefault="0062116F" w:rsidP="00CB78A7">
      <w:pPr>
        <w:pStyle w:val="ListBullet"/>
      </w:pPr>
      <w:r w:rsidRPr="00431F9B">
        <w:t>extend the zero-rating of VAT to digit</w:t>
      </w:r>
      <w:r w:rsidRPr="0091664D">
        <w:t>al newspapers and magazines, including digital-only news publications, stating that the present arrangement discourages publishers from developing online payment mechanisms</w:t>
      </w:r>
    </w:p>
    <w:p w14:paraId="4CA6018A" w14:textId="0F194FAD" w:rsidR="0062116F" w:rsidRPr="00663AEE" w:rsidRDefault="00FC23AB" w:rsidP="00CB78A7">
      <w:pPr>
        <w:pStyle w:val="ListBulletLast"/>
      </w:pPr>
      <w:r>
        <w:t>prioritise</w:t>
      </w:r>
      <w:r w:rsidR="0062116F" w:rsidRPr="00663AEE">
        <w:t xml:space="preserve"> exploring the development of tax relief to support public-interest journalism.</w:t>
      </w:r>
      <w:r w:rsidR="0062116F">
        <w:rPr>
          <w:rStyle w:val="FootnoteReference"/>
        </w:rPr>
        <w:footnoteReference w:id="45"/>
      </w:r>
    </w:p>
    <w:p w14:paraId="4A891567" w14:textId="25D5A21A" w:rsidR="005D5C48" w:rsidRDefault="0062116F" w:rsidP="00375697">
      <w:r>
        <w:t>The UK Government’s response to the Cairncross Review indicates that they will consider the case for a range of potential tax incentives to support the news publishing industry</w:t>
      </w:r>
      <w:r w:rsidR="00477715">
        <w:t xml:space="preserve"> later</w:t>
      </w:r>
      <w:r>
        <w:t xml:space="preserve"> this year.</w:t>
      </w:r>
      <w:r>
        <w:rPr>
          <w:rStyle w:val="FootnoteReference"/>
        </w:rPr>
        <w:footnoteReference w:id="46"/>
      </w:r>
    </w:p>
    <w:p w14:paraId="58C7CB9D" w14:textId="4C613582" w:rsidR="0062116F" w:rsidRDefault="0062116F" w:rsidP="00CB78A7">
      <w:pPr>
        <w:pStyle w:val="Heading2"/>
        <w:keepLines/>
        <w:rPr>
          <w:rFonts w:asciiTheme="minorHAnsi" w:hAnsiTheme="minorHAnsi"/>
        </w:rPr>
      </w:pPr>
      <w:bookmarkStart w:id="17" w:name="_Toc58401288"/>
      <w:r>
        <w:t>Support for local and minority news production</w:t>
      </w:r>
      <w:bookmarkEnd w:id="17"/>
    </w:p>
    <w:p w14:paraId="71F889F2" w14:textId="6E4EE588" w:rsidR="0062116F" w:rsidRDefault="0062116F" w:rsidP="00CB78A7">
      <w:pPr>
        <w:keepNext/>
        <w:keepLines/>
        <w:rPr>
          <w:rFonts w:cs="Arial"/>
        </w:rPr>
      </w:pPr>
      <w:r>
        <w:rPr>
          <w:rFonts w:cs="Arial"/>
        </w:rPr>
        <w:t>Several countries analysed have implemented schemes or programs to provide targeted support for local news production or minority voices within the media market. These measures reflect awareness of the financial challenges of producing news and content that appeals to smaller market segments.</w:t>
      </w:r>
    </w:p>
    <w:p w14:paraId="1D1EE3A3" w14:textId="309CE74D" w:rsidR="0062116F" w:rsidRDefault="0062116F" w:rsidP="00AA75A4">
      <w:pPr>
        <w:rPr>
          <w:rFonts w:cs="Arial"/>
        </w:rPr>
      </w:pPr>
      <w:r>
        <w:rPr>
          <w:rFonts w:cs="Arial"/>
        </w:rPr>
        <w:t>Some schemes take the form of direct financial support. Australia, for example, has introduced t</w:t>
      </w:r>
      <w:r w:rsidRPr="00D93C67">
        <w:rPr>
          <w:rFonts w:cs="Arial"/>
        </w:rPr>
        <w:t xml:space="preserve">he </w:t>
      </w:r>
      <w:r>
        <w:rPr>
          <w:rFonts w:cs="Arial"/>
        </w:rPr>
        <w:t xml:space="preserve">Regional and Small Publishers </w:t>
      </w:r>
      <w:r w:rsidRPr="00D93C67">
        <w:rPr>
          <w:rFonts w:cs="Arial"/>
        </w:rPr>
        <w:t>Innovation Fund</w:t>
      </w:r>
      <w:r>
        <w:rPr>
          <w:rFonts w:cs="Arial"/>
        </w:rPr>
        <w:t>. This is a competitive grants program</w:t>
      </w:r>
      <w:r w:rsidRPr="00D93C67">
        <w:rPr>
          <w:rFonts w:cs="Arial"/>
        </w:rPr>
        <w:t xml:space="preserve"> </w:t>
      </w:r>
      <w:r w:rsidR="00FC23AB">
        <w:rPr>
          <w:rFonts w:cs="Arial"/>
        </w:rPr>
        <w:t>that</w:t>
      </w:r>
      <w:r w:rsidR="00FC23AB" w:rsidRPr="00D93C67">
        <w:rPr>
          <w:rFonts w:cs="Arial"/>
        </w:rPr>
        <w:t xml:space="preserve"> </w:t>
      </w:r>
      <w:r w:rsidRPr="00D93C67">
        <w:rPr>
          <w:rFonts w:cs="Arial"/>
        </w:rPr>
        <w:t>provides up to $16 million in grants over three years and</w:t>
      </w:r>
      <w:r>
        <w:rPr>
          <w:rFonts w:cs="Arial"/>
        </w:rPr>
        <w:t xml:space="preserve"> </w:t>
      </w:r>
      <w:r w:rsidRPr="00D93C67">
        <w:rPr>
          <w:rFonts w:cs="Arial"/>
        </w:rPr>
        <w:t>is designed to support regional and small publishers to transition and compete more successfully in the evolving media environment.</w:t>
      </w:r>
      <w:r>
        <w:rPr>
          <w:rStyle w:val="FootnoteReference"/>
          <w:rFonts w:cs="Arial"/>
        </w:rPr>
        <w:footnoteReference w:id="47"/>
      </w:r>
      <w:r w:rsidRPr="00D93C67">
        <w:rPr>
          <w:rFonts w:cs="Arial"/>
        </w:rPr>
        <w:t xml:space="preserve"> Similarly, the Regional and Small Publishers Cadetship Program</w:t>
      </w:r>
      <w:r>
        <w:rPr>
          <w:rFonts w:cs="Arial"/>
        </w:rPr>
        <w:t xml:space="preserve"> </w:t>
      </w:r>
      <w:r w:rsidRPr="00D93C67">
        <w:rPr>
          <w:rFonts w:cs="Arial"/>
        </w:rPr>
        <w:t xml:space="preserve">provides financial assistance for up to 200 new </w:t>
      </w:r>
      <w:r w:rsidRPr="00D93C67">
        <w:rPr>
          <w:rFonts w:cs="Arial"/>
        </w:rPr>
        <w:lastRenderedPageBreak/>
        <w:t xml:space="preserve">cadetships to drive employment opportunities in regional media and </w:t>
      </w:r>
      <w:r w:rsidR="00FC23AB">
        <w:rPr>
          <w:rFonts w:cs="Arial"/>
        </w:rPr>
        <w:t xml:space="preserve">help </w:t>
      </w:r>
      <w:r w:rsidRPr="00D93C67">
        <w:rPr>
          <w:rFonts w:cs="Arial"/>
        </w:rPr>
        <w:t>journalists to provide informative and compelling regional news.</w:t>
      </w:r>
      <w:r w:rsidRPr="00D93C67">
        <w:rPr>
          <w:rStyle w:val="FootnoteReference"/>
          <w:rFonts w:cs="Arial"/>
        </w:rPr>
        <w:footnoteReference w:id="48"/>
      </w:r>
    </w:p>
    <w:p w14:paraId="2A57E800" w14:textId="0E62454D" w:rsidR="0062116F" w:rsidRDefault="0062116F" w:rsidP="00CB78A7">
      <w:pPr>
        <w:spacing w:after="80"/>
        <w:rPr>
          <w:rFonts w:cs="Arial"/>
        </w:rPr>
      </w:pPr>
      <w:r>
        <w:rPr>
          <w:rFonts w:cs="Arial"/>
        </w:rPr>
        <w:t xml:space="preserve">Norway </w:t>
      </w:r>
      <w:r w:rsidR="008014C6">
        <w:rPr>
          <w:rFonts w:cs="Arial"/>
        </w:rPr>
        <w:t xml:space="preserve">also </w:t>
      </w:r>
      <w:r w:rsidR="00FC23AB">
        <w:rPr>
          <w:rFonts w:cs="Arial"/>
        </w:rPr>
        <w:t xml:space="preserve">provides </w:t>
      </w:r>
      <w:r w:rsidR="0015062D">
        <w:rPr>
          <w:rFonts w:cs="Arial"/>
        </w:rPr>
        <w:t>direct</w:t>
      </w:r>
      <w:r>
        <w:rPr>
          <w:rFonts w:cs="Arial"/>
        </w:rPr>
        <w:t xml:space="preserve"> grants to support news</w:t>
      </w:r>
      <w:r w:rsidR="004F02C1">
        <w:rPr>
          <w:rFonts w:cs="Arial"/>
        </w:rPr>
        <w:t xml:space="preserve"> and </w:t>
      </w:r>
      <w:r>
        <w:rPr>
          <w:rFonts w:cs="Arial"/>
        </w:rPr>
        <w:t>current affairs</w:t>
      </w:r>
      <w:r w:rsidR="004F02C1">
        <w:rPr>
          <w:rFonts w:cs="Arial"/>
        </w:rPr>
        <w:t>, as well as</w:t>
      </w:r>
      <w:r>
        <w:rPr>
          <w:rFonts w:cs="Arial"/>
        </w:rPr>
        <w:t xml:space="preserve"> </w:t>
      </w:r>
      <w:r w:rsidRPr="00265198">
        <w:rPr>
          <w:rFonts w:cs="Arial"/>
        </w:rPr>
        <w:t xml:space="preserve">media that </w:t>
      </w:r>
      <w:r>
        <w:rPr>
          <w:rFonts w:cs="Arial"/>
        </w:rPr>
        <w:t>target</w:t>
      </w:r>
      <w:r w:rsidR="004F02C1">
        <w:rPr>
          <w:rFonts w:cs="Arial"/>
        </w:rPr>
        <w:t>s</w:t>
      </w:r>
      <w:r>
        <w:rPr>
          <w:rFonts w:cs="Arial"/>
        </w:rPr>
        <w:t xml:space="preserve"> small local markets</w:t>
      </w:r>
      <w:r w:rsidRPr="00265198">
        <w:rPr>
          <w:rFonts w:cs="Arial"/>
        </w:rPr>
        <w:t xml:space="preserve"> </w:t>
      </w:r>
      <w:r w:rsidRPr="008D3707">
        <w:rPr>
          <w:rFonts w:cs="Arial"/>
        </w:rPr>
        <w:t>or</w:t>
      </w:r>
      <w:r>
        <w:rPr>
          <w:rFonts w:cs="Arial"/>
        </w:rPr>
        <w:t xml:space="preserve"> that provide</w:t>
      </w:r>
      <w:r w:rsidR="004F02C1">
        <w:rPr>
          <w:rFonts w:cs="Arial"/>
        </w:rPr>
        <w:t>s</w:t>
      </w:r>
      <w:r>
        <w:rPr>
          <w:rFonts w:cs="Arial"/>
        </w:rPr>
        <w:t xml:space="preserve"> alternative viewpoints to leading media market players. The grants, which are managed by the Norwegian Media Authority, include:</w:t>
      </w:r>
    </w:p>
    <w:p w14:paraId="096C1B19" w14:textId="435A8DC1" w:rsidR="0062116F" w:rsidRPr="00AA642B" w:rsidRDefault="000B113D" w:rsidP="00CD2084">
      <w:pPr>
        <w:pStyle w:val="ListBullet"/>
        <w:spacing w:before="240" w:after="240"/>
      </w:pPr>
      <w:r>
        <w:t xml:space="preserve">a </w:t>
      </w:r>
      <w:r w:rsidR="0062116F">
        <w:t>production grant for newspapers</w:t>
      </w:r>
      <w:r w:rsidR="00FC23AB">
        <w:t>—</w:t>
      </w:r>
      <w:r w:rsidR="0062116F">
        <w:t>production grants have the aim of maintaining a diversity of newspapers. The grant is awarded on the number of editions distributed. There are four direct production grant schemes for the press sector</w:t>
      </w:r>
      <w:r w:rsidR="00FC23AB">
        <w:t>—</w:t>
      </w:r>
      <w:r w:rsidR="0062116F">
        <w:t>for newspapers</w:t>
      </w:r>
      <w:r w:rsidR="00FC23AB">
        <w:t>,</w:t>
      </w:r>
      <w:r w:rsidR="0062116F">
        <w:t xml:space="preserve"> for Sami newspapers</w:t>
      </w:r>
      <w:r w:rsidR="00FC23AB">
        <w:t>,</w:t>
      </w:r>
      <w:r w:rsidR="0062116F">
        <w:t xml:space="preserve"> for minority-language publications</w:t>
      </w:r>
      <w:r w:rsidR="00FC23AB">
        <w:t xml:space="preserve">, </w:t>
      </w:r>
      <w:r w:rsidR="0062116F">
        <w:t>and for weekly and monthly niche publications</w:t>
      </w:r>
      <w:r w:rsidR="0062116F" w:rsidRPr="00C557D2">
        <w:t>.</w:t>
      </w:r>
      <w:r w:rsidR="0062116F">
        <w:rPr>
          <w:rStyle w:val="FootnoteReference"/>
          <w:rFonts w:cs="Arial"/>
        </w:rPr>
        <w:footnoteReference w:id="49"/>
      </w:r>
    </w:p>
    <w:p w14:paraId="1358526B" w14:textId="1B3B0EE9" w:rsidR="0062116F" w:rsidRDefault="000B113D" w:rsidP="00CD2084">
      <w:pPr>
        <w:pStyle w:val="ListBullet"/>
        <w:spacing w:before="240" w:after="240"/>
      </w:pPr>
      <w:r>
        <w:t xml:space="preserve">a </w:t>
      </w:r>
      <w:r w:rsidR="0062116F" w:rsidRPr="00C557D2">
        <w:t>pro</w:t>
      </w:r>
      <w:r w:rsidR="00BC6370">
        <w:t>ject</w:t>
      </w:r>
      <w:r w:rsidR="0062116F" w:rsidRPr="00C557D2">
        <w:t xml:space="preserve"> grant for local broadcasting</w:t>
      </w:r>
      <w:r w:rsidR="00FC23AB">
        <w:t>—</w:t>
      </w:r>
      <w:r w:rsidR="0062116F" w:rsidRPr="00C557D2">
        <w:t>like the production grant for newspapers, this grant aims to support high quality news and journalism and a financially viable local broadcasting industry.</w:t>
      </w:r>
      <w:r w:rsidR="00020D53">
        <w:rPr>
          <w:rStyle w:val="FootnoteReference"/>
          <w:rFonts w:cs="Arial"/>
        </w:rPr>
        <w:footnoteReference w:id="50"/>
      </w:r>
    </w:p>
    <w:p w14:paraId="0288C7AA" w14:textId="6553C8C4" w:rsidR="00B4531E" w:rsidRDefault="000B113D" w:rsidP="00CD2084">
      <w:pPr>
        <w:pStyle w:val="ListBulletLast"/>
        <w:spacing w:before="240"/>
      </w:pPr>
      <w:r>
        <w:t>d</w:t>
      </w:r>
      <w:r w:rsidR="005C1D43">
        <w:t>istribution aid</w:t>
      </w:r>
      <w:r w:rsidR="00DE2A43">
        <w:t xml:space="preserve"> for newspapers </w:t>
      </w:r>
      <w:r w:rsidR="00CF5C8D" w:rsidRPr="009736C5">
        <w:t>that are published in the remote county of Finnmark</w:t>
      </w:r>
      <w:r w:rsidR="00DE2A43">
        <w:t xml:space="preserve">, </w:t>
      </w:r>
      <w:r w:rsidR="00CF5C8D">
        <w:t>cover</w:t>
      </w:r>
      <w:r w:rsidR="00DE2A43">
        <w:t xml:space="preserve">ing </w:t>
      </w:r>
      <w:r w:rsidR="00CF5C8D">
        <w:t>the additional costs associated with distribution among a sparse population across vast distances</w:t>
      </w:r>
      <w:r w:rsidR="0009362B">
        <w:t>.</w:t>
      </w:r>
      <w:r w:rsidR="00F16091">
        <w:rPr>
          <w:rStyle w:val="FootnoteReference"/>
        </w:rPr>
        <w:footnoteReference w:id="51"/>
      </w:r>
    </w:p>
    <w:p w14:paraId="44A8823C" w14:textId="7C34DC05" w:rsidR="00C1511A" w:rsidRPr="003E7E50" w:rsidRDefault="00076BDF" w:rsidP="00C17638">
      <w:pPr>
        <w:spacing w:after="160" w:line="259" w:lineRule="auto"/>
        <w:rPr>
          <w:rFonts w:cs="Arial"/>
        </w:rPr>
      </w:pPr>
      <w:r>
        <w:rPr>
          <w:rFonts w:cs="Arial"/>
        </w:rPr>
        <w:t xml:space="preserve">To support </w:t>
      </w:r>
      <w:r w:rsidR="00C1511A">
        <w:rPr>
          <w:rFonts w:cs="Arial"/>
        </w:rPr>
        <w:t>Canad</w:t>
      </w:r>
      <w:r>
        <w:rPr>
          <w:rFonts w:cs="Arial"/>
        </w:rPr>
        <w:t>ian journalism,</w:t>
      </w:r>
      <w:r w:rsidR="00C1511A">
        <w:rPr>
          <w:rFonts w:cs="Arial"/>
        </w:rPr>
        <w:t xml:space="preserve"> </w:t>
      </w:r>
      <w:r w:rsidR="00D726EB">
        <w:rPr>
          <w:rFonts w:cs="Arial"/>
        </w:rPr>
        <w:t xml:space="preserve">and </w:t>
      </w:r>
      <w:r w:rsidR="004D44B5">
        <w:rPr>
          <w:rFonts w:cs="Arial"/>
        </w:rPr>
        <w:t xml:space="preserve">to </w:t>
      </w:r>
      <w:r w:rsidR="00D726EB">
        <w:rPr>
          <w:rFonts w:cs="Arial"/>
        </w:rPr>
        <w:t xml:space="preserve">help </w:t>
      </w:r>
      <w:r w:rsidR="00390C87">
        <w:rPr>
          <w:rFonts w:cs="Arial"/>
        </w:rPr>
        <w:t>private</w:t>
      </w:r>
      <w:r w:rsidR="00A02F88">
        <w:rPr>
          <w:rFonts w:cs="Arial"/>
        </w:rPr>
        <w:t xml:space="preserve">, independent </w:t>
      </w:r>
      <w:r w:rsidR="003B2885">
        <w:rPr>
          <w:rFonts w:cs="Arial"/>
        </w:rPr>
        <w:t xml:space="preserve">television stations meet new </w:t>
      </w:r>
      <w:r w:rsidR="00A13979">
        <w:rPr>
          <w:rFonts w:cs="Arial"/>
        </w:rPr>
        <w:t xml:space="preserve">minimum thresholds for </w:t>
      </w:r>
      <w:r w:rsidR="003B2885">
        <w:rPr>
          <w:rFonts w:cs="Arial"/>
        </w:rPr>
        <w:t>local news</w:t>
      </w:r>
      <w:r w:rsidR="000C1D72">
        <w:rPr>
          <w:rFonts w:cs="Arial"/>
        </w:rPr>
        <w:t xml:space="preserve">, the </w:t>
      </w:r>
      <w:r w:rsidR="00FC23AB">
        <w:rPr>
          <w:rFonts w:cs="Arial"/>
        </w:rPr>
        <w:t>CRCT</w:t>
      </w:r>
      <w:r w:rsidR="0051242B">
        <w:rPr>
          <w:rFonts w:cs="Arial"/>
        </w:rPr>
        <w:t xml:space="preserve"> </w:t>
      </w:r>
      <w:r w:rsidR="00C1511A">
        <w:rPr>
          <w:rFonts w:cs="Arial"/>
        </w:rPr>
        <w:t xml:space="preserve">established an Independent Local News Fund </w:t>
      </w:r>
      <w:r w:rsidR="00464ACE">
        <w:rPr>
          <w:rFonts w:cs="Arial"/>
        </w:rPr>
        <w:t xml:space="preserve">(ILNF) </w:t>
      </w:r>
      <w:r w:rsidR="00C1511A">
        <w:rPr>
          <w:rFonts w:cs="Arial"/>
        </w:rPr>
        <w:t>in 201</w:t>
      </w:r>
      <w:r w:rsidR="00F55188">
        <w:rPr>
          <w:rFonts w:cs="Arial"/>
        </w:rPr>
        <w:t>7</w:t>
      </w:r>
      <w:r w:rsidR="0051242B">
        <w:rPr>
          <w:rFonts w:cs="Arial"/>
        </w:rPr>
        <w:t>.</w:t>
      </w:r>
      <w:r w:rsidR="00C1511A">
        <w:rPr>
          <w:rFonts w:cs="Arial"/>
        </w:rPr>
        <w:t xml:space="preserve"> </w:t>
      </w:r>
      <w:r w:rsidR="00CA7164">
        <w:rPr>
          <w:rFonts w:cs="Arial"/>
        </w:rPr>
        <w:t>The ILNF is</w:t>
      </w:r>
      <w:r w:rsidR="00C1511A">
        <w:rPr>
          <w:rFonts w:cs="Arial"/>
        </w:rPr>
        <w:t xml:space="preserve"> funded through </w:t>
      </w:r>
      <w:r w:rsidR="00A54B8D">
        <w:rPr>
          <w:rFonts w:cs="Arial"/>
        </w:rPr>
        <w:t xml:space="preserve">contributions from </w:t>
      </w:r>
      <w:r w:rsidR="00D94C89">
        <w:rPr>
          <w:rFonts w:cs="Arial"/>
        </w:rPr>
        <w:t>cable and satellite TV providers</w:t>
      </w:r>
      <w:r w:rsidR="00A54B8D">
        <w:rPr>
          <w:rFonts w:cs="Arial"/>
        </w:rPr>
        <w:t xml:space="preserve">, consisting of a percentage of </w:t>
      </w:r>
      <w:r w:rsidR="000D25F8">
        <w:rPr>
          <w:rFonts w:cs="Arial"/>
        </w:rPr>
        <w:t xml:space="preserve">their </w:t>
      </w:r>
      <w:r w:rsidR="00C1511A">
        <w:rPr>
          <w:rFonts w:cs="Arial"/>
        </w:rPr>
        <w:t xml:space="preserve">gross </w:t>
      </w:r>
      <w:r w:rsidR="000D25F8">
        <w:rPr>
          <w:rFonts w:cs="Arial"/>
        </w:rPr>
        <w:t xml:space="preserve">annual </w:t>
      </w:r>
      <w:r w:rsidR="00C1511A">
        <w:rPr>
          <w:rFonts w:cs="Arial"/>
        </w:rPr>
        <w:t>revenue from broadcasting activities.</w:t>
      </w:r>
      <w:r w:rsidR="00781C75">
        <w:rPr>
          <w:rStyle w:val="FootnoteReference"/>
          <w:rFonts w:cs="Arial"/>
        </w:rPr>
        <w:footnoteReference w:id="52"/>
      </w:r>
    </w:p>
    <w:p w14:paraId="66D10059" w14:textId="01B73376" w:rsidR="0062116F" w:rsidRPr="001C6C45" w:rsidRDefault="00FC23AB" w:rsidP="0020340F">
      <w:pPr>
        <w:rPr>
          <w:rFonts w:cs="Arial"/>
        </w:rPr>
      </w:pPr>
      <w:r>
        <w:rPr>
          <w:rFonts w:cs="Arial"/>
        </w:rPr>
        <w:t>In the US, t</w:t>
      </w:r>
      <w:r w:rsidR="0062116F">
        <w:rPr>
          <w:rFonts w:cs="Arial"/>
        </w:rPr>
        <w:t xml:space="preserve">he FCC takes a different approach, </w:t>
      </w:r>
      <w:r w:rsidR="00D37589">
        <w:rPr>
          <w:rFonts w:cs="Arial"/>
        </w:rPr>
        <w:t xml:space="preserve">supporting minority news production indirectly through </w:t>
      </w:r>
      <w:r w:rsidR="0062116F">
        <w:rPr>
          <w:rFonts w:cs="Arial"/>
        </w:rPr>
        <w:t xml:space="preserve">ownership arrangements </w:t>
      </w:r>
      <w:r w:rsidR="000515CD">
        <w:rPr>
          <w:rFonts w:cs="Arial"/>
        </w:rPr>
        <w:t xml:space="preserve">that encourage the </w:t>
      </w:r>
      <w:r w:rsidR="0062116F">
        <w:rPr>
          <w:rFonts w:cs="Arial"/>
        </w:rPr>
        <w:t>prevalence of minority voices in news media. This is reflected in t</w:t>
      </w:r>
      <w:r w:rsidR="0062116F">
        <w:t xml:space="preserve">he </w:t>
      </w:r>
      <w:r w:rsidR="0062116F" w:rsidRPr="00A70B22">
        <w:rPr>
          <w:i/>
          <w:iCs/>
        </w:rPr>
        <w:t>Communications Act 1934</w:t>
      </w:r>
      <w:r w:rsidR="0062116F">
        <w:t xml:space="preserve">, which requires the FCC to promote economic opportunities for, among others, </w:t>
      </w:r>
      <w:r w:rsidR="001D496D">
        <w:t>‘</w:t>
      </w:r>
      <w:r w:rsidR="0062116F">
        <w:t>businesses owned by members of minority groups and women</w:t>
      </w:r>
      <w:r w:rsidR="00081A5A">
        <w:t>’</w:t>
      </w:r>
      <w:r w:rsidR="0062116F">
        <w:t>.</w:t>
      </w:r>
      <w:r w:rsidR="0062116F">
        <w:rPr>
          <w:rStyle w:val="FootnoteReference"/>
        </w:rPr>
        <w:footnoteReference w:id="53"/>
      </w:r>
      <w:r w:rsidR="0062116F">
        <w:t xml:space="preserve"> In line with this objective</w:t>
      </w:r>
      <w:r w:rsidR="00D33606">
        <w:t xml:space="preserve"> for a diversification in media ownership,</w:t>
      </w:r>
      <w:r w:rsidR="0062116F">
        <w:t xml:space="preserve"> preference is granted to any group controlled by a member or members of a minority group in the selection for licenses or construction permits</w:t>
      </w:r>
      <w:r w:rsidR="00D33606">
        <w:t xml:space="preserve"> for any media of mass communications</w:t>
      </w:r>
      <w:r w:rsidR="0062116F">
        <w:t>.</w:t>
      </w:r>
      <w:r w:rsidR="0062116F">
        <w:rPr>
          <w:rStyle w:val="FootnoteReference"/>
        </w:rPr>
        <w:footnoteReference w:id="54"/>
      </w:r>
    </w:p>
    <w:p w14:paraId="2D83C42A" w14:textId="0AD8E5A4" w:rsidR="0062116F" w:rsidRDefault="00547CC3" w:rsidP="007A1260">
      <w:r>
        <w:t xml:space="preserve">In 2018, </w:t>
      </w:r>
      <w:r w:rsidR="00136BAC">
        <w:t xml:space="preserve">as part of its </w:t>
      </w:r>
      <w:r w:rsidR="002D3924">
        <w:t xml:space="preserve">broader </w:t>
      </w:r>
      <w:r w:rsidR="002929AC">
        <w:t>media reforms</w:t>
      </w:r>
      <w:r w:rsidR="002D3924">
        <w:t xml:space="preserve">, </w:t>
      </w:r>
      <w:r>
        <w:t>t</w:t>
      </w:r>
      <w:r w:rsidR="0062116F">
        <w:t xml:space="preserve">he FCC </w:t>
      </w:r>
      <w:r w:rsidR="009D3679">
        <w:t xml:space="preserve">also </w:t>
      </w:r>
      <w:r w:rsidR="0062116F">
        <w:t xml:space="preserve">established </w:t>
      </w:r>
      <w:r w:rsidR="001D496D">
        <w:t>an</w:t>
      </w:r>
      <w:r w:rsidR="0062116F">
        <w:t xml:space="preserve"> Incubator Program, which aim</w:t>
      </w:r>
      <w:r w:rsidR="009D3679">
        <w:t>ed</w:t>
      </w:r>
      <w:r w:rsidR="0062116F">
        <w:t xml:space="preserve"> to support the entry of new and diverse voices into the broadcast industry.</w:t>
      </w:r>
      <w:r w:rsidR="0062116F">
        <w:rPr>
          <w:rStyle w:val="FootnoteReference"/>
        </w:rPr>
        <w:footnoteReference w:id="55"/>
      </w:r>
      <w:r w:rsidR="0062116F">
        <w:t xml:space="preserve"> This program </w:t>
      </w:r>
      <w:r w:rsidR="00602495">
        <w:t>waived</w:t>
      </w:r>
      <w:r w:rsidR="00602495" w:rsidRPr="006813E8">
        <w:t xml:space="preserve"> </w:t>
      </w:r>
      <w:r w:rsidR="0062116F" w:rsidRPr="00602495">
        <w:t xml:space="preserve">a broadcast radio ownership rule </w:t>
      </w:r>
      <w:r w:rsidR="00602495" w:rsidRPr="00602495">
        <w:t xml:space="preserve">for </w:t>
      </w:r>
      <w:r w:rsidR="0062116F" w:rsidRPr="00602495">
        <w:t>broadcaster</w:t>
      </w:r>
      <w:r w:rsidR="00D94D44" w:rsidRPr="00602495">
        <w:t>s</w:t>
      </w:r>
      <w:r w:rsidR="0062116F" w:rsidRPr="00602495">
        <w:t xml:space="preserve"> that help</w:t>
      </w:r>
      <w:r w:rsidR="0029306A" w:rsidRPr="00602495">
        <w:t>ed</w:t>
      </w:r>
      <w:r w:rsidR="0062116F" w:rsidRPr="00602495">
        <w:t xml:space="preserve"> facilitate station ownership for a certain class of owners</w:t>
      </w:r>
      <w:r w:rsidR="0029306A">
        <w:t xml:space="preserve">. The program also </w:t>
      </w:r>
      <w:r w:rsidR="00D37264">
        <w:t>provid</w:t>
      </w:r>
      <w:r w:rsidR="0029306A">
        <w:t>ed</w:t>
      </w:r>
      <w:r w:rsidR="00D37264">
        <w:t xml:space="preserve"> </w:t>
      </w:r>
      <w:r w:rsidR="0062116F" w:rsidRPr="006813E8">
        <w:t xml:space="preserve">financial and operational support, including training and </w:t>
      </w:r>
      <w:r w:rsidR="0062116F" w:rsidRPr="006813E8">
        <w:lastRenderedPageBreak/>
        <w:t>mentoring, to a new or small radio broadcaster</w:t>
      </w:r>
      <w:r w:rsidR="0029306A">
        <w:t>s</w:t>
      </w:r>
      <w:r w:rsidR="0062116F">
        <w:t>.</w:t>
      </w:r>
      <w:r w:rsidR="00635696">
        <w:t xml:space="preserve"> </w:t>
      </w:r>
      <w:r w:rsidR="00B12AD0">
        <w:t xml:space="preserve">Following </w:t>
      </w:r>
      <w:r w:rsidR="00B74303">
        <w:t xml:space="preserve">the </w:t>
      </w:r>
      <w:r w:rsidR="005D54D8">
        <w:t xml:space="preserve">court’s reversal of these reforms, </w:t>
      </w:r>
      <w:r w:rsidR="00E554A4">
        <w:t>t</w:t>
      </w:r>
      <w:r w:rsidR="00635696">
        <w:t xml:space="preserve">his program </w:t>
      </w:r>
      <w:r w:rsidR="0087247E">
        <w:t>is currently not in effect</w:t>
      </w:r>
      <w:r w:rsidR="00E554A4">
        <w:t>.</w:t>
      </w:r>
      <w:r w:rsidR="00E554A4">
        <w:rPr>
          <w:rStyle w:val="FootnoteReference"/>
        </w:rPr>
        <w:footnoteReference w:id="56"/>
      </w:r>
      <w:r w:rsidR="0087247E">
        <w:t xml:space="preserve"> </w:t>
      </w:r>
    </w:p>
    <w:tbl>
      <w:tblPr>
        <w:tblStyle w:val="TableGrid"/>
        <w:tblW w:w="0" w:type="auto"/>
        <w:shd w:val="clear" w:color="auto" w:fill="F2F2F2" w:themeFill="background1" w:themeFillShade="F2"/>
        <w:tblLook w:val="04A0" w:firstRow="1" w:lastRow="0" w:firstColumn="1" w:lastColumn="0" w:noHBand="0" w:noVBand="1"/>
      </w:tblPr>
      <w:tblGrid>
        <w:gridCol w:w="7661"/>
      </w:tblGrid>
      <w:tr w:rsidR="00687487" w14:paraId="71BBC86A" w14:textId="77777777" w:rsidTr="008B0A5D">
        <w:tc>
          <w:tcPr>
            <w:tcW w:w="7661" w:type="dxa"/>
            <w:shd w:val="clear" w:color="auto" w:fill="F2F2F2" w:themeFill="background1" w:themeFillShade="F2"/>
          </w:tcPr>
          <w:p w14:paraId="5CBE062B" w14:textId="77777777" w:rsidR="00081A5A" w:rsidRPr="00CB78A7" w:rsidRDefault="00081A5A" w:rsidP="00CE791F">
            <w:pPr>
              <w:spacing w:after="120"/>
              <w:rPr>
                <w:b/>
                <w:sz w:val="24"/>
              </w:rPr>
            </w:pPr>
            <w:r w:rsidRPr="00CB78A7">
              <w:rPr>
                <w:b/>
                <w:sz w:val="24"/>
              </w:rPr>
              <w:t xml:space="preserve">Journalism initiatives of the digital platforms </w:t>
            </w:r>
          </w:p>
          <w:p w14:paraId="56A16536" w14:textId="741B7756" w:rsidR="00687487" w:rsidRDefault="004045E5" w:rsidP="007A1260">
            <w:r>
              <w:t>In addition to</w:t>
            </w:r>
            <w:r w:rsidR="007074BF">
              <w:t xml:space="preserve"> </w:t>
            </w:r>
            <w:r>
              <w:t xml:space="preserve">direct </w:t>
            </w:r>
            <w:r w:rsidR="007074BF">
              <w:t xml:space="preserve">government </w:t>
            </w:r>
            <w:r w:rsidR="00C45264">
              <w:t xml:space="preserve">measures or regulatory intervention, </w:t>
            </w:r>
            <w:r w:rsidR="001761E8">
              <w:t xml:space="preserve">there are </w:t>
            </w:r>
            <w:r w:rsidR="004A2509">
              <w:t>several</w:t>
            </w:r>
            <w:r w:rsidR="001761E8">
              <w:t xml:space="preserve"> </w:t>
            </w:r>
            <w:r w:rsidR="00C86940">
              <w:t xml:space="preserve">private </w:t>
            </w:r>
            <w:r w:rsidR="001761E8">
              <w:t xml:space="preserve">initiatives </w:t>
            </w:r>
            <w:r w:rsidR="00134BF5">
              <w:t xml:space="preserve">currently </w:t>
            </w:r>
            <w:r w:rsidR="00217C90">
              <w:t xml:space="preserve">underway </w:t>
            </w:r>
            <w:r w:rsidR="00915B09">
              <w:t>to support journalism and local news production</w:t>
            </w:r>
            <w:r w:rsidR="00E62DE3">
              <w:t>.</w:t>
            </w:r>
            <w:r w:rsidR="00C86940">
              <w:t xml:space="preserve"> </w:t>
            </w:r>
            <w:r w:rsidR="00EC0EAC">
              <w:t>Many of t</w:t>
            </w:r>
            <w:r w:rsidR="00F63F06">
              <w:t xml:space="preserve">hese initiatives have been </w:t>
            </w:r>
            <w:r w:rsidR="00EC0EAC">
              <w:t xml:space="preserve">developed </w:t>
            </w:r>
            <w:r w:rsidR="003129AA">
              <w:t xml:space="preserve">in partnership with, </w:t>
            </w:r>
            <w:r w:rsidR="00EC0EAC">
              <w:t xml:space="preserve">or </w:t>
            </w:r>
            <w:r w:rsidR="00864AAD">
              <w:t xml:space="preserve">directly </w:t>
            </w:r>
            <w:r w:rsidR="003B0087">
              <w:t>funded</w:t>
            </w:r>
            <w:r w:rsidR="00F63F06">
              <w:t xml:space="preserve"> </w:t>
            </w:r>
            <w:r w:rsidR="00D503DE">
              <w:t>by</w:t>
            </w:r>
            <w:r w:rsidR="003129AA">
              <w:t>,</w:t>
            </w:r>
            <w:r w:rsidR="00D503DE">
              <w:t xml:space="preserve"> </w:t>
            </w:r>
            <w:r w:rsidR="00D24C01">
              <w:t xml:space="preserve">the global </w:t>
            </w:r>
            <w:r>
              <w:t>digital platform</w:t>
            </w:r>
            <w:r w:rsidR="00D24C01">
              <w:t xml:space="preserve"> giants Google and Facebook</w:t>
            </w:r>
            <w:r w:rsidR="00053962">
              <w:t>.</w:t>
            </w:r>
            <w:r w:rsidR="00D24C01">
              <w:t xml:space="preserve"> </w:t>
            </w:r>
            <w:r w:rsidR="00D503DE">
              <w:t xml:space="preserve"> </w:t>
            </w:r>
          </w:p>
          <w:p w14:paraId="247A076F" w14:textId="2B1ECA91" w:rsidR="00221083" w:rsidRDefault="00A25098" w:rsidP="007A1260">
            <w:r>
              <w:t xml:space="preserve">The Google News </w:t>
            </w:r>
            <w:r w:rsidR="003276EC">
              <w:t>Initiative</w:t>
            </w:r>
            <w:r w:rsidR="001B11DB">
              <w:t xml:space="preserve"> (GNI)</w:t>
            </w:r>
            <w:r w:rsidR="003276EC">
              <w:t xml:space="preserve">, which </w:t>
            </w:r>
            <w:r w:rsidR="00C27C2A">
              <w:t xml:space="preserve">first </w:t>
            </w:r>
            <w:r w:rsidR="003276EC">
              <w:t>launched in</w:t>
            </w:r>
            <w:r w:rsidR="00162770">
              <w:t xml:space="preserve"> </w:t>
            </w:r>
            <w:r w:rsidR="00162770" w:rsidRPr="00602495">
              <w:t>Europe in 2015</w:t>
            </w:r>
            <w:r w:rsidR="00CE791F">
              <w:t xml:space="preserve"> </w:t>
            </w:r>
            <w:r w:rsidR="00247E3C">
              <w:t>as</w:t>
            </w:r>
            <w:r w:rsidR="00D22ED2" w:rsidRPr="00602495">
              <w:t xml:space="preserve"> the Digital </w:t>
            </w:r>
            <w:r w:rsidR="00C65AA5" w:rsidRPr="00602495">
              <w:t xml:space="preserve">News </w:t>
            </w:r>
            <w:r w:rsidR="00D22ED2" w:rsidRPr="00602495">
              <w:t>Initiative</w:t>
            </w:r>
            <w:r w:rsidR="00162770" w:rsidRPr="00602495">
              <w:t>,</w:t>
            </w:r>
            <w:r w:rsidR="00C27C2A" w:rsidRPr="00602495">
              <w:t xml:space="preserve"> has expanded to a</w:t>
            </w:r>
            <w:r w:rsidR="00F556BC" w:rsidRPr="00602495">
              <w:t xml:space="preserve"> US$300</w:t>
            </w:r>
            <w:r w:rsidR="00602495" w:rsidRPr="00602495">
              <w:t xml:space="preserve"> million</w:t>
            </w:r>
            <w:r w:rsidR="00F556BC">
              <w:t xml:space="preserve"> </w:t>
            </w:r>
            <w:r w:rsidR="00DF64E4">
              <w:t xml:space="preserve">program to </w:t>
            </w:r>
            <w:r w:rsidR="00954368">
              <w:t>provide</w:t>
            </w:r>
            <w:r w:rsidR="00DF64E4">
              <w:t xml:space="preserve"> </w:t>
            </w:r>
            <w:r w:rsidR="00954368">
              <w:t>funding, tools and training</w:t>
            </w:r>
            <w:r w:rsidR="0014198B">
              <w:t xml:space="preserve"> to support local news production worldwide</w:t>
            </w:r>
            <w:r w:rsidR="00593DB2">
              <w:t xml:space="preserve">. </w:t>
            </w:r>
            <w:r w:rsidR="00E82722">
              <w:t xml:space="preserve">As part of this program, Google launched </w:t>
            </w:r>
            <w:r w:rsidR="009734E4">
              <w:t>‘</w:t>
            </w:r>
            <w:r w:rsidR="005A5AD3">
              <w:t xml:space="preserve">GNI </w:t>
            </w:r>
            <w:r w:rsidR="00E82722">
              <w:t>I</w:t>
            </w:r>
            <w:r w:rsidR="0040120E">
              <w:t xml:space="preserve">nnovation </w:t>
            </w:r>
            <w:r w:rsidR="00E82722">
              <w:t>C</w:t>
            </w:r>
            <w:r w:rsidR="0040120E">
              <w:t>hallenges</w:t>
            </w:r>
            <w:r w:rsidR="009734E4">
              <w:t>’</w:t>
            </w:r>
            <w:r w:rsidR="0040120E">
              <w:t xml:space="preserve"> </w:t>
            </w:r>
            <w:r w:rsidR="00B9630E">
              <w:t xml:space="preserve">for media outlets </w:t>
            </w:r>
            <w:r w:rsidR="0040120E">
              <w:t xml:space="preserve">in </w:t>
            </w:r>
            <w:r w:rsidR="00E82722">
              <w:t xml:space="preserve">the </w:t>
            </w:r>
            <w:r w:rsidR="0040120E">
              <w:t>Asia</w:t>
            </w:r>
            <w:r w:rsidR="00081A5A">
              <w:t>–</w:t>
            </w:r>
            <w:r w:rsidR="0040120E">
              <w:t xml:space="preserve">Pacific, Middle East </w:t>
            </w:r>
            <w:r w:rsidR="00081A5A">
              <w:t>and</w:t>
            </w:r>
            <w:r w:rsidR="005A5AD3">
              <w:t xml:space="preserve"> Africa, Latin America and North America.</w:t>
            </w:r>
            <w:r w:rsidR="00B83D0B">
              <w:t xml:space="preserve"> </w:t>
            </w:r>
            <w:r w:rsidR="006C0452">
              <w:t xml:space="preserve">In Australia, this resulted in </w:t>
            </w:r>
            <w:r w:rsidR="00D33606">
              <w:t xml:space="preserve">new </w:t>
            </w:r>
            <w:r w:rsidR="00C14434">
              <w:t xml:space="preserve">funding for </w:t>
            </w:r>
            <w:r w:rsidR="00E45953">
              <w:t xml:space="preserve">outlets like </w:t>
            </w:r>
            <w:r w:rsidR="00C14434">
              <w:t>Crikey, Mamamia</w:t>
            </w:r>
            <w:r w:rsidR="00AA4294">
              <w:t xml:space="preserve"> and Women’s Agenda. </w:t>
            </w:r>
            <w:r w:rsidR="00924ACD">
              <w:t xml:space="preserve">A second round of </w:t>
            </w:r>
            <w:r w:rsidR="007B1188">
              <w:t xml:space="preserve">funding </w:t>
            </w:r>
            <w:r w:rsidR="00924ACD">
              <w:t xml:space="preserve">is currently open for </w:t>
            </w:r>
            <w:r w:rsidR="00AC7168">
              <w:t>North America</w:t>
            </w:r>
            <w:r w:rsidR="007B1188">
              <w:t>n outlets</w:t>
            </w:r>
            <w:r w:rsidR="00AC7168">
              <w:t xml:space="preserve">, </w:t>
            </w:r>
            <w:r w:rsidR="0008207A">
              <w:t>with a f</w:t>
            </w:r>
            <w:r w:rsidR="0008207A" w:rsidRPr="0008207A">
              <w:t xml:space="preserve">ocus on </w:t>
            </w:r>
            <w:r w:rsidR="0008207A">
              <w:t>‘</w:t>
            </w:r>
            <w:r w:rsidR="0008207A" w:rsidRPr="0008207A">
              <w:t>projects that generate growth and diversification of revenue for local media who elevate underrepresented audiences and promote diversity, equity and inclusion within their journalism</w:t>
            </w:r>
            <w:r w:rsidR="0008207A">
              <w:t>’.</w:t>
            </w:r>
            <w:r w:rsidR="0008207A">
              <w:rPr>
                <w:rStyle w:val="FootnoteReference"/>
              </w:rPr>
              <w:footnoteReference w:id="57"/>
            </w:r>
          </w:p>
          <w:p w14:paraId="0E6099C4" w14:textId="14DD52D5" w:rsidR="001A11D8" w:rsidRDefault="006D790D" w:rsidP="007A1260">
            <w:r>
              <w:t xml:space="preserve">In early 2019, </w:t>
            </w:r>
            <w:r w:rsidR="00A45962">
              <w:t xml:space="preserve">as part of its Facebook Journalism Project, </w:t>
            </w:r>
            <w:r>
              <w:t xml:space="preserve">Facebook </w:t>
            </w:r>
            <w:r w:rsidR="00F4394B">
              <w:t xml:space="preserve">similarly </w:t>
            </w:r>
            <w:r>
              <w:t xml:space="preserve">announced a three-year, </w:t>
            </w:r>
            <w:r w:rsidR="0044123C">
              <w:t>US</w:t>
            </w:r>
            <w:r>
              <w:t>$300</w:t>
            </w:r>
            <w:r w:rsidR="00602495">
              <w:t xml:space="preserve"> </w:t>
            </w:r>
            <w:r>
              <w:t>m</w:t>
            </w:r>
            <w:r w:rsidR="00602495">
              <w:t>illion</w:t>
            </w:r>
            <w:r>
              <w:t xml:space="preserve"> </w:t>
            </w:r>
            <w:r w:rsidR="007E757B">
              <w:t>investment in news programs, partnerships and content</w:t>
            </w:r>
            <w:r w:rsidR="00F3222F">
              <w:t xml:space="preserve"> </w:t>
            </w:r>
            <w:r w:rsidR="00660645">
              <w:t>to support local news and local news outlets</w:t>
            </w:r>
            <w:r w:rsidR="007E757B">
              <w:t xml:space="preserve">. </w:t>
            </w:r>
            <w:r w:rsidR="00E42A83">
              <w:t>Building on existing pilots, t</w:t>
            </w:r>
            <w:r w:rsidR="001129E3">
              <w:t xml:space="preserve">his </w:t>
            </w:r>
            <w:r w:rsidR="00081A5A">
              <w:t xml:space="preserve">included </w:t>
            </w:r>
            <w:r w:rsidR="00E42A83">
              <w:t xml:space="preserve">a </w:t>
            </w:r>
            <w:r w:rsidR="00B27169">
              <w:t>‘Community News Project</w:t>
            </w:r>
            <w:r w:rsidR="006E6D51">
              <w:t xml:space="preserve">’ </w:t>
            </w:r>
            <w:r w:rsidR="00EF67C3">
              <w:t xml:space="preserve">to recruit </w:t>
            </w:r>
            <w:r w:rsidR="00D63188">
              <w:t xml:space="preserve">trainee community journalists in the UK and </w:t>
            </w:r>
            <w:r w:rsidR="009B6955">
              <w:t>embed them in local newsrooms</w:t>
            </w:r>
            <w:r w:rsidR="001A11D8">
              <w:t>, and a global expansion of its Local News Accelerator program to help local newsrooms develop subscription and membership models</w:t>
            </w:r>
            <w:r w:rsidR="009B6955">
              <w:t>.</w:t>
            </w:r>
            <w:r w:rsidR="00EA1303">
              <w:rPr>
                <w:rStyle w:val="FootnoteReference"/>
              </w:rPr>
              <w:footnoteReference w:id="58"/>
            </w:r>
            <w:r w:rsidR="009B6955">
              <w:t xml:space="preserve"> </w:t>
            </w:r>
            <w:r w:rsidR="00D33606">
              <w:t>Through this program, i</w:t>
            </w:r>
            <w:r w:rsidR="00EA4E0B">
              <w:t xml:space="preserve">n partnership with the Walkley Foundation, </w:t>
            </w:r>
            <w:r w:rsidR="00D22063">
              <w:t xml:space="preserve">Facebook </w:t>
            </w:r>
            <w:r w:rsidR="00D33606">
              <w:t xml:space="preserve">is </w:t>
            </w:r>
            <w:r w:rsidR="00D22063">
              <w:t>invest</w:t>
            </w:r>
            <w:r w:rsidR="00D33606">
              <w:t>ing</w:t>
            </w:r>
            <w:r w:rsidR="00C072BC">
              <w:t xml:space="preserve"> </w:t>
            </w:r>
            <w:r w:rsidR="00081A5A">
              <w:t>AUD</w:t>
            </w:r>
            <w:r w:rsidR="00C072BC">
              <w:t>$5</w:t>
            </w:r>
            <w:r w:rsidR="00602495">
              <w:t xml:space="preserve"> </w:t>
            </w:r>
            <w:r w:rsidR="00C072BC" w:rsidRPr="00602495">
              <w:t>m</w:t>
            </w:r>
            <w:r w:rsidR="00602495">
              <w:t>illion</w:t>
            </w:r>
            <w:r w:rsidR="006C390C">
              <w:t xml:space="preserve"> </w:t>
            </w:r>
            <w:r w:rsidR="00B973E3">
              <w:t>in the Australian news ecosystem</w:t>
            </w:r>
            <w:r w:rsidR="00D33606">
              <w:t>, including funding for news organisations.</w:t>
            </w:r>
            <w:r w:rsidR="00D33606">
              <w:rPr>
                <w:rStyle w:val="FootnoteReference"/>
              </w:rPr>
              <w:footnoteReference w:id="59"/>
            </w:r>
          </w:p>
          <w:p w14:paraId="3FC91EF3" w14:textId="372DAF88" w:rsidR="00811FE1" w:rsidRDefault="009B6955" w:rsidP="007A1260">
            <w:r>
              <w:t xml:space="preserve">Separately, </w:t>
            </w:r>
            <w:r w:rsidR="00B21243">
              <w:t xml:space="preserve">Facebook has </w:t>
            </w:r>
            <w:r w:rsidR="00290C57">
              <w:t xml:space="preserve">also </w:t>
            </w:r>
            <w:r w:rsidR="006049B8">
              <w:t xml:space="preserve">rolled out a standalone local news </w:t>
            </w:r>
            <w:r w:rsidR="00276C35">
              <w:t xml:space="preserve">and community information </w:t>
            </w:r>
            <w:r w:rsidR="006049B8">
              <w:t xml:space="preserve">tab for </w:t>
            </w:r>
            <w:r w:rsidR="006145DD">
              <w:t xml:space="preserve">regional </w:t>
            </w:r>
            <w:r w:rsidR="00984745">
              <w:t xml:space="preserve">users of its service in the US and Australia. </w:t>
            </w:r>
            <w:r w:rsidR="00A03A96">
              <w:t xml:space="preserve">At present, Facebook’s ‘Today In’ feature is available for </w:t>
            </w:r>
            <w:r w:rsidR="002624CE">
              <w:t>6,000</w:t>
            </w:r>
            <w:r w:rsidR="00253F00">
              <w:t xml:space="preserve"> cities </w:t>
            </w:r>
            <w:r w:rsidR="00193F62">
              <w:t xml:space="preserve">or towns </w:t>
            </w:r>
            <w:r w:rsidR="00253F00">
              <w:t>in the US, and 10 cities in Australia.</w:t>
            </w:r>
            <w:r w:rsidR="00D33606">
              <w:t xml:space="preserve"> In August 2019, Facebook further announced a deal with seven Australian news publishers to provide exclusive video content on Facebook Watch, mirroring an existing partnership model used in the US.</w:t>
            </w:r>
            <w:r w:rsidR="00D33606">
              <w:rPr>
                <w:rStyle w:val="FootnoteReference"/>
              </w:rPr>
              <w:footnoteReference w:id="60"/>
            </w:r>
          </w:p>
          <w:p w14:paraId="37E54604" w14:textId="47987BC3" w:rsidR="007B1188" w:rsidRDefault="007B1188" w:rsidP="00CE791F">
            <w:pPr>
              <w:spacing w:after="120"/>
            </w:pPr>
            <w:r>
              <w:t>Collectively, Google and Facebook</w:t>
            </w:r>
            <w:r w:rsidR="003F767E">
              <w:t xml:space="preserve"> are </w:t>
            </w:r>
            <w:r w:rsidR="006A1D3F">
              <w:t xml:space="preserve">now </w:t>
            </w:r>
            <w:r w:rsidR="003F767E">
              <w:t>two of the biggest funders of journalism in the world</w:t>
            </w:r>
            <w:r w:rsidR="006A1D3F">
              <w:t>.</w:t>
            </w:r>
            <w:r w:rsidR="00613787">
              <w:rPr>
                <w:rStyle w:val="FootnoteReference"/>
              </w:rPr>
              <w:footnoteReference w:id="61"/>
            </w:r>
            <w:r w:rsidR="003A62C0">
              <w:t xml:space="preserve"> </w:t>
            </w:r>
            <w:r w:rsidR="002F57EA">
              <w:t xml:space="preserve">While this </w:t>
            </w:r>
            <w:r w:rsidR="00884FD2">
              <w:t xml:space="preserve">level of funding </w:t>
            </w:r>
            <w:r w:rsidR="00337DC9">
              <w:t xml:space="preserve">can </w:t>
            </w:r>
            <w:r w:rsidR="00884FD2">
              <w:t xml:space="preserve">help </w:t>
            </w:r>
            <w:r w:rsidR="00337DC9">
              <w:t xml:space="preserve">relieve some </w:t>
            </w:r>
            <w:r w:rsidR="00061A3E">
              <w:t xml:space="preserve">of the </w:t>
            </w:r>
            <w:r w:rsidR="00337DC9">
              <w:t>pressure o</w:t>
            </w:r>
            <w:r w:rsidR="00061A3E">
              <w:t>n governments to</w:t>
            </w:r>
            <w:r w:rsidR="00743780">
              <w:t xml:space="preserve"> roll out </w:t>
            </w:r>
            <w:r w:rsidR="002A11A2">
              <w:t xml:space="preserve">public </w:t>
            </w:r>
            <w:r w:rsidR="00743780">
              <w:t xml:space="preserve">programs in </w:t>
            </w:r>
            <w:r w:rsidR="00061A3E">
              <w:t>support</w:t>
            </w:r>
            <w:r w:rsidR="00743780">
              <w:t xml:space="preserve"> of local journalism, </w:t>
            </w:r>
            <w:r w:rsidR="00B92455">
              <w:t xml:space="preserve">consideration should also be given to the growing </w:t>
            </w:r>
            <w:r w:rsidR="0007693D">
              <w:t xml:space="preserve">level of influence that </w:t>
            </w:r>
            <w:r w:rsidR="000377AD">
              <w:t xml:space="preserve">digital platforms </w:t>
            </w:r>
            <w:r w:rsidR="00B92455">
              <w:t xml:space="preserve">are able to exert </w:t>
            </w:r>
            <w:r>
              <w:t>on local media markets</w:t>
            </w:r>
            <w:r w:rsidR="008B0A5D">
              <w:t xml:space="preserve"> through such programs</w:t>
            </w:r>
            <w:r>
              <w:t>.</w:t>
            </w:r>
          </w:p>
        </w:tc>
      </w:tr>
    </w:tbl>
    <w:p w14:paraId="0FDBBDE8" w14:textId="4D269C3E" w:rsidR="0062116F" w:rsidRDefault="00214DE1" w:rsidP="007A1260">
      <w:pPr>
        <w:pStyle w:val="Heading3"/>
      </w:pPr>
      <w:r>
        <w:t>Ongoing</w:t>
      </w:r>
      <w:r w:rsidR="0062116F">
        <w:t xml:space="preserve"> developments</w:t>
      </w:r>
    </w:p>
    <w:p w14:paraId="22346346" w14:textId="65540D55" w:rsidR="00812BB2" w:rsidRDefault="00270744" w:rsidP="0020340F">
      <w:pPr>
        <w:rPr>
          <w:rFonts w:cs="Arial"/>
        </w:rPr>
      </w:pPr>
      <w:r>
        <w:rPr>
          <w:rFonts w:cs="Arial"/>
        </w:rPr>
        <w:t>In response to the ACCC’s Digital Platforms Inquiry</w:t>
      </w:r>
      <w:r w:rsidR="00A167D1">
        <w:rPr>
          <w:rFonts w:cs="Arial"/>
        </w:rPr>
        <w:t xml:space="preserve">, the Australian Government committed to </w:t>
      </w:r>
      <w:r w:rsidR="000927D7" w:rsidRPr="000927D7">
        <w:rPr>
          <w:rFonts w:cs="Arial"/>
        </w:rPr>
        <w:t>enhanc</w:t>
      </w:r>
      <w:r w:rsidR="000927D7">
        <w:rPr>
          <w:rFonts w:cs="Arial"/>
        </w:rPr>
        <w:t>e</w:t>
      </w:r>
      <w:r w:rsidR="000927D7" w:rsidRPr="000927D7">
        <w:rPr>
          <w:rFonts w:cs="Arial"/>
        </w:rPr>
        <w:t xml:space="preserve"> the Regional and Small Publishers Jobs and Innovation </w:t>
      </w:r>
      <w:r w:rsidR="000927D7" w:rsidRPr="000927D7">
        <w:rPr>
          <w:rFonts w:cs="Arial"/>
        </w:rPr>
        <w:lastRenderedPageBreak/>
        <w:t>Package to better support the production of high-quality news, particularly in regional and remote areas of Australia, with a focus on public interest journalism that is at greatest risk of being under-provided</w:t>
      </w:r>
      <w:r w:rsidR="000927D7">
        <w:rPr>
          <w:rFonts w:cs="Arial"/>
        </w:rPr>
        <w:t>.</w:t>
      </w:r>
      <w:r w:rsidR="003757FD">
        <w:rPr>
          <w:rStyle w:val="FootnoteReference"/>
          <w:rFonts w:cs="Arial"/>
        </w:rPr>
        <w:footnoteReference w:id="62"/>
      </w:r>
      <w:r w:rsidR="0030517E">
        <w:rPr>
          <w:rFonts w:cs="Arial"/>
        </w:rPr>
        <w:t xml:space="preserve"> This work is due to commence in 2020. </w:t>
      </w:r>
    </w:p>
    <w:p w14:paraId="38B25461" w14:textId="1784FBA3" w:rsidR="00996B95" w:rsidRDefault="00812BB2" w:rsidP="00996B95">
      <w:r>
        <w:rPr>
          <w:rFonts w:cs="Arial"/>
        </w:rPr>
        <w:t>T</w:t>
      </w:r>
      <w:r w:rsidR="0062116F">
        <w:rPr>
          <w:rFonts w:cs="Arial"/>
        </w:rPr>
        <w:t xml:space="preserve">he UK </w:t>
      </w:r>
      <w:r>
        <w:rPr>
          <w:rFonts w:cs="Arial"/>
        </w:rPr>
        <w:t>has</w:t>
      </w:r>
      <w:r w:rsidR="001F7CFD">
        <w:rPr>
          <w:rFonts w:cs="Arial"/>
        </w:rPr>
        <w:t xml:space="preserve"> </w:t>
      </w:r>
      <w:r w:rsidR="0062116F">
        <w:rPr>
          <w:rFonts w:cs="Arial"/>
        </w:rPr>
        <w:t>introduc</w:t>
      </w:r>
      <w:r w:rsidR="001F7CFD">
        <w:rPr>
          <w:rFonts w:cs="Arial"/>
        </w:rPr>
        <w:t>ed</w:t>
      </w:r>
      <w:r w:rsidR="0062116F">
        <w:rPr>
          <w:rFonts w:cs="Arial"/>
        </w:rPr>
        <w:t xml:space="preserve"> additional measures</w:t>
      </w:r>
      <w:r w:rsidR="00DA5F40">
        <w:rPr>
          <w:rFonts w:cs="Arial"/>
        </w:rPr>
        <w:t xml:space="preserve"> to support local journalism and enhance diversity</w:t>
      </w:r>
      <w:r w:rsidR="0062116F">
        <w:rPr>
          <w:rFonts w:cs="Arial"/>
        </w:rPr>
        <w:t xml:space="preserve">, which bear </w:t>
      </w:r>
      <w:r>
        <w:rPr>
          <w:rFonts w:cs="Arial"/>
        </w:rPr>
        <w:t xml:space="preserve">some </w:t>
      </w:r>
      <w:r w:rsidR="0062116F">
        <w:rPr>
          <w:rFonts w:cs="Arial"/>
        </w:rPr>
        <w:t xml:space="preserve">similarities to the </w:t>
      </w:r>
      <w:r>
        <w:rPr>
          <w:rFonts w:cs="Arial"/>
        </w:rPr>
        <w:t xml:space="preserve">Australian </w:t>
      </w:r>
      <w:r w:rsidR="0062116F">
        <w:rPr>
          <w:rFonts w:cs="Arial"/>
        </w:rPr>
        <w:t xml:space="preserve">scheme. </w:t>
      </w:r>
      <w:r w:rsidR="00543345">
        <w:rPr>
          <w:rFonts w:cs="Arial"/>
        </w:rPr>
        <w:t xml:space="preserve">Innovation foundation </w:t>
      </w:r>
      <w:r w:rsidR="00996B95">
        <w:rPr>
          <w:rFonts w:cs="Arial"/>
        </w:rPr>
        <w:t xml:space="preserve">Nesta, in partnership with the Department for Digital, Culture, Media and Sport, established a Future News Pilot Fund to </w:t>
      </w:r>
      <w:r w:rsidR="00996B95" w:rsidRPr="00D76292">
        <w:rPr>
          <w:rFonts w:cs="Arial"/>
        </w:rPr>
        <w:t xml:space="preserve">provide grants of </w:t>
      </w:r>
      <w:r w:rsidR="00996B95">
        <w:rPr>
          <w:rFonts w:cs="Arial"/>
        </w:rPr>
        <w:t xml:space="preserve">between </w:t>
      </w:r>
      <w:r w:rsidR="00996B95" w:rsidRPr="00D76292">
        <w:rPr>
          <w:rFonts w:cs="Arial"/>
        </w:rPr>
        <w:t>£20,000 to £100,000</w:t>
      </w:r>
      <w:r w:rsidR="00996B95">
        <w:rPr>
          <w:rFonts w:cs="Arial"/>
        </w:rPr>
        <w:t xml:space="preserve"> to test new approaches to public interest news.</w:t>
      </w:r>
      <w:r w:rsidR="00996B95">
        <w:rPr>
          <w:rStyle w:val="FootnoteReference"/>
          <w:rFonts w:cs="Arial"/>
        </w:rPr>
        <w:footnoteReference w:id="63"/>
      </w:r>
      <w:r w:rsidR="00996B95">
        <w:rPr>
          <w:rFonts w:cs="Arial"/>
        </w:rPr>
        <w:t xml:space="preserve"> Applications closed on 8 December 2019, and are due to be announced in Q1 2020.</w:t>
      </w:r>
    </w:p>
    <w:p w14:paraId="5C67B4BD" w14:textId="316244C4" w:rsidR="00C945D8" w:rsidRDefault="001C151B" w:rsidP="0020340F">
      <w:r>
        <w:rPr>
          <w:rFonts w:cs="Arial"/>
        </w:rPr>
        <w:t>In addition</w:t>
      </w:r>
      <w:r w:rsidR="00996B95">
        <w:rPr>
          <w:rFonts w:cs="Arial"/>
        </w:rPr>
        <w:t>, th</w:t>
      </w:r>
      <w:r w:rsidR="0062116F">
        <w:rPr>
          <w:rFonts w:cs="Arial"/>
        </w:rPr>
        <w:t>e UK’s Cairncross Review recommended</w:t>
      </w:r>
      <w:r w:rsidR="0062116F" w:rsidRPr="00FB7C05">
        <w:t xml:space="preserve"> </w:t>
      </w:r>
      <w:r w:rsidR="0062116F" w:rsidRPr="0023770F">
        <w:t>that direct financial support for local news should be expanded</w:t>
      </w:r>
      <w:r w:rsidR="003932B1">
        <w:t>,</w:t>
      </w:r>
      <w:r w:rsidR="0062116F">
        <w:t xml:space="preserve"> includ</w:t>
      </w:r>
      <w:r w:rsidR="003932B1">
        <w:t xml:space="preserve">ing </w:t>
      </w:r>
      <w:r w:rsidR="00680658">
        <w:t>through the</w:t>
      </w:r>
      <w:r w:rsidR="0062116F">
        <w:t xml:space="preserve"> refinement and extension of the </w:t>
      </w:r>
      <w:r w:rsidR="0062116F" w:rsidRPr="00E24290">
        <w:t>Local Democracy Reporting Service</w:t>
      </w:r>
      <w:r w:rsidR="0062116F" w:rsidRPr="00FF2EA2">
        <w:t xml:space="preserve"> (LDRS), </w:t>
      </w:r>
      <w:r w:rsidR="0062116F">
        <w:rPr>
          <w:rFonts w:cs="Arial"/>
        </w:rPr>
        <w:t xml:space="preserve">a public service news agency </w:t>
      </w:r>
      <w:r w:rsidR="0062116F" w:rsidRPr="00D80639">
        <w:t>funded by the BBC</w:t>
      </w:r>
      <w:r w:rsidR="0062116F">
        <w:t>.</w:t>
      </w:r>
      <w:r w:rsidR="0062116F">
        <w:rPr>
          <w:rStyle w:val="FootnoteReference"/>
        </w:rPr>
        <w:footnoteReference w:id="64"/>
      </w:r>
      <w:r w:rsidR="0062116F">
        <w:t xml:space="preserve"> The UK </w:t>
      </w:r>
      <w:r w:rsidR="003121C2">
        <w:t>G</w:t>
      </w:r>
      <w:r w:rsidR="0062116F">
        <w:t>overnment</w:t>
      </w:r>
      <w:r w:rsidR="003121C2">
        <w:t xml:space="preserve"> was</w:t>
      </w:r>
      <w:r w:rsidR="0062116F">
        <w:t xml:space="preserve"> </w:t>
      </w:r>
      <w:r w:rsidR="003121C2">
        <w:t>s</w:t>
      </w:r>
      <w:r w:rsidR="0062116F">
        <w:t>upport</w:t>
      </w:r>
      <w:r w:rsidR="003121C2">
        <w:t>ive of</w:t>
      </w:r>
      <w:r w:rsidR="0062116F">
        <w:t xml:space="preserve"> this recommendation</w:t>
      </w:r>
      <w:r w:rsidR="003121C2">
        <w:t xml:space="preserve">, </w:t>
      </w:r>
      <w:r w:rsidR="00853721">
        <w:t xml:space="preserve">accepting that </w:t>
      </w:r>
      <w:r w:rsidR="005A2BCB">
        <w:t>additional funding would assist in the provision of ‘public interest’ news</w:t>
      </w:r>
      <w:r w:rsidR="00E044D1">
        <w:t>, and calling on the BBC to</w:t>
      </w:r>
      <w:r w:rsidR="00E83A31">
        <w:t xml:space="preserve"> broaden the scope of its planned 2020 review to </w:t>
      </w:r>
      <w:r w:rsidR="009E5A4F">
        <w:t>consider how the LDRS could best be expanded</w:t>
      </w:r>
      <w:r w:rsidR="0062116F">
        <w:t>.</w:t>
      </w:r>
      <w:r w:rsidR="0062116F">
        <w:rPr>
          <w:rStyle w:val="FootnoteReference"/>
        </w:rPr>
        <w:footnoteReference w:id="65"/>
      </w:r>
    </w:p>
    <w:p w14:paraId="62440CFC" w14:textId="188CF095" w:rsidR="000A75F8" w:rsidRDefault="00FC0D22" w:rsidP="00E8259A">
      <w:r>
        <w:t xml:space="preserve">New funding arrangements to support local news are also </w:t>
      </w:r>
      <w:r w:rsidR="0091425E">
        <w:t xml:space="preserve">currently </w:t>
      </w:r>
      <w:r>
        <w:t xml:space="preserve">being considered </w:t>
      </w:r>
      <w:r w:rsidR="007F3FBC">
        <w:t xml:space="preserve">in Canada. In January </w:t>
      </w:r>
      <w:r w:rsidR="007B07F9">
        <w:t xml:space="preserve">2020, </w:t>
      </w:r>
      <w:r w:rsidR="002064D8">
        <w:t xml:space="preserve">the Canadian </w:t>
      </w:r>
      <w:r w:rsidR="007B07F9" w:rsidRPr="007B07F9">
        <w:t xml:space="preserve">Broadcasting &amp; Telecommunications Legislative Review Panel (BTLRP) released </w:t>
      </w:r>
      <w:r w:rsidR="0091425E">
        <w:t xml:space="preserve">the </w:t>
      </w:r>
      <w:r w:rsidR="007B07F9" w:rsidRPr="00CB78A7">
        <w:rPr>
          <w:i/>
        </w:rPr>
        <w:t>Canada’s Communications Future: Time to Ac</w:t>
      </w:r>
      <w:r w:rsidR="002064D8" w:rsidRPr="00CB78A7">
        <w:rPr>
          <w:i/>
        </w:rPr>
        <w:t>t</w:t>
      </w:r>
      <w:r w:rsidR="005C14CA">
        <w:t xml:space="preserve"> </w:t>
      </w:r>
      <w:r w:rsidR="00081A5A">
        <w:t>r</w:t>
      </w:r>
      <w:r w:rsidR="005C14CA">
        <w:t>eport</w:t>
      </w:r>
      <w:r w:rsidR="007F3FBC">
        <w:t>.</w:t>
      </w:r>
      <w:r w:rsidR="00E8259A">
        <w:t xml:space="preserve"> Among it</w:t>
      </w:r>
      <w:r w:rsidR="009B2C15">
        <w:t>s</w:t>
      </w:r>
      <w:r w:rsidR="00E8259A">
        <w:t xml:space="preserve"> many recommendations, the BTLRP </w:t>
      </w:r>
      <w:r w:rsidR="000A75F8">
        <w:t>proposed a new, independent arm’s</w:t>
      </w:r>
      <w:r w:rsidR="00081A5A">
        <w:t>-</w:t>
      </w:r>
      <w:r w:rsidR="000A75F8">
        <w:t xml:space="preserve">length </w:t>
      </w:r>
      <w:r w:rsidR="0071585E">
        <w:t xml:space="preserve">program to support the production of </w:t>
      </w:r>
      <w:r w:rsidR="009B2C15">
        <w:t xml:space="preserve">local </w:t>
      </w:r>
      <w:r w:rsidR="0071585E">
        <w:t>news on all platforms</w:t>
      </w:r>
      <w:r w:rsidR="009B2C15">
        <w:t xml:space="preserve">, </w:t>
      </w:r>
      <w:r w:rsidR="00693D42">
        <w:t>funded</w:t>
      </w:r>
      <w:r w:rsidR="003B3A40">
        <w:t xml:space="preserve"> through </w:t>
      </w:r>
      <w:r w:rsidR="00746787">
        <w:t xml:space="preserve">a redirection or reconsideration of existing </w:t>
      </w:r>
      <w:r w:rsidR="003B3A40">
        <w:t>levies</w:t>
      </w:r>
      <w:r w:rsidR="0025390B">
        <w:t xml:space="preserve"> on media aggregation</w:t>
      </w:r>
      <w:r w:rsidR="009A42E5">
        <w:t xml:space="preserve">, </w:t>
      </w:r>
      <w:r w:rsidR="00B37995">
        <w:t>media sharing</w:t>
      </w:r>
      <w:r w:rsidR="009A42E5">
        <w:t xml:space="preserve"> and broadcasting</w:t>
      </w:r>
      <w:r w:rsidR="00C84604">
        <w:t>.</w:t>
      </w:r>
      <w:r w:rsidR="00C84604">
        <w:rPr>
          <w:rStyle w:val="FootnoteReference"/>
        </w:rPr>
        <w:footnoteReference w:id="66"/>
      </w:r>
    </w:p>
    <w:p w14:paraId="2B790EE5" w14:textId="511B9BA4" w:rsidR="0062116F" w:rsidRDefault="0062116F" w:rsidP="0029133C">
      <w:pPr>
        <w:pStyle w:val="Heading2"/>
        <w:rPr>
          <w:rFonts w:asciiTheme="minorHAnsi" w:hAnsiTheme="minorHAnsi"/>
        </w:rPr>
      </w:pPr>
      <w:bookmarkStart w:id="18" w:name="_Toc58401289"/>
      <w:r>
        <w:t>Obligations on public</w:t>
      </w:r>
      <w:r w:rsidR="00291FF9">
        <w:t>ly funded</w:t>
      </w:r>
      <w:r>
        <w:t xml:space="preserve"> broadcasters</w:t>
      </w:r>
      <w:bookmarkEnd w:id="18"/>
    </w:p>
    <w:p w14:paraId="366961D3" w14:textId="11A57A1C" w:rsidR="0062116F" w:rsidRDefault="0062116F" w:rsidP="00013BD9">
      <w:pPr>
        <w:rPr>
          <w:rFonts w:cs="Arial"/>
        </w:rPr>
      </w:pPr>
      <w:r>
        <w:rPr>
          <w:rFonts w:cs="Arial"/>
        </w:rPr>
        <w:t xml:space="preserve">A key mission of public broadcasting is </w:t>
      </w:r>
      <w:r w:rsidR="006E217E">
        <w:rPr>
          <w:rFonts w:cs="Arial"/>
        </w:rPr>
        <w:t xml:space="preserve">to </w:t>
      </w:r>
      <w:r>
        <w:rPr>
          <w:rFonts w:cs="Arial"/>
        </w:rPr>
        <w:t>provid</w:t>
      </w:r>
      <w:r w:rsidR="006E217E">
        <w:rPr>
          <w:rFonts w:cs="Arial"/>
        </w:rPr>
        <w:t>e</w:t>
      </w:r>
      <w:r>
        <w:rPr>
          <w:rFonts w:cs="Arial"/>
        </w:rPr>
        <w:t xml:space="preserve"> </w:t>
      </w:r>
      <w:r w:rsidR="006E217E">
        <w:rPr>
          <w:rFonts w:cs="Arial"/>
        </w:rPr>
        <w:t xml:space="preserve">citizens with </w:t>
      </w:r>
      <w:r>
        <w:rPr>
          <w:rFonts w:cs="Arial"/>
        </w:rPr>
        <w:t>information</w:t>
      </w:r>
      <w:r w:rsidR="005C3048">
        <w:rPr>
          <w:rFonts w:cs="Arial"/>
        </w:rPr>
        <w:t>, discussion and</w:t>
      </w:r>
      <w:r>
        <w:rPr>
          <w:rFonts w:cs="Arial"/>
        </w:rPr>
        <w:t xml:space="preserve"> entertainment to </w:t>
      </w:r>
      <w:r w:rsidR="00124DB8">
        <w:rPr>
          <w:rFonts w:cs="Arial"/>
        </w:rPr>
        <w:t xml:space="preserve">help </w:t>
      </w:r>
      <w:r w:rsidR="00F9547C">
        <w:rPr>
          <w:rFonts w:cs="Arial"/>
        </w:rPr>
        <w:t xml:space="preserve">build community </w:t>
      </w:r>
      <w:r w:rsidR="00134073">
        <w:rPr>
          <w:rFonts w:cs="Arial"/>
        </w:rPr>
        <w:t xml:space="preserve">identity </w:t>
      </w:r>
      <w:r w:rsidR="00F9547C">
        <w:rPr>
          <w:rFonts w:cs="Arial"/>
        </w:rPr>
        <w:t xml:space="preserve">and </w:t>
      </w:r>
      <w:r>
        <w:rPr>
          <w:rFonts w:cs="Arial"/>
        </w:rPr>
        <w:t xml:space="preserve">enable participation in public life. Public service broadcasters </w:t>
      </w:r>
      <w:r w:rsidR="00F730DE">
        <w:rPr>
          <w:rFonts w:cs="Arial"/>
        </w:rPr>
        <w:t>usually</w:t>
      </w:r>
      <w:r>
        <w:rPr>
          <w:rFonts w:cs="Arial"/>
        </w:rPr>
        <w:t xml:space="preserve"> aim to be widely geographically accessible and to appeal across population segments, including minority groups. These objectives mean that public broadcasters generally contribute to a</w:t>
      </w:r>
      <w:r w:rsidR="003B05B2">
        <w:rPr>
          <w:rFonts w:cs="Arial"/>
        </w:rPr>
        <w:t>n increased</w:t>
      </w:r>
      <w:r>
        <w:rPr>
          <w:rFonts w:cs="Arial"/>
        </w:rPr>
        <w:t xml:space="preserve"> </w:t>
      </w:r>
      <w:r w:rsidR="003B05B2">
        <w:rPr>
          <w:rFonts w:cs="Arial"/>
        </w:rPr>
        <w:t xml:space="preserve">level of </w:t>
      </w:r>
      <w:r>
        <w:rPr>
          <w:rFonts w:cs="Arial"/>
        </w:rPr>
        <w:t>divers</w:t>
      </w:r>
      <w:r w:rsidR="003B05B2">
        <w:rPr>
          <w:rFonts w:cs="Arial"/>
        </w:rPr>
        <w:t xml:space="preserve">ity in the </w:t>
      </w:r>
      <w:r>
        <w:rPr>
          <w:rFonts w:cs="Arial"/>
        </w:rPr>
        <w:t xml:space="preserve">media environment. </w:t>
      </w:r>
      <w:r w:rsidR="00D24149">
        <w:rPr>
          <w:rFonts w:cs="Arial"/>
        </w:rPr>
        <w:t xml:space="preserve">As these services </w:t>
      </w:r>
      <w:r w:rsidR="002713C6">
        <w:rPr>
          <w:rFonts w:cs="Arial"/>
        </w:rPr>
        <w:t xml:space="preserve">are </w:t>
      </w:r>
      <w:r w:rsidR="00E67588">
        <w:rPr>
          <w:rFonts w:cs="Arial"/>
        </w:rPr>
        <w:t xml:space="preserve">often </w:t>
      </w:r>
      <w:r w:rsidR="002713C6">
        <w:rPr>
          <w:rFonts w:cs="Arial"/>
        </w:rPr>
        <w:t>non-commercial</w:t>
      </w:r>
      <w:r w:rsidR="00C527EE">
        <w:rPr>
          <w:rFonts w:cs="Arial"/>
        </w:rPr>
        <w:t xml:space="preserve">, </w:t>
      </w:r>
      <w:r w:rsidR="00E67588">
        <w:rPr>
          <w:rFonts w:cs="Arial"/>
        </w:rPr>
        <w:t xml:space="preserve">however, </w:t>
      </w:r>
      <w:r>
        <w:rPr>
          <w:rFonts w:cs="Arial"/>
        </w:rPr>
        <w:t xml:space="preserve">measurements of media diversity often exclude public service broadcasters. </w:t>
      </w:r>
    </w:p>
    <w:p w14:paraId="03DAB904" w14:textId="48F9C700" w:rsidR="0062116F" w:rsidRDefault="0062116F" w:rsidP="00013BD9">
      <w:pPr>
        <w:rPr>
          <w:rFonts w:cs="Arial"/>
        </w:rPr>
      </w:pPr>
      <w:r>
        <w:rPr>
          <w:rFonts w:cs="Arial"/>
        </w:rPr>
        <w:t>The provision of public service broadcasting is common across the countries considered for this paper.</w:t>
      </w:r>
      <w:r w:rsidRPr="00DE294A">
        <w:rPr>
          <w:rFonts w:cs="Arial"/>
        </w:rPr>
        <w:t xml:space="preserve"> </w:t>
      </w:r>
      <w:r w:rsidR="00A8174B">
        <w:rPr>
          <w:rFonts w:cs="Arial"/>
        </w:rPr>
        <w:t>In particular, the p</w:t>
      </w:r>
      <w:r w:rsidR="00A16119">
        <w:rPr>
          <w:rFonts w:cs="Arial"/>
        </w:rPr>
        <w:t>ublic broadcast</w:t>
      </w:r>
      <w:r w:rsidR="0040303B">
        <w:rPr>
          <w:rFonts w:cs="Arial"/>
        </w:rPr>
        <w:t xml:space="preserve">ers in </w:t>
      </w:r>
      <w:r>
        <w:rPr>
          <w:rFonts w:cs="Arial"/>
        </w:rPr>
        <w:t>Australia</w:t>
      </w:r>
      <w:r w:rsidR="003F3BAC">
        <w:rPr>
          <w:rFonts w:cs="Arial"/>
        </w:rPr>
        <w:t xml:space="preserve"> (ABC and SBS)</w:t>
      </w:r>
      <w:r>
        <w:rPr>
          <w:rFonts w:cs="Arial"/>
        </w:rPr>
        <w:t>,</w:t>
      </w:r>
      <w:r w:rsidR="00015DCA">
        <w:rPr>
          <w:rFonts w:cs="Arial"/>
        </w:rPr>
        <w:t xml:space="preserve"> the UK (BBC), </w:t>
      </w:r>
      <w:r>
        <w:rPr>
          <w:rFonts w:cs="Arial"/>
        </w:rPr>
        <w:t xml:space="preserve">Canada </w:t>
      </w:r>
      <w:r w:rsidR="00AE5CC0">
        <w:rPr>
          <w:rFonts w:cs="Arial"/>
        </w:rPr>
        <w:t>(</w:t>
      </w:r>
      <w:r w:rsidR="002A1040">
        <w:rPr>
          <w:rFonts w:cs="Arial"/>
        </w:rPr>
        <w:t>CBC</w:t>
      </w:r>
      <w:r w:rsidR="00AB034B">
        <w:rPr>
          <w:rFonts w:cs="Arial"/>
        </w:rPr>
        <w:t>/Radio Canada</w:t>
      </w:r>
      <w:r w:rsidR="002A1040">
        <w:rPr>
          <w:rFonts w:cs="Arial"/>
        </w:rPr>
        <w:t>)</w:t>
      </w:r>
      <w:r w:rsidR="00C77741">
        <w:rPr>
          <w:rFonts w:cs="Arial"/>
        </w:rPr>
        <w:t xml:space="preserve"> </w:t>
      </w:r>
      <w:r w:rsidR="006B3F89">
        <w:rPr>
          <w:rFonts w:cs="Arial"/>
        </w:rPr>
        <w:t>and Norway (</w:t>
      </w:r>
      <w:r w:rsidR="00AC3959">
        <w:rPr>
          <w:rFonts w:cs="Arial"/>
        </w:rPr>
        <w:t xml:space="preserve">NRK) </w:t>
      </w:r>
      <w:r w:rsidR="00C77741">
        <w:rPr>
          <w:rFonts w:cs="Arial"/>
        </w:rPr>
        <w:t>are</w:t>
      </w:r>
      <w:r w:rsidR="00563788">
        <w:rPr>
          <w:rFonts w:cs="Arial"/>
        </w:rPr>
        <w:t xml:space="preserve"> considered </w:t>
      </w:r>
      <w:r w:rsidR="00C77741">
        <w:rPr>
          <w:rFonts w:cs="Arial"/>
        </w:rPr>
        <w:t>major</w:t>
      </w:r>
      <w:r w:rsidR="008F48E3">
        <w:rPr>
          <w:rFonts w:cs="Arial"/>
        </w:rPr>
        <w:t xml:space="preserve"> contributors to news </w:t>
      </w:r>
      <w:r w:rsidR="00A8174B">
        <w:rPr>
          <w:rFonts w:cs="Arial"/>
        </w:rPr>
        <w:t xml:space="preserve">output </w:t>
      </w:r>
      <w:r w:rsidR="008F48E3">
        <w:rPr>
          <w:rFonts w:cs="Arial"/>
        </w:rPr>
        <w:t>in their respective countries</w:t>
      </w:r>
      <w:r>
        <w:rPr>
          <w:rFonts w:cs="Arial"/>
        </w:rPr>
        <w:t>.</w:t>
      </w:r>
    </w:p>
    <w:p w14:paraId="4D99D957" w14:textId="7E95CF61" w:rsidR="0062116F" w:rsidRDefault="0062116F" w:rsidP="00A02D66">
      <w:pPr>
        <w:rPr>
          <w:rFonts w:cs="Arial"/>
        </w:rPr>
      </w:pPr>
      <w:r>
        <w:t>In Australia, the ABC is the primary national public broadcaster</w:t>
      </w:r>
      <w:r w:rsidRPr="001236F9">
        <w:rPr>
          <w:rFonts w:cs="Arial"/>
        </w:rPr>
        <w:t>.</w:t>
      </w:r>
      <w:r>
        <w:rPr>
          <w:rFonts w:cs="Arial"/>
        </w:rPr>
        <w:t xml:space="preserve"> </w:t>
      </w:r>
      <w:r w:rsidRPr="001236F9">
        <w:rPr>
          <w:rFonts w:cs="Arial"/>
        </w:rPr>
        <w:t xml:space="preserve">The </w:t>
      </w:r>
      <w:r w:rsidRPr="00527108">
        <w:t>ABC’s Charter</w:t>
      </w:r>
      <w:r w:rsidRPr="006F5BB0">
        <w:rPr>
          <w:rStyle w:val="Hyperlink"/>
          <w:rFonts w:cs="Arial"/>
          <w:color w:val="auto"/>
          <w:u w:val="none"/>
        </w:rPr>
        <w:t xml:space="preserve"> ou</w:t>
      </w:r>
      <w:r>
        <w:rPr>
          <w:rStyle w:val="Hyperlink"/>
          <w:rFonts w:cs="Arial"/>
          <w:color w:val="auto"/>
          <w:u w:val="none"/>
        </w:rPr>
        <w:t>tlines the ABC’s functions, including its role of providing broadcasting programs that ‘contribute to a sense of national identify and inform and entertain, and reflect the cultural diversity of, the Australian community.’</w:t>
      </w:r>
      <w:r>
        <w:rPr>
          <w:rStyle w:val="FootnoteReference"/>
          <w:rFonts w:cs="Arial"/>
        </w:rPr>
        <w:footnoteReference w:id="67"/>
      </w:r>
      <w:r>
        <w:rPr>
          <w:rStyle w:val="Hyperlink"/>
          <w:rFonts w:cs="Arial"/>
          <w:color w:val="auto"/>
          <w:u w:val="none"/>
        </w:rPr>
        <w:t xml:space="preserve"> </w:t>
      </w:r>
      <w:r w:rsidR="00A81CA9">
        <w:rPr>
          <w:rStyle w:val="Hyperlink"/>
          <w:rFonts w:cs="Arial"/>
          <w:color w:val="auto"/>
          <w:u w:val="none"/>
        </w:rPr>
        <w:t>While t</w:t>
      </w:r>
      <w:r>
        <w:rPr>
          <w:rStyle w:val="Hyperlink"/>
          <w:rFonts w:cs="Arial"/>
          <w:color w:val="auto"/>
          <w:u w:val="none"/>
        </w:rPr>
        <w:t xml:space="preserve">he Charter does not detail a specific role for the ABC in producing broadcast news about rural and regional </w:t>
      </w:r>
      <w:r>
        <w:rPr>
          <w:rStyle w:val="Hyperlink"/>
          <w:rFonts w:cs="Arial"/>
          <w:color w:val="auto"/>
          <w:u w:val="none"/>
        </w:rPr>
        <w:lastRenderedPageBreak/>
        <w:t>Australia or specify content quotas</w:t>
      </w:r>
      <w:r w:rsidR="00590AD8">
        <w:rPr>
          <w:rStyle w:val="Hyperlink"/>
          <w:rFonts w:cs="Arial"/>
          <w:color w:val="auto"/>
          <w:u w:val="none"/>
        </w:rPr>
        <w:t>,</w:t>
      </w:r>
      <w:r w:rsidR="006B7A48">
        <w:rPr>
          <w:rStyle w:val="FootnoteReference"/>
          <w:rFonts w:cs="Arial"/>
        </w:rPr>
        <w:footnoteReference w:id="68"/>
      </w:r>
      <w:r w:rsidR="00590AD8">
        <w:rPr>
          <w:rStyle w:val="Hyperlink"/>
          <w:rFonts w:cs="Arial"/>
          <w:color w:val="auto"/>
          <w:u w:val="none"/>
        </w:rPr>
        <w:t xml:space="preserve"> the</w:t>
      </w:r>
      <w:r w:rsidR="00370EF4">
        <w:rPr>
          <w:rStyle w:val="Hyperlink"/>
          <w:rFonts w:cs="Arial"/>
          <w:color w:val="auto"/>
          <w:u w:val="none"/>
        </w:rPr>
        <w:t xml:space="preserve"> ABC has a </w:t>
      </w:r>
      <w:r w:rsidR="0054657E">
        <w:rPr>
          <w:rStyle w:val="Hyperlink"/>
          <w:rFonts w:cs="Arial"/>
          <w:color w:val="auto"/>
          <w:u w:val="none"/>
        </w:rPr>
        <w:t>legislative</w:t>
      </w:r>
      <w:r w:rsidR="00370EF4">
        <w:rPr>
          <w:rStyle w:val="Hyperlink"/>
          <w:rFonts w:cs="Arial"/>
          <w:color w:val="auto"/>
          <w:u w:val="none"/>
        </w:rPr>
        <w:t xml:space="preserve"> requirement to operate a </w:t>
      </w:r>
      <w:r w:rsidR="00F546BA">
        <w:rPr>
          <w:rStyle w:val="Hyperlink"/>
          <w:rFonts w:cs="Arial"/>
          <w:color w:val="auto"/>
          <w:u w:val="none"/>
        </w:rPr>
        <w:t xml:space="preserve">daily, </w:t>
      </w:r>
      <w:r w:rsidR="001D64D0">
        <w:rPr>
          <w:rStyle w:val="Hyperlink"/>
          <w:rFonts w:cs="Arial"/>
          <w:color w:val="auto"/>
          <w:u w:val="none"/>
        </w:rPr>
        <w:t>independent</w:t>
      </w:r>
      <w:r w:rsidR="00071750">
        <w:rPr>
          <w:rStyle w:val="Hyperlink"/>
          <w:rFonts w:cs="Arial"/>
          <w:color w:val="auto"/>
          <w:u w:val="none"/>
        </w:rPr>
        <w:t xml:space="preserve"> </w:t>
      </w:r>
      <w:r w:rsidR="00BD6D02">
        <w:rPr>
          <w:rStyle w:val="Hyperlink"/>
          <w:rFonts w:cs="Arial"/>
          <w:color w:val="auto"/>
          <w:u w:val="none"/>
        </w:rPr>
        <w:t>service for the broadcasting of news and information</w:t>
      </w:r>
      <w:r w:rsidR="00370EF4">
        <w:rPr>
          <w:rStyle w:val="Hyperlink"/>
          <w:rFonts w:cs="Arial"/>
          <w:color w:val="auto"/>
          <w:u w:val="none"/>
        </w:rPr>
        <w:t xml:space="preserve"> relating to current events both within and outside Australia</w:t>
      </w:r>
      <w:r w:rsidR="004B2DFB">
        <w:rPr>
          <w:rStyle w:val="Hyperlink"/>
          <w:rFonts w:cs="Arial"/>
          <w:color w:val="auto"/>
          <w:u w:val="none"/>
        </w:rPr>
        <w:t>.</w:t>
      </w:r>
      <w:r w:rsidR="004B2DFB">
        <w:rPr>
          <w:rStyle w:val="FootnoteReference"/>
          <w:rFonts w:cs="Arial"/>
        </w:rPr>
        <w:footnoteReference w:id="69"/>
      </w:r>
      <w:r w:rsidR="00F9653D">
        <w:rPr>
          <w:rStyle w:val="Hyperlink"/>
          <w:rFonts w:cs="Arial"/>
          <w:color w:val="auto"/>
          <w:u w:val="none"/>
        </w:rPr>
        <w:t xml:space="preserve"> </w:t>
      </w:r>
      <w:r w:rsidR="006E7F2C">
        <w:rPr>
          <w:rStyle w:val="Hyperlink"/>
          <w:rFonts w:cs="Arial"/>
          <w:color w:val="auto"/>
          <w:u w:val="none"/>
        </w:rPr>
        <w:t xml:space="preserve">The ABC is </w:t>
      </w:r>
      <w:r w:rsidR="005650C6">
        <w:rPr>
          <w:rStyle w:val="Hyperlink"/>
          <w:rFonts w:cs="Arial"/>
          <w:color w:val="auto"/>
          <w:u w:val="none"/>
        </w:rPr>
        <w:t xml:space="preserve">supplemented by </w:t>
      </w:r>
      <w:r w:rsidR="003F5F10" w:rsidRPr="001236F9">
        <w:rPr>
          <w:rFonts w:cs="Arial"/>
        </w:rPr>
        <w:t>Australia's multicultural and multilingual public broadcaster</w:t>
      </w:r>
      <w:r w:rsidR="00256399">
        <w:rPr>
          <w:rFonts w:cs="Arial"/>
        </w:rPr>
        <w:t xml:space="preserve">, </w:t>
      </w:r>
      <w:r w:rsidR="005650C6">
        <w:rPr>
          <w:rStyle w:val="Hyperlink"/>
          <w:rFonts w:cs="Arial"/>
          <w:color w:val="auto"/>
          <w:u w:val="none"/>
        </w:rPr>
        <w:t>t</w:t>
      </w:r>
      <w:r>
        <w:rPr>
          <w:rStyle w:val="Hyperlink"/>
          <w:rFonts w:cs="Arial"/>
          <w:color w:val="auto"/>
          <w:u w:val="none"/>
        </w:rPr>
        <w:t xml:space="preserve">he </w:t>
      </w:r>
      <w:r w:rsidRPr="001236F9">
        <w:rPr>
          <w:rFonts w:cs="Arial"/>
        </w:rPr>
        <w:t>Special Broadcasting Service (SBS).</w:t>
      </w:r>
      <w:r>
        <w:rPr>
          <w:rFonts w:cs="Arial"/>
        </w:rPr>
        <w:t xml:space="preserve"> </w:t>
      </w:r>
      <w:r w:rsidR="00256399">
        <w:rPr>
          <w:rFonts w:cs="Arial"/>
        </w:rPr>
        <w:t>I</w:t>
      </w:r>
      <w:r>
        <w:rPr>
          <w:rFonts w:cs="Arial"/>
        </w:rPr>
        <w:t xml:space="preserve">n performing this function, </w:t>
      </w:r>
      <w:r w:rsidR="00256399">
        <w:rPr>
          <w:rFonts w:cs="Arial"/>
        </w:rPr>
        <w:t xml:space="preserve">SBS </w:t>
      </w:r>
      <w:r>
        <w:rPr>
          <w:rFonts w:cs="Arial"/>
        </w:rPr>
        <w:t>must ‘reflect the changing nature of Australian society, by presenting many points of view and using innovative forms of expression.’</w:t>
      </w:r>
      <w:r>
        <w:rPr>
          <w:rStyle w:val="FootnoteReference"/>
          <w:rFonts w:cs="Arial"/>
        </w:rPr>
        <w:footnoteReference w:id="70"/>
      </w:r>
    </w:p>
    <w:p w14:paraId="78F88E5D" w14:textId="4D73CEC8" w:rsidR="0062116F" w:rsidRDefault="0062116F" w:rsidP="00013BD9">
      <w:r>
        <w:rPr>
          <w:rFonts w:cs="Arial"/>
        </w:rPr>
        <w:t xml:space="preserve">The </w:t>
      </w:r>
      <w:r w:rsidR="00013885">
        <w:rPr>
          <w:rFonts w:cs="Arial"/>
        </w:rPr>
        <w:t xml:space="preserve">term ‘public service broadcasting’ in the </w:t>
      </w:r>
      <w:r>
        <w:rPr>
          <w:rFonts w:cs="Arial"/>
        </w:rPr>
        <w:t xml:space="preserve">UK </w:t>
      </w:r>
      <w:r w:rsidR="002A387D">
        <w:rPr>
          <w:rFonts w:cs="Arial"/>
        </w:rPr>
        <w:t xml:space="preserve">is broader </w:t>
      </w:r>
      <w:r w:rsidR="00A90F33">
        <w:rPr>
          <w:rFonts w:cs="Arial"/>
        </w:rPr>
        <w:t xml:space="preserve">than in Australia, </w:t>
      </w:r>
      <w:r w:rsidR="00CA5D8D">
        <w:rPr>
          <w:rFonts w:cs="Arial"/>
        </w:rPr>
        <w:t>refer</w:t>
      </w:r>
      <w:r w:rsidR="00A90F33">
        <w:rPr>
          <w:rFonts w:cs="Arial"/>
        </w:rPr>
        <w:t xml:space="preserve">ring </w:t>
      </w:r>
      <w:r w:rsidR="00CA5D8D">
        <w:rPr>
          <w:rFonts w:cs="Arial"/>
        </w:rPr>
        <w:t xml:space="preserve">to </w:t>
      </w:r>
      <w:r w:rsidR="00940339">
        <w:rPr>
          <w:rFonts w:cs="Arial"/>
        </w:rPr>
        <w:t xml:space="preserve">all broadcasting services that </w:t>
      </w:r>
      <w:r w:rsidR="00606394">
        <w:rPr>
          <w:rFonts w:cs="Arial"/>
        </w:rPr>
        <w:t xml:space="preserve">must adhere to </w:t>
      </w:r>
      <w:r w:rsidR="00685F0E">
        <w:rPr>
          <w:rFonts w:cs="Arial"/>
        </w:rPr>
        <w:t xml:space="preserve">public </w:t>
      </w:r>
      <w:r w:rsidR="00A04F5A">
        <w:rPr>
          <w:rFonts w:cs="Arial"/>
        </w:rPr>
        <w:t xml:space="preserve">interest </w:t>
      </w:r>
      <w:r w:rsidR="00685F0E">
        <w:rPr>
          <w:rFonts w:cs="Arial"/>
        </w:rPr>
        <w:t xml:space="preserve">obligations </w:t>
      </w:r>
      <w:r w:rsidR="00860B69">
        <w:rPr>
          <w:rFonts w:cs="Arial"/>
        </w:rPr>
        <w:t>and</w:t>
      </w:r>
      <w:r w:rsidR="00685F0E">
        <w:rPr>
          <w:rFonts w:cs="Arial"/>
        </w:rPr>
        <w:t xml:space="preserve"> </w:t>
      </w:r>
      <w:r w:rsidR="00A04F5A">
        <w:rPr>
          <w:rFonts w:cs="Arial"/>
        </w:rPr>
        <w:t xml:space="preserve">are intended for public benefit, rather than serving purely commercial interests. This includes the BBC </w:t>
      </w:r>
      <w:r w:rsidR="00FE5BFD">
        <w:rPr>
          <w:rFonts w:cs="Arial"/>
        </w:rPr>
        <w:t>(BBC</w:t>
      </w:r>
      <w:r w:rsidR="007D2995">
        <w:rPr>
          <w:rFonts w:cs="Arial"/>
        </w:rPr>
        <w:t xml:space="preserve"> One, BBC Two), </w:t>
      </w:r>
      <w:r w:rsidR="00214BF4">
        <w:rPr>
          <w:rFonts w:cs="Arial"/>
        </w:rPr>
        <w:t xml:space="preserve">the </w:t>
      </w:r>
      <w:r w:rsidR="007D2995">
        <w:rPr>
          <w:rFonts w:cs="Arial"/>
        </w:rPr>
        <w:t>Channel 3 services (I</w:t>
      </w:r>
      <w:r w:rsidR="002153C8">
        <w:rPr>
          <w:rFonts w:cs="Arial"/>
        </w:rPr>
        <w:t xml:space="preserve">TV and STV), </w:t>
      </w:r>
      <w:r w:rsidR="007E2FF6">
        <w:rPr>
          <w:rFonts w:cs="Arial"/>
        </w:rPr>
        <w:t xml:space="preserve">and </w:t>
      </w:r>
      <w:r w:rsidR="002146D6" w:rsidRPr="002146D6">
        <w:rPr>
          <w:rFonts w:cs="Arial"/>
        </w:rPr>
        <w:t>Channel 4</w:t>
      </w:r>
      <w:r w:rsidR="002153C8">
        <w:rPr>
          <w:rFonts w:cs="Arial"/>
        </w:rPr>
        <w:t xml:space="preserve"> and</w:t>
      </w:r>
      <w:r w:rsidR="002146D6" w:rsidRPr="002146D6">
        <w:rPr>
          <w:rFonts w:cs="Arial"/>
        </w:rPr>
        <w:t xml:space="preserve"> Channel 5</w:t>
      </w:r>
      <w:r>
        <w:rPr>
          <w:rFonts w:cs="Arial"/>
        </w:rPr>
        <w:t xml:space="preserve">, </w:t>
      </w:r>
      <w:r w:rsidR="00D84102" w:rsidRPr="00962CD8">
        <w:rPr>
          <w:rFonts w:cs="Arial"/>
        </w:rPr>
        <w:t>a</w:t>
      </w:r>
      <w:r w:rsidR="00D84102">
        <w:rPr>
          <w:rFonts w:cs="Arial"/>
        </w:rPr>
        <w:t>ll of which are</w:t>
      </w:r>
      <w:r w:rsidR="00D84102" w:rsidRPr="00962CD8">
        <w:rPr>
          <w:rFonts w:cs="Arial"/>
        </w:rPr>
        <w:t xml:space="preserve"> required to provide </w:t>
      </w:r>
      <w:r w:rsidR="00D84102">
        <w:rPr>
          <w:rFonts w:cs="Arial"/>
        </w:rPr>
        <w:t xml:space="preserve">levels of </w:t>
      </w:r>
      <w:r w:rsidR="00D84102" w:rsidRPr="00962CD8">
        <w:rPr>
          <w:rFonts w:cs="Arial"/>
        </w:rPr>
        <w:t>news and local programming</w:t>
      </w:r>
      <w:r w:rsidR="00D84102">
        <w:rPr>
          <w:rFonts w:cs="Arial"/>
        </w:rPr>
        <w:t xml:space="preserve">, </w:t>
      </w:r>
      <w:r w:rsidR="001D6164">
        <w:rPr>
          <w:rFonts w:cs="Arial"/>
        </w:rPr>
        <w:t xml:space="preserve">and </w:t>
      </w:r>
      <w:r>
        <w:rPr>
          <w:rFonts w:cs="Arial"/>
        </w:rPr>
        <w:t xml:space="preserve">most of which also provide national and local radio services. </w:t>
      </w:r>
      <w:r w:rsidR="00A63689">
        <w:rPr>
          <w:rFonts w:cs="Arial"/>
        </w:rPr>
        <w:t xml:space="preserve">While the BBC is </w:t>
      </w:r>
      <w:r w:rsidR="00DA6BBB">
        <w:rPr>
          <w:rFonts w:cs="Arial"/>
        </w:rPr>
        <w:t xml:space="preserve">entirely </w:t>
      </w:r>
      <w:r w:rsidR="00D917C1">
        <w:rPr>
          <w:rFonts w:cs="Arial"/>
        </w:rPr>
        <w:t xml:space="preserve">publicly funded through </w:t>
      </w:r>
      <w:r w:rsidR="00DA6BBB">
        <w:rPr>
          <w:rFonts w:cs="Arial"/>
        </w:rPr>
        <w:t xml:space="preserve">TV </w:t>
      </w:r>
      <w:r w:rsidR="0068223A">
        <w:rPr>
          <w:rFonts w:cs="Arial"/>
        </w:rPr>
        <w:t>licence fees</w:t>
      </w:r>
      <w:r w:rsidR="00DA6BBB">
        <w:rPr>
          <w:rFonts w:cs="Arial"/>
        </w:rPr>
        <w:t>, the remaining public service broadcasters are advertiser-supported</w:t>
      </w:r>
      <w:r w:rsidR="00607967">
        <w:rPr>
          <w:rFonts w:cs="Arial"/>
        </w:rPr>
        <w:t>,</w:t>
      </w:r>
      <w:r w:rsidRPr="00962CD8">
        <w:rPr>
          <w:rFonts w:cs="Arial"/>
        </w:rPr>
        <w:t xml:space="preserve"> </w:t>
      </w:r>
      <w:r w:rsidR="00E11053">
        <w:rPr>
          <w:rFonts w:cs="Arial"/>
        </w:rPr>
        <w:t xml:space="preserve">but receive </w:t>
      </w:r>
      <w:r w:rsidR="00DC3C70">
        <w:rPr>
          <w:rFonts w:cs="Arial"/>
        </w:rPr>
        <w:t xml:space="preserve">public benefits through </w:t>
      </w:r>
      <w:r w:rsidR="00E814CC">
        <w:rPr>
          <w:rFonts w:cs="Arial"/>
        </w:rPr>
        <w:t>free</w:t>
      </w:r>
      <w:r w:rsidRPr="00962CD8">
        <w:rPr>
          <w:rFonts w:cs="Arial"/>
        </w:rPr>
        <w:t xml:space="preserve"> access to spectrum and prominence on </w:t>
      </w:r>
      <w:r w:rsidR="007E2FF6">
        <w:rPr>
          <w:rFonts w:cs="Arial"/>
        </w:rPr>
        <w:t>e</w:t>
      </w:r>
      <w:r w:rsidRPr="00962CD8">
        <w:rPr>
          <w:rFonts w:cs="Arial"/>
        </w:rPr>
        <w:t xml:space="preserve">lectronic </w:t>
      </w:r>
      <w:r w:rsidR="007E2FF6">
        <w:rPr>
          <w:rFonts w:cs="Arial"/>
        </w:rPr>
        <w:t>p</w:t>
      </w:r>
      <w:r w:rsidRPr="00962CD8">
        <w:rPr>
          <w:rFonts w:cs="Arial"/>
        </w:rPr>
        <w:t xml:space="preserve">rogramme </w:t>
      </w:r>
      <w:r w:rsidR="007E2FF6">
        <w:rPr>
          <w:rFonts w:cs="Arial"/>
        </w:rPr>
        <w:t>g</w:t>
      </w:r>
      <w:r w:rsidRPr="00962CD8">
        <w:rPr>
          <w:rFonts w:cs="Arial"/>
        </w:rPr>
        <w:t>uides</w:t>
      </w:r>
      <w:r>
        <w:rPr>
          <w:rFonts w:cs="Arial"/>
        </w:rPr>
        <w:t xml:space="preserve"> (menu-based systems that provide users with scheduling for broadcast programming).</w:t>
      </w:r>
      <w:r>
        <w:rPr>
          <w:rStyle w:val="FootnoteReference"/>
          <w:rFonts w:cs="Arial"/>
        </w:rPr>
        <w:footnoteReference w:id="71"/>
      </w:r>
      <w:r>
        <w:rPr>
          <w:rFonts w:cs="Arial"/>
        </w:rPr>
        <w:t xml:space="preserve"> The BBC is</w:t>
      </w:r>
      <w:r w:rsidR="001F3F71">
        <w:rPr>
          <w:rFonts w:cs="Arial"/>
        </w:rPr>
        <w:t xml:space="preserve"> also</w:t>
      </w:r>
      <w:r>
        <w:rPr>
          <w:rFonts w:cs="Arial"/>
        </w:rPr>
        <w:t xml:space="preserve"> subject to formal content quotas </w:t>
      </w:r>
      <w:r w:rsidR="00D33606">
        <w:rPr>
          <w:rFonts w:cs="Arial"/>
        </w:rPr>
        <w:t>for news and current affairs, which were strengthened in 2017 as part of changes to the BBC’s operating licence</w:t>
      </w:r>
      <w:r>
        <w:rPr>
          <w:rFonts w:cs="Arial"/>
        </w:rPr>
        <w:t>.</w:t>
      </w:r>
      <w:r>
        <w:rPr>
          <w:rStyle w:val="FootnoteReference"/>
          <w:rFonts w:cs="Arial"/>
        </w:rPr>
        <w:footnoteReference w:id="72"/>
      </w:r>
      <w:r>
        <w:rPr>
          <w:rFonts w:cs="Arial"/>
        </w:rPr>
        <w:t xml:space="preserve"> Further, </w:t>
      </w:r>
      <w:r>
        <w:t xml:space="preserve">S4C and BBC Alba in the UK have a specific remit to support </w:t>
      </w:r>
      <w:r w:rsidRPr="00602495">
        <w:t>indigenous</w:t>
      </w:r>
      <w:r>
        <w:t xml:space="preserve"> languages in Wales and Scotland, and to provide local news content in those languages.</w:t>
      </w:r>
      <w:r>
        <w:rPr>
          <w:rStyle w:val="FootnoteReference"/>
        </w:rPr>
        <w:footnoteReference w:id="73"/>
      </w:r>
    </w:p>
    <w:tbl>
      <w:tblPr>
        <w:tblStyle w:val="TableGrid"/>
        <w:tblW w:w="0" w:type="auto"/>
        <w:shd w:val="clear" w:color="auto" w:fill="F2F2F2" w:themeFill="background1" w:themeFillShade="F2"/>
        <w:tblLook w:val="04A0" w:firstRow="1" w:lastRow="0" w:firstColumn="1" w:lastColumn="0" w:noHBand="0" w:noVBand="1"/>
      </w:tblPr>
      <w:tblGrid>
        <w:gridCol w:w="7661"/>
      </w:tblGrid>
      <w:tr w:rsidR="00904603" w14:paraId="43B1758F" w14:textId="77777777" w:rsidTr="00741DBA">
        <w:tc>
          <w:tcPr>
            <w:tcW w:w="7661" w:type="dxa"/>
            <w:shd w:val="clear" w:color="auto" w:fill="F2F2F2" w:themeFill="background1" w:themeFillShade="F2"/>
          </w:tcPr>
          <w:p w14:paraId="0C0CFADF" w14:textId="6F94C659" w:rsidR="00904603" w:rsidRPr="00CB78A7" w:rsidRDefault="00340B46" w:rsidP="00CE791F">
            <w:pPr>
              <w:spacing w:before="80" w:after="120"/>
              <w:rPr>
                <w:b/>
                <w:sz w:val="24"/>
              </w:rPr>
            </w:pPr>
            <w:r>
              <w:rPr>
                <w:b/>
                <w:sz w:val="24"/>
              </w:rPr>
              <w:t xml:space="preserve">Initiatives by </w:t>
            </w:r>
            <w:r w:rsidR="00835DB5">
              <w:rPr>
                <w:b/>
                <w:sz w:val="24"/>
              </w:rPr>
              <w:t>public broadcasters</w:t>
            </w:r>
          </w:p>
          <w:p w14:paraId="520FD028" w14:textId="09EC41B9" w:rsidR="00904603" w:rsidRPr="00B5279B" w:rsidRDefault="00353833" w:rsidP="00CE791F">
            <w:pPr>
              <w:spacing w:after="120"/>
              <w:rPr>
                <w:rFonts w:cs="Arial"/>
              </w:rPr>
            </w:pPr>
            <w:r>
              <w:rPr>
                <w:rFonts w:cs="Arial"/>
              </w:rPr>
              <w:t xml:space="preserve">In response to </w:t>
            </w:r>
            <w:r w:rsidR="00D65B68">
              <w:rPr>
                <w:rFonts w:cs="Arial"/>
              </w:rPr>
              <w:t xml:space="preserve">declining </w:t>
            </w:r>
            <w:r>
              <w:rPr>
                <w:rFonts w:cs="Arial"/>
              </w:rPr>
              <w:t xml:space="preserve">local news </w:t>
            </w:r>
            <w:r w:rsidR="00D65B68">
              <w:rPr>
                <w:rFonts w:cs="Arial"/>
              </w:rPr>
              <w:t>production, some p</w:t>
            </w:r>
            <w:r w:rsidR="009C5C3B">
              <w:rPr>
                <w:rFonts w:cs="Arial"/>
              </w:rPr>
              <w:t xml:space="preserve">ublic broadcasters </w:t>
            </w:r>
            <w:r w:rsidR="000D52C1">
              <w:rPr>
                <w:rFonts w:cs="Arial"/>
              </w:rPr>
              <w:t xml:space="preserve">have </w:t>
            </w:r>
            <w:r w:rsidR="00F5613F">
              <w:rPr>
                <w:rFonts w:cs="Arial"/>
              </w:rPr>
              <w:t>establish</w:t>
            </w:r>
            <w:r w:rsidR="000D52C1">
              <w:rPr>
                <w:rFonts w:cs="Arial"/>
              </w:rPr>
              <w:t>ed</w:t>
            </w:r>
            <w:r w:rsidR="00F5613F">
              <w:rPr>
                <w:rFonts w:cs="Arial"/>
              </w:rPr>
              <w:t xml:space="preserve"> their own initiatives to </w:t>
            </w:r>
            <w:r w:rsidR="000D52C1">
              <w:rPr>
                <w:rFonts w:cs="Arial"/>
              </w:rPr>
              <w:t xml:space="preserve">help </w:t>
            </w:r>
            <w:r w:rsidR="00CC2C85">
              <w:rPr>
                <w:rFonts w:cs="Arial"/>
              </w:rPr>
              <w:t xml:space="preserve">fund and </w:t>
            </w:r>
            <w:r w:rsidR="00575D57">
              <w:rPr>
                <w:rFonts w:cs="Arial"/>
              </w:rPr>
              <w:t xml:space="preserve">improve </w:t>
            </w:r>
            <w:r w:rsidR="00DF71C3">
              <w:rPr>
                <w:rFonts w:cs="Arial"/>
              </w:rPr>
              <w:t>local journalism</w:t>
            </w:r>
            <w:r w:rsidR="009A019D">
              <w:rPr>
                <w:rFonts w:cs="Arial"/>
              </w:rPr>
              <w:t xml:space="preserve">. </w:t>
            </w:r>
            <w:r w:rsidR="00F54ACF">
              <w:rPr>
                <w:rFonts w:cs="Arial"/>
              </w:rPr>
              <w:t xml:space="preserve">In 2016, </w:t>
            </w:r>
            <w:r w:rsidR="006072D0">
              <w:rPr>
                <w:rFonts w:cs="Arial"/>
              </w:rPr>
              <w:t xml:space="preserve">for example, </w:t>
            </w:r>
            <w:r w:rsidR="00F54ACF">
              <w:rPr>
                <w:rFonts w:cs="Arial"/>
              </w:rPr>
              <w:t>t</w:t>
            </w:r>
            <w:r w:rsidR="00904603">
              <w:rPr>
                <w:rFonts w:cs="Arial"/>
              </w:rPr>
              <w:t xml:space="preserve">he </w:t>
            </w:r>
            <w:r w:rsidR="0064148A">
              <w:rPr>
                <w:rFonts w:cs="Arial"/>
              </w:rPr>
              <w:t>BBC</w:t>
            </w:r>
            <w:r w:rsidR="00904603">
              <w:rPr>
                <w:rFonts w:cs="Arial"/>
              </w:rPr>
              <w:t xml:space="preserve"> established the Local Democracy Reporting Service (LDRS), a public service news agency </w:t>
            </w:r>
            <w:r w:rsidR="00BE5F05">
              <w:rPr>
                <w:rFonts w:cs="Arial"/>
              </w:rPr>
              <w:t xml:space="preserve">seeking to </w:t>
            </w:r>
            <w:r w:rsidR="00BE5F05" w:rsidRPr="00187108">
              <w:t xml:space="preserve">provide impartial </w:t>
            </w:r>
            <w:r w:rsidR="00BE5F05">
              <w:t xml:space="preserve">local </w:t>
            </w:r>
            <w:r w:rsidR="00BE5F05" w:rsidRPr="00187108">
              <w:t xml:space="preserve">coverage of </w:t>
            </w:r>
            <w:r w:rsidR="00BE5F05">
              <w:t xml:space="preserve">the </w:t>
            </w:r>
            <w:r w:rsidR="00BE5F05" w:rsidRPr="00187108">
              <w:t xml:space="preserve">workings of local authorities </w:t>
            </w:r>
            <w:r w:rsidR="00547ADD" w:rsidRPr="00187108">
              <w:t xml:space="preserve">and other relevant democratic institutions </w:t>
            </w:r>
            <w:r w:rsidR="00BE5F05" w:rsidRPr="00187108">
              <w:t>in the UK</w:t>
            </w:r>
            <w:r w:rsidR="00BE5F05">
              <w:t>.</w:t>
            </w:r>
            <w:r w:rsidR="00BE5F05">
              <w:rPr>
                <w:rStyle w:val="FootnoteReference"/>
              </w:rPr>
              <w:footnoteReference w:id="74"/>
            </w:r>
            <w:r w:rsidR="00547ADD">
              <w:t xml:space="preserve"> </w:t>
            </w:r>
            <w:r w:rsidR="00904603">
              <w:t>As stated on the BBC’s website, the LDRS was created to ‘help fill a gap in the reporting of local democracy issues across the UK’</w:t>
            </w:r>
            <w:r w:rsidR="005513B4">
              <w:t>, and has subsequently created 1</w:t>
            </w:r>
            <w:r w:rsidR="00D80025">
              <w:t>5</w:t>
            </w:r>
            <w:r w:rsidR="005513B4">
              <w:t xml:space="preserve">0 new journalism </w:t>
            </w:r>
            <w:r w:rsidR="00D80025">
              <w:t>jobs</w:t>
            </w:r>
            <w:r w:rsidR="00904603">
              <w:t>.</w:t>
            </w:r>
            <w:r w:rsidR="00904603">
              <w:rPr>
                <w:rStyle w:val="FootnoteReference"/>
              </w:rPr>
              <w:footnoteReference w:id="75"/>
            </w:r>
            <w:r w:rsidR="00904603" w:rsidRPr="00187108">
              <w:t xml:space="preserve"> </w:t>
            </w:r>
          </w:p>
        </w:tc>
      </w:tr>
    </w:tbl>
    <w:p w14:paraId="6119F097" w14:textId="1E56A210" w:rsidR="0062116F" w:rsidRDefault="0062116F" w:rsidP="00CD2084">
      <w:pPr>
        <w:spacing w:before="240"/>
        <w:rPr>
          <w:rFonts w:cs="Arial"/>
        </w:rPr>
      </w:pPr>
      <w:r>
        <w:rPr>
          <w:rFonts w:cs="Arial"/>
        </w:rPr>
        <w:t xml:space="preserve">In Canada, the national public broadcaster </w:t>
      </w:r>
      <w:r w:rsidR="00323A99">
        <w:rPr>
          <w:rFonts w:cs="Arial"/>
        </w:rPr>
        <w:t>(</w:t>
      </w:r>
      <w:r>
        <w:rPr>
          <w:rFonts w:cs="Arial"/>
        </w:rPr>
        <w:t xml:space="preserve">the </w:t>
      </w:r>
      <w:r w:rsidRPr="00602495">
        <w:rPr>
          <w:rFonts w:cs="Arial"/>
        </w:rPr>
        <w:t>CBC</w:t>
      </w:r>
      <w:r w:rsidR="00323A99">
        <w:rPr>
          <w:rFonts w:cs="Arial"/>
        </w:rPr>
        <w:t>)</w:t>
      </w:r>
      <w:r>
        <w:rPr>
          <w:rFonts w:cs="Arial"/>
        </w:rPr>
        <w:t xml:space="preserve">, aims to ‘ensure that Canada’s broadcasting system provides content that meets the needs and interests of Canadians’ including by ensuring access to high-quality local news, encouraging linguistic duality (English and French) and supporting </w:t>
      </w:r>
      <w:r w:rsidRPr="00602495">
        <w:rPr>
          <w:rFonts w:cs="Arial"/>
        </w:rPr>
        <w:t>indigenous</w:t>
      </w:r>
      <w:r>
        <w:rPr>
          <w:rFonts w:cs="Arial"/>
        </w:rPr>
        <w:t xml:space="preserve"> people through the Native Broadcasting Policy and by licensing the Aboriginal Peoples Television Network.</w:t>
      </w:r>
      <w:r>
        <w:rPr>
          <w:rStyle w:val="FootnoteReference"/>
          <w:rFonts w:cs="Arial"/>
        </w:rPr>
        <w:footnoteReference w:id="76"/>
      </w:r>
      <w:r>
        <w:rPr>
          <w:rFonts w:cs="Arial"/>
        </w:rPr>
        <w:t xml:space="preserve"> </w:t>
      </w:r>
      <w:r w:rsidR="00E63B0F">
        <w:rPr>
          <w:rFonts w:cs="Arial"/>
        </w:rPr>
        <w:t xml:space="preserve">Unlike </w:t>
      </w:r>
      <w:r w:rsidR="00666FF8">
        <w:rPr>
          <w:rFonts w:cs="Arial"/>
        </w:rPr>
        <w:t xml:space="preserve">the ABC in </w:t>
      </w:r>
      <w:r w:rsidR="00E63B0F">
        <w:rPr>
          <w:rFonts w:cs="Arial"/>
        </w:rPr>
        <w:t xml:space="preserve">Australia or the </w:t>
      </w:r>
      <w:r w:rsidR="00666FF8">
        <w:rPr>
          <w:rFonts w:cs="Arial"/>
        </w:rPr>
        <w:t xml:space="preserve">BBC in the </w:t>
      </w:r>
      <w:r w:rsidR="00E63B0F">
        <w:rPr>
          <w:rFonts w:cs="Arial"/>
        </w:rPr>
        <w:t>UK, CBC</w:t>
      </w:r>
      <w:r w:rsidR="00666FF8">
        <w:rPr>
          <w:rFonts w:cs="Arial"/>
        </w:rPr>
        <w:t xml:space="preserve"> </w:t>
      </w:r>
      <w:r w:rsidR="00B93134">
        <w:rPr>
          <w:rFonts w:cs="Arial"/>
        </w:rPr>
        <w:t xml:space="preserve">services </w:t>
      </w:r>
      <w:r w:rsidR="0018628B">
        <w:rPr>
          <w:rFonts w:cs="Arial"/>
        </w:rPr>
        <w:t>are supported by advertising</w:t>
      </w:r>
      <w:r w:rsidR="00BB75AE">
        <w:rPr>
          <w:rFonts w:cs="Arial"/>
        </w:rPr>
        <w:t>.</w:t>
      </w:r>
      <w:r w:rsidR="0040645D">
        <w:rPr>
          <w:rFonts w:cs="Arial"/>
        </w:rPr>
        <w:t xml:space="preserve"> </w:t>
      </w:r>
      <w:r w:rsidR="00622415">
        <w:rPr>
          <w:rFonts w:cs="Arial"/>
        </w:rPr>
        <w:t>Canad</w:t>
      </w:r>
      <w:r w:rsidR="00C65B4E">
        <w:rPr>
          <w:rFonts w:cs="Arial"/>
        </w:rPr>
        <w:t>ian public broadcasting</w:t>
      </w:r>
      <w:r w:rsidR="00622415">
        <w:rPr>
          <w:rFonts w:cs="Arial"/>
        </w:rPr>
        <w:t xml:space="preserve"> also has </w:t>
      </w:r>
      <w:r w:rsidR="006D191C">
        <w:rPr>
          <w:rFonts w:cs="Arial"/>
        </w:rPr>
        <w:t xml:space="preserve">one of the lowest </w:t>
      </w:r>
      <w:r w:rsidR="003C7F7C">
        <w:rPr>
          <w:rFonts w:cs="Arial"/>
        </w:rPr>
        <w:lastRenderedPageBreak/>
        <w:t xml:space="preserve">rates of </w:t>
      </w:r>
      <w:r w:rsidR="00C65B4E">
        <w:rPr>
          <w:rFonts w:cs="Arial"/>
        </w:rPr>
        <w:t xml:space="preserve">public funding on a </w:t>
      </w:r>
      <w:r w:rsidR="006D191C">
        <w:rPr>
          <w:rFonts w:cs="Arial"/>
        </w:rPr>
        <w:t xml:space="preserve">per-capita </w:t>
      </w:r>
      <w:r w:rsidR="00C65B4E">
        <w:rPr>
          <w:rFonts w:cs="Arial"/>
        </w:rPr>
        <w:t>basis</w:t>
      </w:r>
      <w:r w:rsidR="00323A99">
        <w:rPr>
          <w:rFonts w:cs="Arial"/>
        </w:rPr>
        <w:t xml:space="preserve"> in the OECD</w:t>
      </w:r>
      <w:r w:rsidR="003515B6">
        <w:rPr>
          <w:rFonts w:cs="Arial"/>
        </w:rPr>
        <w:t xml:space="preserve">, behind </w:t>
      </w:r>
      <w:r w:rsidR="00BB75AE">
        <w:rPr>
          <w:rFonts w:cs="Arial"/>
        </w:rPr>
        <w:t xml:space="preserve">only </w:t>
      </w:r>
      <w:r w:rsidR="003515B6">
        <w:rPr>
          <w:rFonts w:cs="Arial"/>
        </w:rPr>
        <w:t>New Zealand and the US</w:t>
      </w:r>
      <w:r w:rsidR="007221F4">
        <w:rPr>
          <w:rFonts w:cs="Arial"/>
        </w:rPr>
        <w:t>.</w:t>
      </w:r>
      <w:r w:rsidR="003515B6">
        <w:rPr>
          <w:rStyle w:val="FootnoteReference"/>
          <w:rFonts w:cs="Arial"/>
        </w:rPr>
        <w:footnoteReference w:id="77"/>
      </w:r>
    </w:p>
    <w:p w14:paraId="12B7F60F" w14:textId="5D44C62C" w:rsidR="0062116F" w:rsidRDefault="00214DE1" w:rsidP="009612C0">
      <w:pPr>
        <w:pStyle w:val="Heading3"/>
      </w:pPr>
      <w:r>
        <w:t>Ongoing</w:t>
      </w:r>
      <w:r w:rsidR="0062116F">
        <w:t xml:space="preserve"> developments</w:t>
      </w:r>
    </w:p>
    <w:p w14:paraId="66A5209C" w14:textId="5AA53940" w:rsidR="0062116F" w:rsidRDefault="0062116F" w:rsidP="000A4532">
      <w:pPr>
        <w:rPr>
          <w:rFonts w:cs="Arial"/>
        </w:rPr>
      </w:pPr>
      <w:r>
        <w:t>In countries</w:t>
      </w:r>
      <w:r>
        <w:rPr>
          <w:rFonts w:cs="Arial"/>
        </w:rPr>
        <w:t xml:space="preserve"> with </w:t>
      </w:r>
      <w:r w:rsidR="00CB3C1C">
        <w:rPr>
          <w:rFonts w:cs="Arial"/>
        </w:rPr>
        <w:t xml:space="preserve">robust </w:t>
      </w:r>
      <w:r>
        <w:rPr>
          <w:rFonts w:cs="Arial"/>
        </w:rPr>
        <w:t>public service broadcasting systems, such as Australia, UK, Norway and Canada, there have been complaints from some commercial media groups that public broadcasters’ provision of free online news services has the potential to limit commercial media’s ability to compete in the digital market.</w:t>
      </w:r>
      <w:r>
        <w:rPr>
          <w:rStyle w:val="FootnoteReference"/>
          <w:rFonts w:cs="Arial"/>
        </w:rPr>
        <w:footnoteReference w:id="78"/>
      </w:r>
      <w:r>
        <w:rPr>
          <w:rFonts w:cs="Arial"/>
        </w:rPr>
        <w:t xml:space="preserve"> </w:t>
      </w:r>
    </w:p>
    <w:p w14:paraId="6A40C8E3" w14:textId="1BA303CF" w:rsidR="0062116F" w:rsidRDefault="002736FE" w:rsidP="000A4532">
      <w:r>
        <w:rPr>
          <w:rFonts w:cs="Arial"/>
        </w:rPr>
        <w:t>None of the</w:t>
      </w:r>
      <w:r w:rsidR="0062116F">
        <w:rPr>
          <w:rFonts w:cs="Arial"/>
        </w:rPr>
        <w:t xml:space="preserve"> countries reviewed </w:t>
      </w:r>
      <w:r w:rsidR="002D2E6B">
        <w:rPr>
          <w:rFonts w:cs="Arial"/>
        </w:rPr>
        <w:t xml:space="preserve">to date </w:t>
      </w:r>
      <w:r w:rsidR="0062116F">
        <w:rPr>
          <w:rFonts w:cs="Arial"/>
        </w:rPr>
        <w:t>appear to have taken direct action to limit public broadcasters competing in the market</w:t>
      </w:r>
      <w:r w:rsidR="002D2E6B">
        <w:rPr>
          <w:rFonts w:cs="Arial"/>
        </w:rPr>
        <w:t xml:space="preserve"> against commercial news providers</w:t>
      </w:r>
      <w:r w:rsidR="0062116F">
        <w:rPr>
          <w:rFonts w:cs="Arial"/>
        </w:rPr>
        <w:t>. In December 2018, Australia released the findings of an Inquiry into the Competitive Neutrality of National Broadcasters</w:t>
      </w:r>
      <w:r w:rsidR="007E2FF6">
        <w:rPr>
          <w:rFonts w:cs="Arial"/>
        </w:rPr>
        <w:t>,</w:t>
      </w:r>
      <w:r w:rsidR="0062116F">
        <w:rPr>
          <w:rFonts w:cs="Arial"/>
        </w:rPr>
        <w:t xml:space="preserve"> which found that the national broadcasters were not causing significant competitive distortions beyond the public interest.</w:t>
      </w:r>
      <w:r w:rsidR="0062116F">
        <w:rPr>
          <w:rStyle w:val="FootnoteReference"/>
          <w:rFonts w:cs="Arial"/>
        </w:rPr>
        <w:footnoteReference w:id="79"/>
      </w:r>
      <w:r w:rsidR="0062116F">
        <w:rPr>
          <w:rFonts w:cs="Arial"/>
        </w:rPr>
        <w:t xml:space="preserve"> Similarly, a 2018 review from the </w:t>
      </w:r>
      <w:r w:rsidR="0062116F">
        <w:t>Norwegian Media Authority found that the national public broadcaster, the NRK, positively contribute</w:t>
      </w:r>
      <w:r w:rsidR="007E2FF6">
        <w:t>d</w:t>
      </w:r>
      <w:r w:rsidR="0062116F">
        <w:t xml:space="preserve"> to media diversity by providing regional news</w:t>
      </w:r>
      <w:r w:rsidR="007E2FF6">
        <w:t>,</w:t>
      </w:r>
      <w:r w:rsidR="0062116F">
        <w:t xml:space="preserve"> and that reducing the NRK’s funding would not make the commercial media more competitive and may weaken rather than strengthen overall media diversity</w:t>
      </w:r>
      <w:r w:rsidR="0062116F" w:rsidRPr="00CE531C">
        <w:t>.</w:t>
      </w:r>
      <w:r w:rsidR="0062116F">
        <w:rPr>
          <w:rStyle w:val="FootnoteReference"/>
        </w:rPr>
        <w:footnoteReference w:id="80"/>
      </w:r>
    </w:p>
    <w:p w14:paraId="30FE6604" w14:textId="1897DCC6" w:rsidR="005252E3" w:rsidRDefault="00852C8C" w:rsidP="000A4532">
      <w:r>
        <w:t xml:space="preserve">The recent review into the Canadian communications </w:t>
      </w:r>
      <w:r w:rsidR="008749FF">
        <w:t xml:space="preserve">has </w:t>
      </w:r>
      <w:r w:rsidR="00295AAA">
        <w:t>recommended expanding the mandate of CBC/Radio-Canada to ex</w:t>
      </w:r>
      <w:r w:rsidR="00F010D5">
        <w:t xml:space="preserve">plicitly require the provision of national, regional and local news, and has </w:t>
      </w:r>
      <w:r w:rsidR="008749FF">
        <w:t xml:space="preserve">called for </w:t>
      </w:r>
      <w:r w:rsidR="00FF0B8C">
        <w:t xml:space="preserve">the </w:t>
      </w:r>
      <w:r w:rsidR="000B2953">
        <w:t xml:space="preserve">removal of advertising </w:t>
      </w:r>
      <w:r w:rsidR="00FD6621">
        <w:t xml:space="preserve">from news content </w:t>
      </w:r>
      <w:r w:rsidR="000B2953">
        <w:t xml:space="preserve">and </w:t>
      </w:r>
      <w:r w:rsidR="008749FF">
        <w:t xml:space="preserve">a revised funding model </w:t>
      </w:r>
      <w:r w:rsidR="009A60EE">
        <w:t xml:space="preserve">based more heavily on </w:t>
      </w:r>
      <w:r w:rsidR="00593A7E">
        <w:t>direct parliamentary appropriations.</w:t>
      </w:r>
      <w:r w:rsidR="00593A7E">
        <w:rPr>
          <w:rStyle w:val="FootnoteReference"/>
        </w:rPr>
        <w:footnoteReference w:id="81"/>
      </w:r>
    </w:p>
    <w:p w14:paraId="1111059C" w14:textId="77777777" w:rsidR="0062116F" w:rsidRDefault="0062116F" w:rsidP="00893708">
      <w:pPr>
        <w:pStyle w:val="Heading1"/>
      </w:pPr>
      <w:bookmarkStart w:id="19" w:name="_Toc58401290"/>
      <w:r>
        <w:lastRenderedPageBreak/>
        <w:t>Conclusion</w:t>
      </w:r>
      <w:bookmarkEnd w:id="19"/>
    </w:p>
    <w:p w14:paraId="6B6E4F50" w14:textId="15B92530" w:rsidR="0062116F" w:rsidRDefault="0062116F" w:rsidP="00B66E84">
      <w:pPr>
        <w:rPr>
          <w:rFonts w:cs="Arial"/>
        </w:rPr>
      </w:pPr>
      <w:r>
        <w:rPr>
          <w:rFonts w:cs="Arial"/>
        </w:rPr>
        <w:t>Most of the countries assessed reference the importance of having both a diverse media sector with multiple media providers across platforms, as well as a plurality of local news providers and local news content. Many similarities exist between the policies and regulation that aim to promote news diversity and localism in each of the countries in this review, with minor differences in the types of interventions that have been adopted.</w:t>
      </w:r>
    </w:p>
    <w:p w14:paraId="0F5C8531" w14:textId="09B89D03" w:rsidR="0062116F" w:rsidRDefault="0062116F" w:rsidP="000A4532">
      <w:pPr>
        <w:rPr>
          <w:rFonts w:cs="Arial"/>
        </w:rPr>
      </w:pPr>
      <w:r>
        <w:rPr>
          <w:rFonts w:cs="Arial"/>
        </w:rPr>
        <w:t xml:space="preserve">However, despite the apparent recognition </w:t>
      </w:r>
      <w:r w:rsidR="009F2B05">
        <w:rPr>
          <w:rFonts w:cs="Arial"/>
        </w:rPr>
        <w:t>of the need</w:t>
      </w:r>
      <w:r>
        <w:rPr>
          <w:rFonts w:cs="Arial"/>
        </w:rPr>
        <w:t xml:space="preserve"> for continued regulatory intervention, few initiatives to date appear to have successfully reversed the trends of increasing consolidation within the media sector, and financial pressure on the production of local news. It is also worth recognising that there has been a general trend towards deregulation of the media industry across the examined countries, contrasted with limited current regulation of online news media providers. The regulation of the online environments is, however, an area of increasing interest for many countries, particularly </w:t>
      </w:r>
      <w:r w:rsidR="00E40301">
        <w:rPr>
          <w:rFonts w:cs="Arial"/>
        </w:rPr>
        <w:t>for</w:t>
      </w:r>
      <w:r>
        <w:rPr>
          <w:rFonts w:cs="Arial"/>
        </w:rPr>
        <w:t xml:space="preserve"> digital platforms and their role in the distribution of news and current affairs.</w:t>
      </w:r>
    </w:p>
    <w:p w14:paraId="1374ADE1" w14:textId="12DBCC9F" w:rsidR="0062116F" w:rsidRPr="006B71BB" w:rsidRDefault="0062116F" w:rsidP="00D04188">
      <w:pPr>
        <w:rPr>
          <w:rFonts w:eastAsiaTheme="majorEastAsia" w:cs="Arial"/>
        </w:rPr>
      </w:pPr>
      <w:r>
        <w:rPr>
          <w:rFonts w:cs="Arial"/>
        </w:rPr>
        <w:t xml:space="preserve">It is also difficult to quantify the impact of these regulatory interventions, as </w:t>
      </w:r>
      <w:r w:rsidR="001D5BFD">
        <w:rPr>
          <w:rFonts w:cs="Arial"/>
        </w:rPr>
        <w:t xml:space="preserve">at the time this research was conducted in March 2020, </w:t>
      </w:r>
      <w:r>
        <w:rPr>
          <w:rFonts w:cs="Arial"/>
        </w:rPr>
        <w:t xml:space="preserve">most countries do not seek to systematically measure and monitor levels of media diversity or localism, with the notable exception of the UK’s Measurement Framework for Media Plurality and the broader EU Media Pluralism Monitor. As such, there remains some uncertainty as to the effect </w:t>
      </w:r>
      <w:r w:rsidR="00492277">
        <w:rPr>
          <w:rFonts w:cs="Arial"/>
        </w:rPr>
        <w:t xml:space="preserve">of regulatory interventions </w:t>
      </w:r>
      <w:r>
        <w:rPr>
          <w:rFonts w:cs="Arial"/>
        </w:rPr>
        <w:t>on the promotion of diversity and localism</w:t>
      </w:r>
      <w:r w:rsidR="00492277">
        <w:rPr>
          <w:rFonts w:cs="Arial"/>
        </w:rPr>
        <w:t xml:space="preserve"> objectives</w:t>
      </w:r>
      <w:r>
        <w:rPr>
          <w:rFonts w:cs="Arial"/>
        </w:rPr>
        <w:t xml:space="preserve">, particularly in countries like Australia where there are no </w:t>
      </w:r>
      <w:r w:rsidR="00492277">
        <w:rPr>
          <w:rFonts w:cs="Arial"/>
        </w:rPr>
        <w:t xml:space="preserve">existing </w:t>
      </w:r>
      <w:r>
        <w:rPr>
          <w:rFonts w:cs="Arial"/>
        </w:rPr>
        <w:t xml:space="preserve">reviews of media diversity laws. </w:t>
      </w:r>
    </w:p>
    <w:sectPr w:rsidR="0062116F" w:rsidRPr="006B71BB" w:rsidSect="00034A2F">
      <w:headerReference w:type="even" r:id="rId38"/>
      <w:headerReference w:type="default" r:id="rId39"/>
      <w:footerReference w:type="even" r:id="rId40"/>
      <w:footerReference w:type="default" r:id="rId41"/>
      <w:endnotePr>
        <w:numFmt w:val="decimal"/>
      </w:endnotePr>
      <w:pgSz w:w="11906" w:h="16838" w:code="9"/>
      <w:pgMar w:top="1945" w:right="3101" w:bottom="1134" w:left="1134" w:header="709" w:footer="11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AC7E0D8" w14:textId="77777777" w:rsidR="00741DBA" w:rsidRDefault="00741DBA">
      <w:r>
        <w:separator/>
      </w:r>
    </w:p>
  </w:endnote>
  <w:endnote w:type="continuationSeparator" w:id="0">
    <w:p w14:paraId="4D3DE5BB" w14:textId="77777777" w:rsidR="00741DBA" w:rsidRDefault="00741DBA">
      <w:r>
        <w:continuationSeparator/>
      </w:r>
    </w:p>
  </w:endnote>
  <w:endnote w:type="continuationNotice" w:id="1">
    <w:p w14:paraId="3F149317" w14:textId="77777777" w:rsidR="00741DBA" w:rsidRDefault="00741DB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HelveticaNeueLT Std Lt">
    <w:panose1 w:val="020B0403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w:panose1 w:val="020B0604020202020204"/>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3D809A" w14:textId="77777777" w:rsidR="00741DBA" w:rsidRDefault="00741DBA" w:rsidP="00FE0A17">
    <w:pPr>
      <w:pStyle w:val="Footer"/>
      <w:jc w:val="right"/>
    </w:pPr>
    <w:r w:rsidRPr="005E250B">
      <w:rPr>
        <w:noProof/>
        <w:vertAlign w:val="subscript"/>
      </w:rPr>
      <w:drawing>
        <wp:inline distT="0" distB="0" distL="0" distR="0" wp14:anchorId="1FCCDF65" wp14:editId="11A2E42F">
          <wp:extent cx="1066800" cy="277368"/>
          <wp:effectExtent l="0" t="0" r="0" b="0"/>
          <wp:docPr id="20" name="Picture 20"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3D26D1" w14:textId="77777777" w:rsidR="00741DBA" w:rsidRPr="00622A3B" w:rsidRDefault="00741DBA" w:rsidP="0078252F">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48070F92" w14:textId="77777777" w:rsidR="00741DBA" w:rsidRPr="00A5474E" w:rsidRDefault="00741DBA" w:rsidP="00A5474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FAB9F3" w14:textId="77777777" w:rsidR="00741DBA" w:rsidRPr="00622A3B" w:rsidRDefault="00741DBA" w:rsidP="0078252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7DBC676E" w14:textId="77777777" w:rsidR="00741DBA" w:rsidRPr="00A5474E" w:rsidRDefault="00741DBA" w:rsidP="00A5474E">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B32D61" w14:textId="77777777" w:rsidR="00741DBA" w:rsidRPr="00622A3B" w:rsidRDefault="00741DBA"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rPr>
      <w:t>a</w:t>
    </w:r>
    <w:r w:rsidRPr="00622A3B">
      <w:rPr>
        <w:rFonts w:cs="Arial"/>
        <w:b/>
        <w:noProof/>
        <w:spacing w:val="-15"/>
        <w:sz w:val="20"/>
      </w:rPr>
      <w:t>c</w:t>
    </w:r>
    <w:r w:rsidRPr="00622A3B">
      <w:rPr>
        <w:rFonts w:cs="Arial"/>
        <w:b/>
        <w:noProof/>
        <w:spacing w:val="-16"/>
        <w:sz w:val="20"/>
      </w:rPr>
      <w:t>m</w:t>
    </w:r>
    <w:r w:rsidRPr="00622A3B">
      <w:rPr>
        <w:rFonts w:cs="Arial"/>
        <w:b/>
        <w:noProof/>
        <w:spacing w:val="-14"/>
        <w:sz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3AE0D913" w14:textId="77777777" w:rsidR="00741DBA" w:rsidRPr="00A5474E" w:rsidRDefault="00741DBA"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72519F" w14:textId="77777777" w:rsidR="00741DBA" w:rsidRPr="00622A3B" w:rsidRDefault="00741DBA"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4</w:t>
    </w:r>
    <w:r w:rsidRPr="00575AC5">
      <w:fldChar w:fldCharType="end"/>
    </w:r>
    <w:r w:rsidRPr="0094078F">
      <w:tab/>
    </w:r>
    <w:r w:rsidRPr="00622A3B">
      <w:t>|</w:t>
    </w:r>
    <w:r>
      <w:tab/>
    </w:r>
    <w:r w:rsidRPr="00622A3B">
      <w:rPr>
        <w:b/>
        <w:noProof/>
        <w:spacing w:val="-16"/>
        <w:sz w:val="20"/>
      </w:rPr>
      <w:t>a</w:t>
    </w:r>
    <w:r w:rsidRPr="00622A3B">
      <w:rPr>
        <w:b/>
        <w:noProof/>
        <w:spacing w:val="-15"/>
        <w:sz w:val="20"/>
      </w:rPr>
      <w:t>c</w:t>
    </w:r>
    <w:r w:rsidRPr="00622A3B">
      <w:rPr>
        <w:b/>
        <w:noProof/>
        <w:spacing w:val="-16"/>
        <w:sz w:val="20"/>
      </w:rPr>
      <w:t>m</w:t>
    </w:r>
    <w:r w:rsidRPr="00622A3B">
      <w:rPr>
        <w:b/>
        <w:noProof/>
        <w:spacing w:val="-14"/>
        <w:sz w:val="20"/>
      </w:rPr>
      <w:t>a</w:t>
    </w:r>
  </w:p>
  <w:p w14:paraId="11B237E7" w14:textId="77777777" w:rsidR="00741DBA" w:rsidRPr="00A5474E" w:rsidRDefault="00741DBA"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C0DD0B" w14:textId="77777777" w:rsidR="00741DBA" w:rsidRPr="00622A3B" w:rsidRDefault="00741DBA"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rPr>
      <w:t>a</w:t>
    </w:r>
    <w:r w:rsidRPr="00622A3B">
      <w:rPr>
        <w:rFonts w:cs="Arial"/>
        <w:b/>
        <w:noProof/>
        <w:spacing w:val="-15"/>
        <w:sz w:val="20"/>
      </w:rPr>
      <w:t>c</w:t>
    </w:r>
    <w:r w:rsidRPr="00622A3B">
      <w:rPr>
        <w:rFonts w:cs="Arial"/>
        <w:b/>
        <w:noProof/>
        <w:spacing w:val="-16"/>
        <w:sz w:val="20"/>
      </w:rPr>
      <w:t>m</w:t>
    </w:r>
    <w:r w:rsidRPr="00622A3B">
      <w:rPr>
        <w:rFonts w:cs="Arial"/>
        <w:b/>
        <w:noProof/>
        <w:spacing w:val="-14"/>
        <w:sz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5</w:t>
    </w:r>
    <w:r w:rsidRPr="00575AC5">
      <w:rPr>
        <w:color w:val="505050"/>
      </w:rPr>
      <w:fldChar w:fldCharType="end"/>
    </w:r>
  </w:p>
  <w:p w14:paraId="01EC8FE5" w14:textId="77777777" w:rsidR="00741DBA" w:rsidRPr="00A5474E" w:rsidRDefault="00741DBA"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24A7C9" w14:textId="77777777" w:rsidR="00741DBA" w:rsidRPr="00622A3B" w:rsidRDefault="00741DBA"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4</w:t>
    </w:r>
    <w:r w:rsidRPr="00575AC5">
      <w:fldChar w:fldCharType="end"/>
    </w:r>
    <w:r w:rsidRPr="0094078F">
      <w:tab/>
    </w:r>
    <w:r w:rsidRPr="00622A3B">
      <w:t>|</w:t>
    </w:r>
    <w:r>
      <w:tab/>
    </w:r>
    <w:r w:rsidRPr="00622A3B">
      <w:rPr>
        <w:b/>
        <w:noProof/>
        <w:spacing w:val="-16"/>
        <w:sz w:val="20"/>
      </w:rPr>
      <w:t>a</w:t>
    </w:r>
    <w:r w:rsidRPr="00622A3B">
      <w:rPr>
        <w:b/>
        <w:noProof/>
        <w:spacing w:val="-15"/>
        <w:sz w:val="20"/>
      </w:rPr>
      <w:t>c</w:t>
    </w:r>
    <w:r w:rsidRPr="00622A3B">
      <w:rPr>
        <w:b/>
        <w:noProof/>
        <w:spacing w:val="-16"/>
        <w:sz w:val="20"/>
      </w:rPr>
      <w:t>m</w:t>
    </w:r>
    <w:r w:rsidRPr="00622A3B">
      <w:rPr>
        <w:b/>
        <w:noProof/>
        <w:spacing w:val="-14"/>
        <w:sz w:val="20"/>
      </w:rPr>
      <w:t>a</w:t>
    </w:r>
  </w:p>
  <w:p w14:paraId="3545B099" w14:textId="77777777" w:rsidR="00741DBA" w:rsidRPr="00A5474E" w:rsidRDefault="00741DBA"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61F205" w14:textId="77777777" w:rsidR="00741DBA" w:rsidRPr="00622A3B" w:rsidRDefault="00741DBA"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rPr>
      <w:t>a</w:t>
    </w:r>
    <w:r w:rsidRPr="00622A3B">
      <w:rPr>
        <w:rFonts w:cs="Arial"/>
        <w:b/>
        <w:noProof/>
        <w:spacing w:val="-15"/>
        <w:sz w:val="20"/>
      </w:rPr>
      <w:t>c</w:t>
    </w:r>
    <w:r w:rsidRPr="00622A3B">
      <w:rPr>
        <w:rFonts w:cs="Arial"/>
        <w:b/>
        <w:noProof/>
        <w:spacing w:val="-16"/>
        <w:sz w:val="20"/>
      </w:rPr>
      <w:t>m</w:t>
    </w:r>
    <w:r w:rsidRPr="00622A3B">
      <w:rPr>
        <w:rFonts w:cs="Arial"/>
        <w:b/>
        <w:noProof/>
        <w:spacing w:val="-14"/>
        <w:sz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5</w:t>
    </w:r>
    <w:r w:rsidRPr="00575AC5">
      <w:rPr>
        <w:color w:val="505050"/>
      </w:rPr>
      <w:fldChar w:fldCharType="end"/>
    </w:r>
  </w:p>
  <w:p w14:paraId="578E915E" w14:textId="77777777" w:rsidR="00741DBA" w:rsidRPr="00A5474E" w:rsidRDefault="00741DBA"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DFDF2E7" w14:textId="77777777" w:rsidR="00741DBA" w:rsidRDefault="00741DBA" w:rsidP="00CE791F">
      <w:pPr>
        <w:spacing w:after="120"/>
      </w:pPr>
      <w:r>
        <w:separator/>
      </w:r>
    </w:p>
  </w:footnote>
  <w:footnote w:type="continuationSeparator" w:id="0">
    <w:p w14:paraId="60C836FD" w14:textId="77777777" w:rsidR="00741DBA" w:rsidRDefault="00741DBA">
      <w:r>
        <w:continuationSeparator/>
      </w:r>
    </w:p>
  </w:footnote>
  <w:footnote w:type="continuationNotice" w:id="1">
    <w:p w14:paraId="1C6ED67E" w14:textId="77777777" w:rsidR="00741DBA" w:rsidRDefault="00741DBA">
      <w:pPr>
        <w:spacing w:after="0" w:line="240" w:lineRule="auto"/>
      </w:pPr>
    </w:p>
  </w:footnote>
  <w:footnote w:id="2">
    <w:p w14:paraId="3C05B227" w14:textId="1CF22F95" w:rsidR="00741DBA" w:rsidRPr="00CA209D" w:rsidRDefault="00741DBA" w:rsidP="00CD2084">
      <w:pPr>
        <w:pStyle w:val="FootnoteText"/>
        <w:spacing w:after="0" w:line="200" w:lineRule="exact"/>
        <w:contextualSpacing/>
        <w:rPr>
          <w:rFonts w:cs="Arial"/>
        </w:rPr>
      </w:pPr>
      <w:r w:rsidRPr="007A1260">
        <w:rPr>
          <w:rStyle w:val="FootnoteReference"/>
        </w:rPr>
        <w:footnoteRef/>
      </w:r>
      <w:r w:rsidRPr="00CA209D">
        <w:rPr>
          <w:rFonts w:cs="Arial"/>
        </w:rPr>
        <w:t xml:space="preserve"> </w:t>
      </w:r>
      <w:r>
        <w:rPr>
          <w:rFonts w:cs="Arial"/>
        </w:rPr>
        <w:t xml:space="preserve">Australian Competition and Consumer Commission, </w:t>
      </w:r>
      <w:hyperlink r:id="rId1" w:history="1">
        <w:r w:rsidRPr="00053DA3">
          <w:rPr>
            <w:rStyle w:val="Hyperlink"/>
            <w:rFonts w:cs="Arial"/>
          </w:rPr>
          <w:t>Digital Platforms Inquiry – Final Report</w:t>
        </w:r>
      </w:hyperlink>
      <w:r>
        <w:rPr>
          <w:rFonts w:cs="Arial"/>
        </w:rPr>
        <w:t>, 2019, p. 297.</w:t>
      </w:r>
    </w:p>
  </w:footnote>
  <w:footnote w:id="3">
    <w:p w14:paraId="464AF700" w14:textId="29CA7A01" w:rsidR="00741DBA" w:rsidRDefault="00741DBA" w:rsidP="00CD2084">
      <w:pPr>
        <w:pStyle w:val="FootnoteText"/>
        <w:spacing w:after="0" w:line="200" w:lineRule="exact"/>
        <w:contextualSpacing/>
      </w:pPr>
      <w:r>
        <w:rPr>
          <w:rStyle w:val="FootnoteReference"/>
        </w:rPr>
        <w:footnoteRef/>
      </w:r>
      <w:r>
        <w:t xml:space="preserve"> Abernathy, P., </w:t>
      </w:r>
      <w:hyperlink r:id="rId2" w:history="1">
        <w:r w:rsidRPr="00F87870">
          <w:rPr>
            <w:rStyle w:val="Hyperlink"/>
          </w:rPr>
          <w:t>The Expanding News Desert, Centre for Innovation and Sustainability in Local Media</w:t>
        </w:r>
      </w:hyperlink>
      <w:r>
        <w:t>, University of North Carolina, 2018, p. 10.</w:t>
      </w:r>
    </w:p>
  </w:footnote>
  <w:footnote w:id="4">
    <w:p w14:paraId="2727DED8" w14:textId="2B5D339E" w:rsidR="00741DBA" w:rsidRDefault="00741DBA" w:rsidP="00CD2084">
      <w:pPr>
        <w:pStyle w:val="FootnoteText"/>
        <w:spacing w:after="0" w:line="200" w:lineRule="exact"/>
        <w:contextualSpacing/>
      </w:pPr>
      <w:r>
        <w:rPr>
          <w:rStyle w:val="FootnoteReference"/>
        </w:rPr>
        <w:footnoteRef/>
      </w:r>
      <w:r>
        <w:t xml:space="preserve"> Corbett, J., and Lindgren, A., </w:t>
      </w:r>
      <w:hyperlink r:id="rId3" w:history="1">
        <w:r w:rsidRPr="00EC736A">
          <w:rPr>
            <w:rStyle w:val="Hyperlink"/>
          </w:rPr>
          <w:t>Exploring the potential for crowdsourced spatial information to inform debate related to the changing Canadian local news landscape</w:t>
        </w:r>
      </w:hyperlink>
      <w:r>
        <w:t xml:space="preserve">, </w:t>
      </w:r>
      <w:r w:rsidRPr="00EC736A">
        <w:rPr>
          <w:i/>
          <w:iCs/>
        </w:rPr>
        <w:t>Spatial Knowledge and Information Canada</w:t>
      </w:r>
      <w:r>
        <w:t>, 7(4), 2019.</w:t>
      </w:r>
    </w:p>
  </w:footnote>
  <w:footnote w:id="5">
    <w:p w14:paraId="5AAA2528" w14:textId="29EA4EEB" w:rsidR="00741DBA" w:rsidRPr="00CA209D" w:rsidRDefault="00741DBA" w:rsidP="00CD2084">
      <w:pPr>
        <w:pStyle w:val="FootnoteText"/>
        <w:spacing w:after="0" w:line="200" w:lineRule="exact"/>
        <w:contextualSpacing/>
        <w:rPr>
          <w:rFonts w:cs="Arial"/>
        </w:rPr>
      </w:pPr>
      <w:r w:rsidRPr="00CA209D">
        <w:rPr>
          <w:rStyle w:val="FootnoteReference"/>
          <w:rFonts w:cs="Arial"/>
        </w:rPr>
        <w:footnoteRef/>
      </w:r>
      <w:r w:rsidRPr="00CA209D">
        <w:rPr>
          <w:rFonts w:cs="Arial"/>
        </w:rPr>
        <w:t xml:space="preserve"> </w:t>
      </w:r>
      <w:r w:rsidRPr="0094637F">
        <w:rPr>
          <w:rFonts w:cs="Arial"/>
        </w:rPr>
        <w:t>Cox,</w:t>
      </w:r>
      <w:r w:rsidRPr="0094637F">
        <w:t xml:space="preserve"> J.</w:t>
      </w:r>
      <w:r>
        <w:t xml:space="preserve">, </w:t>
      </w:r>
      <w:hyperlink r:id="rId4" w:history="1">
        <w:r w:rsidRPr="00B37D38">
          <w:rPr>
            <w:rStyle w:val="Hyperlink"/>
          </w:rPr>
          <w:t>New research: Some 198 UK local newspapers have closed since 2005</w:t>
        </w:r>
      </w:hyperlink>
      <w:r>
        <w:t xml:space="preserve">, Press Gazette, 2016. </w:t>
      </w:r>
      <w:r>
        <w:rPr>
          <w:rStyle w:val="Hyperlink"/>
          <w:rFonts w:cs="Arial"/>
        </w:rPr>
        <w:t xml:space="preserve"> </w:t>
      </w:r>
      <w:r w:rsidRPr="00CA209D">
        <w:rPr>
          <w:rFonts w:cs="Arial"/>
        </w:rPr>
        <w:t xml:space="preserve"> </w:t>
      </w:r>
    </w:p>
  </w:footnote>
  <w:footnote w:id="6">
    <w:p w14:paraId="23DA7862" w14:textId="2FFAE761" w:rsidR="00741DBA" w:rsidRPr="00CA209D" w:rsidRDefault="00741DBA" w:rsidP="00CD2084">
      <w:pPr>
        <w:pStyle w:val="FootnoteText"/>
        <w:spacing w:after="0" w:line="200" w:lineRule="exact"/>
        <w:contextualSpacing/>
        <w:rPr>
          <w:rFonts w:cs="Arial"/>
        </w:rPr>
      </w:pPr>
      <w:r w:rsidRPr="00CA209D">
        <w:rPr>
          <w:rStyle w:val="FootnoteReference"/>
          <w:rFonts w:cs="Arial"/>
        </w:rPr>
        <w:footnoteRef/>
      </w:r>
      <w:r w:rsidRPr="00CA209D">
        <w:rPr>
          <w:rFonts w:cs="Arial"/>
        </w:rPr>
        <w:t xml:space="preserve"> </w:t>
      </w:r>
      <w:r>
        <w:rPr>
          <w:rFonts w:cs="Arial"/>
        </w:rPr>
        <w:t xml:space="preserve">Media, Entertainment &amp; Arts Alliance, </w:t>
      </w:r>
      <w:hyperlink r:id="rId5" w:history="1">
        <w:r w:rsidRPr="00226758">
          <w:rPr>
            <w:rStyle w:val="Hyperlink"/>
            <w:rFonts w:cs="Arial"/>
          </w:rPr>
          <w:t>Submission to the Senate Select Committee Inquiry into the Future of Public Interest Journalism</w:t>
        </w:r>
      </w:hyperlink>
      <w:r>
        <w:rPr>
          <w:rFonts w:cs="Arial"/>
        </w:rPr>
        <w:t>, 2017.</w:t>
      </w:r>
    </w:p>
  </w:footnote>
  <w:footnote w:id="7">
    <w:p w14:paraId="3CAA625C" w14:textId="2229F89C" w:rsidR="00741DBA" w:rsidRDefault="00741DBA" w:rsidP="00CD2084">
      <w:pPr>
        <w:pStyle w:val="FootnoteText"/>
        <w:spacing w:after="0" w:line="200" w:lineRule="exact"/>
        <w:contextualSpacing/>
      </w:pPr>
      <w:r>
        <w:rPr>
          <w:rStyle w:val="FootnoteReference"/>
        </w:rPr>
        <w:footnoteRef/>
      </w:r>
      <w:r>
        <w:t xml:space="preserve"> For overview, see Australian Communications and Media Authority, </w:t>
      </w:r>
      <w:hyperlink r:id="rId6" w:history="1">
        <w:r w:rsidRPr="00D743FF">
          <w:rPr>
            <w:rStyle w:val="Hyperlink"/>
          </w:rPr>
          <w:t>Media control rules</w:t>
        </w:r>
      </w:hyperlink>
      <w:r>
        <w:t>, 2019.</w:t>
      </w:r>
    </w:p>
  </w:footnote>
  <w:footnote w:id="8">
    <w:p w14:paraId="3F880067" w14:textId="54A077D8" w:rsidR="00741DBA" w:rsidRDefault="00741DBA" w:rsidP="00CD2084">
      <w:pPr>
        <w:pStyle w:val="FootnoteText"/>
        <w:spacing w:after="0" w:line="200" w:lineRule="exact"/>
        <w:contextualSpacing/>
      </w:pPr>
      <w:r>
        <w:rPr>
          <w:rStyle w:val="FootnoteReference"/>
        </w:rPr>
        <w:footnoteRef/>
      </w:r>
      <w:r>
        <w:t xml:space="preserve"> s.61AB, </w:t>
      </w:r>
      <w:r w:rsidRPr="00B734BD">
        <w:rPr>
          <w:i/>
          <w:iCs/>
        </w:rPr>
        <w:t>Broadcasting Services Act 1992</w:t>
      </w:r>
      <w:r>
        <w:t xml:space="preserve"> (Cth). </w:t>
      </w:r>
    </w:p>
  </w:footnote>
  <w:footnote w:id="9">
    <w:p w14:paraId="26C43775" w14:textId="256C4FD0" w:rsidR="00741DBA" w:rsidRDefault="00741DBA" w:rsidP="00CD2084">
      <w:pPr>
        <w:pStyle w:val="FootnoteText"/>
        <w:spacing w:after="0" w:line="200" w:lineRule="exact"/>
        <w:contextualSpacing/>
      </w:pPr>
      <w:r>
        <w:rPr>
          <w:rStyle w:val="FootnoteReference"/>
        </w:rPr>
        <w:footnoteRef/>
      </w:r>
      <w:r>
        <w:t xml:space="preserve"> Australian Competition and Consumer Commission, </w:t>
      </w:r>
      <w:hyperlink r:id="rId7" w:history="1">
        <w:r w:rsidRPr="00E27504">
          <w:rPr>
            <w:rStyle w:val="Hyperlink"/>
          </w:rPr>
          <w:t>Media Merger Guidelines</w:t>
        </w:r>
      </w:hyperlink>
      <w:r>
        <w:t>, 2017, p. 1.</w:t>
      </w:r>
    </w:p>
  </w:footnote>
  <w:footnote w:id="10">
    <w:p w14:paraId="67766ACB" w14:textId="0A6C42E7" w:rsidR="00741DBA" w:rsidRDefault="00741DBA" w:rsidP="00CD2084">
      <w:pPr>
        <w:pStyle w:val="FootnoteText"/>
        <w:spacing w:after="0" w:line="200" w:lineRule="exact"/>
        <w:contextualSpacing/>
      </w:pPr>
      <w:r>
        <w:rPr>
          <w:rStyle w:val="FootnoteReference"/>
        </w:rPr>
        <w:footnoteRef/>
      </w:r>
      <w:r>
        <w:t xml:space="preserve"> </w:t>
      </w:r>
      <w:r w:rsidRPr="00FF7B18">
        <w:t xml:space="preserve">The </w:t>
      </w:r>
      <w:r>
        <w:t xml:space="preserve">UK’s </w:t>
      </w:r>
      <w:r w:rsidRPr="00FF7B18">
        <w:t>national cross-media ownership rule</w:t>
      </w:r>
      <w:r>
        <w:t xml:space="preserve"> l</w:t>
      </w:r>
      <w:r w:rsidRPr="00FF7B18">
        <w:t>imits cross-media ownership in TV, radio and print</w:t>
      </w:r>
      <w:r>
        <w:t xml:space="preserve"> by prohibiting ‘</w:t>
      </w:r>
      <w:r w:rsidRPr="00FF7B18">
        <w:t>a newspaper operator with 20% or more of the market share for print newspapers from holding a Channel 3 licence or a stake in a Channel 3 licensee that is greater than 20%</w:t>
      </w:r>
      <w:r>
        <w:t xml:space="preserve">, and vice versa; Ofcom, </w:t>
      </w:r>
      <w:hyperlink r:id="rId8" w:history="1">
        <w:r w:rsidRPr="00F4229E">
          <w:rPr>
            <w:rStyle w:val="Hyperlink"/>
          </w:rPr>
          <w:t>The operation of the media ownership rules listed under Section 391 of the Communications Act 2003</w:t>
        </w:r>
      </w:hyperlink>
      <w:r>
        <w:t>, 2018, p. 5.</w:t>
      </w:r>
    </w:p>
  </w:footnote>
  <w:footnote w:id="11">
    <w:p w14:paraId="273A783E" w14:textId="5D26CD0E" w:rsidR="00741DBA" w:rsidRDefault="00741DBA" w:rsidP="00CD2084">
      <w:pPr>
        <w:pStyle w:val="FootnoteText"/>
        <w:spacing w:after="0" w:line="200" w:lineRule="exact"/>
        <w:contextualSpacing/>
      </w:pPr>
      <w:r>
        <w:rPr>
          <w:rStyle w:val="FootnoteReference"/>
        </w:rPr>
        <w:footnoteRef/>
      </w:r>
      <w:r>
        <w:t xml:space="preserve"> </w:t>
      </w:r>
      <w:r w:rsidRPr="00EA6FA4">
        <w:t xml:space="preserve">The CRTC, </w:t>
      </w:r>
      <w:r>
        <w:t>‘</w:t>
      </w:r>
      <w:r w:rsidRPr="00EA6FA4">
        <w:t>as a general rule, will not approve applications for a change in the effective control of broadcasting undertakings that would result in the ownership or control, by one person, of a local radio station, a local television station and a local newspaper serving the same market’</w:t>
      </w:r>
      <w:r>
        <w:t xml:space="preserve">; </w:t>
      </w:r>
      <w:r w:rsidRPr="00AD64BD">
        <w:t>Canadian Radio-television and Telecommunications Commission</w:t>
      </w:r>
      <w:r>
        <w:t xml:space="preserve">, </w:t>
      </w:r>
      <w:hyperlink r:id="rId9" w:history="1">
        <w:r w:rsidRPr="00FA2980">
          <w:rPr>
            <w:rStyle w:val="Hyperlink"/>
          </w:rPr>
          <w:t>Broadcasting Public Notice CRTC 2008/4 (Regulatory Policy: Diversity of Voices)</w:t>
        </w:r>
      </w:hyperlink>
      <w:r>
        <w:t>, 2008.</w:t>
      </w:r>
    </w:p>
  </w:footnote>
  <w:footnote w:id="12">
    <w:p w14:paraId="46E6DB93" w14:textId="1218D2C3" w:rsidR="00741DBA" w:rsidRDefault="00741DBA" w:rsidP="00CD2084">
      <w:pPr>
        <w:pStyle w:val="FootnoteText"/>
        <w:spacing w:after="0" w:line="200" w:lineRule="exact"/>
        <w:contextualSpacing/>
      </w:pPr>
      <w:r>
        <w:rPr>
          <w:rStyle w:val="FootnoteReference"/>
        </w:rPr>
        <w:footnoteRef/>
      </w:r>
      <w:r>
        <w:t xml:space="preserve"> Brogi, E, Parcu, P., and Viola de Azevedo Cunha, M., </w:t>
      </w:r>
      <w:hyperlink r:id="rId10" w:history="1">
        <w:r w:rsidRPr="00232FCA">
          <w:rPr>
            <w:rStyle w:val="Hyperlink"/>
          </w:rPr>
          <w:t>Media ownership rules in Europe: a focus on EU Member States' legislation on foreign ownership</w:t>
        </w:r>
      </w:hyperlink>
      <w:r>
        <w:t>, 2017</w:t>
      </w:r>
      <w:r w:rsidRPr="002C6352">
        <w:t>.</w:t>
      </w:r>
    </w:p>
  </w:footnote>
  <w:footnote w:id="13">
    <w:p w14:paraId="0A7AD32D" w14:textId="764F3DFB" w:rsidR="00741DBA" w:rsidRDefault="00741DBA" w:rsidP="00CD2084">
      <w:pPr>
        <w:pStyle w:val="FootnoteText"/>
        <w:spacing w:after="0" w:line="200" w:lineRule="exact"/>
        <w:contextualSpacing/>
      </w:pPr>
      <w:r>
        <w:rPr>
          <w:rStyle w:val="FootnoteReference"/>
        </w:rPr>
        <w:footnoteRef/>
      </w:r>
      <w:r>
        <w:t xml:space="preserve"> The FIRB </w:t>
      </w:r>
      <w:r w:rsidRPr="00043410">
        <w:t>regards businesses within the media sector as ‘sensitive’, requiring prior approval for all holdings of at least five per cent, regardless</w:t>
      </w:r>
      <w:r>
        <w:t xml:space="preserve"> of the value of the investment. Although there is a general presumption that foreign investment will be beneficial, the Treasurer is empowered to prohibit an investment if satisfied that it would not be in the national interest; Foreign Investment Review Board, </w:t>
      </w:r>
      <w:hyperlink r:id="rId11" w:history="1">
        <w:r w:rsidRPr="00725E19">
          <w:rPr>
            <w:rStyle w:val="Hyperlink"/>
          </w:rPr>
          <w:t>Australia’s Foreign Investment Policy</w:t>
        </w:r>
      </w:hyperlink>
      <w:r>
        <w:t>, 2019, pp. 4, 9.</w:t>
      </w:r>
    </w:p>
  </w:footnote>
  <w:footnote w:id="14">
    <w:p w14:paraId="6C1EA531" w14:textId="1BFD4716" w:rsidR="00741DBA" w:rsidRDefault="00741DBA" w:rsidP="00CD2084">
      <w:pPr>
        <w:pStyle w:val="FootnoteText"/>
        <w:spacing w:after="0" w:line="200" w:lineRule="exact"/>
        <w:contextualSpacing/>
      </w:pPr>
      <w:r>
        <w:rPr>
          <w:rStyle w:val="FootnoteReference"/>
        </w:rPr>
        <w:footnoteRef/>
      </w:r>
      <w:r>
        <w:t xml:space="preserve"> Australian Communications and Media Authority, </w:t>
      </w:r>
      <w:hyperlink r:id="rId12" w:history="1">
        <w:r w:rsidRPr="00B82374">
          <w:rPr>
            <w:rStyle w:val="Hyperlink"/>
          </w:rPr>
          <w:t>Register of Foreign Owners of Media Assets</w:t>
        </w:r>
      </w:hyperlink>
      <w:r>
        <w:t>, 2019.</w:t>
      </w:r>
    </w:p>
  </w:footnote>
  <w:footnote w:id="15">
    <w:p w14:paraId="7E79C683" w14:textId="5909AA83" w:rsidR="00741DBA" w:rsidRPr="00CA209D" w:rsidRDefault="00741DBA" w:rsidP="00CD2084">
      <w:pPr>
        <w:pStyle w:val="FootnoteText"/>
        <w:spacing w:after="0" w:line="200" w:lineRule="exact"/>
        <w:contextualSpacing/>
        <w:rPr>
          <w:rFonts w:cs="Arial"/>
        </w:rPr>
      </w:pPr>
      <w:r w:rsidRPr="00CA209D">
        <w:rPr>
          <w:rStyle w:val="FootnoteReference"/>
          <w:rFonts w:cs="Arial"/>
        </w:rPr>
        <w:footnoteRef/>
      </w:r>
      <w:r w:rsidRPr="00CA209D">
        <w:rPr>
          <w:rFonts w:cs="Arial"/>
        </w:rPr>
        <w:t xml:space="preserve"> </w:t>
      </w:r>
      <w:r>
        <w:rPr>
          <w:rFonts w:cs="Arial"/>
        </w:rPr>
        <w:t>Ofcom,</w:t>
      </w:r>
      <w:r>
        <w:t xml:space="preserve"> </w:t>
      </w:r>
      <w:hyperlink r:id="rId13" w:history="1">
        <w:r w:rsidRPr="00072CEB">
          <w:rPr>
            <w:rStyle w:val="Hyperlink"/>
            <w:rFonts w:cs="Arial"/>
          </w:rPr>
          <w:t>The operation of the media ownership rules listed under Section 391 of the Communications Act 2003</w:t>
        </w:r>
      </w:hyperlink>
      <w:r>
        <w:rPr>
          <w:rFonts w:cs="Arial"/>
        </w:rPr>
        <w:t xml:space="preserve">, 2018, pp. 11–12. </w:t>
      </w:r>
    </w:p>
  </w:footnote>
  <w:footnote w:id="16">
    <w:p w14:paraId="6024FC87" w14:textId="470A1C56" w:rsidR="00741DBA" w:rsidRDefault="00741DBA" w:rsidP="00CD2084">
      <w:pPr>
        <w:pStyle w:val="FootnoteText"/>
        <w:spacing w:after="0" w:line="200" w:lineRule="exact"/>
        <w:contextualSpacing/>
      </w:pPr>
      <w:r>
        <w:rPr>
          <w:rStyle w:val="FootnoteReference"/>
        </w:rPr>
        <w:footnoteRef/>
      </w:r>
      <w:r>
        <w:t xml:space="preserve"> See, for example, Ofcom, </w:t>
      </w:r>
      <w:hyperlink r:id="rId14" w:history="1">
        <w:r w:rsidRPr="00813CAD">
          <w:rPr>
            <w:rStyle w:val="Hyperlink"/>
          </w:rPr>
          <w:t>Public interest test on the proposed acquisition of Sky plc by Twenty-First Century Fox, Inc</w:t>
        </w:r>
      </w:hyperlink>
      <w:r>
        <w:t>, 2017.</w:t>
      </w:r>
    </w:p>
  </w:footnote>
  <w:footnote w:id="17">
    <w:p w14:paraId="228AD724" w14:textId="2543FC55" w:rsidR="00741DBA" w:rsidRDefault="00741DBA" w:rsidP="00CD2084">
      <w:pPr>
        <w:pStyle w:val="FootnoteText"/>
        <w:spacing w:after="0" w:line="200" w:lineRule="exact"/>
      </w:pPr>
      <w:r>
        <w:rPr>
          <w:rStyle w:val="FootnoteReference"/>
        </w:rPr>
        <w:footnoteRef/>
      </w:r>
      <w:r>
        <w:t xml:space="preserve"> This framework examines media plurality according to the availability, consumption and impact of news sources, as well as contextual factors relevant to the specific outlets that are being examined; </w:t>
      </w:r>
      <w:hyperlink r:id="rId15" w:history="1">
        <w:r w:rsidRPr="005E7C58">
          <w:rPr>
            <w:rStyle w:val="Hyperlink"/>
          </w:rPr>
          <w:t>Ofcom, Measurement framework for media plurality - Ofcom’s advice to the Secretary of State for Culture, Media and Sport</w:t>
        </w:r>
      </w:hyperlink>
      <w:r>
        <w:t xml:space="preserve">, 2015.     </w:t>
      </w:r>
    </w:p>
  </w:footnote>
  <w:footnote w:id="18">
    <w:p w14:paraId="0DEEC82F" w14:textId="53563915" w:rsidR="00741DBA" w:rsidRPr="00132391" w:rsidRDefault="00741DBA" w:rsidP="00CD2084">
      <w:pPr>
        <w:pStyle w:val="FootnoteText"/>
        <w:spacing w:after="0" w:line="200" w:lineRule="exact"/>
        <w:contextualSpacing/>
      </w:pPr>
      <w:r w:rsidRPr="00200A2F">
        <w:rPr>
          <w:rStyle w:val="FootnoteReference"/>
        </w:rPr>
        <w:footnoteRef/>
      </w:r>
      <w:r w:rsidRPr="00132391">
        <w:t xml:space="preserve"> </w:t>
      </w:r>
      <w:r>
        <w:t>For discussion, see: Mizera, N.,</w:t>
      </w:r>
      <w:r w:rsidRPr="00BF67EA">
        <w:t xml:space="preserve"> </w:t>
      </w:r>
      <w:hyperlink r:id="rId16" w:history="1">
        <w:r w:rsidRPr="005F337D">
          <w:rPr>
            <w:rStyle w:val="Hyperlink"/>
          </w:rPr>
          <w:t>Where’s The Outcry Over Canada’s Own Shrinking Media Landscape?</w:t>
        </w:r>
      </w:hyperlink>
      <w:r>
        <w:t>, Huffington Post Canada, 2018.</w:t>
      </w:r>
    </w:p>
  </w:footnote>
  <w:footnote w:id="19">
    <w:p w14:paraId="56649AD7" w14:textId="3ABEFFAC" w:rsidR="00741DBA" w:rsidRDefault="00741DBA" w:rsidP="00CD2084">
      <w:pPr>
        <w:pStyle w:val="FootnoteText"/>
        <w:spacing w:after="0" w:line="200" w:lineRule="exact"/>
      </w:pPr>
      <w:r>
        <w:rPr>
          <w:rStyle w:val="FootnoteReference"/>
        </w:rPr>
        <w:footnoteRef/>
      </w:r>
      <w:r>
        <w:t xml:space="preserve"> This survey, among other potential risks to media pluralism, examines the existence and effectiveness of transparency measures and regulatory safeguards to prevent highly concentrated media markets. In 2016, </w:t>
      </w:r>
      <w:r w:rsidRPr="00CD2084">
        <w:t xml:space="preserve">France had a risk score of 21 per cent for the ‘market plurality’ category, compared to 58 per cent in the UK; Vedel, T, </w:t>
      </w:r>
      <w:r w:rsidRPr="00CD2084">
        <w:rPr>
          <w:rFonts w:cs="Arial"/>
          <w:shd w:val="clear" w:color="auto" w:fill="FFFFFF"/>
        </w:rPr>
        <w:t xml:space="preserve">García-Graña, G. and Durán-Becerra, T., </w:t>
      </w:r>
      <w:hyperlink r:id="rId17" w:history="1">
        <w:r w:rsidRPr="00BD4BDB">
          <w:rPr>
            <w:rStyle w:val="Hyperlink"/>
            <w:rFonts w:cs="Arial"/>
            <w:shd w:val="clear" w:color="auto" w:fill="FFFFFF"/>
          </w:rPr>
          <w:t>Media Pluralism Monitor 2016 Monitoring Risks for Media Pluralism in the EU and Beyond – Country report: France</w:t>
        </w:r>
      </w:hyperlink>
      <w:r>
        <w:rPr>
          <w:rFonts w:cs="Arial"/>
          <w:color w:val="404040"/>
          <w:shd w:val="clear" w:color="auto" w:fill="FFFFFF"/>
        </w:rPr>
        <w:t xml:space="preserve">, </w:t>
      </w:r>
      <w:r w:rsidRPr="00CD2084">
        <w:rPr>
          <w:rFonts w:cs="Arial"/>
          <w:shd w:val="clear" w:color="auto" w:fill="FFFFFF"/>
        </w:rPr>
        <w:t>2016, pp. 6-7.</w:t>
      </w:r>
    </w:p>
  </w:footnote>
  <w:footnote w:id="20">
    <w:p w14:paraId="22FED8D0" w14:textId="181B4475" w:rsidR="00741DBA" w:rsidRDefault="00741DBA" w:rsidP="00CD2084">
      <w:pPr>
        <w:pStyle w:val="FootnoteText"/>
        <w:spacing w:after="0" w:line="200" w:lineRule="exact"/>
        <w:contextualSpacing/>
      </w:pPr>
      <w:r>
        <w:rPr>
          <w:rStyle w:val="FootnoteReference"/>
        </w:rPr>
        <w:footnoteRef/>
      </w:r>
      <w:r>
        <w:t xml:space="preserve"> Media Landscapes, </w:t>
      </w:r>
      <w:hyperlink r:id="rId18" w:history="1">
        <w:r w:rsidRPr="00D33DB3">
          <w:rPr>
            <w:rStyle w:val="Hyperlink"/>
          </w:rPr>
          <w:t>Norway – Regulatory authorities</w:t>
        </w:r>
      </w:hyperlink>
      <w:r>
        <w:t>, 2020.</w:t>
      </w:r>
    </w:p>
  </w:footnote>
  <w:footnote w:id="21">
    <w:p w14:paraId="0629F7BF" w14:textId="67947575" w:rsidR="00741DBA" w:rsidRDefault="00741DBA" w:rsidP="00CD2084">
      <w:pPr>
        <w:pStyle w:val="FootnoteText"/>
        <w:spacing w:after="0" w:line="200" w:lineRule="exact"/>
        <w:contextualSpacing/>
      </w:pPr>
      <w:r>
        <w:rPr>
          <w:rStyle w:val="FootnoteReference"/>
        </w:rPr>
        <w:footnoteRef/>
      </w:r>
      <w:r>
        <w:t xml:space="preserve"> </w:t>
      </w:r>
      <w:r w:rsidRPr="00673AE0">
        <w:t>These were the ‘</w:t>
      </w:r>
      <w:r>
        <w:t>two</w:t>
      </w:r>
      <w:r w:rsidRPr="00673AE0">
        <w:t>-out-of-</w:t>
      </w:r>
      <w:r>
        <w:t>three</w:t>
      </w:r>
      <w:r w:rsidRPr="00673AE0">
        <w:t xml:space="preserve"> rule’, which prevented a person being in a position to control more than two of commercial radio, commercial television or newspapers in the same licence area, and the </w:t>
      </w:r>
      <w:r>
        <w:t>’</w:t>
      </w:r>
      <w:r w:rsidRPr="00673AE0">
        <w:t>75</w:t>
      </w:r>
      <w:r>
        <w:t xml:space="preserve"> per cent </w:t>
      </w:r>
      <w:r w:rsidRPr="00673AE0">
        <w:t>audience reach rule’, which prevented a person being in a position to control commercial television licences whose combined licence area population exceeded 75 per cent of the population of Australia</w:t>
      </w:r>
      <w:r>
        <w:t xml:space="preserve">; Department of Infrastructure, Transport, Regional Development and Communications, </w:t>
      </w:r>
      <w:hyperlink r:id="rId19" w:history="1">
        <w:r w:rsidRPr="00AB606D">
          <w:rPr>
            <w:rStyle w:val="Hyperlink"/>
          </w:rPr>
          <w:t>Updating Australia’s media laws</w:t>
        </w:r>
      </w:hyperlink>
      <w:r>
        <w:t xml:space="preserve">. </w:t>
      </w:r>
    </w:p>
  </w:footnote>
  <w:footnote w:id="22">
    <w:p w14:paraId="3E6BF88D" w14:textId="0660C4D0" w:rsidR="00741DBA" w:rsidRDefault="00741DBA" w:rsidP="00CD2084">
      <w:pPr>
        <w:pStyle w:val="FootnoteText"/>
        <w:spacing w:after="0" w:line="200" w:lineRule="exact"/>
        <w:contextualSpacing/>
      </w:pPr>
      <w:r>
        <w:rPr>
          <w:rStyle w:val="FootnoteReference"/>
        </w:rPr>
        <w:footnoteRef/>
      </w:r>
      <w:r>
        <w:t xml:space="preserve"> Federal Communications Commission, </w:t>
      </w:r>
      <w:hyperlink r:id="rId20" w:history="1">
        <w:r w:rsidRPr="00530726">
          <w:rPr>
            <w:rStyle w:val="Hyperlink"/>
          </w:rPr>
          <w:t>FCC Broadcast Ownership Rules</w:t>
        </w:r>
      </w:hyperlink>
      <w:r>
        <w:t>, 2020.</w:t>
      </w:r>
    </w:p>
  </w:footnote>
  <w:footnote w:id="23">
    <w:p w14:paraId="12381585" w14:textId="456AF0D5" w:rsidR="00741DBA" w:rsidRDefault="00741DBA" w:rsidP="00CD2084">
      <w:pPr>
        <w:pStyle w:val="FootnoteText"/>
        <w:spacing w:after="0" w:line="200" w:lineRule="exact"/>
        <w:contextualSpacing/>
      </w:pPr>
      <w:r>
        <w:rPr>
          <w:rStyle w:val="FootnoteReference"/>
        </w:rPr>
        <w:footnoteRef/>
      </w:r>
      <w:r>
        <w:t xml:space="preserve"> On 23 September 2019, in a 2 to 1 decision, the Third U.S. Circuit Court of Appeal noted that the FCC did not adequately consider the effect its sweeping rule changes will have on the ownership of broadcast media by women and racial minorities. Following a denied petition for a rehearing, the FCC issued an Order in December 2019 reinstating five cross-media rules; Federal Communications Commission, </w:t>
      </w:r>
      <w:hyperlink r:id="rId21" w:history="1">
        <w:r w:rsidRPr="00D82ED9">
          <w:rPr>
            <w:rStyle w:val="Hyperlink"/>
          </w:rPr>
          <w:t>DA 19-1303</w:t>
        </w:r>
      </w:hyperlink>
      <w:r>
        <w:t>, 2019.</w:t>
      </w:r>
    </w:p>
  </w:footnote>
  <w:footnote w:id="24">
    <w:p w14:paraId="2272B650" w14:textId="7077CE84" w:rsidR="00741DBA" w:rsidRPr="007A1260" w:rsidRDefault="00741DBA" w:rsidP="00CD2084">
      <w:pPr>
        <w:pStyle w:val="FootnoteText"/>
        <w:spacing w:after="0" w:line="200" w:lineRule="exact"/>
        <w:contextualSpacing/>
      </w:pPr>
      <w:r w:rsidRPr="007A1260">
        <w:rPr>
          <w:rStyle w:val="FootnoteReference"/>
        </w:rPr>
        <w:footnoteRef/>
      </w:r>
      <w:r w:rsidRPr="007A1260">
        <w:t xml:space="preserve"> </w:t>
      </w:r>
      <w:r>
        <w:t xml:space="preserve">See, for example, Dwyer, T., </w:t>
      </w:r>
      <w:hyperlink r:id="rId22" w:history="1">
        <w:r w:rsidRPr="00AB7D29">
          <w:rPr>
            <w:rStyle w:val="Hyperlink"/>
          </w:rPr>
          <w:t>Starter’s gun goes off on new phase of media concentration as Nine-Fairfax lead the way</w:t>
        </w:r>
      </w:hyperlink>
      <w:r>
        <w:t xml:space="preserve">, </w:t>
      </w:r>
      <w:r w:rsidRPr="00AB7D29">
        <w:rPr>
          <w:i/>
          <w:iCs/>
        </w:rPr>
        <w:t>The Conversation</w:t>
      </w:r>
      <w:r>
        <w:t>, 2018.</w:t>
      </w:r>
    </w:p>
  </w:footnote>
  <w:footnote w:id="25">
    <w:p w14:paraId="5F391942" w14:textId="66E54097" w:rsidR="00741DBA" w:rsidRPr="00653BD9" w:rsidRDefault="00741DBA" w:rsidP="00CD2084">
      <w:pPr>
        <w:pStyle w:val="FootnoteText"/>
        <w:spacing w:after="0" w:line="200" w:lineRule="exact"/>
        <w:contextualSpacing/>
      </w:pPr>
      <w:r w:rsidRPr="00653BD9">
        <w:rPr>
          <w:rStyle w:val="FootnoteReference"/>
        </w:rPr>
        <w:footnoteRef/>
      </w:r>
      <w:r w:rsidRPr="00653BD9">
        <w:t xml:space="preserve"> </w:t>
      </w:r>
      <w:r>
        <w:rPr>
          <w:rFonts w:cs="Arial"/>
        </w:rPr>
        <w:t>Ofcom,</w:t>
      </w:r>
      <w:r>
        <w:t xml:space="preserve"> </w:t>
      </w:r>
      <w:hyperlink r:id="rId23" w:history="1">
        <w:r w:rsidRPr="00072CEB">
          <w:rPr>
            <w:rStyle w:val="Hyperlink"/>
            <w:rFonts w:cs="Arial"/>
          </w:rPr>
          <w:t>The operation of the media ownership rules listed under Section 391 of the Communications Act 2003</w:t>
        </w:r>
      </w:hyperlink>
      <w:r>
        <w:rPr>
          <w:rFonts w:cs="Arial"/>
        </w:rPr>
        <w:t>, 2018, p. 4.</w:t>
      </w:r>
    </w:p>
  </w:footnote>
  <w:footnote w:id="26">
    <w:p w14:paraId="7BF37C76" w14:textId="56260791" w:rsidR="00741DBA" w:rsidRDefault="00741DBA" w:rsidP="00CD2084">
      <w:pPr>
        <w:pStyle w:val="FootnoteText"/>
        <w:spacing w:after="0" w:line="200" w:lineRule="exact"/>
        <w:contextualSpacing/>
      </w:pPr>
      <w:r>
        <w:rPr>
          <w:rStyle w:val="FootnoteReference"/>
        </w:rPr>
        <w:footnoteRef/>
      </w:r>
      <w:r>
        <w:t xml:space="preserve"> Federal Communications Commission, </w:t>
      </w:r>
      <w:hyperlink r:id="rId24" w:history="1">
        <w:r w:rsidRPr="00E861A4">
          <w:rPr>
            <w:rStyle w:val="Hyperlink"/>
          </w:rPr>
          <w:t>FCC Broadcast Ownership Rules: Consumer Guide</w:t>
        </w:r>
      </w:hyperlink>
      <w:r>
        <w:t>, 2017.</w:t>
      </w:r>
    </w:p>
  </w:footnote>
  <w:footnote w:id="27">
    <w:p w14:paraId="04E4E08B" w14:textId="62B5644E" w:rsidR="00741DBA" w:rsidRDefault="00741DBA" w:rsidP="00CD2084">
      <w:pPr>
        <w:pStyle w:val="FootnoteText"/>
        <w:spacing w:after="0" w:line="200" w:lineRule="exact"/>
        <w:contextualSpacing/>
      </w:pPr>
      <w:r>
        <w:rPr>
          <w:rStyle w:val="FootnoteReference"/>
        </w:rPr>
        <w:footnoteRef/>
      </w:r>
      <w:r>
        <w:t xml:space="preserve"> ss.43AA, 43AB</w:t>
      </w:r>
      <w:r w:rsidRPr="00C77DDC">
        <w:t xml:space="preserve">, </w:t>
      </w:r>
      <w:r w:rsidRPr="00C77DDC">
        <w:rPr>
          <w:i/>
        </w:rPr>
        <w:t>Broadcasting Services Act 1992</w:t>
      </w:r>
      <w:r w:rsidRPr="00C77DDC">
        <w:t>.</w:t>
      </w:r>
    </w:p>
  </w:footnote>
  <w:footnote w:id="28">
    <w:p w14:paraId="19C8B683" w14:textId="3451199D" w:rsidR="00741DBA" w:rsidRPr="00C77DDC" w:rsidRDefault="00741DBA" w:rsidP="00CD2084">
      <w:pPr>
        <w:pStyle w:val="FootnoteText"/>
        <w:spacing w:after="0" w:line="200" w:lineRule="exact"/>
        <w:contextualSpacing/>
      </w:pPr>
      <w:r w:rsidRPr="00C77DDC">
        <w:rPr>
          <w:rStyle w:val="FootnoteReference"/>
        </w:rPr>
        <w:footnoteRef/>
      </w:r>
      <w:r w:rsidRPr="00C77DDC">
        <w:t xml:space="preserve"> </w:t>
      </w:r>
      <w:r>
        <w:t>s</w:t>
      </w:r>
      <w:r w:rsidRPr="00337EFE">
        <w:t>s</w:t>
      </w:r>
      <w:r>
        <w:t>.</w:t>
      </w:r>
      <w:r w:rsidRPr="00337EFE">
        <w:t xml:space="preserve"> </w:t>
      </w:r>
      <w:r w:rsidRPr="003A6E2A">
        <w:t>61C</w:t>
      </w:r>
      <w:r w:rsidRPr="00337EFE">
        <w:t>D</w:t>
      </w:r>
      <w:r w:rsidRPr="003A6E2A">
        <w:t>,</w:t>
      </w:r>
      <w:r w:rsidRPr="00337EFE">
        <w:t xml:space="preserve"> 61CE,</w:t>
      </w:r>
      <w:r w:rsidRPr="003A6E2A">
        <w:t xml:space="preserve"> </w:t>
      </w:r>
      <w:r w:rsidRPr="003A6E2A">
        <w:rPr>
          <w:i/>
        </w:rPr>
        <w:t xml:space="preserve">Broadcasting Services Act </w:t>
      </w:r>
      <w:r w:rsidRPr="00337EFE">
        <w:rPr>
          <w:iCs/>
        </w:rPr>
        <w:t xml:space="preserve">1992 as amended by the </w:t>
      </w:r>
      <w:r w:rsidRPr="00337EFE">
        <w:rPr>
          <w:i/>
        </w:rPr>
        <w:t>Broadcasting Services Amendment (Regional Commercial Radio and Other Measures) Act 2020</w:t>
      </w:r>
      <w:r w:rsidRPr="003A6E2A">
        <w:t>.</w:t>
      </w:r>
    </w:p>
  </w:footnote>
  <w:footnote w:id="29">
    <w:p w14:paraId="05B69BD0" w14:textId="341B3F4F" w:rsidR="00741DBA" w:rsidRPr="007A1260" w:rsidRDefault="00741DBA" w:rsidP="00CD2084">
      <w:pPr>
        <w:pStyle w:val="FootnoteText"/>
        <w:spacing w:after="0" w:line="200" w:lineRule="exact"/>
        <w:contextualSpacing/>
      </w:pPr>
      <w:r w:rsidRPr="007A1260">
        <w:rPr>
          <w:rStyle w:val="FootnoteReference"/>
        </w:rPr>
        <w:footnoteRef/>
      </w:r>
      <w:r w:rsidRPr="007A1260">
        <w:t xml:space="preserve"> </w:t>
      </w:r>
      <w:r>
        <w:t>Ofcom,</w:t>
      </w:r>
      <w:r w:rsidRPr="00CD2CF8">
        <w:t xml:space="preserve"> </w:t>
      </w:r>
      <w:hyperlink r:id="rId25" w:history="1">
        <w:r w:rsidRPr="00CA4611">
          <w:rPr>
            <w:rStyle w:val="Hyperlink"/>
          </w:rPr>
          <w:t>Local Television Network: Variation Requests on behalf of 17 local TV licensees: Proposed change to programming commitment</w:t>
        </w:r>
      </w:hyperlink>
      <w:r>
        <w:t>, 2019, p. 10.</w:t>
      </w:r>
      <w:r w:rsidRPr="001801A5">
        <w:t xml:space="preserve"> </w:t>
      </w:r>
    </w:p>
  </w:footnote>
  <w:footnote w:id="30">
    <w:p w14:paraId="4606EEFE" w14:textId="7921AF0B" w:rsidR="00741DBA" w:rsidRPr="00132391" w:rsidRDefault="00741DBA" w:rsidP="00CD2084">
      <w:pPr>
        <w:pStyle w:val="FootnoteText"/>
        <w:spacing w:after="0" w:line="200" w:lineRule="exact"/>
        <w:contextualSpacing/>
      </w:pPr>
      <w:r w:rsidRPr="00132391">
        <w:rPr>
          <w:rStyle w:val="FootnoteReference"/>
        </w:rPr>
        <w:footnoteRef/>
      </w:r>
      <w:r w:rsidRPr="00132391">
        <w:t xml:space="preserve"> </w:t>
      </w:r>
      <w:r>
        <w:t xml:space="preserve">Ofcom, </w:t>
      </w:r>
      <w:hyperlink r:id="rId26" w:history="1">
        <w:r w:rsidRPr="00125837">
          <w:rPr>
            <w:rStyle w:val="Hyperlink"/>
          </w:rPr>
          <w:t>Localness guidelines</w:t>
        </w:r>
      </w:hyperlink>
      <w:r>
        <w:t>, 2019</w:t>
      </w:r>
      <w:r w:rsidRPr="00132391">
        <w:t xml:space="preserve"> </w:t>
      </w:r>
    </w:p>
  </w:footnote>
  <w:footnote w:id="31">
    <w:p w14:paraId="498EEB1E" w14:textId="6A71190D" w:rsidR="00741DBA" w:rsidRPr="00CA209D" w:rsidRDefault="00741DBA" w:rsidP="00CD2084">
      <w:pPr>
        <w:pStyle w:val="FootnoteText"/>
        <w:spacing w:after="0" w:line="200" w:lineRule="exact"/>
        <w:contextualSpacing/>
        <w:rPr>
          <w:rFonts w:cs="Arial"/>
        </w:rPr>
      </w:pPr>
      <w:r w:rsidRPr="00C91433">
        <w:rPr>
          <w:rStyle w:val="FootnoteReference"/>
        </w:rPr>
        <w:footnoteRef/>
      </w:r>
      <w:r w:rsidRPr="00C91433">
        <w:t xml:space="preserve">s 3(1)i(ii), </w:t>
      </w:r>
      <w:r w:rsidRPr="00923CC6">
        <w:rPr>
          <w:i/>
        </w:rPr>
        <w:t>Broadcasting Act 1991</w:t>
      </w:r>
      <w:r w:rsidRPr="00C91433">
        <w:rPr>
          <w:i/>
        </w:rPr>
        <w:t xml:space="preserve"> </w:t>
      </w:r>
      <w:r w:rsidRPr="00C91433">
        <w:t>[Canada]</w:t>
      </w:r>
      <w:r>
        <w:t>.</w:t>
      </w:r>
    </w:p>
  </w:footnote>
  <w:footnote w:id="32">
    <w:p w14:paraId="71DEE79A" w14:textId="72172293" w:rsidR="00741DBA" w:rsidRPr="00CA209D" w:rsidRDefault="00741DBA" w:rsidP="00CD2084">
      <w:pPr>
        <w:pStyle w:val="FootnoteText"/>
        <w:spacing w:after="0" w:line="200" w:lineRule="exact"/>
        <w:contextualSpacing/>
        <w:rPr>
          <w:rFonts w:cs="Arial"/>
        </w:rPr>
      </w:pPr>
      <w:r w:rsidRPr="00CA209D">
        <w:rPr>
          <w:rStyle w:val="FootnoteReference"/>
          <w:rFonts w:cs="Arial"/>
        </w:rPr>
        <w:footnoteRef/>
      </w:r>
      <w:r w:rsidRPr="00CA209D">
        <w:rPr>
          <w:rFonts w:cs="Arial"/>
        </w:rPr>
        <w:t xml:space="preserve"> </w:t>
      </w:r>
      <w:r w:rsidRPr="007F74BF">
        <w:rPr>
          <w:rFonts w:cs="Arial"/>
        </w:rPr>
        <w:t>Canadian Radio-television and Telecommunications Commission</w:t>
      </w:r>
      <w:r>
        <w:rPr>
          <w:rFonts w:cs="Arial"/>
        </w:rPr>
        <w:t xml:space="preserve">, </w:t>
      </w:r>
      <w:hyperlink r:id="rId27" w:history="1">
        <w:r w:rsidRPr="00CC6741">
          <w:rPr>
            <w:rStyle w:val="Hyperlink"/>
            <w:rFonts w:cs="Arial"/>
          </w:rPr>
          <w:t>Broadcasting Regulatory Policy CRTC 2017-2</w:t>
        </w:r>
        <w:r>
          <w:rPr>
            <w:rStyle w:val="Hyperlink"/>
            <w:rFonts w:cs="Arial"/>
          </w:rPr>
          <w:t>24</w:t>
        </w:r>
      </w:hyperlink>
      <w:r>
        <w:rPr>
          <w:rFonts w:cs="Arial"/>
        </w:rPr>
        <w:t>, 2016.</w:t>
      </w:r>
    </w:p>
  </w:footnote>
  <w:footnote w:id="33">
    <w:p w14:paraId="20FCB2F4" w14:textId="607BDFCA" w:rsidR="00741DBA" w:rsidRPr="00132391" w:rsidRDefault="00741DBA" w:rsidP="00CD2084">
      <w:pPr>
        <w:pStyle w:val="FootnoteText"/>
        <w:spacing w:after="0" w:line="200" w:lineRule="exact"/>
        <w:contextualSpacing/>
      </w:pPr>
      <w:r w:rsidRPr="00132391">
        <w:rPr>
          <w:rStyle w:val="FootnoteReference"/>
        </w:rPr>
        <w:footnoteRef/>
      </w:r>
      <w:r w:rsidRPr="00132391">
        <w:t xml:space="preserve"> See, for example</w:t>
      </w:r>
      <w:r>
        <w:t>: Tracy, M.,</w:t>
      </w:r>
      <w:r w:rsidRPr="003C57DC">
        <w:t xml:space="preserve"> </w:t>
      </w:r>
      <w:hyperlink r:id="rId28" w:history="1">
        <w:r w:rsidRPr="003C57DC">
          <w:rPr>
            <w:rStyle w:val="Hyperlink"/>
          </w:rPr>
          <w:t>Google Says a Change in Its Algorithm Will Highlight ‘Original Reporting’</w:t>
        </w:r>
      </w:hyperlink>
      <w:r>
        <w:t xml:space="preserve">, </w:t>
      </w:r>
      <w:r w:rsidRPr="003C57DC">
        <w:rPr>
          <w:i/>
          <w:iCs/>
        </w:rPr>
        <w:t>The New York Times</w:t>
      </w:r>
      <w:r>
        <w:t xml:space="preserve">, 2019. </w:t>
      </w:r>
    </w:p>
  </w:footnote>
  <w:footnote w:id="34">
    <w:p w14:paraId="2FEE88F0" w14:textId="32A5ECD4" w:rsidR="00741DBA" w:rsidRPr="007A1260" w:rsidRDefault="00741DBA" w:rsidP="00CD2084">
      <w:pPr>
        <w:pStyle w:val="FootnoteText"/>
        <w:spacing w:after="0" w:line="200" w:lineRule="exact"/>
        <w:contextualSpacing/>
      </w:pPr>
      <w:r w:rsidRPr="006F1645">
        <w:rPr>
          <w:rStyle w:val="FootnoteReference"/>
        </w:rPr>
        <w:footnoteRef/>
      </w:r>
      <w:r w:rsidRPr="006F1645">
        <w:t xml:space="preserve"> </w:t>
      </w:r>
      <w:r>
        <w:t xml:space="preserve">Cairncross, F., </w:t>
      </w:r>
      <w:hyperlink r:id="rId29" w:history="1">
        <w:r w:rsidRPr="008C23F7">
          <w:rPr>
            <w:rStyle w:val="Hyperlink"/>
          </w:rPr>
          <w:t>The Cairncross Review: A Sustainable Future for Journalism</w:t>
        </w:r>
      </w:hyperlink>
      <w:r>
        <w:t>, 2019, pp. 35–36.</w:t>
      </w:r>
    </w:p>
  </w:footnote>
  <w:footnote w:id="35">
    <w:p w14:paraId="73534866" w14:textId="5B891967" w:rsidR="00741DBA" w:rsidRPr="00230B1E" w:rsidRDefault="00741DBA" w:rsidP="00CD2084">
      <w:pPr>
        <w:pStyle w:val="FootnoteText"/>
        <w:spacing w:after="0" w:line="200" w:lineRule="exact"/>
        <w:contextualSpacing/>
      </w:pPr>
      <w:r w:rsidRPr="00230B1E">
        <w:rPr>
          <w:rStyle w:val="FootnoteReference"/>
        </w:rPr>
        <w:footnoteRef/>
      </w:r>
      <w:r w:rsidRPr="00230B1E">
        <w:t xml:space="preserve"> </w:t>
      </w:r>
      <w:r>
        <w:t xml:space="preserve">Australian Parliament, </w:t>
      </w:r>
      <w:hyperlink r:id="rId30" w:history="1">
        <w:r w:rsidRPr="007D3D90">
          <w:rPr>
            <w:rStyle w:val="Hyperlink"/>
          </w:rPr>
          <w:t>Explanatory Memorandum to the Broadcasting Legislation Amendment (Broadcasting Reform) Bill 2017</w:t>
        </w:r>
      </w:hyperlink>
      <w:r>
        <w:t>, p. 6.</w:t>
      </w:r>
    </w:p>
  </w:footnote>
  <w:footnote w:id="36">
    <w:p w14:paraId="15C5F674" w14:textId="407FB68A" w:rsidR="00741DBA" w:rsidRPr="007A1260" w:rsidRDefault="00741DBA" w:rsidP="00CD2084">
      <w:pPr>
        <w:pStyle w:val="FootnoteText"/>
        <w:spacing w:after="0" w:line="200" w:lineRule="exact"/>
        <w:contextualSpacing/>
      </w:pPr>
      <w:r w:rsidRPr="007A1260">
        <w:rPr>
          <w:rStyle w:val="FootnoteReference"/>
        </w:rPr>
        <w:footnoteRef/>
      </w:r>
      <w:r w:rsidRPr="007A1260">
        <w:t xml:space="preserve"> </w:t>
      </w:r>
      <w:r w:rsidRPr="001F6C47">
        <w:t>See</w:t>
      </w:r>
      <w:r>
        <w:t xml:space="preserve">, for example, </w:t>
      </w:r>
      <w:hyperlink r:id="rId31" w:history="1">
        <w:r w:rsidRPr="007F6CAA">
          <w:rPr>
            <w:rStyle w:val="Hyperlink"/>
          </w:rPr>
          <w:t>Connecticut</w:t>
        </w:r>
      </w:hyperlink>
      <w:r>
        <w:t xml:space="preserve">, </w:t>
      </w:r>
      <w:hyperlink r:id="rId32" w:history="1">
        <w:r w:rsidRPr="00D35F22">
          <w:rPr>
            <w:rStyle w:val="Hyperlink"/>
          </w:rPr>
          <w:t>Pennsylvania</w:t>
        </w:r>
      </w:hyperlink>
      <w:r>
        <w:t xml:space="preserve">, </w:t>
      </w:r>
      <w:hyperlink r:id="rId33" w:history="1">
        <w:r w:rsidRPr="00B959DE">
          <w:rPr>
            <w:rStyle w:val="Hyperlink"/>
          </w:rPr>
          <w:t>Rhode Island</w:t>
        </w:r>
      </w:hyperlink>
      <w:r>
        <w:t xml:space="preserve"> and </w:t>
      </w:r>
      <w:hyperlink r:id="rId34" w:history="1">
        <w:r w:rsidRPr="00DC479C">
          <w:rPr>
            <w:rStyle w:val="Hyperlink"/>
          </w:rPr>
          <w:t>Virginia</w:t>
        </w:r>
      </w:hyperlink>
      <w:r>
        <w:t>.</w:t>
      </w:r>
    </w:p>
  </w:footnote>
  <w:footnote w:id="37">
    <w:p w14:paraId="576A43B6" w14:textId="6D42C136" w:rsidR="00741DBA" w:rsidRDefault="00741DBA" w:rsidP="00CD2084">
      <w:pPr>
        <w:pStyle w:val="FootnoteText"/>
        <w:spacing w:after="0" w:line="200" w:lineRule="exact"/>
        <w:contextualSpacing/>
      </w:pPr>
      <w:r>
        <w:rPr>
          <w:rStyle w:val="FootnoteReference"/>
        </w:rPr>
        <w:footnoteRef/>
      </w:r>
      <w:r>
        <w:t xml:space="preserve"> O</w:t>
      </w:r>
      <w:r w:rsidRPr="006A1EEA">
        <w:t xml:space="preserve">n 24 December 2019, the UK </w:t>
      </w:r>
      <w:r>
        <w:t>‘Upper T</w:t>
      </w:r>
      <w:r w:rsidRPr="006A1EEA">
        <w:t>ribunal</w:t>
      </w:r>
      <w:r>
        <w:t>’</w:t>
      </w:r>
      <w:r w:rsidRPr="006A1EEA">
        <w:t xml:space="preserve"> overruled a previous decision </w:t>
      </w:r>
      <w:r>
        <w:t xml:space="preserve">of </w:t>
      </w:r>
      <w:r w:rsidRPr="00381B02">
        <w:t>HM Revenue &amp; Customs</w:t>
      </w:r>
      <w:r>
        <w:t xml:space="preserve"> (HMRC) </w:t>
      </w:r>
      <w:r w:rsidRPr="006A1EEA">
        <w:t>concerning digital newspapers, ruling that they are ‘newspapers’ for VAT purposes and therefore should also be zero-rated</w:t>
      </w:r>
      <w:r>
        <w:t xml:space="preserve">; </w:t>
      </w:r>
      <w:hyperlink r:id="rId35" w:history="1">
        <w:r w:rsidRPr="003B0F98">
          <w:rPr>
            <w:rStyle w:val="Hyperlink"/>
          </w:rPr>
          <w:t>News Corp UK and Ireland Ltd v The Commissioners for HM Revenue and Customs [2019] UKUT 0404 (TCC)</w:t>
        </w:r>
      </w:hyperlink>
      <w:r>
        <w:t xml:space="preserve">. HMRC has subsequently issued a brief to confirm its policy has not changed and that it will appeal this decision to the Court of Appeal; </w:t>
      </w:r>
      <w:r w:rsidRPr="009A453E">
        <w:t>HM Revenue &amp; Customs</w:t>
      </w:r>
      <w:r>
        <w:t xml:space="preserve">, </w:t>
      </w:r>
      <w:hyperlink r:id="rId36" w:history="1">
        <w:r w:rsidRPr="00EA0B6C">
          <w:rPr>
            <w:rStyle w:val="Hyperlink"/>
          </w:rPr>
          <w:t>Revenue and Customs Brief 1 (2020): VAT liability of digital publications - Upper Tribunal in News Corp and Ireland Ltd</w:t>
        </w:r>
      </w:hyperlink>
      <w:r>
        <w:t>, 2020.</w:t>
      </w:r>
    </w:p>
  </w:footnote>
  <w:footnote w:id="38">
    <w:p w14:paraId="46E48100" w14:textId="56471375" w:rsidR="00741DBA" w:rsidRPr="007A1260" w:rsidRDefault="00741DBA" w:rsidP="00CD2084">
      <w:pPr>
        <w:pStyle w:val="FootnoteText"/>
        <w:spacing w:after="0" w:line="200" w:lineRule="exact"/>
        <w:contextualSpacing/>
      </w:pPr>
      <w:r w:rsidRPr="007A1260">
        <w:rPr>
          <w:rStyle w:val="FootnoteReference"/>
        </w:rPr>
        <w:footnoteRef/>
      </w:r>
      <w:r w:rsidRPr="007A1260">
        <w:t xml:space="preserve"> </w:t>
      </w:r>
      <w:r w:rsidRPr="00DA1E90">
        <w:t>HM Revenue &amp; Customs</w:t>
      </w:r>
      <w:r>
        <w:t xml:space="preserve">, </w:t>
      </w:r>
      <w:hyperlink r:id="rId37" w:anchor="printing-postage-publications---books-magazines-and-newspapers" w:history="1">
        <w:r w:rsidRPr="00CE7DCA">
          <w:rPr>
            <w:rStyle w:val="Hyperlink"/>
          </w:rPr>
          <w:t>Zero rating books and printed matter (VAT Notice 701/10)</w:t>
        </w:r>
      </w:hyperlink>
      <w:r>
        <w:t>, 2016.</w:t>
      </w:r>
      <w:r w:rsidRPr="007A1260">
        <w:t xml:space="preserve"> </w:t>
      </w:r>
    </w:p>
  </w:footnote>
  <w:footnote w:id="39">
    <w:p w14:paraId="57F56646" w14:textId="4580C266" w:rsidR="00741DBA" w:rsidRPr="007A1260" w:rsidRDefault="00741DBA" w:rsidP="00CD2084">
      <w:pPr>
        <w:pStyle w:val="FootnoteText"/>
        <w:spacing w:after="0" w:line="200" w:lineRule="exact"/>
        <w:contextualSpacing/>
      </w:pPr>
      <w:r w:rsidRPr="007A1260">
        <w:rPr>
          <w:rStyle w:val="FootnoteReference"/>
        </w:rPr>
        <w:footnoteRef/>
      </w:r>
      <w:r w:rsidRPr="007A1260">
        <w:t xml:space="preserve"> </w:t>
      </w:r>
      <w:r>
        <w:t xml:space="preserve">Avalara, </w:t>
      </w:r>
      <w:hyperlink r:id="rId38" w:history="1">
        <w:r w:rsidRPr="0026061A">
          <w:rPr>
            <w:rStyle w:val="Hyperlink"/>
          </w:rPr>
          <w:t>French VAT rates and VAT Compliance</w:t>
        </w:r>
      </w:hyperlink>
      <w:r>
        <w:t xml:space="preserve">, 2020; Foster, R. and Bunting, M., </w:t>
      </w:r>
      <w:hyperlink r:id="rId39" w:history="1">
        <w:r w:rsidRPr="00FC072E">
          <w:rPr>
            <w:rStyle w:val="Hyperlink"/>
          </w:rPr>
          <w:t>Public funding of high-quality journalism: A report for the ACCC</w:t>
        </w:r>
      </w:hyperlink>
      <w:r>
        <w:t>, 2019</w:t>
      </w:r>
      <w:r w:rsidRPr="007A1260">
        <w:t>, p.</w:t>
      </w:r>
      <w:r>
        <w:t xml:space="preserve"> </w:t>
      </w:r>
      <w:r w:rsidRPr="007A1260">
        <w:t>41</w:t>
      </w:r>
      <w:r>
        <w:t>.</w:t>
      </w:r>
    </w:p>
  </w:footnote>
  <w:footnote w:id="40">
    <w:p w14:paraId="0FA88070" w14:textId="227B4581" w:rsidR="00741DBA" w:rsidRPr="00CA209D" w:rsidRDefault="00741DBA" w:rsidP="00CD2084">
      <w:pPr>
        <w:pStyle w:val="FootnoteText"/>
        <w:spacing w:after="0" w:line="200" w:lineRule="exact"/>
        <w:contextualSpacing/>
        <w:rPr>
          <w:rFonts w:cs="Arial"/>
        </w:rPr>
      </w:pPr>
      <w:r w:rsidRPr="00CA209D">
        <w:rPr>
          <w:rStyle w:val="FootnoteReference"/>
          <w:rFonts w:cs="Arial"/>
        </w:rPr>
        <w:footnoteRef/>
      </w:r>
      <w:r w:rsidRPr="00CA209D">
        <w:rPr>
          <w:rFonts w:cs="Arial"/>
        </w:rPr>
        <w:t xml:space="preserve"> </w:t>
      </w:r>
      <w:r>
        <w:rPr>
          <w:rFonts w:cs="Arial"/>
        </w:rPr>
        <w:t>R</w:t>
      </w:r>
      <w:r w:rsidRPr="00B66530">
        <w:rPr>
          <w:rFonts w:cs="Arial"/>
        </w:rPr>
        <w:t>egjeringen</w:t>
      </w:r>
      <w:r>
        <w:rPr>
          <w:rFonts w:cs="Arial"/>
        </w:rPr>
        <w:t xml:space="preserve"> (Government of Norway),</w:t>
      </w:r>
      <w:r w:rsidRPr="00B66530">
        <w:rPr>
          <w:rFonts w:cs="Arial"/>
        </w:rPr>
        <w:t xml:space="preserve"> </w:t>
      </w:r>
      <w:hyperlink r:id="rId40" w:history="1">
        <w:r w:rsidRPr="00F9078D">
          <w:rPr>
            <w:rStyle w:val="Hyperlink"/>
            <w:rFonts w:cs="Arial"/>
          </w:rPr>
          <w:t>Notification VAT zero rating for electronic news services</w:t>
        </w:r>
      </w:hyperlink>
      <w:r>
        <w:rPr>
          <w:rFonts w:cs="Arial"/>
        </w:rPr>
        <w:t xml:space="preserve">, 2015, p. 5. </w:t>
      </w:r>
    </w:p>
  </w:footnote>
  <w:footnote w:id="41">
    <w:p w14:paraId="0B5AAA59" w14:textId="3046F104" w:rsidR="00741DBA" w:rsidRPr="00CA209D" w:rsidRDefault="00741DBA" w:rsidP="00CD2084">
      <w:pPr>
        <w:pStyle w:val="FootnoteText"/>
        <w:spacing w:after="0" w:line="200" w:lineRule="exact"/>
        <w:contextualSpacing/>
        <w:rPr>
          <w:rFonts w:cs="Arial"/>
        </w:rPr>
      </w:pPr>
      <w:r w:rsidRPr="007A1260">
        <w:rPr>
          <w:rStyle w:val="FootnoteReference"/>
        </w:rPr>
        <w:footnoteRef/>
      </w:r>
      <w:r w:rsidRPr="007A1260">
        <w:t xml:space="preserve"> </w:t>
      </w:r>
      <w:r>
        <w:rPr>
          <w:rFonts w:cs="Arial"/>
        </w:rPr>
        <w:t xml:space="preserve">Australian Competition and Consumer Commission, </w:t>
      </w:r>
      <w:hyperlink r:id="rId41" w:history="1">
        <w:r w:rsidRPr="00053DA3">
          <w:rPr>
            <w:rStyle w:val="Hyperlink"/>
            <w:rFonts w:cs="Arial"/>
          </w:rPr>
          <w:t>Digital Platforms Inquiry – Final Report</w:t>
        </w:r>
      </w:hyperlink>
      <w:r>
        <w:rPr>
          <w:rFonts w:cs="Arial"/>
        </w:rPr>
        <w:t>, 2019,</w:t>
      </w:r>
      <w:r w:rsidRPr="007A1260">
        <w:t xml:space="preserve"> p.</w:t>
      </w:r>
      <w:r>
        <w:t xml:space="preserve"> </w:t>
      </w:r>
      <w:r w:rsidRPr="007A1260">
        <w:t>20</w:t>
      </w:r>
      <w:r>
        <w:t>.</w:t>
      </w:r>
    </w:p>
  </w:footnote>
  <w:footnote w:id="42">
    <w:p w14:paraId="1E44C847" w14:textId="17A399DA" w:rsidR="00741DBA" w:rsidRPr="00895563" w:rsidRDefault="00741DBA" w:rsidP="00CD2084">
      <w:pPr>
        <w:pStyle w:val="FootnoteText"/>
        <w:spacing w:after="0" w:line="200" w:lineRule="exact"/>
        <w:contextualSpacing/>
      </w:pPr>
      <w:r w:rsidRPr="00132391">
        <w:rPr>
          <w:rStyle w:val="FootnoteReference"/>
        </w:rPr>
        <w:footnoteRef/>
      </w:r>
      <w:r w:rsidRPr="00132391">
        <w:t xml:space="preserve"> </w:t>
      </w:r>
      <w:r>
        <w:t xml:space="preserve">Australian Government, </w:t>
      </w:r>
      <w:hyperlink r:id="rId42" w:history="1">
        <w:r w:rsidRPr="00B73A9B">
          <w:rPr>
            <w:rStyle w:val="Hyperlink"/>
          </w:rPr>
          <w:t>Regulating in the digital age: Government Response and Implementation Roadmap for the Digital Platforms Inquiry</w:t>
        </w:r>
      </w:hyperlink>
      <w:r>
        <w:t xml:space="preserve">, 2019, p. </w:t>
      </w:r>
      <w:r w:rsidRPr="00132391">
        <w:t>10</w:t>
      </w:r>
      <w:r>
        <w:t>.</w:t>
      </w:r>
    </w:p>
  </w:footnote>
  <w:footnote w:id="43">
    <w:p w14:paraId="3E27C38E" w14:textId="344C82BD" w:rsidR="00741DBA" w:rsidRPr="007A1260" w:rsidRDefault="00741DBA" w:rsidP="00CD2084">
      <w:pPr>
        <w:pStyle w:val="FootnoteText"/>
        <w:spacing w:after="0" w:line="200" w:lineRule="exact"/>
        <w:contextualSpacing/>
      </w:pPr>
      <w:r w:rsidRPr="007A1260">
        <w:rPr>
          <w:rStyle w:val="FootnoteReference"/>
        </w:rPr>
        <w:footnoteRef/>
      </w:r>
      <w:r w:rsidRPr="007A1260">
        <w:t xml:space="preserve"> </w:t>
      </w:r>
      <w:hyperlink r:id="rId43" w:history="1">
        <w:r w:rsidRPr="00960866">
          <w:rPr>
            <w:rFonts w:cs="Arial"/>
          </w:rPr>
          <w:t>Government</w:t>
        </w:r>
      </w:hyperlink>
      <w:r w:rsidRPr="00960866">
        <w:rPr>
          <w:rFonts w:cs="Arial"/>
        </w:rPr>
        <w:t xml:space="preserve"> of Canada, </w:t>
      </w:r>
      <w:hyperlink r:id="rId44" w:history="1">
        <w:r w:rsidRPr="00302B60">
          <w:rPr>
            <w:rStyle w:val="Hyperlink"/>
            <w:rFonts w:cs="Arial"/>
          </w:rPr>
          <w:t>Budget 2019 Tax Measures: Supplementary Information</w:t>
        </w:r>
      </w:hyperlink>
      <w:r w:rsidRPr="00960866">
        <w:rPr>
          <w:rFonts w:cs="Arial"/>
        </w:rPr>
        <w:t>, 2019.</w:t>
      </w:r>
    </w:p>
  </w:footnote>
  <w:footnote w:id="44">
    <w:p w14:paraId="73896588" w14:textId="77777777" w:rsidR="00741DBA" w:rsidRPr="00CA209D" w:rsidRDefault="00741DBA" w:rsidP="00CD2084">
      <w:pPr>
        <w:pStyle w:val="FootnoteText"/>
        <w:spacing w:after="0" w:line="200" w:lineRule="exact"/>
        <w:contextualSpacing/>
        <w:rPr>
          <w:rFonts w:cs="Arial"/>
        </w:rPr>
      </w:pPr>
      <w:r w:rsidRPr="00CA209D">
        <w:rPr>
          <w:rStyle w:val="FootnoteReference"/>
          <w:rFonts w:cs="Arial"/>
        </w:rPr>
        <w:footnoteRef/>
      </w:r>
      <w:r w:rsidRPr="00CA209D">
        <w:rPr>
          <w:rFonts w:cs="Arial"/>
        </w:rPr>
        <w:t xml:space="preserve"> </w:t>
      </w:r>
      <w:r w:rsidRPr="00826C11">
        <w:rPr>
          <w:rFonts w:cs="Arial"/>
        </w:rPr>
        <w:t>Broadcasting and Telecommunications Legislative Review Panel</w:t>
      </w:r>
      <w:r w:rsidRPr="00960866">
        <w:rPr>
          <w:rFonts w:cs="Arial"/>
        </w:rPr>
        <w:t xml:space="preserve">, </w:t>
      </w:r>
      <w:hyperlink r:id="rId45" w:history="1">
        <w:r w:rsidRPr="008D5D41">
          <w:rPr>
            <w:rStyle w:val="Hyperlink"/>
            <w:rFonts w:cs="Arial"/>
          </w:rPr>
          <w:t>Canada’s Communications Future: Time to Act – Final Report</w:t>
        </w:r>
      </w:hyperlink>
      <w:r>
        <w:rPr>
          <w:rFonts w:cs="Arial"/>
        </w:rPr>
        <w:t>, 2020, p. 156.</w:t>
      </w:r>
    </w:p>
  </w:footnote>
  <w:footnote w:id="45">
    <w:p w14:paraId="31FB9542" w14:textId="0F43C55D" w:rsidR="00741DBA" w:rsidRPr="007A1260" w:rsidRDefault="00741DBA" w:rsidP="00CD2084">
      <w:pPr>
        <w:pStyle w:val="FootnoteText"/>
        <w:spacing w:after="0" w:line="200" w:lineRule="exact"/>
        <w:contextualSpacing/>
      </w:pPr>
      <w:r w:rsidRPr="007A1260">
        <w:rPr>
          <w:rStyle w:val="FootnoteReference"/>
        </w:rPr>
        <w:footnoteRef/>
      </w:r>
      <w:r w:rsidRPr="007A1260">
        <w:t xml:space="preserve"> </w:t>
      </w:r>
      <w:r>
        <w:t xml:space="preserve">Cairncross, F., </w:t>
      </w:r>
      <w:hyperlink r:id="rId46" w:history="1">
        <w:r w:rsidRPr="008C23F7">
          <w:rPr>
            <w:rStyle w:val="Hyperlink"/>
          </w:rPr>
          <w:t>The Cairncross Review: A Sustainable Future for Journalism</w:t>
        </w:r>
      </w:hyperlink>
      <w:r>
        <w:t xml:space="preserve">, 2019, </w:t>
      </w:r>
      <w:r w:rsidRPr="007A1260">
        <w:t>p.</w:t>
      </w:r>
      <w:r>
        <w:t xml:space="preserve"> </w:t>
      </w:r>
      <w:r w:rsidRPr="007A1260">
        <w:t>11</w:t>
      </w:r>
      <w:r>
        <w:t>.</w:t>
      </w:r>
    </w:p>
  </w:footnote>
  <w:footnote w:id="46">
    <w:p w14:paraId="30B7C2BE" w14:textId="4627A284" w:rsidR="00741DBA" w:rsidRPr="00132391" w:rsidRDefault="00741DBA" w:rsidP="00CD2084">
      <w:pPr>
        <w:pStyle w:val="FootnoteText"/>
        <w:spacing w:after="0" w:line="200" w:lineRule="exact"/>
        <w:contextualSpacing/>
      </w:pPr>
      <w:r w:rsidRPr="00132391">
        <w:rPr>
          <w:rStyle w:val="FootnoteReference"/>
        </w:rPr>
        <w:footnoteRef/>
      </w:r>
      <w:r w:rsidRPr="00132391">
        <w:t xml:space="preserve"> </w:t>
      </w:r>
      <w:r>
        <w:t xml:space="preserve">Department for Digital, Culture, Media &amp; Sport, </w:t>
      </w:r>
      <w:hyperlink r:id="rId47" w:history="1">
        <w:r w:rsidRPr="003C0BF3">
          <w:rPr>
            <w:rStyle w:val="Hyperlink"/>
          </w:rPr>
          <w:t>Government response to the Cairncross Review: a sustainable future for journalism</w:t>
        </w:r>
      </w:hyperlink>
      <w:r>
        <w:t>, 2020.</w:t>
      </w:r>
    </w:p>
  </w:footnote>
  <w:footnote w:id="47">
    <w:p w14:paraId="2098B020" w14:textId="5A05C8A8" w:rsidR="00741DBA" w:rsidRPr="00132391" w:rsidRDefault="00741DBA" w:rsidP="00CD2084">
      <w:pPr>
        <w:pStyle w:val="FootnoteText"/>
        <w:spacing w:after="0" w:line="200" w:lineRule="exact"/>
        <w:contextualSpacing/>
      </w:pPr>
      <w:r w:rsidRPr="00132391">
        <w:rPr>
          <w:rStyle w:val="FootnoteReference"/>
        </w:rPr>
        <w:footnoteRef/>
      </w:r>
      <w:r w:rsidRPr="00132391">
        <w:t xml:space="preserve"> </w:t>
      </w:r>
      <w:r>
        <w:t xml:space="preserve">Department of Infrastructure, Transport, Regional Development and Communications, </w:t>
      </w:r>
      <w:hyperlink r:id="rId48" w:history="1">
        <w:r w:rsidRPr="003A352C">
          <w:rPr>
            <w:rStyle w:val="Hyperlink"/>
          </w:rPr>
          <w:t>Regional and Small Publishers Innovation Package</w:t>
        </w:r>
      </w:hyperlink>
      <w:r>
        <w:t>, 2020.</w:t>
      </w:r>
    </w:p>
  </w:footnote>
  <w:footnote w:id="48">
    <w:p w14:paraId="0CBF77A5" w14:textId="220B2894" w:rsidR="00741DBA" w:rsidRPr="00915814" w:rsidRDefault="00741DBA" w:rsidP="00CD2084">
      <w:pPr>
        <w:pStyle w:val="FootnoteText"/>
        <w:spacing w:after="0" w:line="200" w:lineRule="exact"/>
        <w:contextualSpacing/>
      </w:pPr>
      <w:r w:rsidRPr="00915814">
        <w:rPr>
          <w:rStyle w:val="FootnoteReference"/>
        </w:rPr>
        <w:footnoteRef/>
      </w:r>
      <w:r w:rsidRPr="00915814">
        <w:t xml:space="preserve"> </w:t>
      </w:r>
      <w:hyperlink r:id="rId49" w:history="1">
        <w:r w:rsidRPr="003A352C">
          <w:t xml:space="preserve"> </w:t>
        </w:r>
        <w:r>
          <w:t xml:space="preserve">Department of Infrastructure, Transport, Regional Development and Communications, </w:t>
        </w:r>
      </w:hyperlink>
      <w:hyperlink r:id="rId50" w:history="1">
        <w:r w:rsidRPr="00971D23">
          <w:rPr>
            <w:rStyle w:val="Hyperlink"/>
          </w:rPr>
          <w:t>Regional and Small Publishers Cadetships Program</w:t>
        </w:r>
      </w:hyperlink>
      <w:r>
        <w:t>, 2018.</w:t>
      </w:r>
      <w:r w:rsidRPr="00915814">
        <w:t xml:space="preserve"> </w:t>
      </w:r>
      <w:r w:rsidRPr="00337EFE">
        <w:t xml:space="preserve">It is further noted that in early 2020, the government established the Public Interest News Gathering (PING) program to support public interest journalism delivered by commercial television, newspaper and radio businesses in regional Australia. Department of Infrastructure, Transport, Regional Development and Communications, </w:t>
      </w:r>
      <w:hyperlink r:id="rId51" w:history="1">
        <w:r w:rsidRPr="00337EFE">
          <w:rPr>
            <w:rStyle w:val="Hyperlink"/>
            <w:i/>
            <w:iCs/>
          </w:rPr>
          <w:t>Supporting public interest journalism</w:t>
        </w:r>
      </w:hyperlink>
      <w:r w:rsidRPr="00337EFE">
        <w:rPr>
          <w:i/>
          <w:iCs/>
        </w:rPr>
        <w:t xml:space="preserve">, </w:t>
      </w:r>
      <w:r w:rsidRPr="00337EFE">
        <w:t>24 April 2020</w:t>
      </w:r>
      <w:r>
        <w:t>.</w:t>
      </w:r>
    </w:p>
  </w:footnote>
  <w:footnote w:id="49">
    <w:p w14:paraId="0365194E" w14:textId="6E261A16" w:rsidR="00741DBA" w:rsidRPr="00F83AF7" w:rsidRDefault="00741DBA" w:rsidP="00CD2084">
      <w:pPr>
        <w:pStyle w:val="FootnoteText"/>
        <w:spacing w:after="0" w:line="200" w:lineRule="exact"/>
        <w:contextualSpacing/>
        <w:rPr>
          <w:rFonts w:cs="Arial"/>
        </w:rPr>
      </w:pPr>
      <w:r w:rsidRPr="00915814">
        <w:rPr>
          <w:rStyle w:val="FootnoteReference"/>
        </w:rPr>
        <w:footnoteRef/>
      </w:r>
      <w:r w:rsidRPr="00915814">
        <w:t xml:space="preserve"> </w:t>
      </w:r>
      <w:r>
        <w:rPr>
          <w:rFonts w:cs="Arial"/>
        </w:rPr>
        <w:t>R</w:t>
      </w:r>
      <w:r w:rsidRPr="00B66530">
        <w:rPr>
          <w:rFonts w:cs="Arial"/>
        </w:rPr>
        <w:t>egjeringen</w:t>
      </w:r>
      <w:r>
        <w:rPr>
          <w:rFonts w:cs="Arial"/>
        </w:rPr>
        <w:t xml:space="preserve"> (Government of Norway),</w:t>
      </w:r>
      <w:r w:rsidRPr="00B66530">
        <w:rPr>
          <w:rFonts w:cs="Arial"/>
        </w:rPr>
        <w:t xml:space="preserve"> </w:t>
      </w:r>
      <w:hyperlink r:id="rId52" w:history="1">
        <w:r w:rsidRPr="00F9078D">
          <w:rPr>
            <w:rStyle w:val="Hyperlink"/>
            <w:rFonts w:cs="Arial"/>
          </w:rPr>
          <w:t>Notification VAT zero rating for electronic news services</w:t>
        </w:r>
      </w:hyperlink>
      <w:r>
        <w:rPr>
          <w:rFonts w:cs="Arial"/>
        </w:rPr>
        <w:t>, 2015, p. 4.</w:t>
      </w:r>
    </w:p>
  </w:footnote>
  <w:footnote w:id="50">
    <w:p w14:paraId="57932924" w14:textId="46C3AEFC" w:rsidR="00741DBA" w:rsidRDefault="00741DBA" w:rsidP="00CD2084">
      <w:pPr>
        <w:pStyle w:val="FootnoteText"/>
        <w:spacing w:after="0" w:line="200" w:lineRule="exact"/>
      </w:pPr>
      <w:r>
        <w:rPr>
          <w:rStyle w:val="FootnoteReference"/>
        </w:rPr>
        <w:footnoteRef/>
      </w:r>
      <w:r>
        <w:t xml:space="preserve"> ibid, p. 35.</w:t>
      </w:r>
    </w:p>
  </w:footnote>
  <w:footnote w:id="51">
    <w:p w14:paraId="5A4A01A2" w14:textId="5C1CD016" w:rsidR="00741DBA" w:rsidRDefault="00741DBA" w:rsidP="00CD2084">
      <w:pPr>
        <w:pStyle w:val="FootnoteText"/>
        <w:spacing w:after="0" w:line="200" w:lineRule="exact"/>
      </w:pPr>
      <w:r>
        <w:rPr>
          <w:rStyle w:val="FootnoteReference"/>
        </w:rPr>
        <w:footnoteRef/>
      </w:r>
      <w:r>
        <w:t xml:space="preserve"> ibid, p. 35.</w:t>
      </w:r>
    </w:p>
  </w:footnote>
  <w:footnote w:id="52">
    <w:p w14:paraId="71C55B87" w14:textId="15DE0C91" w:rsidR="00741DBA" w:rsidRDefault="00741DBA" w:rsidP="00CD2084">
      <w:pPr>
        <w:pStyle w:val="FootnoteText"/>
        <w:spacing w:after="0" w:line="200" w:lineRule="exact"/>
      </w:pPr>
      <w:r>
        <w:rPr>
          <w:rStyle w:val="FootnoteReference"/>
        </w:rPr>
        <w:footnoteRef/>
      </w:r>
      <w:r>
        <w:t xml:space="preserve"> The ILNF received $22m in 2019; </w:t>
      </w:r>
      <w:r w:rsidRPr="00A8009E">
        <w:t>Canadian Radio-television and Telecommunications Commission</w:t>
      </w:r>
      <w:r>
        <w:t xml:space="preserve">, </w:t>
      </w:r>
      <w:hyperlink r:id="rId53" w:history="1">
        <w:r w:rsidRPr="007F3947">
          <w:rPr>
            <w:rStyle w:val="Hyperlink"/>
          </w:rPr>
          <w:t>Communications Monitoring Report</w:t>
        </w:r>
      </w:hyperlink>
      <w:r>
        <w:t xml:space="preserve">, 2019, p. 212. </w:t>
      </w:r>
    </w:p>
  </w:footnote>
  <w:footnote w:id="53">
    <w:p w14:paraId="0EFD5D0C" w14:textId="4D4FE26C" w:rsidR="00741DBA" w:rsidRPr="00CA209D" w:rsidRDefault="00741DBA" w:rsidP="00CD2084">
      <w:pPr>
        <w:pStyle w:val="FootnoteText"/>
        <w:spacing w:after="0" w:line="200" w:lineRule="exact"/>
        <w:contextualSpacing/>
        <w:rPr>
          <w:rFonts w:cs="Arial"/>
        </w:rPr>
      </w:pPr>
      <w:r w:rsidRPr="007A1260">
        <w:rPr>
          <w:rStyle w:val="FootnoteReference"/>
        </w:rPr>
        <w:footnoteRef/>
      </w:r>
      <w:r w:rsidRPr="007A1260">
        <w:t xml:space="preserve"> </w:t>
      </w:r>
      <w:r>
        <w:t xml:space="preserve">s. 309 [47 U.S.C. 309], (j)(3)(B), </w:t>
      </w:r>
      <w:hyperlink r:id="rId54" w:history="1">
        <w:r w:rsidRPr="002509D4">
          <w:rPr>
            <w:rStyle w:val="Hyperlink"/>
            <w:rFonts w:cs="Arial"/>
            <w:i/>
            <w:iCs/>
          </w:rPr>
          <w:t>The Communications Act of 1934</w:t>
        </w:r>
      </w:hyperlink>
      <w:r w:rsidRPr="002509D4">
        <w:rPr>
          <w:rFonts w:cs="Arial"/>
          <w:i/>
          <w:iCs/>
        </w:rPr>
        <w:t xml:space="preserve"> </w:t>
      </w:r>
      <w:r>
        <w:rPr>
          <w:rFonts w:cs="Arial"/>
        </w:rPr>
        <w:t>[US].</w:t>
      </w:r>
    </w:p>
  </w:footnote>
  <w:footnote w:id="54">
    <w:p w14:paraId="32986228" w14:textId="5B8D42D1" w:rsidR="00741DBA" w:rsidRPr="00CA209D" w:rsidRDefault="00741DBA" w:rsidP="00CD2084">
      <w:pPr>
        <w:pStyle w:val="FootnoteText"/>
        <w:spacing w:after="0" w:line="200" w:lineRule="exact"/>
        <w:contextualSpacing/>
        <w:rPr>
          <w:rFonts w:cs="Arial"/>
        </w:rPr>
      </w:pPr>
      <w:r w:rsidRPr="00CA209D">
        <w:rPr>
          <w:rStyle w:val="FootnoteReference"/>
          <w:rFonts w:cs="Arial"/>
        </w:rPr>
        <w:footnoteRef/>
      </w:r>
      <w:r w:rsidRPr="00CA209D">
        <w:rPr>
          <w:rFonts w:cs="Arial"/>
        </w:rPr>
        <w:t xml:space="preserve"> </w:t>
      </w:r>
      <w:r>
        <w:t xml:space="preserve">s. 309 [47 U.S.C. 309], (i)(3)(A), </w:t>
      </w:r>
      <w:hyperlink r:id="rId55" w:history="1">
        <w:r w:rsidRPr="002509D4">
          <w:rPr>
            <w:rStyle w:val="Hyperlink"/>
            <w:rFonts w:cs="Arial"/>
            <w:i/>
            <w:iCs/>
          </w:rPr>
          <w:t>The Communications Act of 1934</w:t>
        </w:r>
      </w:hyperlink>
      <w:r w:rsidRPr="002509D4">
        <w:rPr>
          <w:rFonts w:cs="Arial"/>
          <w:i/>
          <w:iCs/>
        </w:rPr>
        <w:t xml:space="preserve"> </w:t>
      </w:r>
      <w:r>
        <w:rPr>
          <w:rFonts w:cs="Arial"/>
        </w:rPr>
        <w:t>[US].</w:t>
      </w:r>
    </w:p>
  </w:footnote>
  <w:footnote w:id="55">
    <w:p w14:paraId="41BFC35C" w14:textId="4CCB6CA0" w:rsidR="00741DBA" w:rsidRPr="007A1260" w:rsidRDefault="00741DBA" w:rsidP="00CD2084">
      <w:pPr>
        <w:pStyle w:val="FootnoteText"/>
        <w:spacing w:after="0" w:line="200" w:lineRule="exact"/>
        <w:contextualSpacing/>
      </w:pPr>
      <w:r w:rsidRPr="007A1260">
        <w:rPr>
          <w:rStyle w:val="FootnoteReference"/>
        </w:rPr>
        <w:footnoteRef/>
      </w:r>
      <w:r w:rsidRPr="007A1260">
        <w:t xml:space="preserve"> </w:t>
      </w:r>
      <w:r>
        <w:t xml:space="preserve">Federal Communications Commission, </w:t>
      </w:r>
      <w:hyperlink r:id="rId56" w:history="1">
        <w:r w:rsidRPr="006A4AD5">
          <w:rPr>
            <w:rStyle w:val="Hyperlink"/>
          </w:rPr>
          <w:t>FCC Establishes Incubator Program to Increase Broadcaster Diversity</w:t>
        </w:r>
      </w:hyperlink>
      <w:r>
        <w:t>, 2018.</w:t>
      </w:r>
      <w:r w:rsidRPr="007A1260">
        <w:t xml:space="preserve"> </w:t>
      </w:r>
    </w:p>
  </w:footnote>
  <w:footnote w:id="56">
    <w:p w14:paraId="457C23E4" w14:textId="44687783" w:rsidR="00741DBA" w:rsidRDefault="00741DBA" w:rsidP="00CD2084">
      <w:pPr>
        <w:pStyle w:val="FootnoteText"/>
        <w:spacing w:after="0" w:line="200" w:lineRule="exact"/>
      </w:pPr>
      <w:r>
        <w:rPr>
          <w:rStyle w:val="FootnoteReference"/>
        </w:rPr>
        <w:footnoteRef/>
      </w:r>
      <w:r>
        <w:t xml:space="preserve"> Federal Communications Commission, </w:t>
      </w:r>
      <w:hyperlink r:id="rId57" w:history="1">
        <w:r w:rsidRPr="00120F1A">
          <w:rPr>
            <w:rStyle w:val="Hyperlink"/>
          </w:rPr>
          <w:t>Broadcast Radio Incubator Program</w:t>
        </w:r>
      </w:hyperlink>
      <w:r>
        <w:t>, 2019.</w:t>
      </w:r>
    </w:p>
  </w:footnote>
  <w:footnote w:id="57">
    <w:p w14:paraId="2244214E" w14:textId="19BE8E25" w:rsidR="00741DBA" w:rsidRDefault="00741DBA" w:rsidP="00CD2084">
      <w:pPr>
        <w:pStyle w:val="FootnoteText"/>
        <w:spacing w:after="0" w:line="200" w:lineRule="exact"/>
        <w:contextualSpacing/>
      </w:pPr>
      <w:r>
        <w:rPr>
          <w:rStyle w:val="FootnoteReference"/>
        </w:rPr>
        <w:footnoteRef/>
      </w:r>
      <w:r>
        <w:t xml:space="preserve"> Google, </w:t>
      </w:r>
      <w:hyperlink r:id="rId58" w:history="1">
        <w:r w:rsidRPr="006C0452">
          <w:rPr>
            <w:rStyle w:val="Hyperlink"/>
          </w:rPr>
          <w:t>GNI Innovation Challenges</w:t>
        </w:r>
      </w:hyperlink>
      <w:r>
        <w:t>, 2020.</w:t>
      </w:r>
    </w:p>
  </w:footnote>
  <w:footnote w:id="58">
    <w:p w14:paraId="7D637C0E" w14:textId="2E9A67EB" w:rsidR="00741DBA" w:rsidRDefault="00741DBA" w:rsidP="00CD2084">
      <w:pPr>
        <w:pStyle w:val="FootnoteText"/>
        <w:spacing w:after="0" w:line="200" w:lineRule="exact"/>
        <w:contextualSpacing/>
      </w:pPr>
      <w:r>
        <w:rPr>
          <w:rStyle w:val="FootnoteReference"/>
        </w:rPr>
        <w:footnoteRef/>
      </w:r>
      <w:r>
        <w:t xml:space="preserve"> Brown, C., </w:t>
      </w:r>
      <w:hyperlink r:id="rId59" w:history="1">
        <w:r w:rsidRPr="00A70647">
          <w:rPr>
            <w:rStyle w:val="Hyperlink"/>
          </w:rPr>
          <w:t>Doing More to Support Local News</w:t>
        </w:r>
      </w:hyperlink>
      <w:r>
        <w:t xml:space="preserve">, </w:t>
      </w:r>
      <w:r w:rsidRPr="00A70647">
        <w:rPr>
          <w:i/>
          <w:iCs/>
        </w:rPr>
        <w:t>Facebook Journalism Project</w:t>
      </w:r>
      <w:r>
        <w:t>, 2019.</w:t>
      </w:r>
    </w:p>
  </w:footnote>
  <w:footnote w:id="59">
    <w:p w14:paraId="19EBD1E6" w14:textId="47A7B935" w:rsidR="00741DBA" w:rsidRDefault="00741DBA" w:rsidP="00CD2084">
      <w:pPr>
        <w:pStyle w:val="FootnoteText"/>
        <w:spacing w:after="0" w:line="200" w:lineRule="exact"/>
      </w:pPr>
      <w:r>
        <w:rPr>
          <w:rStyle w:val="FootnoteReference"/>
        </w:rPr>
        <w:footnoteRef/>
      </w:r>
      <w:r>
        <w:t xml:space="preserve"> Hunter, A., </w:t>
      </w:r>
      <w:hyperlink r:id="rId60" w:history="1">
        <w:r w:rsidRPr="00D33606">
          <w:rPr>
            <w:rStyle w:val="Hyperlink"/>
          </w:rPr>
          <w:t>Facebook Announces Walkley Foundation Partnership to Support Australian News</w:t>
        </w:r>
      </w:hyperlink>
      <w:r>
        <w:t>, 2019.</w:t>
      </w:r>
    </w:p>
  </w:footnote>
  <w:footnote w:id="60">
    <w:p w14:paraId="2652DB64" w14:textId="0E65DC3A" w:rsidR="00741DBA" w:rsidRDefault="00741DBA" w:rsidP="00CD2084">
      <w:pPr>
        <w:pStyle w:val="FootnoteText"/>
        <w:spacing w:after="0" w:line="200" w:lineRule="exact"/>
      </w:pPr>
      <w:r>
        <w:rPr>
          <w:rStyle w:val="FootnoteReference"/>
        </w:rPr>
        <w:footnoteRef/>
      </w:r>
      <w:r>
        <w:t xml:space="preserve"> Hunter, A., </w:t>
      </w:r>
      <w:hyperlink r:id="rId61" w:history="1">
        <w:r w:rsidRPr="00D33606">
          <w:rPr>
            <w:rStyle w:val="Hyperlink"/>
          </w:rPr>
          <w:t>Facebook partners with Australian news publishers to fund news shows on Facebook Watch</w:t>
        </w:r>
      </w:hyperlink>
      <w:r>
        <w:t>, 2019.</w:t>
      </w:r>
    </w:p>
  </w:footnote>
  <w:footnote w:id="61">
    <w:p w14:paraId="1C161C9C" w14:textId="65F5D208" w:rsidR="00741DBA" w:rsidRDefault="00741DBA" w:rsidP="00CD2084">
      <w:pPr>
        <w:pStyle w:val="FootnoteText"/>
        <w:spacing w:after="0" w:line="200" w:lineRule="exact"/>
        <w:contextualSpacing/>
      </w:pPr>
      <w:r>
        <w:rPr>
          <w:rStyle w:val="FootnoteReference"/>
        </w:rPr>
        <w:footnoteRef/>
      </w:r>
      <w:r>
        <w:t xml:space="preserve"> Ingram, M., </w:t>
      </w:r>
      <w:hyperlink r:id="rId62" w:history="1">
        <w:r w:rsidRPr="00AD024D">
          <w:rPr>
            <w:rStyle w:val="Hyperlink"/>
          </w:rPr>
          <w:t>The platform patrons: How Facebook and Google became two of the biggest funders of journalism in the world</w:t>
        </w:r>
      </w:hyperlink>
      <w:r>
        <w:t xml:space="preserve">, </w:t>
      </w:r>
      <w:r w:rsidRPr="00AD024D">
        <w:rPr>
          <w:i/>
          <w:iCs/>
        </w:rPr>
        <w:t>Columbia Journalism Review</w:t>
      </w:r>
      <w:r>
        <w:t>, 2018.</w:t>
      </w:r>
    </w:p>
  </w:footnote>
  <w:footnote w:id="62">
    <w:p w14:paraId="523DB482" w14:textId="64DA889E" w:rsidR="00741DBA" w:rsidRDefault="00741DBA" w:rsidP="00CD2084">
      <w:pPr>
        <w:pStyle w:val="FootnoteText"/>
        <w:spacing w:after="0" w:line="200" w:lineRule="exact"/>
        <w:contextualSpacing/>
      </w:pPr>
      <w:r>
        <w:rPr>
          <w:rStyle w:val="FootnoteReference"/>
        </w:rPr>
        <w:footnoteRef/>
      </w:r>
      <w:r>
        <w:t xml:space="preserve"> Australian Government, </w:t>
      </w:r>
      <w:hyperlink r:id="rId63" w:history="1">
        <w:r w:rsidRPr="00B73A9B">
          <w:rPr>
            <w:rStyle w:val="Hyperlink"/>
          </w:rPr>
          <w:t>Regulating in the digital age: Government Response and Implementation Roadmap for the Digital Platforms Inquiry</w:t>
        </w:r>
      </w:hyperlink>
      <w:r>
        <w:t>, 2019, p. 9.</w:t>
      </w:r>
    </w:p>
  </w:footnote>
  <w:footnote w:id="63">
    <w:p w14:paraId="2C5BCFB4" w14:textId="77777777" w:rsidR="00741DBA" w:rsidRPr="00132391" w:rsidRDefault="00741DBA" w:rsidP="00CD2084">
      <w:pPr>
        <w:pStyle w:val="FootnoteText"/>
        <w:spacing w:after="0" w:line="200" w:lineRule="exact"/>
        <w:contextualSpacing/>
      </w:pPr>
      <w:r w:rsidRPr="00132391">
        <w:rPr>
          <w:rStyle w:val="FootnoteReference"/>
        </w:rPr>
        <w:footnoteRef/>
      </w:r>
      <w:r w:rsidRPr="00132391">
        <w:t xml:space="preserve"> </w:t>
      </w:r>
      <w:r>
        <w:t xml:space="preserve">Nesta, </w:t>
      </w:r>
      <w:hyperlink r:id="rId64" w:history="1">
        <w:r w:rsidRPr="00CD0C63">
          <w:rPr>
            <w:rStyle w:val="Hyperlink"/>
          </w:rPr>
          <w:t>Future News Pilot Fund</w:t>
        </w:r>
      </w:hyperlink>
      <w:r>
        <w:t>, 2020.</w:t>
      </w:r>
      <w:r w:rsidRPr="00132391">
        <w:t xml:space="preserve"> </w:t>
      </w:r>
    </w:p>
  </w:footnote>
  <w:footnote w:id="64">
    <w:p w14:paraId="45951B3E" w14:textId="55F28D77" w:rsidR="00741DBA" w:rsidRPr="00CA209D" w:rsidRDefault="00741DBA" w:rsidP="00CD2084">
      <w:pPr>
        <w:pStyle w:val="FootnoteText"/>
        <w:spacing w:after="0" w:line="200" w:lineRule="exact"/>
        <w:contextualSpacing/>
        <w:rPr>
          <w:rFonts w:cs="Arial"/>
        </w:rPr>
      </w:pPr>
      <w:r w:rsidRPr="007A1260">
        <w:rPr>
          <w:rStyle w:val="FootnoteReference"/>
        </w:rPr>
        <w:footnoteRef/>
      </w:r>
      <w:r w:rsidRPr="007A1260">
        <w:t xml:space="preserve"> </w:t>
      </w:r>
      <w:r>
        <w:t xml:space="preserve">Cairncross, F., </w:t>
      </w:r>
      <w:hyperlink r:id="rId65" w:history="1">
        <w:r w:rsidRPr="008C23F7">
          <w:rPr>
            <w:rStyle w:val="Hyperlink"/>
          </w:rPr>
          <w:t>The Cairncross Review: A Sustainable Future for Journalism</w:t>
        </w:r>
      </w:hyperlink>
      <w:r>
        <w:t>, 2019, p. 11.</w:t>
      </w:r>
    </w:p>
  </w:footnote>
  <w:footnote w:id="65">
    <w:p w14:paraId="1F587F71" w14:textId="49E913CF" w:rsidR="00741DBA" w:rsidRPr="00132391" w:rsidRDefault="00741DBA" w:rsidP="00CD2084">
      <w:pPr>
        <w:pStyle w:val="FootnoteText"/>
        <w:spacing w:after="0" w:line="200" w:lineRule="exact"/>
        <w:contextualSpacing/>
      </w:pPr>
      <w:r w:rsidRPr="00132391">
        <w:rPr>
          <w:rStyle w:val="FootnoteReference"/>
        </w:rPr>
        <w:footnoteRef/>
      </w:r>
      <w:r>
        <w:t xml:space="preserve"> Department for Digital, Culture, Media &amp; Sport, </w:t>
      </w:r>
      <w:hyperlink r:id="rId66" w:history="1">
        <w:r w:rsidRPr="003C0BF3">
          <w:rPr>
            <w:rStyle w:val="Hyperlink"/>
          </w:rPr>
          <w:t>Government response to the Cairncross Review: a sustainable future for journalism</w:t>
        </w:r>
      </w:hyperlink>
      <w:r>
        <w:t>, 2020.</w:t>
      </w:r>
    </w:p>
  </w:footnote>
  <w:footnote w:id="66">
    <w:p w14:paraId="3985B61C" w14:textId="6EA57332" w:rsidR="00741DBA" w:rsidRDefault="00741DBA" w:rsidP="00CD2084">
      <w:pPr>
        <w:pStyle w:val="FootnoteText"/>
        <w:spacing w:after="0" w:line="200" w:lineRule="exact"/>
      </w:pPr>
      <w:r>
        <w:rPr>
          <w:rStyle w:val="FootnoteReference"/>
        </w:rPr>
        <w:footnoteRef/>
      </w:r>
      <w:r>
        <w:t xml:space="preserve"> Recommendation 71; </w:t>
      </w:r>
      <w:r w:rsidRPr="00867D45">
        <w:t xml:space="preserve">Broadcasting and Telecommunications Legislative Review Panel, </w:t>
      </w:r>
      <w:hyperlink r:id="rId67" w:history="1">
        <w:r w:rsidRPr="00A905C2">
          <w:rPr>
            <w:rStyle w:val="Hyperlink"/>
          </w:rPr>
          <w:t>Canada’s Communications Future: Time to Act – Final Report</w:t>
        </w:r>
      </w:hyperlink>
      <w:r w:rsidRPr="00867D45">
        <w:t>, 2020, p. 15</w:t>
      </w:r>
      <w:r>
        <w:t>7</w:t>
      </w:r>
      <w:r w:rsidRPr="00867D45">
        <w:t>.</w:t>
      </w:r>
    </w:p>
  </w:footnote>
  <w:footnote w:id="67">
    <w:p w14:paraId="33BCAA3B" w14:textId="5B9A5F45" w:rsidR="00741DBA" w:rsidRPr="007A1260" w:rsidRDefault="00741DBA" w:rsidP="00CD2084">
      <w:pPr>
        <w:pStyle w:val="FootnoteText"/>
        <w:spacing w:after="0" w:line="200" w:lineRule="exact"/>
        <w:contextualSpacing/>
      </w:pPr>
      <w:r w:rsidRPr="007A1260">
        <w:rPr>
          <w:rStyle w:val="FootnoteReference"/>
        </w:rPr>
        <w:footnoteRef/>
      </w:r>
      <w:r w:rsidRPr="007A1260">
        <w:t xml:space="preserve"> </w:t>
      </w:r>
      <w:hyperlink r:id="rId68" w:history="1">
        <w:r w:rsidRPr="007A1260">
          <w:rPr>
            <w:rStyle w:val="Hyperlink"/>
          </w:rPr>
          <w:t>https://about.abc.net.au/how-the-abc-is-run/what-guides-us/legislative-framework/</w:t>
        </w:r>
      </w:hyperlink>
    </w:p>
  </w:footnote>
  <w:footnote w:id="68">
    <w:p w14:paraId="35C4BD33" w14:textId="46E324FC" w:rsidR="00741DBA" w:rsidRDefault="00741DBA" w:rsidP="00CD2084">
      <w:pPr>
        <w:pStyle w:val="FootnoteText"/>
        <w:spacing w:after="0" w:line="200" w:lineRule="exact"/>
      </w:pPr>
      <w:r>
        <w:rPr>
          <w:rStyle w:val="FootnoteReference"/>
        </w:rPr>
        <w:footnoteRef/>
      </w:r>
      <w:r>
        <w:t xml:space="preserve"> However, a Bill before Parliament would amend the ABC Charter, </w:t>
      </w:r>
      <w:r w:rsidRPr="009052C0">
        <w:t>to require the ABC to broadcast programs that contribute to a sense of regional and national identity, and inform and entertain, and reflect the geographic and cultural diversity of, the Australian community</w:t>
      </w:r>
      <w:r>
        <w:t>;</w:t>
      </w:r>
      <w:r w:rsidRPr="006A503F">
        <w:t xml:space="preserve"> </w:t>
      </w:r>
      <w:hyperlink r:id="rId69" w:history="1">
        <w:r w:rsidRPr="000E374F">
          <w:rPr>
            <w:rStyle w:val="Hyperlink"/>
          </w:rPr>
          <w:t>Australian Broadcasting Corporation Amendment (Rural and Regional Measures) Bill 2019</w:t>
        </w:r>
      </w:hyperlink>
      <w:r>
        <w:t>.</w:t>
      </w:r>
    </w:p>
  </w:footnote>
  <w:footnote w:id="69">
    <w:p w14:paraId="755C0C55" w14:textId="2334CEDD" w:rsidR="00741DBA" w:rsidRDefault="00741DBA" w:rsidP="00CD2084">
      <w:pPr>
        <w:pStyle w:val="FootnoteText"/>
        <w:spacing w:after="0" w:line="200" w:lineRule="exact"/>
      </w:pPr>
      <w:r>
        <w:rPr>
          <w:rStyle w:val="FootnoteReference"/>
        </w:rPr>
        <w:footnoteRef/>
      </w:r>
      <w:r>
        <w:t xml:space="preserve"> s. 27(1)(2), </w:t>
      </w:r>
      <w:r w:rsidRPr="00CD2084">
        <w:rPr>
          <w:i/>
          <w:iCs/>
        </w:rPr>
        <w:t>Australian Broadcasting Corporation Act 1983</w:t>
      </w:r>
      <w:r>
        <w:t>.</w:t>
      </w:r>
    </w:p>
  </w:footnote>
  <w:footnote w:id="70">
    <w:p w14:paraId="1B3043BE" w14:textId="77777777" w:rsidR="00741DBA" w:rsidRPr="00CA209D" w:rsidRDefault="00741DBA" w:rsidP="00CD2084">
      <w:pPr>
        <w:pStyle w:val="FootnoteText"/>
        <w:spacing w:after="0" w:line="200" w:lineRule="exact"/>
        <w:contextualSpacing/>
        <w:rPr>
          <w:rFonts w:cs="Arial"/>
        </w:rPr>
      </w:pPr>
      <w:r w:rsidRPr="00CA209D">
        <w:rPr>
          <w:rStyle w:val="FootnoteReference"/>
          <w:rFonts w:cs="Arial"/>
        </w:rPr>
        <w:footnoteRef/>
      </w:r>
      <w:r w:rsidRPr="00CA209D">
        <w:rPr>
          <w:rFonts w:cs="Arial"/>
        </w:rPr>
        <w:t xml:space="preserve"> </w:t>
      </w:r>
      <w:hyperlink r:id="rId70" w:history="1">
        <w:r w:rsidRPr="00CA209D">
          <w:rPr>
            <w:rStyle w:val="Hyperlink"/>
            <w:rFonts w:cs="Arial"/>
          </w:rPr>
          <w:t>https://www.sbs.com.au/aboutus/corporate</w:t>
        </w:r>
      </w:hyperlink>
    </w:p>
  </w:footnote>
  <w:footnote w:id="71">
    <w:p w14:paraId="7AF7C388" w14:textId="51A8DF1C" w:rsidR="00741DBA" w:rsidRPr="00260E07" w:rsidRDefault="00741DBA" w:rsidP="00CD2084">
      <w:pPr>
        <w:pStyle w:val="FootnoteText"/>
        <w:spacing w:after="0" w:line="200" w:lineRule="exact"/>
        <w:contextualSpacing/>
        <w:rPr>
          <w:rFonts w:cs="Arial"/>
        </w:rPr>
      </w:pPr>
      <w:r w:rsidRPr="007A1260">
        <w:rPr>
          <w:rStyle w:val="FootnoteReference"/>
        </w:rPr>
        <w:footnoteRef/>
      </w:r>
      <w:r w:rsidRPr="007A1260">
        <w:t xml:space="preserve"> </w:t>
      </w:r>
      <w:r>
        <w:t xml:space="preserve">Ofcom, </w:t>
      </w:r>
      <w:hyperlink r:id="rId71" w:history="1">
        <w:r w:rsidRPr="00E933A9">
          <w:rPr>
            <w:rStyle w:val="Hyperlink"/>
          </w:rPr>
          <w:t>Public Service Broadcasting in the Digital Age</w:t>
        </w:r>
      </w:hyperlink>
      <w:r>
        <w:t xml:space="preserve">, 2018, p. 4. </w:t>
      </w:r>
    </w:p>
  </w:footnote>
  <w:footnote w:id="72">
    <w:p w14:paraId="75CAA1CA" w14:textId="0E61712B" w:rsidR="00741DBA" w:rsidRPr="007A1260" w:rsidRDefault="00741DBA" w:rsidP="00CD2084">
      <w:pPr>
        <w:pStyle w:val="FootnoteText"/>
        <w:spacing w:after="0" w:line="200" w:lineRule="exact"/>
        <w:contextualSpacing/>
      </w:pPr>
      <w:r w:rsidRPr="00260E07">
        <w:rPr>
          <w:rStyle w:val="FootnoteReference"/>
        </w:rPr>
        <w:footnoteRef/>
      </w:r>
      <w:r w:rsidRPr="00260E07">
        <w:t xml:space="preserve"> </w:t>
      </w:r>
      <w:r>
        <w:t xml:space="preserve">Ofcom, </w:t>
      </w:r>
      <w:hyperlink r:id="rId72" w:history="1">
        <w:r w:rsidRPr="00CF1347">
          <w:rPr>
            <w:rStyle w:val="Hyperlink"/>
          </w:rPr>
          <w:t>Operating licence for the BBC’s UK Public Services – Summary of regulatory conditions</w:t>
        </w:r>
      </w:hyperlink>
      <w:r>
        <w:t xml:space="preserve">, 2017. </w:t>
      </w:r>
    </w:p>
  </w:footnote>
  <w:footnote w:id="73">
    <w:p w14:paraId="39C71159" w14:textId="0700187F" w:rsidR="00741DBA" w:rsidRPr="007A1260" w:rsidRDefault="00741DBA" w:rsidP="00CD2084">
      <w:pPr>
        <w:pStyle w:val="FootnoteText"/>
        <w:spacing w:after="0" w:line="200" w:lineRule="exact"/>
        <w:contextualSpacing/>
      </w:pPr>
      <w:r w:rsidRPr="007A1260">
        <w:rPr>
          <w:rStyle w:val="FootnoteReference"/>
        </w:rPr>
        <w:footnoteRef/>
      </w:r>
      <w:r w:rsidRPr="007A1260">
        <w:t xml:space="preserve"> </w:t>
      </w:r>
      <w:r>
        <w:t xml:space="preserve">Ofcom, </w:t>
      </w:r>
      <w:hyperlink r:id="rId73" w:history="1">
        <w:r w:rsidRPr="00E933A9">
          <w:rPr>
            <w:rStyle w:val="Hyperlink"/>
          </w:rPr>
          <w:t>Public Service Broadcasting in the Digital Age</w:t>
        </w:r>
      </w:hyperlink>
      <w:r>
        <w:t>, 2018, p. 4.</w:t>
      </w:r>
    </w:p>
  </w:footnote>
  <w:footnote w:id="74">
    <w:p w14:paraId="47D87977" w14:textId="77777777" w:rsidR="00741DBA" w:rsidRPr="00CA209D" w:rsidRDefault="00741DBA" w:rsidP="00CD2084">
      <w:pPr>
        <w:pStyle w:val="FootnoteText"/>
        <w:spacing w:after="0" w:line="200" w:lineRule="exact"/>
        <w:contextualSpacing/>
        <w:rPr>
          <w:rFonts w:cs="Arial"/>
        </w:rPr>
      </w:pPr>
      <w:r w:rsidRPr="007A1260">
        <w:rPr>
          <w:rStyle w:val="FootnoteReference"/>
        </w:rPr>
        <w:footnoteRef/>
      </w:r>
      <w:r w:rsidRPr="007A1260">
        <w:t xml:space="preserve"> </w:t>
      </w:r>
      <w:r>
        <w:t xml:space="preserve">BBC, </w:t>
      </w:r>
      <w:hyperlink r:id="rId74" w:history="1">
        <w:r w:rsidRPr="00F4781A">
          <w:rPr>
            <w:rStyle w:val="Hyperlink"/>
          </w:rPr>
          <w:t>Local Democracy Reporting Service: Principles of Operation</w:t>
        </w:r>
      </w:hyperlink>
      <w:r w:rsidRPr="00CA209D">
        <w:rPr>
          <w:rFonts w:cs="Arial"/>
        </w:rPr>
        <w:t xml:space="preserve"> </w:t>
      </w:r>
    </w:p>
  </w:footnote>
  <w:footnote w:id="75">
    <w:p w14:paraId="7FD8CFB5" w14:textId="77777777" w:rsidR="00741DBA" w:rsidRPr="00CA209D" w:rsidRDefault="00741DBA" w:rsidP="00CD2084">
      <w:pPr>
        <w:pStyle w:val="FootnoteText"/>
        <w:spacing w:after="0" w:line="200" w:lineRule="exact"/>
        <w:contextualSpacing/>
        <w:rPr>
          <w:rFonts w:cs="Arial"/>
        </w:rPr>
      </w:pPr>
      <w:r w:rsidRPr="00CA209D">
        <w:rPr>
          <w:rStyle w:val="FootnoteReference"/>
          <w:rFonts w:cs="Arial"/>
        </w:rPr>
        <w:footnoteRef/>
      </w:r>
      <w:r w:rsidRPr="00CA209D">
        <w:rPr>
          <w:rFonts w:cs="Arial"/>
        </w:rPr>
        <w:t xml:space="preserve"> </w:t>
      </w:r>
      <w:r>
        <w:rPr>
          <w:rFonts w:cs="Arial"/>
        </w:rPr>
        <w:t xml:space="preserve">BBC, </w:t>
      </w:r>
      <w:hyperlink r:id="rId75" w:history="1">
        <w:r w:rsidRPr="00C71915">
          <w:rPr>
            <w:rStyle w:val="Hyperlink"/>
            <w:rFonts w:cs="Arial"/>
          </w:rPr>
          <w:t>Local Democracy Reporting Service</w:t>
        </w:r>
      </w:hyperlink>
      <w:r>
        <w:rPr>
          <w:rFonts w:cs="Arial"/>
        </w:rPr>
        <w:t>, 2019.</w:t>
      </w:r>
      <w:r w:rsidRPr="00CA209D">
        <w:rPr>
          <w:rFonts w:cs="Arial"/>
        </w:rPr>
        <w:t xml:space="preserve"> </w:t>
      </w:r>
    </w:p>
  </w:footnote>
  <w:footnote w:id="76">
    <w:p w14:paraId="31E4FB35" w14:textId="45788A0B" w:rsidR="00741DBA" w:rsidRPr="007A1260" w:rsidRDefault="00741DBA" w:rsidP="00CD2084">
      <w:pPr>
        <w:pStyle w:val="FootnoteText"/>
        <w:spacing w:after="0" w:line="200" w:lineRule="exact"/>
        <w:contextualSpacing/>
      </w:pPr>
      <w:r w:rsidRPr="007A1260">
        <w:rPr>
          <w:rStyle w:val="FootnoteReference"/>
        </w:rPr>
        <w:footnoteRef/>
      </w:r>
      <w:r w:rsidRPr="007A1260">
        <w:t xml:space="preserve"> </w:t>
      </w:r>
      <w:r w:rsidRPr="007E1905">
        <w:t>Canadian Radio-television and Telecommunications Commission</w:t>
      </w:r>
      <w:r>
        <w:t xml:space="preserve">, </w:t>
      </w:r>
      <w:hyperlink r:id="rId76" w:history="1">
        <w:r w:rsidRPr="00486B0A">
          <w:rPr>
            <w:rStyle w:val="Hyperlink"/>
          </w:rPr>
          <w:t>Broadcasting Decision CRTC 2013-263 and Broadcasting Orders CRTC 2013-264 and 2013-265</w:t>
        </w:r>
      </w:hyperlink>
      <w:r>
        <w:t>, 2013.</w:t>
      </w:r>
    </w:p>
  </w:footnote>
  <w:footnote w:id="77">
    <w:p w14:paraId="09E3918E" w14:textId="6F467C0E" w:rsidR="00741DBA" w:rsidRDefault="00741DBA" w:rsidP="00CD2084">
      <w:pPr>
        <w:pStyle w:val="FootnoteText"/>
        <w:spacing w:after="0" w:line="200" w:lineRule="exact"/>
      </w:pPr>
      <w:r>
        <w:rPr>
          <w:rStyle w:val="FootnoteReference"/>
        </w:rPr>
        <w:footnoteRef/>
      </w:r>
      <w:r>
        <w:t xml:space="preserve"> Excluding any commercial revenue, Canada spent approximately CAD$29 per capita on public service broadcasting in 2016. This compares to $4 in the US, $55 in Australia, $73 in France, $105 in the UK, and $166 in Norway; </w:t>
      </w:r>
      <w:r w:rsidRPr="00867D45">
        <w:t xml:space="preserve">Broadcasting and Telecommunications Legislative Review Panel, </w:t>
      </w:r>
      <w:hyperlink r:id="rId77" w:history="1">
        <w:r w:rsidRPr="00A905C2">
          <w:rPr>
            <w:rStyle w:val="Hyperlink"/>
          </w:rPr>
          <w:t>Canada’s Communications Future: Time to Act – Final Report</w:t>
        </w:r>
      </w:hyperlink>
      <w:r w:rsidRPr="00867D45">
        <w:t>, 2020, p. 1</w:t>
      </w:r>
      <w:r>
        <w:t>68</w:t>
      </w:r>
      <w:r w:rsidRPr="00867D45">
        <w:t>.</w:t>
      </w:r>
      <w:r>
        <w:t xml:space="preserve"> </w:t>
      </w:r>
    </w:p>
  </w:footnote>
  <w:footnote w:id="78">
    <w:p w14:paraId="01E36402" w14:textId="5867D453" w:rsidR="00741DBA" w:rsidRDefault="00741DBA" w:rsidP="00CD2084">
      <w:pPr>
        <w:pStyle w:val="FootnoteText"/>
        <w:spacing w:after="0" w:line="200" w:lineRule="exact"/>
        <w:contextualSpacing/>
      </w:pPr>
      <w:r>
        <w:rPr>
          <w:rStyle w:val="FootnoteReference"/>
        </w:rPr>
        <w:footnoteRef/>
      </w:r>
      <w:r>
        <w:t xml:space="preserve"> See, f</w:t>
      </w:r>
      <w:r w:rsidRPr="00750678">
        <w:t xml:space="preserve">or </w:t>
      </w:r>
      <w:r>
        <w:t xml:space="preserve">example; News Corp Australia, </w:t>
      </w:r>
      <w:hyperlink r:id="rId78" w:history="1">
        <w:r w:rsidRPr="001D1931">
          <w:rPr>
            <w:rStyle w:val="Hyperlink"/>
          </w:rPr>
          <w:t>Submission to Inquiry into the Competitive Neutrality of the National Broadcasters</w:t>
        </w:r>
      </w:hyperlink>
      <w:r>
        <w:t>, 2018, pp. 5–8.</w:t>
      </w:r>
    </w:p>
  </w:footnote>
  <w:footnote w:id="79">
    <w:p w14:paraId="7A3101D4" w14:textId="52217C0D" w:rsidR="00741DBA" w:rsidRPr="000573B8" w:rsidRDefault="00741DBA" w:rsidP="00CD2084">
      <w:pPr>
        <w:pStyle w:val="FootnoteText"/>
        <w:spacing w:after="0" w:line="200" w:lineRule="exact"/>
        <w:contextualSpacing/>
        <w:rPr>
          <w:rStyle w:val="Hyperlink"/>
          <w:rFonts w:cs="Arial"/>
        </w:rPr>
      </w:pPr>
      <w:r w:rsidRPr="00CA209D">
        <w:rPr>
          <w:rStyle w:val="FootnoteReference"/>
          <w:rFonts w:cs="Arial"/>
        </w:rPr>
        <w:footnoteRef/>
      </w:r>
      <w:r w:rsidRPr="00CA209D">
        <w:rPr>
          <w:rFonts w:cs="Arial"/>
        </w:rPr>
        <w:t xml:space="preserve"> </w:t>
      </w:r>
      <w:r>
        <w:rPr>
          <w:rFonts w:cs="Arial"/>
        </w:rPr>
        <w:t>Department of Communications and the Arts,</w:t>
      </w:r>
      <w:r w:rsidRPr="000573B8">
        <w:t xml:space="preserve"> </w:t>
      </w:r>
      <w:r>
        <w:rPr>
          <w:rFonts w:cs="Arial"/>
        </w:rPr>
        <w:fldChar w:fldCharType="begin"/>
      </w:r>
      <w:r>
        <w:rPr>
          <w:rFonts w:cs="Arial"/>
        </w:rPr>
        <w:instrText xml:space="preserve"> HYPERLINK "https://www.communications.gov.au/documents/inquiry-competitive-neutrality-national-broadcasters-report-expert-panel" </w:instrText>
      </w:r>
      <w:r>
        <w:rPr>
          <w:rFonts w:cs="Arial"/>
        </w:rPr>
        <w:fldChar w:fldCharType="separate"/>
      </w:r>
      <w:r w:rsidRPr="000573B8">
        <w:rPr>
          <w:rStyle w:val="Hyperlink"/>
          <w:rFonts w:cs="Arial"/>
        </w:rPr>
        <w:t>Inquiry into the Competitive Neutrality of the</w:t>
      </w:r>
    </w:p>
    <w:p w14:paraId="787B3234" w14:textId="3835B4BE" w:rsidR="00741DBA" w:rsidRPr="00CA209D" w:rsidRDefault="00741DBA" w:rsidP="00CD2084">
      <w:pPr>
        <w:pStyle w:val="FootnoteText"/>
        <w:spacing w:after="0" w:line="200" w:lineRule="exact"/>
        <w:contextualSpacing/>
        <w:rPr>
          <w:rFonts w:cs="Arial"/>
        </w:rPr>
      </w:pPr>
      <w:r w:rsidRPr="000573B8">
        <w:rPr>
          <w:rStyle w:val="Hyperlink"/>
          <w:rFonts w:cs="Arial"/>
        </w:rPr>
        <w:t>National Broadcasters—report by the Expert Panel</w:t>
      </w:r>
      <w:r>
        <w:rPr>
          <w:rFonts w:cs="Arial"/>
        </w:rPr>
        <w:fldChar w:fldCharType="end"/>
      </w:r>
      <w:r>
        <w:rPr>
          <w:rFonts w:cs="Arial"/>
        </w:rPr>
        <w:t xml:space="preserve">, 2018. </w:t>
      </w:r>
    </w:p>
  </w:footnote>
  <w:footnote w:id="80">
    <w:p w14:paraId="2941F851" w14:textId="1C118D37" w:rsidR="00741DBA" w:rsidRPr="00CA209D" w:rsidRDefault="00741DBA" w:rsidP="00CD2084">
      <w:pPr>
        <w:pStyle w:val="FootnoteText"/>
        <w:spacing w:after="0" w:line="200" w:lineRule="exact"/>
        <w:contextualSpacing/>
        <w:rPr>
          <w:rFonts w:cs="Arial"/>
        </w:rPr>
      </w:pPr>
      <w:r w:rsidRPr="00CA209D">
        <w:rPr>
          <w:rStyle w:val="FootnoteReference"/>
          <w:rFonts w:cs="Arial"/>
        </w:rPr>
        <w:footnoteRef/>
      </w:r>
      <w:r>
        <w:t xml:space="preserve"> </w:t>
      </w:r>
      <w:r w:rsidRPr="00156FCD">
        <w:t>Medietilsynet</w:t>
      </w:r>
      <w:r>
        <w:t xml:space="preserve"> (Norwegian Media Authority), </w:t>
      </w:r>
      <w:hyperlink r:id="rId79" w:history="1">
        <w:r w:rsidRPr="00544206">
          <w:rPr>
            <w:rStyle w:val="Hyperlink"/>
          </w:rPr>
          <w:t>NKR Role for Media Diversity</w:t>
        </w:r>
      </w:hyperlink>
      <w:r>
        <w:t>, 2018.</w:t>
      </w:r>
    </w:p>
  </w:footnote>
  <w:footnote w:id="81">
    <w:p w14:paraId="3C493636" w14:textId="5CA01564" w:rsidR="00741DBA" w:rsidRDefault="00741DBA" w:rsidP="00CD2084">
      <w:pPr>
        <w:pStyle w:val="FootnoteText"/>
        <w:spacing w:after="0" w:line="200" w:lineRule="exact"/>
      </w:pPr>
      <w:r>
        <w:rPr>
          <w:rStyle w:val="FootnoteReference"/>
        </w:rPr>
        <w:footnoteRef/>
      </w:r>
      <w:r>
        <w:t xml:space="preserve"> See recommendations 80 and 81, </w:t>
      </w:r>
      <w:r w:rsidRPr="00867D45">
        <w:t xml:space="preserve">Broadcasting and Telecommunications Legislative Review Panel, </w:t>
      </w:r>
      <w:hyperlink r:id="rId80" w:history="1">
        <w:r w:rsidRPr="00A905C2">
          <w:rPr>
            <w:rStyle w:val="Hyperlink"/>
          </w:rPr>
          <w:t>Canada’s Communications Future: Time to Act – Final Report</w:t>
        </w:r>
      </w:hyperlink>
      <w:r w:rsidRPr="00867D45">
        <w:t>, 2020,</w:t>
      </w:r>
      <w:r>
        <w:t xml:space="preserve"> pp. 163-169.</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E7734C" w14:textId="77777777" w:rsidR="00741DBA" w:rsidRPr="00A5474E" w:rsidRDefault="00741DBA" w:rsidP="00A5474E">
    <w:pPr>
      <w:pStyle w:val="Header"/>
    </w:pPr>
    <w:r>
      <w:rPr>
        <w:noProof/>
      </w:rPr>
      <w:drawing>
        <wp:inline distT="0" distB="0" distL="0" distR="0" wp14:anchorId="254991E0" wp14:editId="126DF7EC">
          <wp:extent cx="6283434" cy="578076"/>
          <wp:effectExtent l="0" t="0" r="3175" b="0"/>
          <wp:docPr id="19" name="Picture 19"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96D987" w14:textId="77777777" w:rsidR="00741DBA" w:rsidRPr="00A5474E" w:rsidRDefault="00741DBA"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741DBA" w14:paraId="73EF5935" w14:textId="77777777" w:rsidTr="00B30BA4">
      <w:trPr>
        <w:trHeight w:hRule="exact" w:val="988"/>
      </w:trPr>
      <w:tc>
        <w:tcPr>
          <w:tcW w:w="7678" w:type="dxa"/>
          <w:shd w:val="clear" w:color="auto" w:fill="auto"/>
        </w:tcPr>
        <w:p w14:paraId="5DD29D74" w14:textId="77777777" w:rsidR="00741DBA" w:rsidRDefault="00741DBA" w:rsidP="0078252F">
          <w:pPr>
            <w:pStyle w:val="Header"/>
          </w:pPr>
        </w:p>
      </w:tc>
    </w:tr>
    <w:tr w:rsidR="00741DBA" w14:paraId="2F27B36E" w14:textId="77777777" w:rsidTr="00B30BA4">
      <w:tc>
        <w:tcPr>
          <w:tcW w:w="7678" w:type="dxa"/>
          <w:shd w:val="clear" w:color="auto" w:fill="auto"/>
        </w:tcPr>
        <w:p w14:paraId="403E3FF0" w14:textId="77777777" w:rsidR="00741DBA" w:rsidRDefault="00741DBA" w:rsidP="0078252F">
          <w:pPr>
            <w:pStyle w:val="GridTable31"/>
          </w:pPr>
          <w:r>
            <w:t xml:space="preserve">Contents </w:t>
          </w:r>
          <w:r w:rsidRPr="00915B1C">
            <w:rPr>
              <w:b w:val="0"/>
              <w:spacing w:val="0"/>
              <w:sz w:val="28"/>
              <w:szCs w:val="28"/>
            </w:rPr>
            <w:t>(Continued)</w:t>
          </w:r>
        </w:p>
      </w:tc>
    </w:tr>
    <w:tr w:rsidR="00741DBA" w14:paraId="2DEFC23F" w14:textId="77777777" w:rsidTr="00B30BA4">
      <w:trPr>
        <w:trHeight w:val="1220"/>
      </w:trPr>
      <w:tc>
        <w:tcPr>
          <w:tcW w:w="7678" w:type="dxa"/>
          <w:shd w:val="clear" w:color="auto" w:fill="auto"/>
        </w:tcPr>
        <w:p w14:paraId="211B4340" w14:textId="77777777" w:rsidR="00741DBA" w:rsidRDefault="00741DBA" w:rsidP="0078252F"/>
      </w:tc>
    </w:tr>
  </w:tbl>
  <w:p w14:paraId="61FBB61D" w14:textId="77777777" w:rsidR="00741DBA" w:rsidRPr="00A5474E" w:rsidRDefault="00741DBA" w:rsidP="00A5474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741DBA" w14:paraId="4BF64BB1" w14:textId="77777777" w:rsidTr="00B30BA4">
      <w:trPr>
        <w:trHeight w:hRule="exact" w:val="988"/>
      </w:trPr>
      <w:tc>
        <w:tcPr>
          <w:tcW w:w="7678" w:type="dxa"/>
          <w:shd w:val="clear" w:color="auto" w:fill="auto"/>
        </w:tcPr>
        <w:p w14:paraId="0DE2AC3D" w14:textId="77777777" w:rsidR="00741DBA" w:rsidRDefault="00741DBA" w:rsidP="0078252F">
          <w:pPr>
            <w:pStyle w:val="Header"/>
          </w:pPr>
        </w:p>
      </w:tc>
    </w:tr>
    <w:tr w:rsidR="00741DBA" w14:paraId="4270B672" w14:textId="77777777" w:rsidTr="00B30BA4">
      <w:tc>
        <w:tcPr>
          <w:tcW w:w="7678" w:type="dxa"/>
          <w:shd w:val="clear" w:color="auto" w:fill="auto"/>
        </w:tcPr>
        <w:p w14:paraId="42C2B398" w14:textId="77777777" w:rsidR="00741DBA" w:rsidRDefault="00741DBA" w:rsidP="0078252F">
          <w:pPr>
            <w:pStyle w:val="GridTable31"/>
          </w:pPr>
          <w:r>
            <w:t xml:space="preserve">Contents </w:t>
          </w:r>
          <w:r w:rsidRPr="00915B1C">
            <w:rPr>
              <w:b w:val="0"/>
              <w:spacing w:val="0"/>
              <w:sz w:val="28"/>
              <w:szCs w:val="28"/>
            </w:rPr>
            <w:t>(Continued)</w:t>
          </w:r>
        </w:p>
      </w:tc>
    </w:tr>
    <w:tr w:rsidR="00741DBA" w14:paraId="0F5BFEA9" w14:textId="77777777" w:rsidTr="00B30BA4">
      <w:trPr>
        <w:trHeight w:val="1220"/>
      </w:trPr>
      <w:tc>
        <w:tcPr>
          <w:tcW w:w="7678" w:type="dxa"/>
          <w:shd w:val="clear" w:color="auto" w:fill="auto"/>
        </w:tcPr>
        <w:p w14:paraId="7914004A" w14:textId="77777777" w:rsidR="00741DBA" w:rsidRDefault="00741DBA" w:rsidP="0078252F"/>
      </w:tc>
    </w:tr>
  </w:tbl>
  <w:p w14:paraId="574562E6" w14:textId="77777777" w:rsidR="00741DBA" w:rsidRPr="00A5474E" w:rsidRDefault="00741DBA" w:rsidP="00A5474E">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41482A" w14:textId="77777777" w:rsidR="00741DBA" w:rsidRDefault="00741DBA">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81D784" w14:textId="77777777" w:rsidR="00741DBA" w:rsidRDefault="00741DB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86D001" w14:textId="77777777" w:rsidR="00741DBA" w:rsidRDefault="00741DB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B81B3C" w14:textId="77777777" w:rsidR="00741DBA" w:rsidRDefault="00741DB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E758AAD4"/>
    <w:lvl w:ilvl="0">
      <w:start w:val="1"/>
      <w:numFmt w:val="decimal"/>
      <w:lvlText w:val="%1."/>
      <w:lvlJc w:val="left"/>
      <w:pPr>
        <w:tabs>
          <w:tab w:val="num" w:pos="1492"/>
        </w:tabs>
        <w:ind w:left="1492" w:hanging="360"/>
      </w:pPr>
    </w:lvl>
  </w:abstractNum>
  <w:abstractNum w:abstractNumId="1"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2" w15:restartNumberingAfterBreak="0">
    <w:nsid w:val="FFFFFF83"/>
    <w:multiLevelType w:val="singleLevel"/>
    <w:tmpl w:val="819481E0"/>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3" w15:restartNumberingAfterBreak="0">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4" w15:restartNumberingAfterBreak="0">
    <w:nsid w:val="FFFFFF89"/>
    <w:multiLevelType w:val="singleLevel"/>
    <w:tmpl w:val="2CA050F2"/>
    <w:lvl w:ilvl="0">
      <w:start w:val="1"/>
      <w:numFmt w:val="bullet"/>
      <w:pStyle w:val="ListBullet"/>
      <w:lvlText w:val="&gt;"/>
      <w:lvlJc w:val="left"/>
      <w:pPr>
        <w:tabs>
          <w:tab w:val="num" w:pos="295"/>
        </w:tabs>
        <w:ind w:left="295" w:hanging="295"/>
      </w:pPr>
      <w:rPr>
        <w:rFonts w:ascii="HelveticaNeueLT Std Lt" w:hAnsi="HelveticaNeueLT Std Lt" w:hint="default"/>
        <w:color w:val="auto"/>
        <w:sz w:val="20"/>
      </w:rPr>
    </w:lvl>
  </w:abstractNum>
  <w:abstractNum w:abstractNumId="5" w15:restartNumberingAfterBreak="0">
    <w:nsid w:val="008A68B2"/>
    <w:multiLevelType w:val="multilevel"/>
    <w:tmpl w:val="9D3ED3E8"/>
    <w:lvl w:ilvl="0">
      <w:numFmt w:val="bullet"/>
      <w:lvlText w:val="-"/>
      <w:lvlJc w:val="left"/>
      <w:pPr>
        <w:tabs>
          <w:tab w:val="num" w:pos="-131"/>
        </w:tabs>
        <w:ind w:left="-131" w:hanging="360"/>
      </w:pPr>
      <w:rPr>
        <w:rFonts w:ascii="Arial" w:eastAsia="Times New Roman" w:hAnsi="Arial" w:cs="Arial" w:hint="default"/>
        <w:b w:val="0"/>
        <w:sz w:val="20"/>
      </w:rPr>
    </w:lvl>
    <w:lvl w:ilvl="1">
      <w:start w:val="1"/>
      <w:numFmt w:val="bullet"/>
      <w:lvlText w:val="o"/>
      <w:lvlJc w:val="left"/>
      <w:pPr>
        <w:tabs>
          <w:tab w:val="num" w:pos="589"/>
        </w:tabs>
        <w:ind w:left="589" w:hanging="360"/>
      </w:pPr>
      <w:rPr>
        <w:rFonts w:ascii="Courier New" w:hAnsi="Courier New" w:cs="Times New Roman" w:hint="default"/>
        <w:sz w:val="20"/>
      </w:rPr>
    </w:lvl>
    <w:lvl w:ilvl="2">
      <w:start w:val="1"/>
      <w:numFmt w:val="bullet"/>
      <w:lvlText w:val=""/>
      <w:lvlJc w:val="left"/>
      <w:pPr>
        <w:tabs>
          <w:tab w:val="num" w:pos="1309"/>
        </w:tabs>
        <w:ind w:left="1309" w:hanging="360"/>
      </w:pPr>
      <w:rPr>
        <w:rFonts w:ascii="Wingdings" w:hAnsi="Wingdings" w:hint="default"/>
        <w:sz w:val="20"/>
      </w:rPr>
    </w:lvl>
    <w:lvl w:ilvl="3">
      <w:start w:val="1"/>
      <w:numFmt w:val="bullet"/>
      <w:lvlText w:val=""/>
      <w:lvlJc w:val="left"/>
      <w:pPr>
        <w:tabs>
          <w:tab w:val="num" w:pos="2029"/>
        </w:tabs>
        <w:ind w:left="2029" w:hanging="360"/>
      </w:pPr>
      <w:rPr>
        <w:rFonts w:ascii="Wingdings" w:hAnsi="Wingdings" w:hint="default"/>
        <w:sz w:val="20"/>
      </w:rPr>
    </w:lvl>
    <w:lvl w:ilvl="4">
      <w:start w:val="1"/>
      <w:numFmt w:val="bullet"/>
      <w:lvlText w:val=""/>
      <w:lvlJc w:val="left"/>
      <w:pPr>
        <w:tabs>
          <w:tab w:val="num" w:pos="2749"/>
        </w:tabs>
        <w:ind w:left="2749" w:hanging="360"/>
      </w:pPr>
      <w:rPr>
        <w:rFonts w:ascii="Wingdings" w:hAnsi="Wingdings" w:hint="default"/>
        <w:sz w:val="20"/>
      </w:rPr>
    </w:lvl>
    <w:lvl w:ilvl="5">
      <w:start w:val="1"/>
      <w:numFmt w:val="bullet"/>
      <w:lvlText w:val=""/>
      <w:lvlJc w:val="left"/>
      <w:pPr>
        <w:tabs>
          <w:tab w:val="num" w:pos="3469"/>
        </w:tabs>
        <w:ind w:left="3469" w:hanging="360"/>
      </w:pPr>
      <w:rPr>
        <w:rFonts w:ascii="Wingdings" w:hAnsi="Wingdings" w:hint="default"/>
        <w:sz w:val="20"/>
      </w:rPr>
    </w:lvl>
    <w:lvl w:ilvl="6">
      <w:start w:val="1"/>
      <w:numFmt w:val="bullet"/>
      <w:lvlText w:val=""/>
      <w:lvlJc w:val="left"/>
      <w:pPr>
        <w:tabs>
          <w:tab w:val="num" w:pos="4189"/>
        </w:tabs>
        <w:ind w:left="4189" w:hanging="360"/>
      </w:pPr>
      <w:rPr>
        <w:rFonts w:ascii="Wingdings" w:hAnsi="Wingdings" w:hint="default"/>
        <w:sz w:val="20"/>
      </w:rPr>
    </w:lvl>
    <w:lvl w:ilvl="7">
      <w:start w:val="1"/>
      <w:numFmt w:val="bullet"/>
      <w:lvlText w:val=""/>
      <w:lvlJc w:val="left"/>
      <w:pPr>
        <w:tabs>
          <w:tab w:val="num" w:pos="4909"/>
        </w:tabs>
        <w:ind w:left="4909" w:hanging="360"/>
      </w:pPr>
      <w:rPr>
        <w:rFonts w:ascii="Wingdings" w:hAnsi="Wingdings" w:hint="default"/>
        <w:sz w:val="20"/>
      </w:rPr>
    </w:lvl>
    <w:lvl w:ilvl="8">
      <w:start w:val="1"/>
      <w:numFmt w:val="bullet"/>
      <w:lvlText w:val=""/>
      <w:lvlJc w:val="left"/>
      <w:pPr>
        <w:tabs>
          <w:tab w:val="num" w:pos="5629"/>
        </w:tabs>
        <w:ind w:left="5629" w:hanging="360"/>
      </w:pPr>
      <w:rPr>
        <w:rFonts w:ascii="Wingdings" w:hAnsi="Wingdings" w:hint="default"/>
        <w:sz w:val="20"/>
      </w:rPr>
    </w:lvl>
  </w:abstractNum>
  <w:abstractNum w:abstractNumId="6" w15:restartNumberingAfterBreak="0">
    <w:nsid w:val="07AE605F"/>
    <w:multiLevelType w:val="hybridMultilevel"/>
    <w:tmpl w:val="C110040E"/>
    <w:lvl w:ilvl="0" w:tplc="44EEC084">
      <w:start w:val="1"/>
      <w:numFmt w:val="bullet"/>
      <w:lvlText w:val="&gt;"/>
      <w:lvlJc w:val="left"/>
      <w:pPr>
        <w:ind w:left="720" w:hanging="360"/>
      </w:pPr>
      <w:rPr>
        <w:rFonts w:ascii="HelveticaNeueLT Std" w:hAnsi="HelveticaNeueLT Std"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A324323"/>
    <w:multiLevelType w:val="multilevel"/>
    <w:tmpl w:val="B1741E82"/>
    <w:lvl w:ilvl="0">
      <w:start w:val="1"/>
      <w:numFmt w:val="bullet"/>
      <w:lvlText w:val="&gt;"/>
      <w:lvlJc w:val="left"/>
      <w:pPr>
        <w:tabs>
          <w:tab w:val="num" w:pos="589"/>
        </w:tabs>
        <w:ind w:left="589" w:hanging="360"/>
      </w:pPr>
      <w:rPr>
        <w:rFonts w:ascii="HelveticaNeueLT Std" w:hAnsi="HelveticaNeueLT Std" w:hint="default"/>
        <w:b w:val="0"/>
        <w:sz w:val="20"/>
      </w:rPr>
    </w:lvl>
    <w:lvl w:ilvl="1">
      <w:start w:val="1"/>
      <w:numFmt w:val="bullet"/>
      <w:lvlText w:val="o"/>
      <w:lvlJc w:val="left"/>
      <w:pPr>
        <w:tabs>
          <w:tab w:val="num" w:pos="1309"/>
        </w:tabs>
        <w:ind w:left="1309" w:hanging="360"/>
      </w:pPr>
      <w:rPr>
        <w:rFonts w:ascii="Courier New" w:hAnsi="Courier New" w:cs="Times New Roman" w:hint="default"/>
        <w:sz w:val="20"/>
      </w:rPr>
    </w:lvl>
    <w:lvl w:ilvl="2">
      <w:start w:val="1"/>
      <w:numFmt w:val="bullet"/>
      <w:lvlText w:val=""/>
      <w:lvlJc w:val="left"/>
      <w:pPr>
        <w:tabs>
          <w:tab w:val="num" w:pos="2029"/>
        </w:tabs>
        <w:ind w:left="2029" w:hanging="360"/>
      </w:pPr>
      <w:rPr>
        <w:rFonts w:ascii="Wingdings" w:hAnsi="Wingdings" w:hint="default"/>
        <w:sz w:val="20"/>
      </w:rPr>
    </w:lvl>
    <w:lvl w:ilvl="3">
      <w:start w:val="1"/>
      <w:numFmt w:val="bullet"/>
      <w:lvlText w:val=""/>
      <w:lvlJc w:val="left"/>
      <w:pPr>
        <w:tabs>
          <w:tab w:val="num" w:pos="2749"/>
        </w:tabs>
        <w:ind w:left="2749" w:hanging="360"/>
      </w:pPr>
      <w:rPr>
        <w:rFonts w:ascii="Wingdings" w:hAnsi="Wingdings" w:hint="default"/>
        <w:sz w:val="20"/>
      </w:rPr>
    </w:lvl>
    <w:lvl w:ilvl="4">
      <w:start w:val="1"/>
      <w:numFmt w:val="bullet"/>
      <w:lvlText w:val=""/>
      <w:lvlJc w:val="left"/>
      <w:pPr>
        <w:tabs>
          <w:tab w:val="num" w:pos="3469"/>
        </w:tabs>
        <w:ind w:left="3469" w:hanging="360"/>
      </w:pPr>
      <w:rPr>
        <w:rFonts w:ascii="Wingdings" w:hAnsi="Wingdings" w:hint="default"/>
        <w:sz w:val="20"/>
      </w:rPr>
    </w:lvl>
    <w:lvl w:ilvl="5">
      <w:start w:val="1"/>
      <w:numFmt w:val="bullet"/>
      <w:lvlText w:val=""/>
      <w:lvlJc w:val="left"/>
      <w:pPr>
        <w:tabs>
          <w:tab w:val="num" w:pos="4189"/>
        </w:tabs>
        <w:ind w:left="4189" w:hanging="360"/>
      </w:pPr>
      <w:rPr>
        <w:rFonts w:ascii="Wingdings" w:hAnsi="Wingdings" w:hint="default"/>
        <w:sz w:val="20"/>
      </w:rPr>
    </w:lvl>
    <w:lvl w:ilvl="6">
      <w:start w:val="1"/>
      <w:numFmt w:val="bullet"/>
      <w:lvlText w:val=""/>
      <w:lvlJc w:val="left"/>
      <w:pPr>
        <w:tabs>
          <w:tab w:val="num" w:pos="4909"/>
        </w:tabs>
        <w:ind w:left="4909" w:hanging="360"/>
      </w:pPr>
      <w:rPr>
        <w:rFonts w:ascii="Wingdings" w:hAnsi="Wingdings" w:hint="default"/>
        <w:sz w:val="20"/>
      </w:rPr>
    </w:lvl>
    <w:lvl w:ilvl="7">
      <w:start w:val="1"/>
      <w:numFmt w:val="bullet"/>
      <w:lvlText w:val=""/>
      <w:lvlJc w:val="left"/>
      <w:pPr>
        <w:tabs>
          <w:tab w:val="num" w:pos="5629"/>
        </w:tabs>
        <w:ind w:left="5629" w:hanging="360"/>
      </w:pPr>
      <w:rPr>
        <w:rFonts w:ascii="Wingdings" w:hAnsi="Wingdings" w:hint="default"/>
        <w:sz w:val="20"/>
      </w:rPr>
    </w:lvl>
    <w:lvl w:ilvl="8">
      <w:start w:val="1"/>
      <w:numFmt w:val="bullet"/>
      <w:lvlText w:val=""/>
      <w:lvlJc w:val="left"/>
      <w:pPr>
        <w:tabs>
          <w:tab w:val="num" w:pos="6349"/>
        </w:tabs>
        <w:ind w:left="6349" w:hanging="360"/>
      </w:pPr>
      <w:rPr>
        <w:rFonts w:ascii="Wingdings" w:hAnsi="Wingdings" w:hint="default"/>
        <w:sz w:val="20"/>
      </w:rPr>
    </w:lvl>
  </w:abstractNum>
  <w:abstractNum w:abstractNumId="8" w15:restartNumberingAfterBreak="0">
    <w:nsid w:val="0D302158"/>
    <w:multiLevelType w:val="hybridMultilevel"/>
    <w:tmpl w:val="B53C3474"/>
    <w:lvl w:ilvl="0" w:tplc="44EEC084">
      <w:start w:val="1"/>
      <w:numFmt w:val="bullet"/>
      <w:lvlText w:val="&gt;"/>
      <w:lvlJc w:val="left"/>
      <w:pPr>
        <w:ind w:left="1015" w:hanging="360"/>
      </w:pPr>
      <w:rPr>
        <w:rFonts w:ascii="HelveticaNeueLT Std" w:hAnsi="HelveticaNeueLT Std" w:hint="default"/>
        <w:b w:val="0"/>
      </w:rPr>
    </w:lvl>
    <w:lvl w:ilvl="1" w:tplc="0C090003" w:tentative="1">
      <w:start w:val="1"/>
      <w:numFmt w:val="bullet"/>
      <w:lvlText w:val="o"/>
      <w:lvlJc w:val="left"/>
      <w:pPr>
        <w:ind w:left="1735" w:hanging="360"/>
      </w:pPr>
      <w:rPr>
        <w:rFonts w:ascii="Courier New" w:hAnsi="Courier New" w:cs="Courier New" w:hint="default"/>
      </w:rPr>
    </w:lvl>
    <w:lvl w:ilvl="2" w:tplc="0C090005" w:tentative="1">
      <w:start w:val="1"/>
      <w:numFmt w:val="bullet"/>
      <w:lvlText w:val=""/>
      <w:lvlJc w:val="left"/>
      <w:pPr>
        <w:ind w:left="2455" w:hanging="360"/>
      </w:pPr>
      <w:rPr>
        <w:rFonts w:ascii="Wingdings" w:hAnsi="Wingdings" w:hint="default"/>
      </w:rPr>
    </w:lvl>
    <w:lvl w:ilvl="3" w:tplc="0C090001" w:tentative="1">
      <w:start w:val="1"/>
      <w:numFmt w:val="bullet"/>
      <w:lvlText w:val=""/>
      <w:lvlJc w:val="left"/>
      <w:pPr>
        <w:ind w:left="3175" w:hanging="360"/>
      </w:pPr>
      <w:rPr>
        <w:rFonts w:ascii="Symbol" w:hAnsi="Symbol" w:hint="default"/>
      </w:rPr>
    </w:lvl>
    <w:lvl w:ilvl="4" w:tplc="0C090003" w:tentative="1">
      <w:start w:val="1"/>
      <w:numFmt w:val="bullet"/>
      <w:lvlText w:val="o"/>
      <w:lvlJc w:val="left"/>
      <w:pPr>
        <w:ind w:left="3895" w:hanging="360"/>
      </w:pPr>
      <w:rPr>
        <w:rFonts w:ascii="Courier New" w:hAnsi="Courier New" w:cs="Courier New" w:hint="default"/>
      </w:rPr>
    </w:lvl>
    <w:lvl w:ilvl="5" w:tplc="0C090005" w:tentative="1">
      <w:start w:val="1"/>
      <w:numFmt w:val="bullet"/>
      <w:lvlText w:val=""/>
      <w:lvlJc w:val="left"/>
      <w:pPr>
        <w:ind w:left="4615" w:hanging="360"/>
      </w:pPr>
      <w:rPr>
        <w:rFonts w:ascii="Wingdings" w:hAnsi="Wingdings" w:hint="default"/>
      </w:rPr>
    </w:lvl>
    <w:lvl w:ilvl="6" w:tplc="0C090001" w:tentative="1">
      <w:start w:val="1"/>
      <w:numFmt w:val="bullet"/>
      <w:lvlText w:val=""/>
      <w:lvlJc w:val="left"/>
      <w:pPr>
        <w:ind w:left="5335" w:hanging="360"/>
      </w:pPr>
      <w:rPr>
        <w:rFonts w:ascii="Symbol" w:hAnsi="Symbol" w:hint="default"/>
      </w:rPr>
    </w:lvl>
    <w:lvl w:ilvl="7" w:tplc="0C090003" w:tentative="1">
      <w:start w:val="1"/>
      <w:numFmt w:val="bullet"/>
      <w:lvlText w:val="o"/>
      <w:lvlJc w:val="left"/>
      <w:pPr>
        <w:ind w:left="6055" w:hanging="360"/>
      </w:pPr>
      <w:rPr>
        <w:rFonts w:ascii="Courier New" w:hAnsi="Courier New" w:cs="Courier New" w:hint="default"/>
      </w:rPr>
    </w:lvl>
    <w:lvl w:ilvl="8" w:tplc="0C090005" w:tentative="1">
      <w:start w:val="1"/>
      <w:numFmt w:val="bullet"/>
      <w:lvlText w:val=""/>
      <w:lvlJc w:val="left"/>
      <w:pPr>
        <w:ind w:left="6775" w:hanging="360"/>
      </w:pPr>
      <w:rPr>
        <w:rFonts w:ascii="Wingdings" w:hAnsi="Wingdings" w:hint="default"/>
      </w:rPr>
    </w:lvl>
  </w:abstractNum>
  <w:abstractNum w:abstractNumId="9" w15:restartNumberingAfterBreak="0">
    <w:nsid w:val="0E8960D8"/>
    <w:multiLevelType w:val="hybridMultilevel"/>
    <w:tmpl w:val="2662F488"/>
    <w:lvl w:ilvl="0" w:tplc="32425C04">
      <w:numFmt w:val="bullet"/>
      <w:lvlText w:val="-"/>
      <w:lvlJc w:val="left"/>
      <w:pPr>
        <w:ind w:left="720" w:hanging="360"/>
      </w:pPr>
      <w:rPr>
        <w:rFonts w:ascii="Arial" w:eastAsia="Times New Roman" w:hAnsi="Arial" w:cs="Arial" w:hint="default"/>
        <w:b w:val="0"/>
      </w:rPr>
    </w:lvl>
    <w:lvl w:ilvl="1" w:tplc="44EEC084">
      <w:start w:val="1"/>
      <w:numFmt w:val="bullet"/>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0EE521DC"/>
    <w:multiLevelType w:val="hybridMultilevel"/>
    <w:tmpl w:val="342E25E0"/>
    <w:lvl w:ilvl="0" w:tplc="44EEC084">
      <w:start w:val="1"/>
      <w:numFmt w:val="bullet"/>
      <w:lvlText w:val="&gt;"/>
      <w:lvlJc w:val="left"/>
      <w:pPr>
        <w:ind w:left="720" w:hanging="360"/>
      </w:pPr>
      <w:rPr>
        <w:rFonts w:ascii="HelveticaNeueLT Std" w:hAnsi="HelveticaNeueLT Std" w:hint="default"/>
        <w:b w:val="0"/>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11459B7"/>
    <w:multiLevelType w:val="hybridMultilevel"/>
    <w:tmpl w:val="2536EE0C"/>
    <w:lvl w:ilvl="0" w:tplc="0C090003">
      <w:start w:val="1"/>
      <w:numFmt w:val="bullet"/>
      <w:lvlText w:val="o"/>
      <w:lvlJc w:val="left"/>
      <w:pPr>
        <w:ind w:left="1496" w:hanging="360"/>
      </w:pPr>
      <w:rPr>
        <w:rFonts w:ascii="Courier New" w:hAnsi="Courier New" w:cs="Courier New" w:hint="default"/>
        <w:b w:val="0"/>
      </w:rPr>
    </w:lvl>
    <w:lvl w:ilvl="1" w:tplc="0C090003" w:tentative="1">
      <w:start w:val="1"/>
      <w:numFmt w:val="bullet"/>
      <w:lvlText w:val="o"/>
      <w:lvlJc w:val="left"/>
      <w:pPr>
        <w:ind w:left="2216" w:hanging="360"/>
      </w:pPr>
      <w:rPr>
        <w:rFonts w:ascii="Courier New" w:hAnsi="Courier New" w:cs="Courier New" w:hint="default"/>
      </w:rPr>
    </w:lvl>
    <w:lvl w:ilvl="2" w:tplc="0C090005" w:tentative="1">
      <w:start w:val="1"/>
      <w:numFmt w:val="bullet"/>
      <w:lvlText w:val=""/>
      <w:lvlJc w:val="left"/>
      <w:pPr>
        <w:ind w:left="2936" w:hanging="360"/>
      </w:pPr>
      <w:rPr>
        <w:rFonts w:ascii="Wingdings" w:hAnsi="Wingdings" w:hint="default"/>
      </w:rPr>
    </w:lvl>
    <w:lvl w:ilvl="3" w:tplc="0C090001" w:tentative="1">
      <w:start w:val="1"/>
      <w:numFmt w:val="bullet"/>
      <w:lvlText w:val=""/>
      <w:lvlJc w:val="left"/>
      <w:pPr>
        <w:ind w:left="3656" w:hanging="360"/>
      </w:pPr>
      <w:rPr>
        <w:rFonts w:ascii="Symbol" w:hAnsi="Symbol" w:hint="default"/>
      </w:rPr>
    </w:lvl>
    <w:lvl w:ilvl="4" w:tplc="0C090003" w:tentative="1">
      <w:start w:val="1"/>
      <w:numFmt w:val="bullet"/>
      <w:lvlText w:val="o"/>
      <w:lvlJc w:val="left"/>
      <w:pPr>
        <w:ind w:left="4376" w:hanging="360"/>
      </w:pPr>
      <w:rPr>
        <w:rFonts w:ascii="Courier New" w:hAnsi="Courier New" w:cs="Courier New" w:hint="default"/>
      </w:rPr>
    </w:lvl>
    <w:lvl w:ilvl="5" w:tplc="0C090005" w:tentative="1">
      <w:start w:val="1"/>
      <w:numFmt w:val="bullet"/>
      <w:lvlText w:val=""/>
      <w:lvlJc w:val="left"/>
      <w:pPr>
        <w:ind w:left="5096" w:hanging="360"/>
      </w:pPr>
      <w:rPr>
        <w:rFonts w:ascii="Wingdings" w:hAnsi="Wingdings" w:hint="default"/>
      </w:rPr>
    </w:lvl>
    <w:lvl w:ilvl="6" w:tplc="0C090001" w:tentative="1">
      <w:start w:val="1"/>
      <w:numFmt w:val="bullet"/>
      <w:lvlText w:val=""/>
      <w:lvlJc w:val="left"/>
      <w:pPr>
        <w:ind w:left="5816" w:hanging="360"/>
      </w:pPr>
      <w:rPr>
        <w:rFonts w:ascii="Symbol" w:hAnsi="Symbol" w:hint="default"/>
      </w:rPr>
    </w:lvl>
    <w:lvl w:ilvl="7" w:tplc="0C090003" w:tentative="1">
      <w:start w:val="1"/>
      <w:numFmt w:val="bullet"/>
      <w:lvlText w:val="o"/>
      <w:lvlJc w:val="left"/>
      <w:pPr>
        <w:ind w:left="6536" w:hanging="360"/>
      </w:pPr>
      <w:rPr>
        <w:rFonts w:ascii="Courier New" w:hAnsi="Courier New" w:cs="Courier New" w:hint="default"/>
      </w:rPr>
    </w:lvl>
    <w:lvl w:ilvl="8" w:tplc="0C090005" w:tentative="1">
      <w:start w:val="1"/>
      <w:numFmt w:val="bullet"/>
      <w:lvlText w:val=""/>
      <w:lvlJc w:val="left"/>
      <w:pPr>
        <w:ind w:left="7256" w:hanging="360"/>
      </w:pPr>
      <w:rPr>
        <w:rFonts w:ascii="Wingdings" w:hAnsi="Wingdings" w:hint="default"/>
      </w:rPr>
    </w:lvl>
  </w:abstractNum>
  <w:abstractNum w:abstractNumId="12" w15:restartNumberingAfterBreak="0">
    <w:nsid w:val="137E6EBE"/>
    <w:multiLevelType w:val="hybridMultilevel"/>
    <w:tmpl w:val="6BA0649E"/>
    <w:lvl w:ilvl="0" w:tplc="32425C04">
      <w:numFmt w:val="bullet"/>
      <w:lvlText w:val="-"/>
      <w:lvlJc w:val="left"/>
      <w:pPr>
        <w:ind w:left="720" w:hanging="360"/>
      </w:pPr>
      <w:rPr>
        <w:rFonts w:ascii="Arial" w:eastAsia="Times New Roman" w:hAnsi="Arial" w:cs="Arial"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13FE1A14"/>
    <w:multiLevelType w:val="hybridMultilevel"/>
    <w:tmpl w:val="539E656C"/>
    <w:lvl w:ilvl="0" w:tplc="A7B67A8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1576102E"/>
    <w:multiLevelType w:val="hybridMultilevel"/>
    <w:tmpl w:val="D8327E3E"/>
    <w:lvl w:ilvl="0" w:tplc="44EEC084">
      <w:start w:val="1"/>
      <w:numFmt w:val="bullet"/>
      <w:lvlText w:val="&gt;"/>
      <w:lvlJc w:val="left"/>
      <w:pPr>
        <w:ind w:left="720" w:hanging="360"/>
      </w:pPr>
      <w:rPr>
        <w:rFonts w:ascii="HelveticaNeueLT Std" w:hAnsi="HelveticaNeueLT Std" w:hint="default"/>
        <w:b w:val="0"/>
      </w:rPr>
    </w:lvl>
    <w:lvl w:ilvl="1" w:tplc="44EEC084">
      <w:start w:val="1"/>
      <w:numFmt w:val="bullet"/>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8DA0A74"/>
    <w:multiLevelType w:val="hybridMultilevel"/>
    <w:tmpl w:val="7EA4BA66"/>
    <w:lvl w:ilvl="0" w:tplc="44EEC084">
      <w:start w:val="1"/>
      <w:numFmt w:val="bullet"/>
      <w:lvlText w:val="&gt;"/>
      <w:lvlJc w:val="left"/>
      <w:pPr>
        <w:ind w:left="928" w:hanging="360"/>
      </w:pPr>
      <w:rPr>
        <w:rFonts w:ascii="HelveticaNeueLT Std" w:hAnsi="HelveticaNeueLT Std" w:hint="default"/>
        <w:b w:val="0"/>
      </w:rPr>
    </w:lvl>
    <w:lvl w:ilvl="1" w:tplc="0C090003" w:tentative="1">
      <w:start w:val="1"/>
      <w:numFmt w:val="bullet"/>
      <w:lvlText w:val="o"/>
      <w:lvlJc w:val="left"/>
      <w:pPr>
        <w:ind w:left="1648" w:hanging="360"/>
      </w:pPr>
      <w:rPr>
        <w:rFonts w:ascii="Courier New" w:hAnsi="Courier New" w:cs="Courier New" w:hint="default"/>
      </w:rPr>
    </w:lvl>
    <w:lvl w:ilvl="2" w:tplc="0C090005" w:tentative="1">
      <w:start w:val="1"/>
      <w:numFmt w:val="bullet"/>
      <w:lvlText w:val=""/>
      <w:lvlJc w:val="left"/>
      <w:pPr>
        <w:ind w:left="2368" w:hanging="360"/>
      </w:pPr>
      <w:rPr>
        <w:rFonts w:ascii="Wingdings" w:hAnsi="Wingdings" w:hint="default"/>
      </w:rPr>
    </w:lvl>
    <w:lvl w:ilvl="3" w:tplc="0C090001" w:tentative="1">
      <w:start w:val="1"/>
      <w:numFmt w:val="bullet"/>
      <w:lvlText w:val=""/>
      <w:lvlJc w:val="left"/>
      <w:pPr>
        <w:ind w:left="3088" w:hanging="360"/>
      </w:pPr>
      <w:rPr>
        <w:rFonts w:ascii="Symbol" w:hAnsi="Symbol" w:hint="default"/>
      </w:rPr>
    </w:lvl>
    <w:lvl w:ilvl="4" w:tplc="0C090003" w:tentative="1">
      <w:start w:val="1"/>
      <w:numFmt w:val="bullet"/>
      <w:lvlText w:val="o"/>
      <w:lvlJc w:val="left"/>
      <w:pPr>
        <w:ind w:left="3808" w:hanging="360"/>
      </w:pPr>
      <w:rPr>
        <w:rFonts w:ascii="Courier New" w:hAnsi="Courier New" w:cs="Courier New" w:hint="default"/>
      </w:rPr>
    </w:lvl>
    <w:lvl w:ilvl="5" w:tplc="0C090005" w:tentative="1">
      <w:start w:val="1"/>
      <w:numFmt w:val="bullet"/>
      <w:lvlText w:val=""/>
      <w:lvlJc w:val="left"/>
      <w:pPr>
        <w:ind w:left="4528" w:hanging="360"/>
      </w:pPr>
      <w:rPr>
        <w:rFonts w:ascii="Wingdings" w:hAnsi="Wingdings" w:hint="default"/>
      </w:rPr>
    </w:lvl>
    <w:lvl w:ilvl="6" w:tplc="0C090001" w:tentative="1">
      <w:start w:val="1"/>
      <w:numFmt w:val="bullet"/>
      <w:lvlText w:val=""/>
      <w:lvlJc w:val="left"/>
      <w:pPr>
        <w:ind w:left="5248" w:hanging="360"/>
      </w:pPr>
      <w:rPr>
        <w:rFonts w:ascii="Symbol" w:hAnsi="Symbol" w:hint="default"/>
      </w:rPr>
    </w:lvl>
    <w:lvl w:ilvl="7" w:tplc="0C090003" w:tentative="1">
      <w:start w:val="1"/>
      <w:numFmt w:val="bullet"/>
      <w:lvlText w:val="o"/>
      <w:lvlJc w:val="left"/>
      <w:pPr>
        <w:ind w:left="5968" w:hanging="360"/>
      </w:pPr>
      <w:rPr>
        <w:rFonts w:ascii="Courier New" w:hAnsi="Courier New" w:cs="Courier New" w:hint="default"/>
      </w:rPr>
    </w:lvl>
    <w:lvl w:ilvl="8" w:tplc="0C090005" w:tentative="1">
      <w:start w:val="1"/>
      <w:numFmt w:val="bullet"/>
      <w:lvlText w:val=""/>
      <w:lvlJc w:val="left"/>
      <w:pPr>
        <w:ind w:left="6688" w:hanging="360"/>
      </w:pPr>
      <w:rPr>
        <w:rFonts w:ascii="Wingdings" w:hAnsi="Wingdings" w:hint="default"/>
      </w:rPr>
    </w:lvl>
  </w:abstractNum>
  <w:abstractNum w:abstractNumId="16" w15:restartNumberingAfterBreak="0">
    <w:nsid w:val="1A1306F6"/>
    <w:multiLevelType w:val="hybridMultilevel"/>
    <w:tmpl w:val="A484D7F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1B583BE5"/>
    <w:multiLevelType w:val="hybridMultilevel"/>
    <w:tmpl w:val="EB026626"/>
    <w:lvl w:ilvl="0" w:tplc="32425C04">
      <w:numFmt w:val="bullet"/>
      <w:lvlText w:val="-"/>
      <w:lvlJc w:val="left"/>
      <w:pPr>
        <w:ind w:left="720" w:hanging="360"/>
      </w:pPr>
      <w:rPr>
        <w:rFonts w:ascii="Arial" w:eastAsia="Times New Roman" w:hAnsi="Arial" w:cs="Arial"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1C662C6F"/>
    <w:multiLevelType w:val="hybridMultilevel"/>
    <w:tmpl w:val="C706A492"/>
    <w:lvl w:ilvl="0" w:tplc="32425C04">
      <w:numFmt w:val="bullet"/>
      <w:lvlText w:val="-"/>
      <w:lvlJc w:val="left"/>
      <w:pPr>
        <w:ind w:left="720" w:hanging="360"/>
      </w:pPr>
      <w:rPr>
        <w:rFonts w:ascii="Arial" w:eastAsia="Times New Roman" w:hAnsi="Arial" w:cs="Arial" w:hint="default"/>
        <w:b w:val="0"/>
      </w:rPr>
    </w:lvl>
    <w:lvl w:ilvl="1" w:tplc="44EEC084">
      <w:start w:val="1"/>
      <w:numFmt w:val="bullet"/>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1F441B38"/>
    <w:multiLevelType w:val="hybridMultilevel"/>
    <w:tmpl w:val="0AFEF428"/>
    <w:lvl w:ilvl="0" w:tplc="DFD8FA3A">
      <w:numFmt w:val="bullet"/>
      <w:lvlText w:val=""/>
      <w:lvlJc w:val="left"/>
      <w:pPr>
        <w:ind w:left="720" w:hanging="360"/>
      </w:pPr>
      <w:rPr>
        <w:rFonts w:ascii="Symbol" w:eastAsiaTheme="minorHAnsi" w:hAnsi="Symbol" w:cs="Aria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1FEA7E64"/>
    <w:multiLevelType w:val="hybridMultilevel"/>
    <w:tmpl w:val="4B161DE0"/>
    <w:lvl w:ilvl="0" w:tplc="44EEC084">
      <w:start w:val="1"/>
      <w:numFmt w:val="bullet"/>
      <w:lvlText w:val="&gt;"/>
      <w:lvlJc w:val="left"/>
      <w:pPr>
        <w:ind w:left="720" w:hanging="360"/>
      </w:pPr>
      <w:rPr>
        <w:rFonts w:ascii="HelveticaNeueLT Std" w:hAnsi="HelveticaNeueLT Std"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2031282B"/>
    <w:multiLevelType w:val="hybridMultilevel"/>
    <w:tmpl w:val="482AC90A"/>
    <w:lvl w:ilvl="0" w:tplc="44EEC084">
      <w:start w:val="1"/>
      <w:numFmt w:val="bullet"/>
      <w:lvlText w:val="&gt;"/>
      <w:lvlJc w:val="left"/>
      <w:pPr>
        <w:ind w:left="720" w:hanging="360"/>
      </w:pPr>
      <w:rPr>
        <w:rFonts w:ascii="HelveticaNeueLT Std" w:hAnsi="HelveticaNeueLT Std" w:hint="default"/>
        <w:b w:val="0"/>
      </w:rPr>
    </w:lvl>
    <w:lvl w:ilvl="1" w:tplc="44EEC084">
      <w:start w:val="1"/>
      <w:numFmt w:val="bullet"/>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22541FC4"/>
    <w:multiLevelType w:val="hybridMultilevel"/>
    <w:tmpl w:val="643835AE"/>
    <w:lvl w:ilvl="0" w:tplc="ABB82986">
      <w:start w:val="5"/>
      <w:numFmt w:val="bullet"/>
      <w:lvlText w:val=""/>
      <w:lvlJc w:val="left"/>
      <w:pPr>
        <w:ind w:left="720" w:hanging="360"/>
      </w:pPr>
      <w:rPr>
        <w:rFonts w:ascii="Symbol" w:eastAsiaTheme="minorHAnsi"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237C140B"/>
    <w:multiLevelType w:val="hybridMultilevel"/>
    <w:tmpl w:val="5EE29C44"/>
    <w:lvl w:ilvl="0" w:tplc="44EEC084">
      <w:start w:val="1"/>
      <w:numFmt w:val="bullet"/>
      <w:lvlText w:val="&gt;"/>
      <w:lvlJc w:val="left"/>
      <w:pPr>
        <w:ind w:left="720" w:hanging="360"/>
      </w:pPr>
      <w:rPr>
        <w:rFonts w:ascii="HelveticaNeueLT Std" w:hAnsi="HelveticaNeueLT Std"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23A779C1"/>
    <w:multiLevelType w:val="hybridMultilevel"/>
    <w:tmpl w:val="4F4A295A"/>
    <w:lvl w:ilvl="0" w:tplc="32425C04">
      <w:numFmt w:val="bullet"/>
      <w:lvlText w:val="-"/>
      <w:lvlJc w:val="left"/>
      <w:pPr>
        <w:ind w:left="720" w:hanging="360"/>
      </w:pPr>
      <w:rPr>
        <w:rFonts w:ascii="Arial" w:eastAsia="Times New Roman" w:hAnsi="Arial" w:cs="Arial"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24A868CD"/>
    <w:multiLevelType w:val="hybridMultilevel"/>
    <w:tmpl w:val="8D9AD5E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24FA5053"/>
    <w:multiLevelType w:val="hybridMultilevel"/>
    <w:tmpl w:val="AF888C02"/>
    <w:lvl w:ilvl="0" w:tplc="44EEC084">
      <w:start w:val="1"/>
      <w:numFmt w:val="bullet"/>
      <w:lvlText w:val="&gt;"/>
      <w:lvlJc w:val="left"/>
      <w:pPr>
        <w:ind w:left="720" w:hanging="360"/>
      </w:pPr>
      <w:rPr>
        <w:rFonts w:ascii="HelveticaNeueLT Std" w:hAnsi="HelveticaNeueLT Std"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25544C2F"/>
    <w:multiLevelType w:val="hybridMultilevel"/>
    <w:tmpl w:val="BCFA7254"/>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269C79BD"/>
    <w:multiLevelType w:val="hybridMultilevel"/>
    <w:tmpl w:val="3012813E"/>
    <w:lvl w:ilvl="0" w:tplc="32425C04">
      <w:numFmt w:val="bullet"/>
      <w:lvlText w:val="-"/>
      <w:lvlJc w:val="left"/>
      <w:pPr>
        <w:ind w:left="928" w:hanging="360"/>
      </w:pPr>
      <w:rPr>
        <w:rFonts w:ascii="Arial" w:eastAsia="Times New Roman" w:hAnsi="Arial" w:cs="Arial" w:hint="default"/>
        <w:b w:val="0"/>
      </w:rPr>
    </w:lvl>
    <w:lvl w:ilvl="1" w:tplc="0C090003" w:tentative="1">
      <w:start w:val="1"/>
      <w:numFmt w:val="bullet"/>
      <w:lvlText w:val="o"/>
      <w:lvlJc w:val="left"/>
      <w:pPr>
        <w:ind w:left="1648" w:hanging="360"/>
      </w:pPr>
      <w:rPr>
        <w:rFonts w:ascii="Courier New" w:hAnsi="Courier New" w:cs="Courier New" w:hint="default"/>
      </w:rPr>
    </w:lvl>
    <w:lvl w:ilvl="2" w:tplc="0C090005" w:tentative="1">
      <w:start w:val="1"/>
      <w:numFmt w:val="bullet"/>
      <w:lvlText w:val=""/>
      <w:lvlJc w:val="left"/>
      <w:pPr>
        <w:ind w:left="2368" w:hanging="360"/>
      </w:pPr>
      <w:rPr>
        <w:rFonts w:ascii="Wingdings" w:hAnsi="Wingdings" w:hint="default"/>
      </w:rPr>
    </w:lvl>
    <w:lvl w:ilvl="3" w:tplc="0C090001" w:tentative="1">
      <w:start w:val="1"/>
      <w:numFmt w:val="bullet"/>
      <w:lvlText w:val=""/>
      <w:lvlJc w:val="left"/>
      <w:pPr>
        <w:ind w:left="3088" w:hanging="360"/>
      </w:pPr>
      <w:rPr>
        <w:rFonts w:ascii="Symbol" w:hAnsi="Symbol" w:hint="default"/>
      </w:rPr>
    </w:lvl>
    <w:lvl w:ilvl="4" w:tplc="0C090003" w:tentative="1">
      <w:start w:val="1"/>
      <w:numFmt w:val="bullet"/>
      <w:lvlText w:val="o"/>
      <w:lvlJc w:val="left"/>
      <w:pPr>
        <w:ind w:left="3808" w:hanging="360"/>
      </w:pPr>
      <w:rPr>
        <w:rFonts w:ascii="Courier New" w:hAnsi="Courier New" w:cs="Courier New" w:hint="default"/>
      </w:rPr>
    </w:lvl>
    <w:lvl w:ilvl="5" w:tplc="0C090005" w:tentative="1">
      <w:start w:val="1"/>
      <w:numFmt w:val="bullet"/>
      <w:lvlText w:val=""/>
      <w:lvlJc w:val="left"/>
      <w:pPr>
        <w:ind w:left="4528" w:hanging="360"/>
      </w:pPr>
      <w:rPr>
        <w:rFonts w:ascii="Wingdings" w:hAnsi="Wingdings" w:hint="default"/>
      </w:rPr>
    </w:lvl>
    <w:lvl w:ilvl="6" w:tplc="0C090001" w:tentative="1">
      <w:start w:val="1"/>
      <w:numFmt w:val="bullet"/>
      <w:lvlText w:val=""/>
      <w:lvlJc w:val="left"/>
      <w:pPr>
        <w:ind w:left="5248" w:hanging="360"/>
      </w:pPr>
      <w:rPr>
        <w:rFonts w:ascii="Symbol" w:hAnsi="Symbol" w:hint="default"/>
      </w:rPr>
    </w:lvl>
    <w:lvl w:ilvl="7" w:tplc="0C090003" w:tentative="1">
      <w:start w:val="1"/>
      <w:numFmt w:val="bullet"/>
      <w:lvlText w:val="o"/>
      <w:lvlJc w:val="left"/>
      <w:pPr>
        <w:ind w:left="5968" w:hanging="360"/>
      </w:pPr>
      <w:rPr>
        <w:rFonts w:ascii="Courier New" w:hAnsi="Courier New" w:cs="Courier New" w:hint="default"/>
      </w:rPr>
    </w:lvl>
    <w:lvl w:ilvl="8" w:tplc="0C090005" w:tentative="1">
      <w:start w:val="1"/>
      <w:numFmt w:val="bullet"/>
      <w:lvlText w:val=""/>
      <w:lvlJc w:val="left"/>
      <w:pPr>
        <w:ind w:left="6688" w:hanging="360"/>
      </w:pPr>
      <w:rPr>
        <w:rFonts w:ascii="Wingdings" w:hAnsi="Wingdings" w:hint="default"/>
      </w:rPr>
    </w:lvl>
  </w:abstractNum>
  <w:abstractNum w:abstractNumId="29" w15:restartNumberingAfterBreak="0">
    <w:nsid w:val="2883671C"/>
    <w:multiLevelType w:val="hybridMultilevel"/>
    <w:tmpl w:val="DA92B5E8"/>
    <w:lvl w:ilvl="0" w:tplc="44EEC084">
      <w:start w:val="1"/>
      <w:numFmt w:val="bullet"/>
      <w:lvlText w:val="&gt;"/>
      <w:lvlJc w:val="left"/>
      <w:pPr>
        <w:ind w:left="720" w:hanging="360"/>
      </w:pPr>
      <w:rPr>
        <w:rFonts w:ascii="HelveticaNeueLT Std" w:hAnsi="HelveticaNeueLT Std"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2A6A5D13"/>
    <w:multiLevelType w:val="hybridMultilevel"/>
    <w:tmpl w:val="C0A03EF6"/>
    <w:lvl w:ilvl="0" w:tplc="44EEC084">
      <w:start w:val="1"/>
      <w:numFmt w:val="bullet"/>
      <w:lvlText w:val="&gt;"/>
      <w:lvlJc w:val="left"/>
      <w:pPr>
        <w:ind w:left="720" w:hanging="360"/>
      </w:pPr>
      <w:rPr>
        <w:rFonts w:ascii="HelveticaNeueLT Std" w:hAnsi="HelveticaNeueLT Std"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2AE13669"/>
    <w:multiLevelType w:val="hybridMultilevel"/>
    <w:tmpl w:val="3710D9C2"/>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2C475D45"/>
    <w:multiLevelType w:val="hybridMultilevel"/>
    <w:tmpl w:val="C80E49B2"/>
    <w:lvl w:ilvl="0" w:tplc="32425C04">
      <w:numFmt w:val="bullet"/>
      <w:lvlText w:val="-"/>
      <w:lvlJc w:val="left"/>
      <w:pPr>
        <w:ind w:left="720" w:hanging="360"/>
      </w:pPr>
      <w:rPr>
        <w:rFonts w:ascii="Arial" w:eastAsia="Times New Roman" w:hAnsi="Arial" w:cs="Arial"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2DEC77BD"/>
    <w:multiLevelType w:val="hybridMultilevel"/>
    <w:tmpl w:val="DE142292"/>
    <w:lvl w:ilvl="0" w:tplc="0C090003">
      <w:start w:val="1"/>
      <w:numFmt w:val="bullet"/>
      <w:lvlText w:val="o"/>
      <w:lvlJc w:val="left"/>
      <w:pPr>
        <w:ind w:left="1496" w:hanging="360"/>
      </w:pPr>
      <w:rPr>
        <w:rFonts w:ascii="Courier New" w:hAnsi="Courier New" w:cs="Courier New" w:hint="default"/>
      </w:rPr>
    </w:lvl>
    <w:lvl w:ilvl="1" w:tplc="0C090003" w:tentative="1">
      <w:start w:val="1"/>
      <w:numFmt w:val="bullet"/>
      <w:lvlText w:val="o"/>
      <w:lvlJc w:val="left"/>
      <w:pPr>
        <w:ind w:left="2216" w:hanging="360"/>
      </w:pPr>
      <w:rPr>
        <w:rFonts w:ascii="Courier New" w:hAnsi="Courier New" w:cs="Courier New" w:hint="default"/>
      </w:rPr>
    </w:lvl>
    <w:lvl w:ilvl="2" w:tplc="0C090005" w:tentative="1">
      <w:start w:val="1"/>
      <w:numFmt w:val="bullet"/>
      <w:lvlText w:val=""/>
      <w:lvlJc w:val="left"/>
      <w:pPr>
        <w:ind w:left="2936" w:hanging="360"/>
      </w:pPr>
      <w:rPr>
        <w:rFonts w:ascii="Wingdings" w:hAnsi="Wingdings" w:hint="default"/>
      </w:rPr>
    </w:lvl>
    <w:lvl w:ilvl="3" w:tplc="0C090001" w:tentative="1">
      <w:start w:val="1"/>
      <w:numFmt w:val="bullet"/>
      <w:lvlText w:val=""/>
      <w:lvlJc w:val="left"/>
      <w:pPr>
        <w:ind w:left="3656" w:hanging="360"/>
      </w:pPr>
      <w:rPr>
        <w:rFonts w:ascii="Symbol" w:hAnsi="Symbol" w:hint="default"/>
      </w:rPr>
    </w:lvl>
    <w:lvl w:ilvl="4" w:tplc="0C090003" w:tentative="1">
      <w:start w:val="1"/>
      <w:numFmt w:val="bullet"/>
      <w:lvlText w:val="o"/>
      <w:lvlJc w:val="left"/>
      <w:pPr>
        <w:ind w:left="4376" w:hanging="360"/>
      </w:pPr>
      <w:rPr>
        <w:rFonts w:ascii="Courier New" w:hAnsi="Courier New" w:cs="Courier New" w:hint="default"/>
      </w:rPr>
    </w:lvl>
    <w:lvl w:ilvl="5" w:tplc="0C090005" w:tentative="1">
      <w:start w:val="1"/>
      <w:numFmt w:val="bullet"/>
      <w:lvlText w:val=""/>
      <w:lvlJc w:val="left"/>
      <w:pPr>
        <w:ind w:left="5096" w:hanging="360"/>
      </w:pPr>
      <w:rPr>
        <w:rFonts w:ascii="Wingdings" w:hAnsi="Wingdings" w:hint="default"/>
      </w:rPr>
    </w:lvl>
    <w:lvl w:ilvl="6" w:tplc="0C090001" w:tentative="1">
      <w:start w:val="1"/>
      <w:numFmt w:val="bullet"/>
      <w:lvlText w:val=""/>
      <w:lvlJc w:val="left"/>
      <w:pPr>
        <w:ind w:left="5816" w:hanging="360"/>
      </w:pPr>
      <w:rPr>
        <w:rFonts w:ascii="Symbol" w:hAnsi="Symbol" w:hint="default"/>
      </w:rPr>
    </w:lvl>
    <w:lvl w:ilvl="7" w:tplc="0C090003" w:tentative="1">
      <w:start w:val="1"/>
      <w:numFmt w:val="bullet"/>
      <w:lvlText w:val="o"/>
      <w:lvlJc w:val="left"/>
      <w:pPr>
        <w:ind w:left="6536" w:hanging="360"/>
      </w:pPr>
      <w:rPr>
        <w:rFonts w:ascii="Courier New" w:hAnsi="Courier New" w:cs="Courier New" w:hint="default"/>
      </w:rPr>
    </w:lvl>
    <w:lvl w:ilvl="8" w:tplc="0C090005" w:tentative="1">
      <w:start w:val="1"/>
      <w:numFmt w:val="bullet"/>
      <w:lvlText w:val=""/>
      <w:lvlJc w:val="left"/>
      <w:pPr>
        <w:ind w:left="7256" w:hanging="360"/>
      </w:pPr>
      <w:rPr>
        <w:rFonts w:ascii="Wingdings" w:hAnsi="Wingdings" w:hint="default"/>
      </w:rPr>
    </w:lvl>
  </w:abstractNum>
  <w:abstractNum w:abstractNumId="34" w15:restartNumberingAfterBreak="0">
    <w:nsid w:val="2DF723F5"/>
    <w:multiLevelType w:val="hybridMultilevel"/>
    <w:tmpl w:val="3F9CAE30"/>
    <w:lvl w:ilvl="0" w:tplc="44EEC084">
      <w:start w:val="1"/>
      <w:numFmt w:val="bullet"/>
      <w:lvlText w:val="&gt;"/>
      <w:lvlJc w:val="left"/>
      <w:pPr>
        <w:ind w:left="720" w:hanging="360"/>
      </w:pPr>
      <w:rPr>
        <w:rFonts w:ascii="HelveticaNeueLT Std" w:hAnsi="HelveticaNeueLT Std"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36" w15:restartNumberingAfterBreak="0">
    <w:nsid w:val="2FA8756C"/>
    <w:multiLevelType w:val="hybridMultilevel"/>
    <w:tmpl w:val="02DE4B04"/>
    <w:lvl w:ilvl="0" w:tplc="32425C04">
      <w:numFmt w:val="bullet"/>
      <w:lvlText w:val="-"/>
      <w:lvlJc w:val="left"/>
      <w:pPr>
        <w:ind w:left="720" w:hanging="360"/>
      </w:pPr>
      <w:rPr>
        <w:rFonts w:ascii="Arial" w:eastAsia="Times New Roman" w:hAnsi="Arial" w:cs="Arial" w:hint="default"/>
        <w:b w:val="0"/>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32373827"/>
    <w:multiLevelType w:val="hybridMultilevel"/>
    <w:tmpl w:val="BEC63FE0"/>
    <w:lvl w:ilvl="0" w:tplc="0C090003">
      <w:start w:val="1"/>
      <w:numFmt w:val="bullet"/>
      <w:lvlText w:val="o"/>
      <w:lvlJc w:val="left"/>
      <w:pPr>
        <w:ind w:left="1496" w:hanging="360"/>
      </w:pPr>
      <w:rPr>
        <w:rFonts w:ascii="Courier New" w:hAnsi="Courier New" w:cs="Courier New" w:hint="default"/>
      </w:rPr>
    </w:lvl>
    <w:lvl w:ilvl="1" w:tplc="0C090003" w:tentative="1">
      <w:start w:val="1"/>
      <w:numFmt w:val="bullet"/>
      <w:lvlText w:val="o"/>
      <w:lvlJc w:val="left"/>
      <w:pPr>
        <w:ind w:left="2216" w:hanging="360"/>
      </w:pPr>
      <w:rPr>
        <w:rFonts w:ascii="Courier New" w:hAnsi="Courier New" w:cs="Courier New" w:hint="default"/>
      </w:rPr>
    </w:lvl>
    <w:lvl w:ilvl="2" w:tplc="0C090005" w:tentative="1">
      <w:start w:val="1"/>
      <w:numFmt w:val="bullet"/>
      <w:lvlText w:val=""/>
      <w:lvlJc w:val="left"/>
      <w:pPr>
        <w:ind w:left="2936" w:hanging="360"/>
      </w:pPr>
      <w:rPr>
        <w:rFonts w:ascii="Wingdings" w:hAnsi="Wingdings" w:hint="default"/>
      </w:rPr>
    </w:lvl>
    <w:lvl w:ilvl="3" w:tplc="0C090001" w:tentative="1">
      <w:start w:val="1"/>
      <w:numFmt w:val="bullet"/>
      <w:lvlText w:val=""/>
      <w:lvlJc w:val="left"/>
      <w:pPr>
        <w:ind w:left="3656" w:hanging="360"/>
      </w:pPr>
      <w:rPr>
        <w:rFonts w:ascii="Symbol" w:hAnsi="Symbol" w:hint="default"/>
      </w:rPr>
    </w:lvl>
    <w:lvl w:ilvl="4" w:tplc="0C090003" w:tentative="1">
      <w:start w:val="1"/>
      <w:numFmt w:val="bullet"/>
      <w:lvlText w:val="o"/>
      <w:lvlJc w:val="left"/>
      <w:pPr>
        <w:ind w:left="4376" w:hanging="360"/>
      </w:pPr>
      <w:rPr>
        <w:rFonts w:ascii="Courier New" w:hAnsi="Courier New" w:cs="Courier New" w:hint="default"/>
      </w:rPr>
    </w:lvl>
    <w:lvl w:ilvl="5" w:tplc="0C090005" w:tentative="1">
      <w:start w:val="1"/>
      <w:numFmt w:val="bullet"/>
      <w:lvlText w:val=""/>
      <w:lvlJc w:val="left"/>
      <w:pPr>
        <w:ind w:left="5096" w:hanging="360"/>
      </w:pPr>
      <w:rPr>
        <w:rFonts w:ascii="Wingdings" w:hAnsi="Wingdings" w:hint="default"/>
      </w:rPr>
    </w:lvl>
    <w:lvl w:ilvl="6" w:tplc="0C090001" w:tentative="1">
      <w:start w:val="1"/>
      <w:numFmt w:val="bullet"/>
      <w:lvlText w:val=""/>
      <w:lvlJc w:val="left"/>
      <w:pPr>
        <w:ind w:left="5816" w:hanging="360"/>
      </w:pPr>
      <w:rPr>
        <w:rFonts w:ascii="Symbol" w:hAnsi="Symbol" w:hint="default"/>
      </w:rPr>
    </w:lvl>
    <w:lvl w:ilvl="7" w:tplc="0C090003" w:tentative="1">
      <w:start w:val="1"/>
      <w:numFmt w:val="bullet"/>
      <w:lvlText w:val="o"/>
      <w:lvlJc w:val="left"/>
      <w:pPr>
        <w:ind w:left="6536" w:hanging="360"/>
      </w:pPr>
      <w:rPr>
        <w:rFonts w:ascii="Courier New" w:hAnsi="Courier New" w:cs="Courier New" w:hint="default"/>
      </w:rPr>
    </w:lvl>
    <w:lvl w:ilvl="8" w:tplc="0C090005" w:tentative="1">
      <w:start w:val="1"/>
      <w:numFmt w:val="bullet"/>
      <w:lvlText w:val=""/>
      <w:lvlJc w:val="left"/>
      <w:pPr>
        <w:ind w:left="7256" w:hanging="360"/>
      </w:pPr>
      <w:rPr>
        <w:rFonts w:ascii="Wingdings" w:hAnsi="Wingdings" w:hint="default"/>
      </w:rPr>
    </w:lvl>
  </w:abstractNum>
  <w:abstractNum w:abstractNumId="38" w15:restartNumberingAfterBreak="0">
    <w:nsid w:val="34F00F50"/>
    <w:multiLevelType w:val="hybridMultilevel"/>
    <w:tmpl w:val="5A0AB828"/>
    <w:lvl w:ilvl="0" w:tplc="32425C04">
      <w:numFmt w:val="bullet"/>
      <w:lvlText w:val="-"/>
      <w:lvlJc w:val="left"/>
      <w:pPr>
        <w:ind w:left="1077" w:hanging="360"/>
      </w:pPr>
      <w:rPr>
        <w:rFonts w:ascii="Arial" w:eastAsia="Times New Roman" w:hAnsi="Arial" w:cs="Arial" w:hint="default"/>
        <w:b w:val="0"/>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39" w15:restartNumberingAfterBreak="0">
    <w:nsid w:val="3B1C7354"/>
    <w:multiLevelType w:val="hybridMultilevel"/>
    <w:tmpl w:val="FA80C4A0"/>
    <w:lvl w:ilvl="0" w:tplc="44EEC084">
      <w:start w:val="1"/>
      <w:numFmt w:val="bullet"/>
      <w:lvlText w:val="&gt;"/>
      <w:lvlJc w:val="left"/>
      <w:pPr>
        <w:ind w:left="720" w:hanging="360"/>
      </w:pPr>
      <w:rPr>
        <w:rFonts w:ascii="HelveticaNeueLT Std" w:hAnsi="HelveticaNeueLT Std" w:hint="default"/>
        <w:b w:val="0"/>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3B2075C2"/>
    <w:multiLevelType w:val="hybridMultilevel"/>
    <w:tmpl w:val="C7E05E10"/>
    <w:lvl w:ilvl="0" w:tplc="44EEC084">
      <w:start w:val="1"/>
      <w:numFmt w:val="bullet"/>
      <w:lvlText w:val="&gt;"/>
      <w:lvlJc w:val="left"/>
      <w:pPr>
        <w:ind w:left="720" w:hanging="360"/>
      </w:pPr>
      <w:rPr>
        <w:rFonts w:ascii="HelveticaNeueLT Std" w:hAnsi="HelveticaNeueLT Std"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3BA01F5E"/>
    <w:multiLevelType w:val="hybridMultilevel"/>
    <w:tmpl w:val="047A3B84"/>
    <w:lvl w:ilvl="0" w:tplc="32425C04">
      <w:numFmt w:val="bullet"/>
      <w:lvlText w:val="-"/>
      <w:lvlJc w:val="left"/>
      <w:pPr>
        <w:ind w:left="720" w:hanging="360"/>
      </w:pPr>
      <w:rPr>
        <w:rFonts w:ascii="Arial" w:eastAsia="Times New Roman" w:hAnsi="Arial" w:cs="Arial"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3C2100FC"/>
    <w:multiLevelType w:val="hybridMultilevel"/>
    <w:tmpl w:val="C8A05140"/>
    <w:lvl w:ilvl="0" w:tplc="44EEC084">
      <w:start w:val="1"/>
      <w:numFmt w:val="bullet"/>
      <w:lvlText w:val="&gt;"/>
      <w:lvlJc w:val="left"/>
      <w:pPr>
        <w:ind w:left="720" w:hanging="360"/>
      </w:pPr>
      <w:rPr>
        <w:rFonts w:ascii="HelveticaNeueLT Std" w:hAnsi="HelveticaNeueLT Std"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3C6F34F6"/>
    <w:multiLevelType w:val="hybridMultilevel"/>
    <w:tmpl w:val="0BB8FEFE"/>
    <w:lvl w:ilvl="0" w:tplc="B24A5A40">
      <w:start w:val="1"/>
      <w:numFmt w:val="bullet"/>
      <w:lvlText w:val="&gt;"/>
      <w:lvlJc w:val="left"/>
      <w:pPr>
        <w:ind w:left="720" w:hanging="360"/>
      </w:pPr>
      <w:rPr>
        <w:rFonts w:ascii="HelveticaNeueLT Std" w:hAnsi="HelveticaNeueLT Std" w:hint="default"/>
        <w:b w:val="0"/>
        <w:bCs/>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3DA40ECB"/>
    <w:multiLevelType w:val="hybridMultilevel"/>
    <w:tmpl w:val="8AAA477A"/>
    <w:lvl w:ilvl="0" w:tplc="44EEC084">
      <w:start w:val="1"/>
      <w:numFmt w:val="bullet"/>
      <w:lvlText w:val="&gt;"/>
      <w:lvlJc w:val="left"/>
      <w:pPr>
        <w:ind w:left="720" w:hanging="360"/>
      </w:pPr>
      <w:rPr>
        <w:rFonts w:ascii="HelveticaNeueLT Std" w:hAnsi="HelveticaNeueLT Std" w:hint="default"/>
        <w:b w:val="0"/>
      </w:rPr>
    </w:lvl>
    <w:lvl w:ilvl="1" w:tplc="44EEC084">
      <w:start w:val="1"/>
      <w:numFmt w:val="bullet"/>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3EF507D8"/>
    <w:multiLevelType w:val="hybridMultilevel"/>
    <w:tmpl w:val="4DE848AE"/>
    <w:lvl w:ilvl="0" w:tplc="32425C04">
      <w:numFmt w:val="bullet"/>
      <w:lvlText w:val="-"/>
      <w:lvlJc w:val="left"/>
      <w:pPr>
        <w:ind w:left="720" w:hanging="360"/>
      </w:pPr>
      <w:rPr>
        <w:rFonts w:ascii="Arial" w:eastAsia="Times New Roman" w:hAnsi="Arial" w:cs="Arial"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40107561"/>
    <w:multiLevelType w:val="hybridMultilevel"/>
    <w:tmpl w:val="9BA47312"/>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418F5B5D"/>
    <w:multiLevelType w:val="hybridMultilevel"/>
    <w:tmpl w:val="A6FCB6A2"/>
    <w:lvl w:ilvl="0" w:tplc="32425C04">
      <w:numFmt w:val="bullet"/>
      <w:lvlText w:val="-"/>
      <w:lvlJc w:val="left"/>
      <w:pPr>
        <w:ind w:left="720" w:hanging="360"/>
      </w:pPr>
      <w:rPr>
        <w:rFonts w:ascii="Arial" w:eastAsia="Times New Roman" w:hAnsi="Arial" w:cs="Arial"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44AD515C"/>
    <w:multiLevelType w:val="hybridMultilevel"/>
    <w:tmpl w:val="E2ACA182"/>
    <w:lvl w:ilvl="0" w:tplc="44EEC084">
      <w:start w:val="1"/>
      <w:numFmt w:val="bullet"/>
      <w:lvlText w:val="&gt;"/>
      <w:lvlJc w:val="left"/>
      <w:pPr>
        <w:ind w:left="720" w:hanging="360"/>
      </w:pPr>
      <w:rPr>
        <w:rFonts w:ascii="HelveticaNeueLT Std" w:hAnsi="HelveticaNeueLT Std"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4570148C"/>
    <w:multiLevelType w:val="hybridMultilevel"/>
    <w:tmpl w:val="FF502D36"/>
    <w:lvl w:ilvl="0" w:tplc="44EEC084">
      <w:start w:val="1"/>
      <w:numFmt w:val="bullet"/>
      <w:lvlText w:val="&gt;"/>
      <w:lvlJc w:val="left"/>
      <w:pPr>
        <w:ind w:left="720" w:hanging="360"/>
      </w:pPr>
      <w:rPr>
        <w:rFonts w:ascii="HelveticaNeueLT Std" w:hAnsi="HelveticaNeueLT Std" w:hint="default"/>
        <w:b w:val="0"/>
      </w:rPr>
    </w:lvl>
    <w:lvl w:ilvl="1" w:tplc="44EEC084">
      <w:start w:val="1"/>
      <w:numFmt w:val="bullet"/>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45D11C93"/>
    <w:multiLevelType w:val="hybridMultilevel"/>
    <w:tmpl w:val="F74A6698"/>
    <w:lvl w:ilvl="0" w:tplc="32425C04">
      <w:numFmt w:val="bullet"/>
      <w:lvlText w:val="-"/>
      <w:lvlJc w:val="left"/>
      <w:pPr>
        <w:ind w:left="720" w:hanging="360"/>
      </w:pPr>
      <w:rPr>
        <w:rFonts w:ascii="Arial" w:eastAsia="Times New Roman" w:hAnsi="Arial" w:cs="Arial"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489E15BF"/>
    <w:multiLevelType w:val="hybridMultilevel"/>
    <w:tmpl w:val="C9160F40"/>
    <w:lvl w:ilvl="0" w:tplc="32425C04">
      <w:numFmt w:val="bullet"/>
      <w:lvlText w:val="-"/>
      <w:lvlJc w:val="left"/>
      <w:pPr>
        <w:ind w:left="720" w:hanging="360"/>
      </w:pPr>
      <w:rPr>
        <w:rFonts w:ascii="Arial" w:eastAsia="Times New Roman" w:hAnsi="Arial" w:cs="Arial"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48AD4B3F"/>
    <w:multiLevelType w:val="hybridMultilevel"/>
    <w:tmpl w:val="DF22BC98"/>
    <w:lvl w:ilvl="0" w:tplc="44EEC084">
      <w:start w:val="1"/>
      <w:numFmt w:val="bullet"/>
      <w:lvlText w:val="&gt;"/>
      <w:lvlJc w:val="left"/>
      <w:pPr>
        <w:ind w:left="720" w:hanging="360"/>
      </w:pPr>
      <w:rPr>
        <w:rFonts w:ascii="HelveticaNeueLT Std" w:hAnsi="HelveticaNeueLT Std"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3" w15:restartNumberingAfterBreak="0">
    <w:nsid w:val="4AD6424E"/>
    <w:multiLevelType w:val="hybridMultilevel"/>
    <w:tmpl w:val="F1E2083C"/>
    <w:lvl w:ilvl="0" w:tplc="44EEC084">
      <w:start w:val="1"/>
      <w:numFmt w:val="bullet"/>
      <w:lvlText w:val="&gt;"/>
      <w:lvlJc w:val="left"/>
      <w:pPr>
        <w:ind w:left="1496" w:hanging="360"/>
      </w:pPr>
      <w:rPr>
        <w:rFonts w:ascii="HelveticaNeueLT Std" w:hAnsi="HelveticaNeueLT Std" w:hint="default"/>
      </w:rPr>
    </w:lvl>
    <w:lvl w:ilvl="1" w:tplc="0C090003" w:tentative="1">
      <w:start w:val="1"/>
      <w:numFmt w:val="bullet"/>
      <w:lvlText w:val="o"/>
      <w:lvlJc w:val="left"/>
      <w:pPr>
        <w:ind w:left="2216" w:hanging="360"/>
      </w:pPr>
      <w:rPr>
        <w:rFonts w:ascii="Courier New" w:hAnsi="Courier New" w:cs="Courier New" w:hint="default"/>
      </w:rPr>
    </w:lvl>
    <w:lvl w:ilvl="2" w:tplc="0C090005" w:tentative="1">
      <w:start w:val="1"/>
      <w:numFmt w:val="bullet"/>
      <w:lvlText w:val=""/>
      <w:lvlJc w:val="left"/>
      <w:pPr>
        <w:ind w:left="2936" w:hanging="360"/>
      </w:pPr>
      <w:rPr>
        <w:rFonts w:ascii="Wingdings" w:hAnsi="Wingdings" w:hint="default"/>
      </w:rPr>
    </w:lvl>
    <w:lvl w:ilvl="3" w:tplc="0C090001" w:tentative="1">
      <w:start w:val="1"/>
      <w:numFmt w:val="bullet"/>
      <w:lvlText w:val=""/>
      <w:lvlJc w:val="left"/>
      <w:pPr>
        <w:ind w:left="3656" w:hanging="360"/>
      </w:pPr>
      <w:rPr>
        <w:rFonts w:ascii="Symbol" w:hAnsi="Symbol" w:hint="default"/>
      </w:rPr>
    </w:lvl>
    <w:lvl w:ilvl="4" w:tplc="0C090003" w:tentative="1">
      <w:start w:val="1"/>
      <w:numFmt w:val="bullet"/>
      <w:lvlText w:val="o"/>
      <w:lvlJc w:val="left"/>
      <w:pPr>
        <w:ind w:left="4376" w:hanging="360"/>
      </w:pPr>
      <w:rPr>
        <w:rFonts w:ascii="Courier New" w:hAnsi="Courier New" w:cs="Courier New" w:hint="default"/>
      </w:rPr>
    </w:lvl>
    <w:lvl w:ilvl="5" w:tplc="0C090005" w:tentative="1">
      <w:start w:val="1"/>
      <w:numFmt w:val="bullet"/>
      <w:lvlText w:val=""/>
      <w:lvlJc w:val="left"/>
      <w:pPr>
        <w:ind w:left="5096" w:hanging="360"/>
      </w:pPr>
      <w:rPr>
        <w:rFonts w:ascii="Wingdings" w:hAnsi="Wingdings" w:hint="default"/>
      </w:rPr>
    </w:lvl>
    <w:lvl w:ilvl="6" w:tplc="0C090001" w:tentative="1">
      <w:start w:val="1"/>
      <w:numFmt w:val="bullet"/>
      <w:lvlText w:val=""/>
      <w:lvlJc w:val="left"/>
      <w:pPr>
        <w:ind w:left="5816" w:hanging="360"/>
      </w:pPr>
      <w:rPr>
        <w:rFonts w:ascii="Symbol" w:hAnsi="Symbol" w:hint="default"/>
      </w:rPr>
    </w:lvl>
    <w:lvl w:ilvl="7" w:tplc="0C090003" w:tentative="1">
      <w:start w:val="1"/>
      <w:numFmt w:val="bullet"/>
      <w:lvlText w:val="o"/>
      <w:lvlJc w:val="left"/>
      <w:pPr>
        <w:ind w:left="6536" w:hanging="360"/>
      </w:pPr>
      <w:rPr>
        <w:rFonts w:ascii="Courier New" w:hAnsi="Courier New" w:cs="Courier New" w:hint="default"/>
      </w:rPr>
    </w:lvl>
    <w:lvl w:ilvl="8" w:tplc="0C090005" w:tentative="1">
      <w:start w:val="1"/>
      <w:numFmt w:val="bullet"/>
      <w:lvlText w:val=""/>
      <w:lvlJc w:val="left"/>
      <w:pPr>
        <w:ind w:left="7256" w:hanging="360"/>
      </w:pPr>
      <w:rPr>
        <w:rFonts w:ascii="Wingdings" w:hAnsi="Wingdings" w:hint="default"/>
      </w:rPr>
    </w:lvl>
  </w:abstractNum>
  <w:abstractNum w:abstractNumId="54" w15:restartNumberingAfterBreak="0">
    <w:nsid w:val="4DE63AAB"/>
    <w:multiLevelType w:val="hybridMultilevel"/>
    <w:tmpl w:val="C4EE6060"/>
    <w:lvl w:ilvl="0" w:tplc="32425C04">
      <w:numFmt w:val="bullet"/>
      <w:lvlText w:val="-"/>
      <w:lvlJc w:val="left"/>
      <w:pPr>
        <w:ind w:left="720" w:hanging="360"/>
      </w:pPr>
      <w:rPr>
        <w:rFonts w:ascii="Arial" w:eastAsia="Times New Roman" w:hAnsi="Arial" w:cs="Arial"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5" w15:restartNumberingAfterBreak="0">
    <w:nsid w:val="4FA834A6"/>
    <w:multiLevelType w:val="hybridMultilevel"/>
    <w:tmpl w:val="F1A4BE2C"/>
    <w:lvl w:ilvl="0" w:tplc="32425C04">
      <w:numFmt w:val="bullet"/>
      <w:lvlText w:val="-"/>
      <w:lvlJc w:val="left"/>
      <w:pPr>
        <w:ind w:left="720" w:hanging="360"/>
      </w:pPr>
      <w:rPr>
        <w:rFonts w:ascii="Arial" w:eastAsia="Times New Roman" w:hAnsi="Arial" w:cs="Arial"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6" w15:restartNumberingAfterBreak="0">
    <w:nsid w:val="5179525E"/>
    <w:multiLevelType w:val="hybridMultilevel"/>
    <w:tmpl w:val="2F5E7054"/>
    <w:lvl w:ilvl="0" w:tplc="32425C04">
      <w:numFmt w:val="bullet"/>
      <w:lvlText w:val="-"/>
      <w:lvlJc w:val="left"/>
      <w:pPr>
        <w:ind w:left="720" w:hanging="360"/>
      </w:pPr>
      <w:rPr>
        <w:rFonts w:ascii="Arial" w:eastAsia="Times New Roman" w:hAnsi="Arial" w:cs="Arial"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7" w15:restartNumberingAfterBreak="0">
    <w:nsid w:val="519A392C"/>
    <w:multiLevelType w:val="hybridMultilevel"/>
    <w:tmpl w:val="2BAE3292"/>
    <w:lvl w:ilvl="0" w:tplc="32425C04">
      <w:numFmt w:val="bullet"/>
      <w:lvlText w:val="-"/>
      <w:lvlJc w:val="left"/>
      <w:pPr>
        <w:ind w:left="720" w:hanging="360"/>
      </w:pPr>
      <w:rPr>
        <w:rFonts w:ascii="Arial" w:eastAsia="Times New Roman" w:hAnsi="Arial" w:cs="Arial"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51D51CFF"/>
    <w:multiLevelType w:val="hybridMultilevel"/>
    <w:tmpl w:val="A408477C"/>
    <w:lvl w:ilvl="0" w:tplc="D7F8FF0C">
      <w:start w:val="1"/>
      <w:numFmt w:val="bullet"/>
      <w:lvlText w:val="&gt;"/>
      <w:lvlJc w:val="left"/>
      <w:pPr>
        <w:ind w:left="720" w:hanging="360"/>
      </w:pPr>
      <w:rPr>
        <w:rFonts w:ascii="Calibri" w:hAnsi="Calibr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9" w15:restartNumberingAfterBreak="0">
    <w:nsid w:val="5446406B"/>
    <w:multiLevelType w:val="hybridMultilevel"/>
    <w:tmpl w:val="1924FD0C"/>
    <w:lvl w:ilvl="0" w:tplc="44EEC084">
      <w:start w:val="1"/>
      <w:numFmt w:val="bullet"/>
      <w:lvlText w:val="&gt;"/>
      <w:lvlJc w:val="left"/>
      <w:pPr>
        <w:ind w:left="720" w:hanging="360"/>
      </w:pPr>
      <w:rPr>
        <w:rFonts w:ascii="HelveticaNeueLT Std" w:hAnsi="HelveticaNeueLT Std"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0" w15:restartNumberingAfterBreak="0">
    <w:nsid w:val="54602854"/>
    <w:multiLevelType w:val="hybridMultilevel"/>
    <w:tmpl w:val="B386A0BE"/>
    <w:lvl w:ilvl="0" w:tplc="44EEC084">
      <w:start w:val="1"/>
      <w:numFmt w:val="bullet"/>
      <w:lvlText w:val="&gt;"/>
      <w:lvlJc w:val="left"/>
      <w:pPr>
        <w:ind w:left="720" w:hanging="360"/>
      </w:pPr>
      <w:rPr>
        <w:rFonts w:ascii="HelveticaNeueLT Std" w:hAnsi="HelveticaNeueLT Std"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1" w15:restartNumberingAfterBreak="0">
    <w:nsid w:val="556A0C36"/>
    <w:multiLevelType w:val="hybridMultilevel"/>
    <w:tmpl w:val="57C0CDD0"/>
    <w:lvl w:ilvl="0" w:tplc="44EEC084">
      <w:start w:val="1"/>
      <w:numFmt w:val="bullet"/>
      <w:lvlText w:val="&gt;"/>
      <w:lvlJc w:val="left"/>
      <w:pPr>
        <w:ind w:left="1856" w:hanging="360"/>
      </w:pPr>
      <w:rPr>
        <w:rFonts w:ascii="HelveticaNeueLT Std" w:hAnsi="HelveticaNeueLT Std" w:hint="default"/>
      </w:rPr>
    </w:lvl>
    <w:lvl w:ilvl="1" w:tplc="0C090003" w:tentative="1">
      <w:start w:val="1"/>
      <w:numFmt w:val="bullet"/>
      <w:lvlText w:val="o"/>
      <w:lvlJc w:val="left"/>
      <w:pPr>
        <w:ind w:left="2576" w:hanging="360"/>
      </w:pPr>
      <w:rPr>
        <w:rFonts w:ascii="Courier New" w:hAnsi="Courier New" w:cs="Courier New" w:hint="default"/>
      </w:rPr>
    </w:lvl>
    <w:lvl w:ilvl="2" w:tplc="0C090005" w:tentative="1">
      <w:start w:val="1"/>
      <w:numFmt w:val="bullet"/>
      <w:lvlText w:val=""/>
      <w:lvlJc w:val="left"/>
      <w:pPr>
        <w:ind w:left="3296" w:hanging="360"/>
      </w:pPr>
      <w:rPr>
        <w:rFonts w:ascii="Wingdings" w:hAnsi="Wingdings" w:hint="default"/>
      </w:rPr>
    </w:lvl>
    <w:lvl w:ilvl="3" w:tplc="0C090001" w:tentative="1">
      <w:start w:val="1"/>
      <w:numFmt w:val="bullet"/>
      <w:lvlText w:val=""/>
      <w:lvlJc w:val="left"/>
      <w:pPr>
        <w:ind w:left="4016" w:hanging="360"/>
      </w:pPr>
      <w:rPr>
        <w:rFonts w:ascii="Symbol" w:hAnsi="Symbol" w:hint="default"/>
      </w:rPr>
    </w:lvl>
    <w:lvl w:ilvl="4" w:tplc="0C090003" w:tentative="1">
      <w:start w:val="1"/>
      <w:numFmt w:val="bullet"/>
      <w:lvlText w:val="o"/>
      <w:lvlJc w:val="left"/>
      <w:pPr>
        <w:ind w:left="4736" w:hanging="360"/>
      </w:pPr>
      <w:rPr>
        <w:rFonts w:ascii="Courier New" w:hAnsi="Courier New" w:cs="Courier New" w:hint="default"/>
      </w:rPr>
    </w:lvl>
    <w:lvl w:ilvl="5" w:tplc="0C090005" w:tentative="1">
      <w:start w:val="1"/>
      <w:numFmt w:val="bullet"/>
      <w:lvlText w:val=""/>
      <w:lvlJc w:val="left"/>
      <w:pPr>
        <w:ind w:left="5456" w:hanging="360"/>
      </w:pPr>
      <w:rPr>
        <w:rFonts w:ascii="Wingdings" w:hAnsi="Wingdings" w:hint="default"/>
      </w:rPr>
    </w:lvl>
    <w:lvl w:ilvl="6" w:tplc="0C090001" w:tentative="1">
      <w:start w:val="1"/>
      <w:numFmt w:val="bullet"/>
      <w:lvlText w:val=""/>
      <w:lvlJc w:val="left"/>
      <w:pPr>
        <w:ind w:left="6176" w:hanging="360"/>
      </w:pPr>
      <w:rPr>
        <w:rFonts w:ascii="Symbol" w:hAnsi="Symbol" w:hint="default"/>
      </w:rPr>
    </w:lvl>
    <w:lvl w:ilvl="7" w:tplc="0C090003" w:tentative="1">
      <w:start w:val="1"/>
      <w:numFmt w:val="bullet"/>
      <w:lvlText w:val="o"/>
      <w:lvlJc w:val="left"/>
      <w:pPr>
        <w:ind w:left="6896" w:hanging="360"/>
      </w:pPr>
      <w:rPr>
        <w:rFonts w:ascii="Courier New" w:hAnsi="Courier New" w:cs="Courier New" w:hint="default"/>
      </w:rPr>
    </w:lvl>
    <w:lvl w:ilvl="8" w:tplc="0C090005" w:tentative="1">
      <w:start w:val="1"/>
      <w:numFmt w:val="bullet"/>
      <w:lvlText w:val=""/>
      <w:lvlJc w:val="left"/>
      <w:pPr>
        <w:ind w:left="7616" w:hanging="360"/>
      </w:pPr>
      <w:rPr>
        <w:rFonts w:ascii="Wingdings" w:hAnsi="Wingdings" w:hint="default"/>
      </w:rPr>
    </w:lvl>
  </w:abstractNum>
  <w:abstractNum w:abstractNumId="62" w15:restartNumberingAfterBreak="0">
    <w:nsid w:val="55AA21F0"/>
    <w:multiLevelType w:val="hybridMultilevel"/>
    <w:tmpl w:val="06AC6452"/>
    <w:lvl w:ilvl="0" w:tplc="075A84B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3" w15:restartNumberingAfterBreak="0">
    <w:nsid w:val="55CB1130"/>
    <w:multiLevelType w:val="hybridMultilevel"/>
    <w:tmpl w:val="FEF21BDC"/>
    <w:lvl w:ilvl="0" w:tplc="32425C04">
      <w:numFmt w:val="bullet"/>
      <w:lvlText w:val="-"/>
      <w:lvlJc w:val="left"/>
      <w:pPr>
        <w:ind w:left="720" w:hanging="360"/>
      </w:pPr>
      <w:rPr>
        <w:rFonts w:ascii="Arial" w:eastAsia="Times New Roman" w:hAnsi="Arial" w:cs="Arial"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4" w15:restartNumberingAfterBreak="0">
    <w:nsid w:val="560B1D22"/>
    <w:multiLevelType w:val="hybridMultilevel"/>
    <w:tmpl w:val="B07C1104"/>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5" w15:restartNumberingAfterBreak="0">
    <w:nsid w:val="575230A5"/>
    <w:multiLevelType w:val="hybridMultilevel"/>
    <w:tmpl w:val="9D9031B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6" w15:restartNumberingAfterBreak="0">
    <w:nsid w:val="57DB45EA"/>
    <w:multiLevelType w:val="hybridMultilevel"/>
    <w:tmpl w:val="EFC8855E"/>
    <w:lvl w:ilvl="0" w:tplc="32425C04">
      <w:numFmt w:val="bullet"/>
      <w:lvlText w:val="-"/>
      <w:lvlJc w:val="left"/>
      <w:pPr>
        <w:ind w:left="720" w:hanging="360"/>
      </w:pPr>
      <w:rPr>
        <w:rFonts w:ascii="Arial" w:eastAsia="Times New Roman" w:hAnsi="Arial" w:cs="Arial" w:hint="default"/>
        <w:b w:val="0"/>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7" w15:restartNumberingAfterBreak="0">
    <w:nsid w:val="5A523DCA"/>
    <w:multiLevelType w:val="hybridMultilevel"/>
    <w:tmpl w:val="710EC358"/>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8" w15:restartNumberingAfterBreak="0">
    <w:nsid w:val="5A5F2668"/>
    <w:multiLevelType w:val="hybridMultilevel"/>
    <w:tmpl w:val="166C979C"/>
    <w:lvl w:ilvl="0" w:tplc="44EEC084">
      <w:start w:val="1"/>
      <w:numFmt w:val="bullet"/>
      <w:lvlText w:val="&gt;"/>
      <w:lvlJc w:val="left"/>
      <w:pPr>
        <w:ind w:left="720" w:hanging="360"/>
      </w:pPr>
      <w:rPr>
        <w:rFonts w:ascii="HelveticaNeueLT Std" w:hAnsi="HelveticaNeueLT Std" w:hint="default"/>
        <w:b w:val="0"/>
      </w:rPr>
    </w:lvl>
    <w:lvl w:ilvl="1" w:tplc="44EEC084">
      <w:start w:val="1"/>
      <w:numFmt w:val="bullet"/>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9" w15:restartNumberingAfterBreak="0">
    <w:nsid w:val="5B1A4D30"/>
    <w:multiLevelType w:val="hybridMultilevel"/>
    <w:tmpl w:val="E3861FE6"/>
    <w:lvl w:ilvl="0" w:tplc="44EEC084">
      <w:start w:val="1"/>
      <w:numFmt w:val="bullet"/>
      <w:lvlText w:val="&gt;"/>
      <w:lvlJc w:val="left"/>
      <w:pPr>
        <w:ind w:left="720" w:hanging="360"/>
      </w:pPr>
      <w:rPr>
        <w:rFonts w:ascii="HelveticaNeueLT Std" w:hAnsi="HelveticaNeueLT Std"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0" w15:restartNumberingAfterBreak="0">
    <w:nsid w:val="5C587546"/>
    <w:multiLevelType w:val="hybridMultilevel"/>
    <w:tmpl w:val="C35EA3E4"/>
    <w:lvl w:ilvl="0" w:tplc="44EEC084">
      <w:start w:val="1"/>
      <w:numFmt w:val="bullet"/>
      <w:lvlText w:val="&gt;"/>
      <w:lvlJc w:val="left"/>
      <w:pPr>
        <w:ind w:left="720" w:hanging="360"/>
      </w:pPr>
      <w:rPr>
        <w:rFonts w:ascii="HelveticaNeueLT Std" w:hAnsi="HelveticaNeueLT Std"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1" w15:restartNumberingAfterBreak="0">
    <w:nsid w:val="5FFB69F1"/>
    <w:multiLevelType w:val="hybridMultilevel"/>
    <w:tmpl w:val="02CCBDC2"/>
    <w:lvl w:ilvl="0" w:tplc="0C090003">
      <w:start w:val="1"/>
      <w:numFmt w:val="bullet"/>
      <w:lvlText w:val="o"/>
      <w:lvlJc w:val="left"/>
      <w:pPr>
        <w:ind w:left="1496" w:hanging="360"/>
      </w:pPr>
      <w:rPr>
        <w:rFonts w:ascii="Courier New" w:hAnsi="Courier New" w:cs="Courier New" w:hint="default"/>
      </w:rPr>
    </w:lvl>
    <w:lvl w:ilvl="1" w:tplc="0C090003" w:tentative="1">
      <w:start w:val="1"/>
      <w:numFmt w:val="bullet"/>
      <w:lvlText w:val="o"/>
      <w:lvlJc w:val="left"/>
      <w:pPr>
        <w:ind w:left="2216" w:hanging="360"/>
      </w:pPr>
      <w:rPr>
        <w:rFonts w:ascii="Courier New" w:hAnsi="Courier New" w:cs="Courier New" w:hint="default"/>
      </w:rPr>
    </w:lvl>
    <w:lvl w:ilvl="2" w:tplc="0C090005" w:tentative="1">
      <w:start w:val="1"/>
      <w:numFmt w:val="bullet"/>
      <w:lvlText w:val=""/>
      <w:lvlJc w:val="left"/>
      <w:pPr>
        <w:ind w:left="2936" w:hanging="360"/>
      </w:pPr>
      <w:rPr>
        <w:rFonts w:ascii="Wingdings" w:hAnsi="Wingdings" w:hint="default"/>
      </w:rPr>
    </w:lvl>
    <w:lvl w:ilvl="3" w:tplc="0C090001" w:tentative="1">
      <w:start w:val="1"/>
      <w:numFmt w:val="bullet"/>
      <w:lvlText w:val=""/>
      <w:lvlJc w:val="left"/>
      <w:pPr>
        <w:ind w:left="3656" w:hanging="360"/>
      </w:pPr>
      <w:rPr>
        <w:rFonts w:ascii="Symbol" w:hAnsi="Symbol" w:hint="default"/>
      </w:rPr>
    </w:lvl>
    <w:lvl w:ilvl="4" w:tplc="0C090003" w:tentative="1">
      <w:start w:val="1"/>
      <w:numFmt w:val="bullet"/>
      <w:lvlText w:val="o"/>
      <w:lvlJc w:val="left"/>
      <w:pPr>
        <w:ind w:left="4376" w:hanging="360"/>
      </w:pPr>
      <w:rPr>
        <w:rFonts w:ascii="Courier New" w:hAnsi="Courier New" w:cs="Courier New" w:hint="default"/>
      </w:rPr>
    </w:lvl>
    <w:lvl w:ilvl="5" w:tplc="0C090005" w:tentative="1">
      <w:start w:val="1"/>
      <w:numFmt w:val="bullet"/>
      <w:lvlText w:val=""/>
      <w:lvlJc w:val="left"/>
      <w:pPr>
        <w:ind w:left="5096" w:hanging="360"/>
      </w:pPr>
      <w:rPr>
        <w:rFonts w:ascii="Wingdings" w:hAnsi="Wingdings" w:hint="default"/>
      </w:rPr>
    </w:lvl>
    <w:lvl w:ilvl="6" w:tplc="0C090001" w:tentative="1">
      <w:start w:val="1"/>
      <w:numFmt w:val="bullet"/>
      <w:lvlText w:val=""/>
      <w:lvlJc w:val="left"/>
      <w:pPr>
        <w:ind w:left="5816" w:hanging="360"/>
      </w:pPr>
      <w:rPr>
        <w:rFonts w:ascii="Symbol" w:hAnsi="Symbol" w:hint="default"/>
      </w:rPr>
    </w:lvl>
    <w:lvl w:ilvl="7" w:tplc="0C090003" w:tentative="1">
      <w:start w:val="1"/>
      <w:numFmt w:val="bullet"/>
      <w:lvlText w:val="o"/>
      <w:lvlJc w:val="left"/>
      <w:pPr>
        <w:ind w:left="6536" w:hanging="360"/>
      </w:pPr>
      <w:rPr>
        <w:rFonts w:ascii="Courier New" w:hAnsi="Courier New" w:cs="Courier New" w:hint="default"/>
      </w:rPr>
    </w:lvl>
    <w:lvl w:ilvl="8" w:tplc="0C090005" w:tentative="1">
      <w:start w:val="1"/>
      <w:numFmt w:val="bullet"/>
      <w:lvlText w:val=""/>
      <w:lvlJc w:val="left"/>
      <w:pPr>
        <w:ind w:left="7256" w:hanging="360"/>
      </w:pPr>
      <w:rPr>
        <w:rFonts w:ascii="Wingdings" w:hAnsi="Wingdings" w:hint="default"/>
      </w:rPr>
    </w:lvl>
  </w:abstractNum>
  <w:abstractNum w:abstractNumId="72" w15:restartNumberingAfterBreak="0">
    <w:nsid w:val="6138793D"/>
    <w:multiLevelType w:val="hybridMultilevel"/>
    <w:tmpl w:val="BAC6F328"/>
    <w:lvl w:ilvl="0" w:tplc="44EEC084">
      <w:start w:val="1"/>
      <w:numFmt w:val="bullet"/>
      <w:lvlText w:val="&gt;"/>
      <w:lvlJc w:val="left"/>
      <w:pPr>
        <w:ind w:left="720" w:hanging="360"/>
      </w:pPr>
      <w:rPr>
        <w:rFonts w:ascii="HelveticaNeueLT Std" w:hAnsi="HelveticaNeueLT Std" w:hint="default"/>
        <w:b w:val="0"/>
      </w:rPr>
    </w:lvl>
    <w:lvl w:ilvl="1" w:tplc="44EEC084">
      <w:start w:val="1"/>
      <w:numFmt w:val="bullet"/>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3" w15:restartNumberingAfterBreak="0">
    <w:nsid w:val="62B17E8A"/>
    <w:multiLevelType w:val="hybridMultilevel"/>
    <w:tmpl w:val="828830A4"/>
    <w:lvl w:ilvl="0" w:tplc="44EEC084">
      <w:start w:val="1"/>
      <w:numFmt w:val="bullet"/>
      <w:lvlText w:val="&gt;"/>
      <w:lvlJc w:val="left"/>
      <w:pPr>
        <w:ind w:left="720" w:hanging="360"/>
      </w:pPr>
      <w:rPr>
        <w:rFonts w:ascii="HelveticaNeueLT Std" w:hAnsi="HelveticaNeueLT Std"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4"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5" w15:restartNumberingAfterBreak="0">
    <w:nsid w:val="645E2549"/>
    <w:multiLevelType w:val="hybridMultilevel"/>
    <w:tmpl w:val="1D302F28"/>
    <w:lvl w:ilvl="0" w:tplc="32425C04">
      <w:numFmt w:val="bullet"/>
      <w:lvlText w:val="-"/>
      <w:lvlJc w:val="left"/>
      <w:pPr>
        <w:ind w:left="720" w:hanging="360"/>
      </w:pPr>
      <w:rPr>
        <w:rFonts w:ascii="Arial" w:eastAsia="Times New Roman" w:hAnsi="Arial" w:cs="Arial"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6" w15:restartNumberingAfterBreak="0">
    <w:nsid w:val="64EA3BC1"/>
    <w:multiLevelType w:val="hybridMultilevel"/>
    <w:tmpl w:val="5A90E3CA"/>
    <w:lvl w:ilvl="0" w:tplc="0C090001">
      <w:start w:val="1"/>
      <w:numFmt w:val="bullet"/>
      <w:lvlText w:val=""/>
      <w:lvlJc w:val="left"/>
      <w:pPr>
        <w:ind w:left="1021" w:hanging="360"/>
      </w:pPr>
      <w:rPr>
        <w:rFonts w:ascii="Symbol" w:hAnsi="Symbol" w:hint="default"/>
      </w:rPr>
    </w:lvl>
    <w:lvl w:ilvl="1" w:tplc="0C090003" w:tentative="1">
      <w:start w:val="1"/>
      <w:numFmt w:val="bullet"/>
      <w:lvlText w:val="o"/>
      <w:lvlJc w:val="left"/>
      <w:pPr>
        <w:ind w:left="1741" w:hanging="360"/>
      </w:pPr>
      <w:rPr>
        <w:rFonts w:ascii="Courier New" w:hAnsi="Courier New" w:cs="Courier New" w:hint="default"/>
      </w:rPr>
    </w:lvl>
    <w:lvl w:ilvl="2" w:tplc="0C090005" w:tentative="1">
      <w:start w:val="1"/>
      <w:numFmt w:val="bullet"/>
      <w:lvlText w:val=""/>
      <w:lvlJc w:val="left"/>
      <w:pPr>
        <w:ind w:left="2461" w:hanging="360"/>
      </w:pPr>
      <w:rPr>
        <w:rFonts w:ascii="Wingdings" w:hAnsi="Wingdings" w:hint="default"/>
      </w:rPr>
    </w:lvl>
    <w:lvl w:ilvl="3" w:tplc="0C090001" w:tentative="1">
      <w:start w:val="1"/>
      <w:numFmt w:val="bullet"/>
      <w:lvlText w:val=""/>
      <w:lvlJc w:val="left"/>
      <w:pPr>
        <w:ind w:left="3181" w:hanging="360"/>
      </w:pPr>
      <w:rPr>
        <w:rFonts w:ascii="Symbol" w:hAnsi="Symbol" w:hint="default"/>
      </w:rPr>
    </w:lvl>
    <w:lvl w:ilvl="4" w:tplc="0C090003" w:tentative="1">
      <w:start w:val="1"/>
      <w:numFmt w:val="bullet"/>
      <w:lvlText w:val="o"/>
      <w:lvlJc w:val="left"/>
      <w:pPr>
        <w:ind w:left="3901" w:hanging="360"/>
      </w:pPr>
      <w:rPr>
        <w:rFonts w:ascii="Courier New" w:hAnsi="Courier New" w:cs="Courier New" w:hint="default"/>
      </w:rPr>
    </w:lvl>
    <w:lvl w:ilvl="5" w:tplc="0C090005" w:tentative="1">
      <w:start w:val="1"/>
      <w:numFmt w:val="bullet"/>
      <w:lvlText w:val=""/>
      <w:lvlJc w:val="left"/>
      <w:pPr>
        <w:ind w:left="4621" w:hanging="360"/>
      </w:pPr>
      <w:rPr>
        <w:rFonts w:ascii="Wingdings" w:hAnsi="Wingdings" w:hint="default"/>
      </w:rPr>
    </w:lvl>
    <w:lvl w:ilvl="6" w:tplc="0C090001" w:tentative="1">
      <w:start w:val="1"/>
      <w:numFmt w:val="bullet"/>
      <w:lvlText w:val=""/>
      <w:lvlJc w:val="left"/>
      <w:pPr>
        <w:ind w:left="5341" w:hanging="360"/>
      </w:pPr>
      <w:rPr>
        <w:rFonts w:ascii="Symbol" w:hAnsi="Symbol" w:hint="default"/>
      </w:rPr>
    </w:lvl>
    <w:lvl w:ilvl="7" w:tplc="0C090003" w:tentative="1">
      <w:start w:val="1"/>
      <w:numFmt w:val="bullet"/>
      <w:lvlText w:val="o"/>
      <w:lvlJc w:val="left"/>
      <w:pPr>
        <w:ind w:left="6061" w:hanging="360"/>
      </w:pPr>
      <w:rPr>
        <w:rFonts w:ascii="Courier New" w:hAnsi="Courier New" w:cs="Courier New" w:hint="default"/>
      </w:rPr>
    </w:lvl>
    <w:lvl w:ilvl="8" w:tplc="0C090005" w:tentative="1">
      <w:start w:val="1"/>
      <w:numFmt w:val="bullet"/>
      <w:lvlText w:val=""/>
      <w:lvlJc w:val="left"/>
      <w:pPr>
        <w:ind w:left="6781" w:hanging="360"/>
      </w:pPr>
      <w:rPr>
        <w:rFonts w:ascii="Wingdings" w:hAnsi="Wingdings" w:hint="default"/>
      </w:rPr>
    </w:lvl>
  </w:abstractNum>
  <w:abstractNum w:abstractNumId="77" w15:restartNumberingAfterBreak="0">
    <w:nsid w:val="65071478"/>
    <w:multiLevelType w:val="hybridMultilevel"/>
    <w:tmpl w:val="4560EABA"/>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8" w15:restartNumberingAfterBreak="0">
    <w:nsid w:val="68C35DD3"/>
    <w:multiLevelType w:val="hybridMultilevel"/>
    <w:tmpl w:val="6E0EA996"/>
    <w:lvl w:ilvl="0" w:tplc="44EEC084">
      <w:start w:val="1"/>
      <w:numFmt w:val="bullet"/>
      <w:lvlText w:val="&gt;"/>
      <w:lvlJc w:val="left"/>
      <w:pPr>
        <w:ind w:left="720" w:hanging="360"/>
      </w:pPr>
      <w:rPr>
        <w:rFonts w:ascii="HelveticaNeueLT Std" w:hAnsi="HelveticaNeueLT Std"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9" w15:restartNumberingAfterBreak="0">
    <w:nsid w:val="6C0B2471"/>
    <w:multiLevelType w:val="hybridMultilevel"/>
    <w:tmpl w:val="741E214E"/>
    <w:lvl w:ilvl="0" w:tplc="44EEC084">
      <w:start w:val="1"/>
      <w:numFmt w:val="bullet"/>
      <w:lvlText w:val="&gt;"/>
      <w:lvlJc w:val="left"/>
      <w:pPr>
        <w:ind w:left="1496" w:hanging="360"/>
      </w:pPr>
      <w:rPr>
        <w:rFonts w:ascii="HelveticaNeueLT Std" w:hAnsi="HelveticaNeueLT Std" w:hint="default"/>
        <w:b w:val="0"/>
      </w:rPr>
    </w:lvl>
    <w:lvl w:ilvl="1" w:tplc="0C090003" w:tentative="1">
      <w:start w:val="1"/>
      <w:numFmt w:val="bullet"/>
      <w:lvlText w:val="o"/>
      <w:lvlJc w:val="left"/>
      <w:pPr>
        <w:ind w:left="2216" w:hanging="360"/>
      </w:pPr>
      <w:rPr>
        <w:rFonts w:ascii="Courier New" w:hAnsi="Courier New" w:cs="Courier New" w:hint="default"/>
      </w:rPr>
    </w:lvl>
    <w:lvl w:ilvl="2" w:tplc="0C090005" w:tentative="1">
      <w:start w:val="1"/>
      <w:numFmt w:val="bullet"/>
      <w:lvlText w:val=""/>
      <w:lvlJc w:val="left"/>
      <w:pPr>
        <w:ind w:left="2936" w:hanging="360"/>
      </w:pPr>
      <w:rPr>
        <w:rFonts w:ascii="Wingdings" w:hAnsi="Wingdings" w:hint="default"/>
      </w:rPr>
    </w:lvl>
    <w:lvl w:ilvl="3" w:tplc="0C090001" w:tentative="1">
      <w:start w:val="1"/>
      <w:numFmt w:val="bullet"/>
      <w:lvlText w:val=""/>
      <w:lvlJc w:val="left"/>
      <w:pPr>
        <w:ind w:left="3656" w:hanging="360"/>
      </w:pPr>
      <w:rPr>
        <w:rFonts w:ascii="Symbol" w:hAnsi="Symbol" w:hint="default"/>
      </w:rPr>
    </w:lvl>
    <w:lvl w:ilvl="4" w:tplc="0C090003" w:tentative="1">
      <w:start w:val="1"/>
      <w:numFmt w:val="bullet"/>
      <w:lvlText w:val="o"/>
      <w:lvlJc w:val="left"/>
      <w:pPr>
        <w:ind w:left="4376" w:hanging="360"/>
      </w:pPr>
      <w:rPr>
        <w:rFonts w:ascii="Courier New" w:hAnsi="Courier New" w:cs="Courier New" w:hint="default"/>
      </w:rPr>
    </w:lvl>
    <w:lvl w:ilvl="5" w:tplc="0C090005" w:tentative="1">
      <w:start w:val="1"/>
      <w:numFmt w:val="bullet"/>
      <w:lvlText w:val=""/>
      <w:lvlJc w:val="left"/>
      <w:pPr>
        <w:ind w:left="5096" w:hanging="360"/>
      </w:pPr>
      <w:rPr>
        <w:rFonts w:ascii="Wingdings" w:hAnsi="Wingdings" w:hint="default"/>
      </w:rPr>
    </w:lvl>
    <w:lvl w:ilvl="6" w:tplc="0C090001" w:tentative="1">
      <w:start w:val="1"/>
      <w:numFmt w:val="bullet"/>
      <w:lvlText w:val=""/>
      <w:lvlJc w:val="left"/>
      <w:pPr>
        <w:ind w:left="5816" w:hanging="360"/>
      </w:pPr>
      <w:rPr>
        <w:rFonts w:ascii="Symbol" w:hAnsi="Symbol" w:hint="default"/>
      </w:rPr>
    </w:lvl>
    <w:lvl w:ilvl="7" w:tplc="0C090003" w:tentative="1">
      <w:start w:val="1"/>
      <w:numFmt w:val="bullet"/>
      <w:lvlText w:val="o"/>
      <w:lvlJc w:val="left"/>
      <w:pPr>
        <w:ind w:left="6536" w:hanging="360"/>
      </w:pPr>
      <w:rPr>
        <w:rFonts w:ascii="Courier New" w:hAnsi="Courier New" w:cs="Courier New" w:hint="default"/>
      </w:rPr>
    </w:lvl>
    <w:lvl w:ilvl="8" w:tplc="0C090005" w:tentative="1">
      <w:start w:val="1"/>
      <w:numFmt w:val="bullet"/>
      <w:lvlText w:val=""/>
      <w:lvlJc w:val="left"/>
      <w:pPr>
        <w:ind w:left="7256" w:hanging="360"/>
      </w:pPr>
      <w:rPr>
        <w:rFonts w:ascii="Wingdings" w:hAnsi="Wingdings" w:hint="default"/>
      </w:rPr>
    </w:lvl>
  </w:abstractNum>
  <w:abstractNum w:abstractNumId="80"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1" w15:restartNumberingAfterBreak="0">
    <w:nsid w:val="6E5D4296"/>
    <w:multiLevelType w:val="multilevel"/>
    <w:tmpl w:val="79926372"/>
    <w:lvl w:ilvl="0">
      <w:start w:val="1"/>
      <w:numFmt w:val="decimal"/>
      <w:lvlText w:val="%1."/>
      <w:lvlJc w:val="left"/>
      <w:pPr>
        <w:tabs>
          <w:tab w:val="num" w:pos="360"/>
        </w:tabs>
        <w:ind w:left="360" w:hanging="360"/>
      </w:pPr>
      <w:rPr>
        <w:rFonts w:hint="default"/>
        <w:sz w:val="20"/>
      </w:rPr>
    </w:lvl>
    <w:lvl w:ilvl="1">
      <w:start w:val="1"/>
      <w:numFmt w:val="decimal"/>
      <w:lvlText w:val="%2."/>
      <w:lvlJc w:val="left"/>
      <w:pPr>
        <w:ind w:left="1080" w:hanging="36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82" w15:restartNumberingAfterBreak="0">
    <w:nsid w:val="6F5139FD"/>
    <w:multiLevelType w:val="hybridMultilevel"/>
    <w:tmpl w:val="D0B690CE"/>
    <w:lvl w:ilvl="0" w:tplc="B61CC4E6">
      <w:numFmt w:val="bullet"/>
      <w:lvlText w:val="-"/>
      <w:lvlJc w:val="left"/>
      <w:pPr>
        <w:ind w:left="360" w:hanging="360"/>
      </w:pPr>
      <w:rPr>
        <w:rFonts w:ascii="Arial" w:eastAsiaTheme="minorHAnsi" w:hAnsi="Arial" w:cs="Arial" w:hint="default"/>
      </w:rPr>
    </w:lvl>
    <w:lvl w:ilvl="1" w:tplc="07521F90">
      <w:start w:val="1"/>
      <w:numFmt w:val="bullet"/>
      <w:lvlText w:val=""/>
      <w:lvlJc w:val="left"/>
      <w:pPr>
        <w:ind w:left="1080" w:hanging="360"/>
      </w:pPr>
      <w:rPr>
        <w:rFonts w:ascii="Symbol" w:hAnsi="Symbol"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83" w15:restartNumberingAfterBreak="0">
    <w:nsid w:val="71870A6D"/>
    <w:multiLevelType w:val="hybridMultilevel"/>
    <w:tmpl w:val="346C9DCA"/>
    <w:lvl w:ilvl="0" w:tplc="44EEC084">
      <w:start w:val="1"/>
      <w:numFmt w:val="bullet"/>
      <w:lvlText w:val="&gt;"/>
      <w:lvlJc w:val="left"/>
      <w:pPr>
        <w:ind w:left="720" w:hanging="360"/>
      </w:pPr>
      <w:rPr>
        <w:rFonts w:ascii="HelveticaNeueLT Std" w:hAnsi="HelveticaNeueLT Std"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4" w15:restartNumberingAfterBreak="0">
    <w:nsid w:val="720A42FA"/>
    <w:multiLevelType w:val="hybridMultilevel"/>
    <w:tmpl w:val="D57ED76E"/>
    <w:lvl w:ilvl="0" w:tplc="44EEC084">
      <w:start w:val="1"/>
      <w:numFmt w:val="bullet"/>
      <w:lvlText w:val="&gt;"/>
      <w:lvlJc w:val="left"/>
      <w:pPr>
        <w:ind w:left="720" w:hanging="360"/>
      </w:pPr>
      <w:rPr>
        <w:rFonts w:ascii="HelveticaNeueLT Std" w:hAnsi="HelveticaNeueLT Std"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5" w15:restartNumberingAfterBreak="0">
    <w:nsid w:val="7302567F"/>
    <w:multiLevelType w:val="hybridMultilevel"/>
    <w:tmpl w:val="254C5E8A"/>
    <w:lvl w:ilvl="0" w:tplc="44EEC084">
      <w:start w:val="1"/>
      <w:numFmt w:val="bullet"/>
      <w:lvlText w:val="&gt;"/>
      <w:lvlJc w:val="left"/>
      <w:pPr>
        <w:ind w:left="720" w:hanging="360"/>
      </w:pPr>
      <w:rPr>
        <w:rFonts w:ascii="HelveticaNeueLT Std" w:hAnsi="HelveticaNeueLT Std"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6" w15:restartNumberingAfterBreak="0">
    <w:nsid w:val="733163CF"/>
    <w:multiLevelType w:val="hybridMultilevel"/>
    <w:tmpl w:val="72745BE8"/>
    <w:lvl w:ilvl="0" w:tplc="44EEC084">
      <w:start w:val="1"/>
      <w:numFmt w:val="bullet"/>
      <w:lvlText w:val="&gt;"/>
      <w:lvlJc w:val="left"/>
      <w:pPr>
        <w:ind w:left="1015" w:hanging="360"/>
      </w:pPr>
      <w:rPr>
        <w:rFonts w:ascii="HelveticaNeueLT Std" w:hAnsi="HelveticaNeueLT Std" w:hint="default"/>
        <w:b w:val="0"/>
      </w:rPr>
    </w:lvl>
    <w:lvl w:ilvl="1" w:tplc="0C090003" w:tentative="1">
      <w:start w:val="1"/>
      <w:numFmt w:val="bullet"/>
      <w:lvlText w:val="o"/>
      <w:lvlJc w:val="left"/>
      <w:pPr>
        <w:ind w:left="1735" w:hanging="360"/>
      </w:pPr>
      <w:rPr>
        <w:rFonts w:ascii="Courier New" w:hAnsi="Courier New" w:cs="Courier New" w:hint="default"/>
      </w:rPr>
    </w:lvl>
    <w:lvl w:ilvl="2" w:tplc="0C090005" w:tentative="1">
      <w:start w:val="1"/>
      <w:numFmt w:val="bullet"/>
      <w:lvlText w:val=""/>
      <w:lvlJc w:val="left"/>
      <w:pPr>
        <w:ind w:left="2455" w:hanging="360"/>
      </w:pPr>
      <w:rPr>
        <w:rFonts w:ascii="Wingdings" w:hAnsi="Wingdings" w:hint="default"/>
      </w:rPr>
    </w:lvl>
    <w:lvl w:ilvl="3" w:tplc="0C090001" w:tentative="1">
      <w:start w:val="1"/>
      <w:numFmt w:val="bullet"/>
      <w:lvlText w:val=""/>
      <w:lvlJc w:val="left"/>
      <w:pPr>
        <w:ind w:left="3175" w:hanging="360"/>
      </w:pPr>
      <w:rPr>
        <w:rFonts w:ascii="Symbol" w:hAnsi="Symbol" w:hint="default"/>
      </w:rPr>
    </w:lvl>
    <w:lvl w:ilvl="4" w:tplc="0C090003" w:tentative="1">
      <w:start w:val="1"/>
      <w:numFmt w:val="bullet"/>
      <w:lvlText w:val="o"/>
      <w:lvlJc w:val="left"/>
      <w:pPr>
        <w:ind w:left="3895" w:hanging="360"/>
      </w:pPr>
      <w:rPr>
        <w:rFonts w:ascii="Courier New" w:hAnsi="Courier New" w:cs="Courier New" w:hint="default"/>
      </w:rPr>
    </w:lvl>
    <w:lvl w:ilvl="5" w:tplc="0C090005" w:tentative="1">
      <w:start w:val="1"/>
      <w:numFmt w:val="bullet"/>
      <w:lvlText w:val=""/>
      <w:lvlJc w:val="left"/>
      <w:pPr>
        <w:ind w:left="4615" w:hanging="360"/>
      </w:pPr>
      <w:rPr>
        <w:rFonts w:ascii="Wingdings" w:hAnsi="Wingdings" w:hint="default"/>
      </w:rPr>
    </w:lvl>
    <w:lvl w:ilvl="6" w:tplc="0C090001" w:tentative="1">
      <w:start w:val="1"/>
      <w:numFmt w:val="bullet"/>
      <w:lvlText w:val=""/>
      <w:lvlJc w:val="left"/>
      <w:pPr>
        <w:ind w:left="5335" w:hanging="360"/>
      </w:pPr>
      <w:rPr>
        <w:rFonts w:ascii="Symbol" w:hAnsi="Symbol" w:hint="default"/>
      </w:rPr>
    </w:lvl>
    <w:lvl w:ilvl="7" w:tplc="0C090003" w:tentative="1">
      <w:start w:val="1"/>
      <w:numFmt w:val="bullet"/>
      <w:lvlText w:val="o"/>
      <w:lvlJc w:val="left"/>
      <w:pPr>
        <w:ind w:left="6055" w:hanging="360"/>
      </w:pPr>
      <w:rPr>
        <w:rFonts w:ascii="Courier New" w:hAnsi="Courier New" w:cs="Courier New" w:hint="default"/>
      </w:rPr>
    </w:lvl>
    <w:lvl w:ilvl="8" w:tplc="0C090005" w:tentative="1">
      <w:start w:val="1"/>
      <w:numFmt w:val="bullet"/>
      <w:lvlText w:val=""/>
      <w:lvlJc w:val="left"/>
      <w:pPr>
        <w:ind w:left="6775" w:hanging="360"/>
      </w:pPr>
      <w:rPr>
        <w:rFonts w:ascii="Wingdings" w:hAnsi="Wingdings" w:hint="default"/>
      </w:rPr>
    </w:lvl>
  </w:abstractNum>
  <w:abstractNum w:abstractNumId="87" w15:restartNumberingAfterBreak="0">
    <w:nsid w:val="73F439BF"/>
    <w:multiLevelType w:val="hybridMultilevel"/>
    <w:tmpl w:val="357EA09C"/>
    <w:lvl w:ilvl="0" w:tplc="32425C04">
      <w:numFmt w:val="bullet"/>
      <w:lvlText w:val="-"/>
      <w:lvlJc w:val="left"/>
      <w:pPr>
        <w:ind w:left="720" w:hanging="360"/>
      </w:pPr>
      <w:rPr>
        <w:rFonts w:ascii="Arial" w:eastAsia="Times New Roman" w:hAnsi="Arial" w:cs="Arial"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8" w15:restartNumberingAfterBreak="0">
    <w:nsid w:val="74CC0683"/>
    <w:multiLevelType w:val="hybridMultilevel"/>
    <w:tmpl w:val="432664B4"/>
    <w:lvl w:ilvl="0" w:tplc="44EEC084">
      <w:start w:val="1"/>
      <w:numFmt w:val="bullet"/>
      <w:lvlText w:val="&gt;"/>
      <w:lvlJc w:val="left"/>
      <w:pPr>
        <w:ind w:left="720" w:hanging="360"/>
      </w:pPr>
      <w:rPr>
        <w:rFonts w:ascii="HelveticaNeueLT Std" w:hAnsi="HelveticaNeueLT Std" w:hint="default"/>
        <w:b w:val="0"/>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9" w15:restartNumberingAfterBreak="0">
    <w:nsid w:val="757B44AF"/>
    <w:multiLevelType w:val="hybridMultilevel"/>
    <w:tmpl w:val="70FE1872"/>
    <w:lvl w:ilvl="0" w:tplc="44EEC084">
      <w:start w:val="1"/>
      <w:numFmt w:val="bullet"/>
      <w:lvlText w:val="&gt;"/>
      <w:lvlJc w:val="left"/>
      <w:pPr>
        <w:ind w:left="720" w:hanging="360"/>
      </w:pPr>
      <w:rPr>
        <w:rFonts w:ascii="HelveticaNeueLT Std" w:hAnsi="HelveticaNeueLT Std"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0" w15:restartNumberingAfterBreak="0">
    <w:nsid w:val="76A4427F"/>
    <w:multiLevelType w:val="hybridMultilevel"/>
    <w:tmpl w:val="A30EFBC6"/>
    <w:lvl w:ilvl="0" w:tplc="32425C04">
      <w:numFmt w:val="bullet"/>
      <w:lvlText w:val="-"/>
      <w:lvlJc w:val="left"/>
      <w:pPr>
        <w:ind w:left="720" w:hanging="360"/>
      </w:pPr>
      <w:rPr>
        <w:rFonts w:ascii="Arial" w:eastAsia="Times New Roman" w:hAnsi="Arial" w:cs="Arial"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1" w15:restartNumberingAfterBreak="0">
    <w:nsid w:val="77985DF7"/>
    <w:multiLevelType w:val="hybridMultilevel"/>
    <w:tmpl w:val="2FB0ED64"/>
    <w:lvl w:ilvl="0" w:tplc="32425C04">
      <w:numFmt w:val="bullet"/>
      <w:lvlText w:val="-"/>
      <w:lvlJc w:val="left"/>
      <w:pPr>
        <w:ind w:left="720" w:hanging="360"/>
      </w:pPr>
      <w:rPr>
        <w:rFonts w:ascii="Arial" w:eastAsia="Times New Roman" w:hAnsi="Arial" w:cs="Arial"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2" w15:restartNumberingAfterBreak="0">
    <w:nsid w:val="78B5155A"/>
    <w:multiLevelType w:val="hybridMultilevel"/>
    <w:tmpl w:val="80D4B1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3" w15:restartNumberingAfterBreak="0">
    <w:nsid w:val="7A44562F"/>
    <w:multiLevelType w:val="hybridMultilevel"/>
    <w:tmpl w:val="16762FB0"/>
    <w:lvl w:ilvl="0" w:tplc="32425C04">
      <w:numFmt w:val="bullet"/>
      <w:lvlText w:val="-"/>
      <w:lvlJc w:val="left"/>
      <w:pPr>
        <w:ind w:left="720" w:hanging="360"/>
      </w:pPr>
      <w:rPr>
        <w:rFonts w:ascii="Arial" w:eastAsia="Times New Roman" w:hAnsi="Arial" w:cs="Arial"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4" w15:restartNumberingAfterBreak="0">
    <w:nsid w:val="7AA8592D"/>
    <w:multiLevelType w:val="hybridMultilevel"/>
    <w:tmpl w:val="DA4C2314"/>
    <w:lvl w:ilvl="0" w:tplc="32425C04">
      <w:numFmt w:val="bullet"/>
      <w:lvlText w:val="-"/>
      <w:lvlJc w:val="left"/>
      <w:pPr>
        <w:ind w:left="720" w:hanging="360"/>
      </w:pPr>
      <w:rPr>
        <w:rFonts w:ascii="Arial" w:eastAsia="Times New Roman" w:hAnsi="Arial" w:cs="Arial"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5" w15:restartNumberingAfterBreak="0">
    <w:nsid w:val="7ADA5C49"/>
    <w:multiLevelType w:val="hybridMultilevel"/>
    <w:tmpl w:val="519431B4"/>
    <w:lvl w:ilvl="0" w:tplc="32425C04">
      <w:numFmt w:val="bullet"/>
      <w:lvlText w:val="-"/>
      <w:lvlJc w:val="left"/>
      <w:pPr>
        <w:ind w:left="720" w:hanging="360"/>
      </w:pPr>
      <w:rPr>
        <w:rFonts w:ascii="Arial" w:eastAsia="Times New Roman" w:hAnsi="Arial" w:cs="Arial"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6" w15:restartNumberingAfterBreak="0">
    <w:nsid w:val="7B6B1E3F"/>
    <w:multiLevelType w:val="hybridMultilevel"/>
    <w:tmpl w:val="193C5F88"/>
    <w:lvl w:ilvl="0" w:tplc="44EEC084">
      <w:start w:val="1"/>
      <w:numFmt w:val="bullet"/>
      <w:lvlText w:val="&gt;"/>
      <w:lvlJc w:val="left"/>
      <w:pPr>
        <w:ind w:left="825" w:hanging="360"/>
      </w:pPr>
      <w:rPr>
        <w:rFonts w:ascii="HelveticaNeueLT Std" w:hAnsi="HelveticaNeueLT Std" w:hint="default"/>
      </w:rPr>
    </w:lvl>
    <w:lvl w:ilvl="1" w:tplc="0C090003" w:tentative="1">
      <w:start w:val="1"/>
      <w:numFmt w:val="bullet"/>
      <w:lvlText w:val="o"/>
      <w:lvlJc w:val="left"/>
      <w:pPr>
        <w:ind w:left="1545" w:hanging="360"/>
      </w:pPr>
      <w:rPr>
        <w:rFonts w:ascii="Courier New" w:hAnsi="Courier New" w:cs="Courier New" w:hint="default"/>
      </w:rPr>
    </w:lvl>
    <w:lvl w:ilvl="2" w:tplc="0C090005" w:tentative="1">
      <w:start w:val="1"/>
      <w:numFmt w:val="bullet"/>
      <w:lvlText w:val=""/>
      <w:lvlJc w:val="left"/>
      <w:pPr>
        <w:ind w:left="2265" w:hanging="360"/>
      </w:pPr>
      <w:rPr>
        <w:rFonts w:ascii="Wingdings" w:hAnsi="Wingdings" w:hint="default"/>
      </w:rPr>
    </w:lvl>
    <w:lvl w:ilvl="3" w:tplc="0C090001" w:tentative="1">
      <w:start w:val="1"/>
      <w:numFmt w:val="bullet"/>
      <w:lvlText w:val=""/>
      <w:lvlJc w:val="left"/>
      <w:pPr>
        <w:ind w:left="2985" w:hanging="360"/>
      </w:pPr>
      <w:rPr>
        <w:rFonts w:ascii="Symbol" w:hAnsi="Symbol" w:hint="default"/>
      </w:rPr>
    </w:lvl>
    <w:lvl w:ilvl="4" w:tplc="0C090003" w:tentative="1">
      <w:start w:val="1"/>
      <w:numFmt w:val="bullet"/>
      <w:lvlText w:val="o"/>
      <w:lvlJc w:val="left"/>
      <w:pPr>
        <w:ind w:left="3705" w:hanging="360"/>
      </w:pPr>
      <w:rPr>
        <w:rFonts w:ascii="Courier New" w:hAnsi="Courier New" w:cs="Courier New" w:hint="default"/>
      </w:rPr>
    </w:lvl>
    <w:lvl w:ilvl="5" w:tplc="0C090005" w:tentative="1">
      <w:start w:val="1"/>
      <w:numFmt w:val="bullet"/>
      <w:lvlText w:val=""/>
      <w:lvlJc w:val="left"/>
      <w:pPr>
        <w:ind w:left="4425" w:hanging="360"/>
      </w:pPr>
      <w:rPr>
        <w:rFonts w:ascii="Wingdings" w:hAnsi="Wingdings" w:hint="default"/>
      </w:rPr>
    </w:lvl>
    <w:lvl w:ilvl="6" w:tplc="0C090001" w:tentative="1">
      <w:start w:val="1"/>
      <w:numFmt w:val="bullet"/>
      <w:lvlText w:val=""/>
      <w:lvlJc w:val="left"/>
      <w:pPr>
        <w:ind w:left="5145" w:hanging="360"/>
      </w:pPr>
      <w:rPr>
        <w:rFonts w:ascii="Symbol" w:hAnsi="Symbol" w:hint="default"/>
      </w:rPr>
    </w:lvl>
    <w:lvl w:ilvl="7" w:tplc="0C090003" w:tentative="1">
      <w:start w:val="1"/>
      <w:numFmt w:val="bullet"/>
      <w:lvlText w:val="o"/>
      <w:lvlJc w:val="left"/>
      <w:pPr>
        <w:ind w:left="5865" w:hanging="360"/>
      </w:pPr>
      <w:rPr>
        <w:rFonts w:ascii="Courier New" w:hAnsi="Courier New" w:cs="Courier New" w:hint="default"/>
      </w:rPr>
    </w:lvl>
    <w:lvl w:ilvl="8" w:tplc="0C090005" w:tentative="1">
      <w:start w:val="1"/>
      <w:numFmt w:val="bullet"/>
      <w:lvlText w:val=""/>
      <w:lvlJc w:val="left"/>
      <w:pPr>
        <w:ind w:left="6585" w:hanging="360"/>
      </w:pPr>
      <w:rPr>
        <w:rFonts w:ascii="Wingdings" w:hAnsi="Wingdings" w:hint="default"/>
      </w:rPr>
    </w:lvl>
  </w:abstractNum>
  <w:abstractNum w:abstractNumId="97" w15:restartNumberingAfterBreak="0">
    <w:nsid w:val="7BEF63A6"/>
    <w:multiLevelType w:val="hybridMultilevel"/>
    <w:tmpl w:val="37900504"/>
    <w:lvl w:ilvl="0" w:tplc="44EEC084">
      <w:start w:val="1"/>
      <w:numFmt w:val="bullet"/>
      <w:lvlText w:val="&gt;"/>
      <w:lvlJc w:val="left"/>
      <w:pPr>
        <w:ind w:left="720" w:hanging="360"/>
      </w:pPr>
      <w:rPr>
        <w:rFonts w:ascii="HelveticaNeueLT Std" w:hAnsi="HelveticaNeueLT Std" w:hint="default"/>
        <w:b w:val="0"/>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8" w15:restartNumberingAfterBreak="0">
    <w:nsid w:val="7CF75598"/>
    <w:multiLevelType w:val="hybridMultilevel"/>
    <w:tmpl w:val="D116B44C"/>
    <w:lvl w:ilvl="0" w:tplc="32425C04">
      <w:numFmt w:val="bullet"/>
      <w:lvlText w:val="-"/>
      <w:lvlJc w:val="left"/>
      <w:pPr>
        <w:ind w:left="720" w:hanging="360"/>
      </w:pPr>
      <w:rPr>
        <w:rFonts w:ascii="Arial" w:eastAsia="Times New Roman" w:hAnsi="Arial" w:cs="Arial" w:hint="default"/>
        <w:b w:val="0"/>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9" w15:restartNumberingAfterBreak="0">
    <w:nsid w:val="7F5E205A"/>
    <w:multiLevelType w:val="multilevel"/>
    <w:tmpl w:val="88F24C6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0" w15:restartNumberingAfterBreak="0">
    <w:nsid w:val="7FD142D3"/>
    <w:multiLevelType w:val="hybridMultilevel"/>
    <w:tmpl w:val="9A10C30A"/>
    <w:lvl w:ilvl="0" w:tplc="32425C04">
      <w:numFmt w:val="bullet"/>
      <w:lvlText w:val="-"/>
      <w:lvlJc w:val="left"/>
      <w:pPr>
        <w:ind w:left="1015" w:hanging="360"/>
      </w:pPr>
      <w:rPr>
        <w:rFonts w:ascii="Arial" w:eastAsia="Times New Roman" w:hAnsi="Arial" w:cs="Arial" w:hint="default"/>
        <w:b w:val="0"/>
      </w:rPr>
    </w:lvl>
    <w:lvl w:ilvl="1" w:tplc="0C090003" w:tentative="1">
      <w:start w:val="1"/>
      <w:numFmt w:val="bullet"/>
      <w:lvlText w:val="o"/>
      <w:lvlJc w:val="left"/>
      <w:pPr>
        <w:ind w:left="1735" w:hanging="360"/>
      </w:pPr>
      <w:rPr>
        <w:rFonts w:ascii="Courier New" w:hAnsi="Courier New" w:cs="Courier New" w:hint="default"/>
      </w:rPr>
    </w:lvl>
    <w:lvl w:ilvl="2" w:tplc="0C090005" w:tentative="1">
      <w:start w:val="1"/>
      <w:numFmt w:val="bullet"/>
      <w:lvlText w:val=""/>
      <w:lvlJc w:val="left"/>
      <w:pPr>
        <w:ind w:left="2455" w:hanging="360"/>
      </w:pPr>
      <w:rPr>
        <w:rFonts w:ascii="Wingdings" w:hAnsi="Wingdings" w:hint="default"/>
      </w:rPr>
    </w:lvl>
    <w:lvl w:ilvl="3" w:tplc="0C090001" w:tentative="1">
      <w:start w:val="1"/>
      <w:numFmt w:val="bullet"/>
      <w:lvlText w:val=""/>
      <w:lvlJc w:val="left"/>
      <w:pPr>
        <w:ind w:left="3175" w:hanging="360"/>
      </w:pPr>
      <w:rPr>
        <w:rFonts w:ascii="Symbol" w:hAnsi="Symbol" w:hint="default"/>
      </w:rPr>
    </w:lvl>
    <w:lvl w:ilvl="4" w:tplc="0C090003" w:tentative="1">
      <w:start w:val="1"/>
      <w:numFmt w:val="bullet"/>
      <w:lvlText w:val="o"/>
      <w:lvlJc w:val="left"/>
      <w:pPr>
        <w:ind w:left="3895" w:hanging="360"/>
      </w:pPr>
      <w:rPr>
        <w:rFonts w:ascii="Courier New" w:hAnsi="Courier New" w:cs="Courier New" w:hint="default"/>
      </w:rPr>
    </w:lvl>
    <w:lvl w:ilvl="5" w:tplc="0C090005" w:tentative="1">
      <w:start w:val="1"/>
      <w:numFmt w:val="bullet"/>
      <w:lvlText w:val=""/>
      <w:lvlJc w:val="left"/>
      <w:pPr>
        <w:ind w:left="4615" w:hanging="360"/>
      </w:pPr>
      <w:rPr>
        <w:rFonts w:ascii="Wingdings" w:hAnsi="Wingdings" w:hint="default"/>
      </w:rPr>
    </w:lvl>
    <w:lvl w:ilvl="6" w:tplc="0C090001" w:tentative="1">
      <w:start w:val="1"/>
      <w:numFmt w:val="bullet"/>
      <w:lvlText w:val=""/>
      <w:lvlJc w:val="left"/>
      <w:pPr>
        <w:ind w:left="5335" w:hanging="360"/>
      </w:pPr>
      <w:rPr>
        <w:rFonts w:ascii="Symbol" w:hAnsi="Symbol" w:hint="default"/>
      </w:rPr>
    </w:lvl>
    <w:lvl w:ilvl="7" w:tplc="0C090003" w:tentative="1">
      <w:start w:val="1"/>
      <w:numFmt w:val="bullet"/>
      <w:lvlText w:val="o"/>
      <w:lvlJc w:val="left"/>
      <w:pPr>
        <w:ind w:left="6055" w:hanging="360"/>
      </w:pPr>
      <w:rPr>
        <w:rFonts w:ascii="Courier New" w:hAnsi="Courier New" w:cs="Courier New" w:hint="default"/>
      </w:rPr>
    </w:lvl>
    <w:lvl w:ilvl="8" w:tplc="0C090005" w:tentative="1">
      <w:start w:val="1"/>
      <w:numFmt w:val="bullet"/>
      <w:lvlText w:val=""/>
      <w:lvlJc w:val="left"/>
      <w:pPr>
        <w:ind w:left="6775" w:hanging="360"/>
      </w:pPr>
      <w:rPr>
        <w:rFonts w:ascii="Wingdings" w:hAnsi="Wingdings" w:hint="default"/>
      </w:rPr>
    </w:lvl>
  </w:abstractNum>
  <w:num w:numId="1">
    <w:abstractNumId w:val="4"/>
  </w:num>
  <w:num w:numId="2">
    <w:abstractNumId w:val="2"/>
  </w:num>
  <w:num w:numId="3">
    <w:abstractNumId w:val="3"/>
  </w:num>
  <w:num w:numId="4">
    <w:abstractNumId w:val="1"/>
  </w:num>
  <w:num w:numId="5">
    <w:abstractNumId w:val="35"/>
  </w:num>
  <w:num w:numId="6">
    <w:abstractNumId w:val="77"/>
  </w:num>
  <w:num w:numId="7">
    <w:abstractNumId w:val="62"/>
  </w:num>
  <w:num w:numId="8">
    <w:abstractNumId w:val="74"/>
  </w:num>
  <w:num w:numId="9">
    <w:abstractNumId w:val="80"/>
  </w:num>
  <w:num w:numId="10">
    <w:abstractNumId w:val="10"/>
  </w:num>
  <w:num w:numId="11">
    <w:abstractNumId w:val="91"/>
  </w:num>
  <w:num w:numId="12">
    <w:abstractNumId w:val="51"/>
  </w:num>
  <w:num w:numId="13">
    <w:abstractNumId w:val="95"/>
  </w:num>
  <w:num w:numId="14">
    <w:abstractNumId w:val="36"/>
  </w:num>
  <w:num w:numId="15">
    <w:abstractNumId w:val="83"/>
  </w:num>
  <w:num w:numId="16">
    <w:abstractNumId w:val="55"/>
  </w:num>
  <w:num w:numId="17">
    <w:abstractNumId w:val="17"/>
  </w:num>
  <w:num w:numId="18">
    <w:abstractNumId w:val="32"/>
  </w:num>
  <w:num w:numId="19">
    <w:abstractNumId w:val="63"/>
  </w:num>
  <w:num w:numId="20">
    <w:abstractNumId w:val="87"/>
  </w:num>
  <w:num w:numId="21">
    <w:abstractNumId w:val="11"/>
  </w:num>
  <w:num w:numId="22">
    <w:abstractNumId w:val="84"/>
  </w:num>
  <w:num w:numId="23">
    <w:abstractNumId w:val="33"/>
  </w:num>
  <w:num w:numId="24">
    <w:abstractNumId w:val="37"/>
  </w:num>
  <w:num w:numId="25">
    <w:abstractNumId w:val="71"/>
  </w:num>
  <w:num w:numId="26">
    <w:abstractNumId w:val="12"/>
  </w:num>
  <w:num w:numId="27">
    <w:abstractNumId w:val="97"/>
  </w:num>
  <w:num w:numId="28">
    <w:abstractNumId w:val="39"/>
  </w:num>
  <w:num w:numId="29">
    <w:abstractNumId w:val="94"/>
  </w:num>
  <w:num w:numId="30">
    <w:abstractNumId w:val="75"/>
  </w:num>
  <w:num w:numId="31">
    <w:abstractNumId w:val="90"/>
  </w:num>
  <w:num w:numId="32">
    <w:abstractNumId w:val="28"/>
  </w:num>
  <w:num w:numId="33">
    <w:abstractNumId w:val="41"/>
  </w:num>
  <w:num w:numId="34">
    <w:abstractNumId w:val="93"/>
  </w:num>
  <w:num w:numId="35">
    <w:abstractNumId w:val="100"/>
  </w:num>
  <w:num w:numId="36">
    <w:abstractNumId w:val="5"/>
  </w:num>
  <w:num w:numId="37">
    <w:abstractNumId w:val="45"/>
  </w:num>
  <w:num w:numId="38">
    <w:abstractNumId w:val="54"/>
  </w:num>
  <w:num w:numId="39">
    <w:abstractNumId w:val="47"/>
  </w:num>
  <w:num w:numId="40">
    <w:abstractNumId w:val="56"/>
  </w:num>
  <w:num w:numId="41">
    <w:abstractNumId w:val="88"/>
  </w:num>
  <w:num w:numId="42">
    <w:abstractNumId w:val="24"/>
  </w:num>
  <w:num w:numId="43">
    <w:abstractNumId w:val="57"/>
  </w:num>
  <w:num w:numId="44">
    <w:abstractNumId w:val="50"/>
  </w:num>
  <w:num w:numId="45">
    <w:abstractNumId w:val="82"/>
  </w:num>
  <w:num w:numId="46">
    <w:abstractNumId w:val="46"/>
  </w:num>
  <w:num w:numId="47">
    <w:abstractNumId w:val="25"/>
  </w:num>
  <w:num w:numId="48">
    <w:abstractNumId w:val="58"/>
  </w:num>
  <w:num w:numId="49">
    <w:abstractNumId w:val="81"/>
  </w:num>
  <w:num w:numId="50">
    <w:abstractNumId w:val="22"/>
  </w:num>
  <w:num w:numId="51">
    <w:abstractNumId w:val="19"/>
  </w:num>
  <w:num w:numId="52">
    <w:abstractNumId w:val="64"/>
  </w:num>
  <w:num w:numId="53">
    <w:abstractNumId w:val="76"/>
  </w:num>
  <w:num w:numId="54">
    <w:abstractNumId w:val="92"/>
  </w:num>
  <w:num w:numId="55">
    <w:abstractNumId w:val="65"/>
  </w:num>
  <w:num w:numId="56">
    <w:abstractNumId w:val="0"/>
  </w:num>
  <w:num w:numId="57">
    <w:abstractNumId w:val="16"/>
  </w:num>
  <w:num w:numId="58">
    <w:abstractNumId w:val="38"/>
  </w:num>
  <w:num w:numId="59">
    <w:abstractNumId w:val="66"/>
  </w:num>
  <w:num w:numId="60">
    <w:abstractNumId w:val="98"/>
  </w:num>
  <w:num w:numId="61">
    <w:abstractNumId w:val="67"/>
  </w:num>
  <w:num w:numId="62">
    <w:abstractNumId w:val="13"/>
  </w:num>
  <w:num w:numId="63">
    <w:abstractNumId w:val="96"/>
  </w:num>
  <w:num w:numId="64">
    <w:abstractNumId w:val="31"/>
  </w:num>
  <w:num w:numId="65">
    <w:abstractNumId w:val="27"/>
  </w:num>
  <w:num w:numId="66">
    <w:abstractNumId w:val="99"/>
  </w:num>
  <w:num w:numId="67">
    <w:abstractNumId w:val="70"/>
  </w:num>
  <w:num w:numId="68">
    <w:abstractNumId w:val="61"/>
  </w:num>
  <w:num w:numId="69">
    <w:abstractNumId w:val="53"/>
  </w:num>
  <w:num w:numId="70">
    <w:abstractNumId w:val="79"/>
  </w:num>
  <w:num w:numId="71">
    <w:abstractNumId w:val="20"/>
  </w:num>
  <w:num w:numId="72">
    <w:abstractNumId w:val="59"/>
  </w:num>
  <w:num w:numId="73">
    <w:abstractNumId w:val="48"/>
  </w:num>
  <w:num w:numId="74">
    <w:abstractNumId w:val="40"/>
  </w:num>
  <w:num w:numId="75">
    <w:abstractNumId w:val="26"/>
  </w:num>
  <w:num w:numId="76">
    <w:abstractNumId w:val="23"/>
  </w:num>
  <w:num w:numId="77">
    <w:abstractNumId w:val="29"/>
  </w:num>
  <w:num w:numId="78">
    <w:abstractNumId w:val="69"/>
  </w:num>
  <w:num w:numId="79">
    <w:abstractNumId w:val="18"/>
  </w:num>
  <w:num w:numId="80">
    <w:abstractNumId w:val="49"/>
  </w:num>
  <w:num w:numId="81">
    <w:abstractNumId w:val="14"/>
  </w:num>
  <w:num w:numId="82">
    <w:abstractNumId w:val="68"/>
  </w:num>
  <w:num w:numId="83">
    <w:abstractNumId w:val="60"/>
  </w:num>
  <w:num w:numId="84">
    <w:abstractNumId w:val="89"/>
  </w:num>
  <w:num w:numId="85">
    <w:abstractNumId w:val="85"/>
  </w:num>
  <w:num w:numId="86">
    <w:abstractNumId w:val="52"/>
  </w:num>
  <w:num w:numId="87">
    <w:abstractNumId w:val="6"/>
  </w:num>
  <w:num w:numId="88">
    <w:abstractNumId w:val="7"/>
  </w:num>
  <w:num w:numId="89">
    <w:abstractNumId w:val="86"/>
  </w:num>
  <w:num w:numId="90">
    <w:abstractNumId w:val="8"/>
  </w:num>
  <w:num w:numId="91">
    <w:abstractNumId w:val="21"/>
  </w:num>
  <w:num w:numId="92">
    <w:abstractNumId w:val="15"/>
  </w:num>
  <w:num w:numId="93">
    <w:abstractNumId w:val="34"/>
  </w:num>
  <w:num w:numId="94">
    <w:abstractNumId w:val="78"/>
  </w:num>
  <w:num w:numId="95">
    <w:abstractNumId w:val="73"/>
  </w:num>
  <w:num w:numId="96">
    <w:abstractNumId w:val="30"/>
  </w:num>
  <w:num w:numId="97">
    <w:abstractNumId w:val="42"/>
  </w:num>
  <w:num w:numId="98">
    <w:abstractNumId w:val="9"/>
  </w:num>
  <w:num w:numId="99">
    <w:abstractNumId w:val="44"/>
  </w:num>
  <w:num w:numId="100">
    <w:abstractNumId w:val="72"/>
  </w:num>
  <w:num w:numId="101">
    <w:abstractNumId w:val="43"/>
  </w:num>
  <w:numIdMacAtCleanup w:val="9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stylePaneFormatFilter w:val="5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0"/>
  <w:defaultTabStop w:val="284"/>
  <w:evenAndOddHeaders/>
  <w:drawingGridHorizontalSpacing w:val="100"/>
  <w:displayHorizontalDrawingGridEvery w:val="2"/>
  <w:characterSpacingControl w:val="doNotCompress"/>
  <w:hdrShapeDefaults>
    <o:shapedefaults v:ext="edit" spidmax="6145">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6C09"/>
    <w:rsid w:val="00000AC6"/>
    <w:rsid w:val="00001376"/>
    <w:rsid w:val="00001910"/>
    <w:rsid w:val="00001BC1"/>
    <w:rsid w:val="00001D56"/>
    <w:rsid w:val="00002065"/>
    <w:rsid w:val="00002106"/>
    <w:rsid w:val="00002296"/>
    <w:rsid w:val="000025EB"/>
    <w:rsid w:val="00002FFC"/>
    <w:rsid w:val="00003654"/>
    <w:rsid w:val="00003672"/>
    <w:rsid w:val="00003789"/>
    <w:rsid w:val="000049A9"/>
    <w:rsid w:val="00004E0C"/>
    <w:rsid w:val="00004F73"/>
    <w:rsid w:val="0000521D"/>
    <w:rsid w:val="00005C8C"/>
    <w:rsid w:val="00005D74"/>
    <w:rsid w:val="00005F9B"/>
    <w:rsid w:val="00006777"/>
    <w:rsid w:val="00006977"/>
    <w:rsid w:val="0000748C"/>
    <w:rsid w:val="00007C51"/>
    <w:rsid w:val="00010603"/>
    <w:rsid w:val="00010667"/>
    <w:rsid w:val="00010797"/>
    <w:rsid w:val="00011F93"/>
    <w:rsid w:val="00011FAB"/>
    <w:rsid w:val="000120C5"/>
    <w:rsid w:val="0001242C"/>
    <w:rsid w:val="000129A2"/>
    <w:rsid w:val="000129D5"/>
    <w:rsid w:val="00012AE9"/>
    <w:rsid w:val="000130EA"/>
    <w:rsid w:val="0001339C"/>
    <w:rsid w:val="00013578"/>
    <w:rsid w:val="000137A2"/>
    <w:rsid w:val="000137CA"/>
    <w:rsid w:val="00013885"/>
    <w:rsid w:val="00013BD9"/>
    <w:rsid w:val="00013CE1"/>
    <w:rsid w:val="00013DB7"/>
    <w:rsid w:val="00013F9F"/>
    <w:rsid w:val="00015AE7"/>
    <w:rsid w:val="00015DCA"/>
    <w:rsid w:val="00016E21"/>
    <w:rsid w:val="00016FC9"/>
    <w:rsid w:val="0001719C"/>
    <w:rsid w:val="00017213"/>
    <w:rsid w:val="0001729F"/>
    <w:rsid w:val="000174D2"/>
    <w:rsid w:val="00017726"/>
    <w:rsid w:val="00017D39"/>
    <w:rsid w:val="000206C7"/>
    <w:rsid w:val="0002072A"/>
    <w:rsid w:val="000207B1"/>
    <w:rsid w:val="00020D53"/>
    <w:rsid w:val="00020DED"/>
    <w:rsid w:val="00021611"/>
    <w:rsid w:val="000216D5"/>
    <w:rsid w:val="00021B7B"/>
    <w:rsid w:val="00022534"/>
    <w:rsid w:val="0002277D"/>
    <w:rsid w:val="000227B2"/>
    <w:rsid w:val="000228AE"/>
    <w:rsid w:val="00023313"/>
    <w:rsid w:val="00023824"/>
    <w:rsid w:val="00023BE9"/>
    <w:rsid w:val="00023D39"/>
    <w:rsid w:val="000245D8"/>
    <w:rsid w:val="0002508E"/>
    <w:rsid w:val="00025662"/>
    <w:rsid w:val="00025C49"/>
    <w:rsid w:val="00025FC2"/>
    <w:rsid w:val="000263AC"/>
    <w:rsid w:val="0002687D"/>
    <w:rsid w:val="00026939"/>
    <w:rsid w:val="00026A02"/>
    <w:rsid w:val="00026F91"/>
    <w:rsid w:val="00027311"/>
    <w:rsid w:val="000273DC"/>
    <w:rsid w:val="00027BC4"/>
    <w:rsid w:val="00027DBB"/>
    <w:rsid w:val="00030D10"/>
    <w:rsid w:val="00031646"/>
    <w:rsid w:val="00031BAF"/>
    <w:rsid w:val="00032169"/>
    <w:rsid w:val="00032453"/>
    <w:rsid w:val="000326F5"/>
    <w:rsid w:val="0003276D"/>
    <w:rsid w:val="00032A2E"/>
    <w:rsid w:val="000336E2"/>
    <w:rsid w:val="00034348"/>
    <w:rsid w:val="00034A2F"/>
    <w:rsid w:val="00034A9A"/>
    <w:rsid w:val="000352D8"/>
    <w:rsid w:val="0003574E"/>
    <w:rsid w:val="00036617"/>
    <w:rsid w:val="0003727D"/>
    <w:rsid w:val="000377AD"/>
    <w:rsid w:val="00037FDE"/>
    <w:rsid w:val="00041F10"/>
    <w:rsid w:val="000430D5"/>
    <w:rsid w:val="00043410"/>
    <w:rsid w:val="000434D4"/>
    <w:rsid w:val="00043590"/>
    <w:rsid w:val="00043812"/>
    <w:rsid w:val="00043C50"/>
    <w:rsid w:val="00043E44"/>
    <w:rsid w:val="00044048"/>
    <w:rsid w:val="0004406F"/>
    <w:rsid w:val="000443DF"/>
    <w:rsid w:val="00045161"/>
    <w:rsid w:val="00045582"/>
    <w:rsid w:val="00045899"/>
    <w:rsid w:val="000466A2"/>
    <w:rsid w:val="000466A9"/>
    <w:rsid w:val="00046AB3"/>
    <w:rsid w:val="0004717C"/>
    <w:rsid w:val="0005011A"/>
    <w:rsid w:val="000502EC"/>
    <w:rsid w:val="00050454"/>
    <w:rsid w:val="0005045A"/>
    <w:rsid w:val="000505B1"/>
    <w:rsid w:val="000509EE"/>
    <w:rsid w:val="00050B6D"/>
    <w:rsid w:val="000515CD"/>
    <w:rsid w:val="00051608"/>
    <w:rsid w:val="00051768"/>
    <w:rsid w:val="00051C1E"/>
    <w:rsid w:val="000529BB"/>
    <w:rsid w:val="00052A53"/>
    <w:rsid w:val="00052B7E"/>
    <w:rsid w:val="00052DC9"/>
    <w:rsid w:val="00053115"/>
    <w:rsid w:val="000531D9"/>
    <w:rsid w:val="000534CA"/>
    <w:rsid w:val="00053529"/>
    <w:rsid w:val="00053962"/>
    <w:rsid w:val="000539F9"/>
    <w:rsid w:val="00053DA3"/>
    <w:rsid w:val="00054C27"/>
    <w:rsid w:val="00054D61"/>
    <w:rsid w:val="00055680"/>
    <w:rsid w:val="00055D32"/>
    <w:rsid w:val="00055E95"/>
    <w:rsid w:val="00055EC3"/>
    <w:rsid w:val="00055FB6"/>
    <w:rsid w:val="00055FEF"/>
    <w:rsid w:val="0005609D"/>
    <w:rsid w:val="000563CE"/>
    <w:rsid w:val="000568DD"/>
    <w:rsid w:val="000570A9"/>
    <w:rsid w:val="000570E0"/>
    <w:rsid w:val="000571D0"/>
    <w:rsid w:val="000573B8"/>
    <w:rsid w:val="0005767C"/>
    <w:rsid w:val="000579AC"/>
    <w:rsid w:val="00057B75"/>
    <w:rsid w:val="000601B2"/>
    <w:rsid w:val="0006058F"/>
    <w:rsid w:val="000606AB"/>
    <w:rsid w:val="00061085"/>
    <w:rsid w:val="00061A3E"/>
    <w:rsid w:val="0006292A"/>
    <w:rsid w:val="00062980"/>
    <w:rsid w:val="00062B25"/>
    <w:rsid w:val="00062FE3"/>
    <w:rsid w:val="00063148"/>
    <w:rsid w:val="000639BB"/>
    <w:rsid w:val="00063A19"/>
    <w:rsid w:val="00063DC2"/>
    <w:rsid w:val="00063F4C"/>
    <w:rsid w:val="00064024"/>
    <w:rsid w:val="0006410B"/>
    <w:rsid w:val="00064362"/>
    <w:rsid w:val="0006470C"/>
    <w:rsid w:val="00064EC7"/>
    <w:rsid w:val="00065235"/>
    <w:rsid w:val="000654F8"/>
    <w:rsid w:val="000659B6"/>
    <w:rsid w:val="00066148"/>
    <w:rsid w:val="0006690E"/>
    <w:rsid w:val="00066D07"/>
    <w:rsid w:val="0006722A"/>
    <w:rsid w:val="00067303"/>
    <w:rsid w:val="00067AB5"/>
    <w:rsid w:val="00070425"/>
    <w:rsid w:val="00070577"/>
    <w:rsid w:val="000708E9"/>
    <w:rsid w:val="00070AAE"/>
    <w:rsid w:val="00071003"/>
    <w:rsid w:val="00071237"/>
    <w:rsid w:val="00071336"/>
    <w:rsid w:val="00071750"/>
    <w:rsid w:val="00071871"/>
    <w:rsid w:val="000719ED"/>
    <w:rsid w:val="00072262"/>
    <w:rsid w:val="00072BD3"/>
    <w:rsid w:val="00072CEB"/>
    <w:rsid w:val="000732CF"/>
    <w:rsid w:val="00073A00"/>
    <w:rsid w:val="0007436B"/>
    <w:rsid w:val="00074617"/>
    <w:rsid w:val="00074A06"/>
    <w:rsid w:val="000754CB"/>
    <w:rsid w:val="0007565E"/>
    <w:rsid w:val="00075B96"/>
    <w:rsid w:val="00075FEE"/>
    <w:rsid w:val="0007693D"/>
    <w:rsid w:val="00076958"/>
    <w:rsid w:val="00076BDF"/>
    <w:rsid w:val="0008091E"/>
    <w:rsid w:val="00080AF1"/>
    <w:rsid w:val="00080E8A"/>
    <w:rsid w:val="00081455"/>
    <w:rsid w:val="000816B0"/>
    <w:rsid w:val="00081964"/>
    <w:rsid w:val="0008196A"/>
    <w:rsid w:val="00081A5A"/>
    <w:rsid w:val="00081C71"/>
    <w:rsid w:val="00081E53"/>
    <w:rsid w:val="0008207A"/>
    <w:rsid w:val="00082888"/>
    <w:rsid w:val="00082EB4"/>
    <w:rsid w:val="0008358B"/>
    <w:rsid w:val="0008388F"/>
    <w:rsid w:val="0008410F"/>
    <w:rsid w:val="00084234"/>
    <w:rsid w:val="00084F4C"/>
    <w:rsid w:val="0008567F"/>
    <w:rsid w:val="000856E8"/>
    <w:rsid w:val="00085BE2"/>
    <w:rsid w:val="00085E58"/>
    <w:rsid w:val="00086497"/>
    <w:rsid w:val="000874D6"/>
    <w:rsid w:val="00087527"/>
    <w:rsid w:val="000875D6"/>
    <w:rsid w:val="00087CB0"/>
    <w:rsid w:val="00090E42"/>
    <w:rsid w:val="0009141B"/>
    <w:rsid w:val="0009146D"/>
    <w:rsid w:val="000915ED"/>
    <w:rsid w:val="00091AB5"/>
    <w:rsid w:val="00092047"/>
    <w:rsid w:val="0009209D"/>
    <w:rsid w:val="000926E1"/>
    <w:rsid w:val="000927D7"/>
    <w:rsid w:val="00092CFA"/>
    <w:rsid w:val="00092F07"/>
    <w:rsid w:val="000931C8"/>
    <w:rsid w:val="0009362B"/>
    <w:rsid w:val="00093A30"/>
    <w:rsid w:val="00093FB7"/>
    <w:rsid w:val="0009409E"/>
    <w:rsid w:val="00094544"/>
    <w:rsid w:val="0009493E"/>
    <w:rsid w:val="00094BEA"/>
    <w:rsid w:val="00094E3E"/>
    <w:rsid w:val="0009527F"/>
    <w:rsid w:val="0009557E"/>
    <w:rsid w:val="00095896"/>
    <w:rsid w:val="000969B6"/>
    <w:rsid w:val="000969BD"/>
    <w:rsid w:val="000969BF"/>
    <w:rsid w:val="00096B19"/>
    <w:rsid w:val="00096B68"/>
    <w:rsid w:val="00096D47"/>
    <w:rsid w:val="0009743E"/>
    <w:rsid w:val="000978F9"/>
    <w:rsid w:val="00097B6D"/>
    <w:rsid w:val="00097EE7"/>
    <w:rsid w:val="000A0027"/>
    <w:rsid w:val="000A03A2"/>
    <w:rsid w:val="000A047A"/>
    <w:rsid w:val="000A065F"/>
    <w:rsid w:val="000A0C22"/>
    <w:rsid w:val="000A0CC9"/>
    <w:rsid w:val="000A130A"/>
    <w:rsid w:val="000A167D"/>
    <w:rsid w:val="000A2018"/>
    <w:rsid w:val="000A25EF"/>
    <w:rsid w:val="000A298C"/>
    <w:rsid w:val="000A32CE"/>
    <w:rsid w:val="000A33D1"/>
    <w:rsid w:val="000A38F7"/>
    <w:rsid w:val="000A3C43"/>
    <w:rsid w:val="000A4532"/>
    <w:rsid w:val="000A4609"/>
    <w:rsid w:val="000A4A51"/>
    <w:rsid w:val="000A4BD7"/>
    <w:rsid w:val="000A4C74"/>
    <w:rsid w:val="000A517C"/>
    <w:rsid w:val="000A519D"/>
    <w:rsid w:val="000A587E"/>
    <w:rsid w:val="000A5B13"/>
    <w:rsid w:val="000A5D2B"/>
    <w:rsid w:val="000A644B"/>
    <w:rsid w:val="000A75F8"/>
    <w:rsid w:val="000A7CAB"/>
    <w:rsid w:val="000B01D5"/>
    <w:rsid w:val="000B113D"/>
    <w:rsid w:val="000B1165"/>
    <w:rsid w:val="000B1188"/>
    <w:rsid w:val="000B166F"/>
    <w:rsid w:val="000B1A0E"/>
    <w:rsid w:val="000B1AAA"/>
    <w:rsid w:val="000B264E"/>
    <w:rsid w:val="000B2953"/>
    <w:rsid w:val="000B2ACB"/>
    <w:rsid w:val="000B31BB"/>
    <w:rsid w:val="000B36E9"/>
    <w:rsid w:val="000B3A7E"/>
    <w:rsid w:val="000B3DFF"/>
    <w:rsid w:val="000B486C"/>
    <w:rsid w:val="000B4AA3"/>
    <w:rsid w:val="000B4C0E"/>
    <w:rsid w:val="000B4D03"/>
    <w:rsid w:val="000B4D9B"/>
    <w:rsid w:val="000B5DE3"/>
    <w:rsid w:val="000B6274"/>
    <w:rsid w:val="000B62DA"/>
    <w:rsid w:val="000B6651"/>
    <w:rsid w:val="000B6BB8"/>
    <w:rsid w:val="000B6C33"/>
    <w:rsid w:val="000B7559"/>
    <w:rsid w:val="000B7603"/>
    <w:rsid w:val="000B777C"/>
    <w:rsid w:val="000B7D36"/>
    <w:rsid w:val="000C065C"/>
    <w:rsid w:val="000C0933"/>
    <w:rsid w:val="000C0A57"/>
    <w:rsid w:val="000C15B3"/>
    <w:rsid w:val="000C163C"/>
    <w:rsid w:val="000C1835"/>
    <w:rsid w:val="000C1D72"/>
    <w:rsid w:val="000C230C"/>
    <w:rsid w:val="000C2915"/>
    <w:rsid w:val="000C2CF2"/>
    <w:rsid w:val="000C31C3"/>
    <w:rsid w:val="000C386E"/>
    <w:rsid w:val="000C3B4C"/>
    <w:rsid w:val="000C48E4"/>
    <w:rsid w:val="000C4E9B"/>
    <w:rsid w:val="000C50A8"/>
    <w:rsid w:val="000C5276"/>
    <w:rsid w:val="000C5431"/>
    <w:rsid w:val="000C5787"/>
    <w:rsid w:val="000C66DF"/>
    <w:rsid w:val="000C6C57"/>
    <w:rsid w:val="000C6EC3"/>
    <w:rsid w:val="000C72F0"/>
    <w:rsid w:val="000C7635"/>
    <w:rsid w:val="000C7720"/>
    <w:rsid w:val="000C7DF5"/>
    <w:rsid w:val="000D002D"/>
    <w:rsid w:val="000D0B21"/>
    <w:rsid w:val="000D0D51"/>
    <w:rsid w:val="000D1350"/>
    <w:rsid w:val="000D1449"/>
    <w:rsid w:val="000D1604"/>
    <w:rsid w:val="000D25F8"/>
    <w:rsid w:val="000D2876"/>
    <w:rsid w:val="000D2A36"/>
    <w:rsid w:val="000D31AD"/>
    <w:rsid w:val="000D334F"/>
    <w:rsid w:val="000D39DB"/>
    <w:rsid w:val="000D3EBE"/>
    <w:rsid w:val="000D4130"/>
    <w:rsid w:val="000D447C"/>
    <w:rsid w:val="000D45A7"/>
    <w:rsid w:val="000D4D71"/>
    <w:rsid w:val="000D52A4"/>
    <w:rsid w:val="000D52C1"/>
    <w:rsid w:val="000D52E5"/>
    <w:rsid w:val="000D57CB"/>
    <w:rsid w:val="000D589E"/>
    <w:rsid w:val="000D5BF9"/>
    <w:rsid w:val="000D5CC5"/>
    <w:rsid w:val="000D7014"/>
    <w:rsid w:val="000D71D9"/>
    <w:rsid w:val="000D76E0"/>
    <w:rsid w:val="000D7CAB"/>
    <w:rsid w:val="000D7E8B"/>
    <w:rsid w:val="000E157A"/>
    <w:rsid w:val="000E1733"/>
    <w:rsid w:val="000E1F53"/>
    <w:rsid w:val="000E2146"/>
    <w:rsid w:val="000E23CD"/>
    <w:rsid w:val="000E2B43"/>
    <w:rsid w:val="000E2E23"/>
    <w:rsid w:val="000E2E99"/>
    <w:rsid w:val="000E2F2D"/>
    <w:rsid w:val="000E374F"/>
    <w:rsid w:val="000E3EC6"/>
    <w:rsid w:val="000E4449"/>
    <w:rsid w:val="000E4592"/>
    <w:rsid w:val="000E4735"/>
    <w:rsid w:val="000E486F"/>
    <w:rsid w:val="000E4C2B"/>
    <w:rsid w:val="000E4F6F"/>
    <w:rsid w:val="000E5C71"/>
    <w:rsid w:val="000E5E7E"/>
    <w:rsid w:val="000E6016"/>
    <w:rsid w:val="000E6097"/>
    <w:rsid w:val="000E683C"/>
    <w:rsid w:val="000E75E3"/>
    <w:rsid w:val="000E760A"/>
    <w:rsid w:val="000E7F39"/>
    <w:rsid w:val="000F16F0"/>
    <w:rsid w:val="000F1D51"/>
    <w:rsid w:val="000F1F87"/>
    <w:rsid w:val="000F2489"/>
    <w:rsid w:val="000F2562"/>
    <w:rsid w:val="000F34FC"/>
    <w:rsid w:val="000F458C"/>
    <w:rsid w:val="000F48A4"/>
    <w:rsid w:val="000F4980"/>
    <w:rsid w:val="000F4DA5"/>
    <w:rsid w:val="000F5771"/>
    <w:rsid w:val="000F5F34"/>
    <w:rsid w:val="000F60DE"/>
    <w:rsid w:val="000F62B8"/>
    <w:rsid w:val="000F65DF"/>
    <w:rsid w:val="000F6994"/>
    <w:rsid w:val="000F6AC6"/>
    <w:rsid w:val="000F7014"/>
    <w:rsid w:val="000F739B"/>
    <w:rsid w:val="000F73E5"/>
    <w:rsid w:val="000F74ED"/>
    <w:rsid w:val="000F789A"/>
    <w:rsid w:val="000F7EE4"/>
    <w:rsid w:val="00100FF7"/>
    <w:rsid w:val="00101678"/>
    <w:rsid w:val="00102332"/>
    <w:rsid w:val="001031E8"/>
    <w:rsid w:val="00103467"/>
    <w:rsid w:val="00103829"/>
    <w:rsid w:val="001046DC"/>
    <w:rsid w:val="001049E2"/>
    <w:rsid w:val="00105FD5"/>
    <w:rsid w:val="001065F0"/>
    <w:rsid w:val="00106890"/>
    <w:rsid w:val="00107486"/>
    <w:rsid w:val="00107BC5"/>
    <w:rsid w:val="00110427"/>
    <w:rsid w:val="001106FE"/>
    <w:rsid w:val="00110EAD"/>
    <w:rsid w:val="00111BCE"/>
    <w:rsid w:val="00111DF5"/>
    <w:rsid w:val="00111FCE"/>
    <w:rsid w:val="001127AA"/>
    <w:rsid w:val="0011284E"/>
    <w:rsid w:val="001129CE"/>
    <w:rsid w:val="001129E3"/>
    <w:rsid w:val="0011339C"/>
    <w:rsid w:val="00113EE3"/>
    <w:rsid w:val="00114E41"/>
    <w:rsid w:val="001151BA"/>
    <w:rsid w:val="001152FF"/>
    <w:rsid w:val="00115433"/>
    <w:rsid w:val="0011563B"/>
    <w:rsid w:val="001158A6"/>
    <w:rsid w:val="00115A5E"/>
    <w:rsid w:val="00115FD8"/>
    <w:rsid w:val="001160E9"/>
    <w:rsid w:val="00116599"/>
    <w:rsid w:val="00116AC0"/>
    <w:rsid w:val="0011773C"/>
    <w:rsid w:val="00117C59"/>
    <w:rsid w:val="0012018B"/>
    <w:rsid w:val="00120F1A"/>
    <w:rsid w:val="001213C0"/>
    <w:rsid w:val="00121694"/>
    <w:rsid w:val="001216A7"/>
    <w:rsid w:val="00121A55"/>
    <w:rsid w:val="001223ED"/>
    <w:rsid w:val="0012251A"/>
    <w:rsid w:val="00122836"/>
    <w:rsid w:val="001229A5"/>
    <w:rsid w:val="00122BD0"/>
    <w:rsid w:val="00122D09"/>
    <w:rsid w:val="00123241"/>
    <w:rsid w:val="00123714"/>
    <w:rsid w:val="00123B10"/>
    <w:rsid w:val="0012418E"/>
    <w:rsid w:val="0012489B"/>
    <w:rsid w:val="00124DB8"/>
    <w:rsid w:val="00124F87"/>
    <w:rsid w:val="00125138"/>
    <w:rsid w:val="00125470"/>
    <w:rsid w:val="00125837"/>
    <w:rsid w:val="00126374"/>
    <w:rsid w:val="00126C7C"/>
    <w:rsid w:val="00127CC3"/>
    <w:rsid w:val="00127EC9"/>
    <w:rsid w:val="00127F0E"/>
    <w:rsid w:val="00130017"/>
    <w:rsid w:val="00130664"/>
    <w:rsid w:val="00130BAB"/>
    <w:rsid w:val="00130C84"/>
    <w:rsid w:val="00130DB9"/>
    <w:rsid w:val="00130F91"/>
    <w:rsid w:val="0013179F"/>
    <w:rsid w:val="001317E8"/>
    <w:rsid w:val="00131A63"/>
    <w:rsid w:val="00131E9B"/>
    <w:rsid w:val="0013236A"/>
    <w:rsid w:val="00132391"/>
    <w:rsid w:val="00132C35"/>
    <w:rsid w:val="00133808"/>
    <w:rsid w:val="00133DB2"/>
    <w:rsid w:val="00134073"/>
    <w:rsid w:val="001340B5"/>
    <w:rsid w:val="001342D7"/>
    <w:rsid w:val="00134557"/>
    <w:rsid w:val="00134BF5"/>
    <w:rsid w:val="001353B0"/>
    <w:rsid w:val="00135B01"/>
    <w:rsid w:val="001366A1"/>
    <w:rsid w:val="00136BAC"/>
    <w:rsid w:val="00137424"/>
    <w:rsid w:val="0013760D"/>
    <w:rsid w:val="001377D0"/>
    <w:rsid w:val="00137815"/>
    <w:rsid w:val="0014010A"/>
    <w:rsid w:val="00140318"/>
    <w:rsid w:val="001403D3"/>
    <w:rsid w:val="0014041E"/>
    <w:rsid w:val="00140608"/>
    <w:rsid w:val="0014060A"/>
    <w:rsid w:val="00140829"/>
    <w:rsid w:val="001408AF"/>
    <w:rsid w:val="001412F0"/>
    <w:rsid w:val="0014198B"/>
    <w:rsid w:val="00141A00"/>
    <w:rsid w:val="00141AD9"/>
    <w:rsid w:val="0014263B"/>
    <w:rsid w:val="0014279A"/>
    <w:rsid w:val="00143481"/>
    <w:rsid w:val="001434CE"/>
    <w:rsid w:val="001441D5"/>
    <w:rsid w:val="0014421F"/>
    <w:rsid w:val="00144353"/>
    <w:rsid w:val="00144626"/>
    <w:rsid w:val="00144703"/>
    <w:rsid w:val="00144C14"/>
    <w:rsid w:val="001452EE"/>
    <w:rsid w:val="00145600"/>
    <w:rsid w:val="00145EE0"/>
    <w:rsid w:val="0014696B"/>
    <w:rsid w:val="00146CE6"/>
    <w:rsid w:val="00147103"/>
    <w:rsid w:val="0014748F"/>
    <w:rsid w:val="00147F5E"/>
    <w:rsid w:val="00150538"/>
    <w:rsid w:val="0015062D"/>
    <w:rsid w:val="0015096C"/>
    <w:rsid w:val="00150C93"/>
    <w:rsid w:val="001512F8"/>
    <w:rsid w:val="00152903"/>
    <w:rsid w:val="00153796"/>
    <w:rsid w:val="00153B5B"/>
    <w:rsid w:val="00153FEF"/>
    <w:rsid w:val="00154861"/>
    <w:rsid w:val="00154EBD"/>
    <w:rsid w:val="0015533F"/>
    <w:rsid w:val="0015556E"/>
    <w:rsid w:val="001556B6"/>
    <w:rsid w:val="00155C49"/>
    <w:rsid w:val="0015614F"/>
    <w:rsid w:val="00156775"/>
    <w:rsid w:val="00156FCD"/>
    <w:rsid w:val="001577C2"/>
    <w:rsid w:val="00157BF7"/>
    <w:rsid w:val="00157DE1"/>
    <w:rsid w:val="00160BFC"/>
    <w:rsid w:val="00161A9C"/>
    <w:rsid w:val="00162770"/>
    <w:rsid w:val="00162C28"/>
    <w:rsid w:val="00162D5C"/>
    <w:rsid w:val="00162F58"/>
    <w:rsid w:val="00163303"/>
    <w:rsid w:val="001633C4"/>
    <w:rsid w:val="001634A4"/>
    <w:rsid w:val="001635B6"/>
    <w:rsid w:val="00163600"/>
    <w:rsid w:val="00163981"/>
    <w:rsid w:val="00163DBD"/>
    <w:rsid w:val="00164692"/>
    <w:rsid w:val="00165646"/>
    <w:rsid w:val="00165D2A"/>
    <w:rsid w:val="001662AD"/>
    <w:rsid w:val="001665B9"/>
    <w:rsid w:val="00166898"/>
    <w:rsid w:val="00166A04"/>
    <w:rsid w:val="00166B72"/>
    <w:rsid w:val="00166C35"/>
    <w:rsid w:val="00166C92"/>
    <w:rsid w:val="00166EEB"/>
    <w:rsid w:val="001670E2"/>
    <w:rsid w:val="00167345"/>
    <w:rsid w:val="001673CB"/>
    <w:rsid w:val="0016762F"/>
    <w:rsid w:val="00170507"/>
    <w:rsid w:val="00170864"/>
    <w:rsid w:val="00170A19"/>
    <w:rsid w:val="00170E3B"/>
    <w:rsid w:val="00171591"/>
    <w:rsid w:val="0017171D"/>
    <w:rsid w:val="00171975"/>
    <w:rsid w:val="00171D3C"/>
    <w:rsid w:val="00171EFE"/>
    <w:rsid w:val="00172004"/>
    <w:rsid w:val="00172C9E"/>
    <w:rsid w:val="001736F3"/>
    <w:rsid w:val="00173981"/>
    <w:rsid w:val="001739E4"/>
    <w:rsid w:val="00173C20"/>
    <w:rsid w:val="00173D77"/>
    <w:rsid w:val="00173E48"/>
    <w:rsid w:val="00174A41"/>
    <w:rsid w:val="00175687"/>
    <w:rsid w:val="001761E8"/>
    <w:rsid w:val="001764C4"/>
    <w:rsid w:val="00176724"/>
    <w:rsid w:val="00176C31"/>
    <w:rsid w:val="00176D12"/>
    <w:rsid w:val="0017719D"/>
    <w:rsid w:val="00177570"/>
    <w:rsid w:val="00177CB2"/>
    <w:rsid w:val="001800DD"/>
    <w:rsid w:val="001801A5"/>
    <w:rsid w:val="00180560"/>
    <w:rsid w:val="00180984"/>
    <w:rsid w:val="00180F73"/>
    <w:rsid w:val="00181485"/>
    <w:rsid w:val="00181ACE"/>
    <w:rsid w:val="00183B49"/>
    <w:rsid w:val="00183D05"/>
    <w:rsid w:val="00184083"/>
    <w:rsid w:val="0018543C"/>
    <w:rsid w:val="00185CAB"/>
    <w:rsid w:val="0018602B"/>
    <w:rsid w:val="001861E7"/>
    <w:rsid w:val="0018621B"/>
    <w:rsid w:val="0018628B"/>
    <w:rsid w:val="001866D6"/>
    <w:rsid w:val="00186761"/>
    <w:rsid w:val="00186768"/>
    <w:rsid w:val="00186BC6"/>
    <w:rsid w:val="00187272"/>
    <w:rsid w:val="001875B7"/>
    <w:rsid w:val="00187628"/>
    <w:rsid w:val="001876E1"/>
    <w:rsid w:val="00187887"/>
    <w:rsid w:val="00187CB3"/>
    <w:rsid w:val="00187EA7"/>
    <w:rsid w:val="001904E7"/>
    <w:rsid w:val="0019050A"/>
    <w:rsid w:val="00190916"/>
    <w:rsid w:val="001910D4"/>
    <w:rsid w:val="00191111"/>
    <w:rsid w:val="00191643"/>
    <w:rsid w:val="0019289D"/>
    <w:rsid w:val="00193D20"/>
    <w:rsid w:val="00193F62"/>
    <w:rsid w:val="0019438E"/>
    <w:rsid w:val="001945EC"/>
    <w:rsid w:val="0019482C"/>
    <w:rsid w:val="00194A4F"/>
    <w:rsid w:val="00195ED2"/>
    <w:rsid w:val="0019621E"/>
    <w:rsid w:val="001965C6"/>
    <w:rsid w:val="001968D9"/>
    <w:rsid w:val="001968FD"/>
    <w:rsid w:val="00196CBD"/>
    <w:rsid w:val="00197466"/>
    <w:rsid w:val="001976E3"/>
    <w:rsid w:val="00197B67"/>
    <w:rsid w:val="00197D27"/>
    <w:rsid w:val="00197D87"/>
    <w:rsid w:val="00197E1B"/>
    <w:rsid w:val="001A0508"/>
    <w:rsid w:val="001A05C5"/>
    <w:rsid w:val="001A082E"/>
    <w:rsid w:val="001A0891"/>
    <w:rsid w:val="001A0EDB"/>
    <w:rsid w:val="001A11D8"/>
    <w:rsid w:val="001A15E6"/>
    <w:rsid w:val="001A1982"/>
    <w:rsid w:val="001A1B97"/>
    <w:rsid w:val="001A2023"/>
    <w:rsid w:val="001A2086"/>
    <w:rsid w:val="001A2A3F"/>
    <w:rsid w:val="001A2A62"/>
    <w:rsid w:val="001A313A"/>
    <w:rsid w:val="001A37ED"/>
    <w:rsid w:val="001A3D85"/>
    <w:rsid w:val="001A3E9A"/>
    <w:rsid w:val="001A421D"/>
    <w:rsid w:val="001A44EC"/>
    <w:rsid w:val="001A4DB7"/>
    <w:rsid w:val="001A5669"/>
    <w:rsid w:val="001A5C47"/>
    <w:rsid w:val="001A620D"/>
    <w:rsid w:val="001A6D2F"/>
    <w:rsid w:val="001A7509"/>
    <w:rsid w:val="001B07C6"/>
    <w:rsid w:val="001B0FFB"/>
    <w:rsid w:val="001B11DB"/>
    <w:rsid w:val="001B1D09"/>
    <w:rsid w:val="001B1FEC"/>
    <w:rsid w:val="001B22FC"/>
    <w:rsid w:val="001B3545"/>
    <w:rsid w:val="001B39FE"/>
    <w:rsid w:val="001B40A1"/>
    <w:rsid w:val="001B44DC"/>
    <w:rsid w:val="001B45FC"/>
    <w:rsid w:val="001B49BF"/>
    <w:rsid w:val="001B4DDE"/>
    <w:rsid w:val="001B5544"/>
    <w:rsid w:val="001B573F"/>
    <w:rsid w:val="001B58AA"/>
    <w:rsid w:val="001B5EA4"/>
    <w:rsid w:val="001B6288"/>
    <w:rsid w:val="001B6AD3"/>
    <w:rsid w:val="001B6D3E"/>
    <w:rsid w:val="001B6FDC"/>
    <w:rsid w:val="001B7327"/>
    <w:rsid w:val="001B74C2"/>
    <w:rsid w:val="001B7E48"/>
    <w:rsid w:val="001C061F"/>
    <w:rsid w:val="001C07D5"/>
    <w:rsid w:val="001C151B"/>
    <w:rsid w:val="001C17CE"/>
    <w:rsid w:val="001C1CB2"/>
    <w:rsid w:val="001C1FF8"/>
    <w:rsid w:val="001C2BD5"/>
    <w:rsid w:val="001C2E82"/>
    <w:rsid w:val="001C2F76"/>
    <w:rsid w:val="001C36CA"/>
    <w:rsid w:val="001C3D7E"/>
    <w:rsid w:val="001C411D"/>
    <w:rsid w:val="001C44D1"/>
    <w:rsid w:val="001C4877"/>
    <w:rsid w:val="001C4D88"/>
    <w:rsid w:val="001C50B0"/>
    <w:rsid w:val="001C55C0"/>
    <w:rsid w:val="001C58F2"/>
    <w:rsid w:val="001C6465"/>
    <w:rsid w:val="001C6AEE"/>
    <w:rsid w:val="001C6C45"/>
    <w:rsid w:val="001C7625"/>
    <w:rsid w:val="001C7630"/>
    <w:rsid w:val="001C7813"/>
    <w:rsid w:val="001D0B7F"/>
    <w:rsid w:val="001D0BA7"/>
    <w:rsid w:val="001D0EEA"/>
    <w:rsid w:val="001D1931"/>
    <w:rsid w:val="001D2C94"/>
    <w:rsid w:val="001D3275"/>
    <w:rsid w:val="001D4560"/>
    <w:rsid w:val="001D4634"/>
    <w:rsid w:val="001D496D"/>
    <w:rsid w:val="001D4987"/>
    <w:rsid w:val="001D4BD8"/>
    <w:rsid w:val="001D4C52"/>
    <w:rsid w:val="001D51AD"/>
    <w:rsid w:val="001D58D8"/>
    <w:rsid w:val="001D5BFD"/>
    <w:rsid w:val="001D6164"/>
    <w:rsid w:val="001D64D0"/>
    <w:rsid w:val="001D69E3"/>
    <w:rsid w:val="001D6C97"/>
    <w:rsid w:val="001D6D15"/>
    <w:rsid w:val="001E12CE"/>
    <w:rsid w:val="001E1862"/>
    <w:rsid w:val="001E1886"/>
    <w:rsid w:val="001E21DE"/>
    <w:rsid w:val="001E2E3D"/>
    <w:rsid w:val="001E35AB"/>
    <w:rsid w:val="001E372E"/>
    <w:rsid w:val="001E3B76"/>
    <w:rsid w:val="001E3E5E"/>
    <w:rsid w:val="001E468D"/>
    <w:rsid w:val="001E4794"/>
    <w:rsid w:val="001E4A23"/>
    <w:rsid w:val="001E5008"/>
    <w:rsid w:val="001E52A3"/>
    <w:rsid w:val="001E59DA"/>
    <w:rsid w:val="001E5BEC"/>
    <w:rsid w:val="001E5D7A"/>
    <w:rsid w:val="001E644D"/>
    <w:rsid w:val="001E688D"/>
    <w:rsid w:val="001E6EC9"/>
    <w:rsid w:val="001E7038"/>
    <w:rsid w:val="001E7489"/>
    <w:rsid w:val="001E7E04"/>
    <w:rsid w:val="001F088C"/>
    <w:rsid w:val="001F09B0"/>
    <w:rsid w:val="001F0A8D"/>
    <w:rsid w:val="001F20D5"/>
    <w:rsid w:val="001F2241"/>
    <w:rsid w:val="001F29CB"/>
    <w:rsid w:val="001F32DB"/>
    <w:rsid w:val="001F3F71"/>
    <w:rsid w:val="001F47DD"/>
    <w:rsid w:val="001F4EBC"/>
    <w:rsid w:val="001F573D"/>
    <w:rsid w:val="001F5748"/>
    <w:rsid w:val="001F57AD"/>
    <w:rsid w:val="001F58B7"/>
    <w:rsid w:val="001F58EA"/>
    <w:rsid w:val="001F5E82"/>
    <w:rsid w:val="001F6074"/>
    <w:rsid w:val="001F6746"/>
    <w:rsid w:val="001F6850"/>
    <w:rsid w:val="001F6B42"/>
    <w:rsid w:val="001F6C47"/>
    <w:rsid w:val="001F6FA8"/>
    <w:rsid w:val="001F7037"/>
    <w:rsid w:val="001F7513"/>
    <w:rsid w:val="001F7558"/>
    <w:rsid w:val="001F772C"/>
    <w:rsid w:val="001F7CFD"/>
    <w:rsid w:val="0020001F"/>
    <w:rsid w:val="00200210"/>
    <w:rsid w:val="002006FB"/>
    <w:rsid w:val="00200A2F"/>
    <w:rsid w:val="00200C56"/>
    <w:rsid w:val="00200CC2"/>
    <w:rsid w:val="00200E46"/>
    <w:rsid w:val="00201036"/>
    <w:rsid w:val="00201123"/>
    <w:rsid w:val="0020164D"/>
    <w:rsid w:val="00201735"/>
    <w:rsid w:val="00201BA9"/>
    <w:rsid w:val="00201D23"/>
    <w:rsid w:val="0020287D"/>
    <w:rsid w:val="00202F98"/>
    <w:rsid w:val="0020340F"/>
    <w:rsid w:val="00203BC5"/>
    <w:rsid w:val="00203CA5"/>
    <w:rsid w:val="002042AB"/>
    <w:rsid w:val="0020461F"/>
    <w:rsid w:val="002048BC"/>
    <w:rsid w:val="0020508A"/>
    <w:rsid w:val="00205222"/>
    <w:rsid w:val="0020559B"/>
    <w:rsid w:val="00205B57"/>
    <w:rsid w:val="002064D8"/>
    <w:rsid w:val="002064FE"/>
    <w:rsid w:val="002065B3"/>
    <w:rsid w:val="00207543"/>
    <w:rsid w:val="00207EEE"/>
    <w:rsid w:val="0021000A"/>
    <w:rsid w:val="002107C0"/>
    <w:rsid w:val="00210DC2"/>
    <w:rsid w:val="00211A08"/>
    <w:rsid w:val="002125CB"/>
    <w:rsid w:val="002128D7"/>
    <w:rsid w:val="00212CB5"/>
    <w:rsid w:val="00212D44"/>
    <w:rsid w:val="00212D9B"/>
    <w:rsid w:val="00212DA8"/>
    <w:rsid w:val="0021356E"/>
    <w:rsid w:val="0021376B"/>
    <w:rsid w:val="00213893"/>
    <w:rsid w:val="00213A39"/>
    <w:rsid w:val="00213E59"/>
    <w:rsid w:val="002146D6"/>
    <w:rsid w:val="00214ABD"/>
    <w:rsid w:val="00214B0C"/>
    <w:rsid w:val="00214BF4"/>
    <w:rsid w:val="00214DE1"/>
    <w:rsid w:val="00215046"/>
    <w:rsid w:val="002153C8"/>
    <w:rsid w:val="002154D9"/>
    <w:rsid w:val="002157E0"/>
    <w:rsid w:val="00215A55"/>
    <w:rsid w:val="00216190"/>
    <w:rsid w:val="00216381"/>
    <w:rsid w:val="002168BA"/>
    <w:rsid w:val="002169DF"/>
    <w:rsid w:val="00216A57"/>
    <w:rsid w:val="00216C04"/>
    <w:rsid w:val="0021769F"/>
    <w:rsid w:val="00217C90"/>
    <w:rsid w:val="002202B9"/>
    <w:rsid w:val="0022040D"/>
    <w:rsid w:val="0022051E"/>
    <w:rsid w:val="0022085A"/>
    <w:rsid w:val="00220D12"/>
    <w:rsid w:val="00221083"/>
    <w:rsid w:val="0022177D"/>
    <w:rsid w:val="00221B8C"/>
    <w:rsid w:val="00221C62"/>
    <w:rsid w:val="00221EC1"/>
    <w:rsid w:val="00223245"/>
    <w:rsid w:val="0022334F"/>
    <w:rsid w:val="0022367D"/>
    <w:rsid w:val="00223896"/>
    <w:rsid w:val="00223D7E"/>
    <w:rsid w:val="0022407C"/>
    <w:rsid w:val="002242ED"/>
    <w:rsid w:val="00224863"/>
    <w:rsid w:val="00224AA2"/>
    <w:rsid w:val="00225138"/>
    <w:rsid w:val="0022535C"/>
    <w:rsid w:val="002255CC"/>
    <w:rsid w:val="00225A35"/>
    <w:rsid w:val="00225D67"/>
    <w:rsid w:val="00225F8A"/>
    <w:rsid w:val="002263F2"/>
    <w:rsid w:val="00226540"/>
    <w:rsid w:val="00226758"/>
    <w:rsid w:val="00226819"/>
    <w:rsid w:val="00226C39"/>
    <w:rsid w:val="00226DD8"/>
    <w:rsid w:val="00226EFC"/>
    <w:rsid w:val="002270C9"/>
    <w:rsid w:val="00227815"/>
    <w:rsid w:val="002304AA"/>
    <w:rsid w:val="0023075C"/>
    <w:rsid w:val="00230B18"/>
    <w:rsid w:val="00230B1E"/>
    <w:rsid w:val="00231675"/>
    <w:rsid w:val="00231A54"/>
    <w:rsid w:val="00231AEF"/>
    <w:rsid w:val="00231B09"/>
    <w:rsid w:val="0023213C"/>
    <w:rsid w:val="00232759"/>
    <w:rsid w:val="0023278F"/>
    <w:rsid w:val="00232A6B"/>
    <w:rsid w:val="00232B3E"/>
    <w:rsid w:val="00232FCA"/>
    <w:rsid w:val="00233101"/>
    <w:rsid w:val="002332C1"/>
    <w:rsid w:val="00233817"/>
    <w:rsid w:val="00233A09"/>
    <w:rsid w:val="00233EAF"/>
    <w:rsid w:val="00233F95"/>
    <w:rsid w:val="00234E12"/>
    <w:rsid w:val="00235341"/>
    <w:rsid w:val="0023642D"/>
    <w:rsid w:val="002364F9"/>
    <w:rsid w:val="00236514"/>
    <w:rsid w:val="002367FF"/>
    <w:rsid w:val="002373B1"/>
    <w:rsid w:val="0023770F"/>
    <w:rsid w:val="002378A8"/>
    <w:rsid w:val="00237A54"/>
    <w:rsid w:val="0024037E"/>
    <w:rsid w:val="00240626"/>
    <w:rsid w:val="00240C77"/>
    <w:rsid w:val="00240CE9"/>
    <w:rsid w:val="00240F04"/>
    <w:rsid w:val="00241CB2"/>
    <w:rsid w:val="00241CB9"/>
    <w:rsid w:val="00241E89"/>
    <w:rsid w:val="00242D88"/>
    <w:rsid w:val="00243453"/>
    <w:rsid w:val="002434BA"/>
    <w:rsid w:val="00243534"/>
    <w:rsid w:val="00243804"/>
    <w:rsid w:val="002448C3"/>
    <w:rsid w:val="002448EB"/>
    <w:rsid w:val="00244E2A"/>
    <w:rsid w:val="00245D05"/>
    <w:rsid w:val="00245D10"/>
    <w:rsid w:val="00246089"/>
    <w:rsid w:val="00246093"/>
    <w:rsid w:val="002460FF"/>
    <w:rsid w:val="00246702"/>
    <w:rsid w:val="00246A5E"/>
    <w:rsid w:val="00246EE9"/>
    <w:rsid w:val="00247553"/>
    <w:rsid w:val="00247C59"/>
    <w:rsid w:val="00247E3C"/>
    <w:rsid w:val="00247F2E"/>
    <w:rsid w:val="0025052E"/>
    <w:rsid w:val="002509B8"/>
    <w:rsid w:val="002509D4"/>
    <w:rsid w:val="00250A5F"/>
    <w:rsid w:val="00250ADC"/>
    <w:rsid w:val="00250B07"/>
    <w:rsid w:val="002523A4"/>
    <w:rsid w:val="00252669"/>
    <w:rsid w:val="00252688"/>
    <w:rsid w:val="00252722"/>
    <w:rsid w:val="00252E7D"/>
    <w:rsid w:val="002533BB"/>
    <w:rsid w:val="002533F6"/>
    <w:rsid w:val="0025366A"/>
    <w:rsid w:val="0025390B"/>
    <w:rsid w:val="00253F00"/>
    <w:rsid w:val="002540DA"/>
    <w:rsid w:val="00254DE3"/>
    <w:rsid w:val="00254E01"/>
    <w:rsid w:val="00255F09"/>
    <w:rsid w:val="00256399"/>
    <w:rsid w:val="00257553"/>
    <w:rsid w:val="0025774B"/>
    <w:rsid w:val="00257D87"/>
    <w:rsid w:val="00257E0A"/>
    <w:rsid w:val="00257FCC"/>
    <w:rsid w:val="00257FF2"/>
    <w:rsid w:val="002600A8"/>
    <w:rsid w:val="002601B5"/>
    <w:rsid w:val="0026045A"/>
    <w:rsid w:val="002604A9"/>
    <w:rsid w:val="0026061A"/>
    <w:rsid w:val="00260626"/>
    <w:rsid w:val="00260A2F"/>
    <w:rsid w:val="00260B51"/>
    <w:rsid w:val="00260C3D"/>
    <w:rsid w:val="00260E07"/>
    <w:rsid w:val="00260FB2"/>
    <w:rsid w:val="00261425"/>
    <w:rsid w:val="00261BFF"/>
    <w:rsid w:val="00262128"/>
    <w:rsid w:val="002623EB"/>
    <w:rsid w:val="00262448"/>
    <w:rsid w:val="002624CE"/>
    <w:rsid w:val="002626AE"/>
    <w:rsid w:val="002638C1"/>
    <w:rsid w:val="00264228"/>
    <w:rsid w:val="00264774"/>
    <w:rsid w:val="0026497F"/>
    <w:rsid w:val="00264CB7"/>
    <w:rsid w:val="00264E7A"/>
    <w:rsid w:val="00265085"/>
    <w:rsid w:val="00265198"/>
    <w:rsid w:val="002651FF"/>
    <w:rsid w:val="00265DF9"/>
    <w:rsid w:val="00266539"/>
    <w:rsid w:val="0026693B"/>
    <w:rsid w:val="002669FF"/>
    <w:rsid w:val="00266C96"/>
    <w:rsid w:val="00266D01"/>
    <w:rsid w:val="002675AA"/>
    <w:rsid w:val="00270045"/>
    <w:rsid w:val="002702FD"/>
    <w:rsid w:val="00270744"/>
    <w:rsid w:val="002707A2"/>
    <w:rsid w:val="002707FD"/>
    <w:rsid w:val="00270DDC"/>
    <w:rsid w:val="00271041"/>
    <w:rsid w:val="002710CA"/>
    <w:rsid w:val="002713C6"/>
    <w:rsid w:val="0027165D"/>
    <w:rsid w:val="00271D6F"/>
    <w:rsid w:val="002727C6"/>
    <w:rsid w:val="002729D9"/>
    <w:rsid w:val="00272B7B"/>
    <w:rsid w:val="0027341F"/>
    <w:rsid w:val="0027359C"/>
    <w:rsid w:val="0027369B"/>
    <w:rsid w:val="002736FE"/>
    <w:rsid w:val="002737EE"/>
    <w:rsid w:val="00273C3F"/>
    <w:rsid w:val="00273CEB"/>
    <w:rsid w:val="00274086"/>
    <w:rsid w:val="002740D3"/>
    <w:rsid w:val="00274E10"/>
    <w:rsid w:val="00274F14"/>
    <w:rsid w:val="00275962"/>
    <w:rsid w:val="002764CA"/>
    <w:rsid w:val="00276632"/>
    <w:rsid w:val="00276A4E"/>
    <w:rsid w:val="00276C35"/>
    <w:rsid w:val="00276F16"/>
    <w:rsid w:val="00277285"/>
    <w:rsid w:val="00277722"/>
    <w:rsid w:val="00277F3C"/>
    <w:rsid w:val="002807B7"/>
    <w:rsid w:val="00280838"/>
    <w:rsid w:val="00280FBA"/>
    <w:rsid w:val="00281272"/>
    <w:rsid w:val="00281A54"/>
    <w:rsid w:val="00281C89"/>
    <w:rsid w:val="00282179"/>
    <w:rsid w:val="00282346"/>
    <w:rsid w:val="00282804"/>
    <w:rsid w:val="0028282F"/>
    <w:rsid w:val="00282985"/>
    <w:rsid w:val="00282CA4"/>
    <w:rsid w:val="00282F31"/>
    <w:rsid w:val="00283B2F"/>
    <w:rsid w:val="00284894"/>
    <w:rsid w:val="002850B2"/>
    <w:rsid w:val="00285871"/>
    <w:rsid w:val="00286114"/>
    <w:rsid w:val="002868A0"/>
    <w:rsid w:val="002869C5"/>
    <w:rsid w:val="00287ABE"/>
    <w:rsid w:val="00290466"/>
    <w:rsid w:val="00290C57"/>
    <w:rsid w:val="0029133C"/>
    <w:rsid w:val="00291647"/>
    <w:rsid w:val="002916B4"/>
    <w:rsid w:val="00291B74"/>
    <w:rsid w:val="00291FF9"/>
    <w:rsid w:val="002928B0"/>
    <w:rsid w:val="002929AC"/>
    <w:rsid w:val="00292B6F"/>
    <w:rsid w:val="00292EFD"/>
    <w:rsid w:val="00292F33"/>
    <w:rsid w:val="0029306A"/>
    <w:rsid w:val="0029309B"/>
    <w:rsid w:val="0029336F"/>
    <w:rsid w:val="002935D7"/>
    <w:rsid w:val="00293821"/>
    <w:rsid w:val="00293A26"/>
    <w:rsid w:val="0029440A"/>
    <w:rsid w:val="00294CEE"/>
    <w:rsid w:val="0029583E"/>
    <w:rsid w:val="0029593B"/>
    <w:rsid w:val="00295AAA"/>
    <w:rsid w:val="00295FDE"/>
    <w:rsid w:val="00296DF6"/>
    <w:rsid w:val="0029707C"/>
    <w:rsid w:val="002970F9"/>
    <w:rsid w:val="00297165"/>
    <w:rsid w:val="0029753E"/>
    <w:rsid w:val="00297DAF"/>
    <w:rsid w:val="00297F91"/>
    <w:rsid w:val="00297FC5"/>
    <w:rsid w:val="002A0033"/>
    <w:rsid w:val="002A0417"/>
    <w:rsid w:val="002A0948"/>
    <w:rsid w:val="002A0C13"/>
    <w:rsid w:val="002A1040"/>
    <w:rsid w:val="002A1117"/>
    <w:rsid w:val="002A11A2"/>
    <w:rsid w:val="002A15C0"/>
    <w:rsid w:val="002A16D8"/>
    <w:rsid w:val="002A187A"/>
    <w:rsid w:val="002A1BC8"/>
    <w:rsid w:val="002A1BCA"/>
    <w:rsid w:val="002A1C51"/>
    <w:rsid w:val="002A2A5F"/>
    <w:rsid w:val="002A2C40"/>
    <w:rsid w:val="002A2F09"/>
    <w:rsid w:val="002A2FF5"/>
    <w:rsid w:val="002A387D"/>
    <w:rsid w:val="002A389D"/>
    <w:rsid w:val="002A3A33"/>
    <w:rsid w:val="002A3A4D"/>
    <w:rsid w:val="002A3EF2"/>
    <w:rsid w:val="002A44CC"/>
    <w:rsid w:val="002A4E83"/>
    <w:rsid w:val="002A576F"/>
    <w:rsid w:val="002A5DD8"/>
    <w:rsid w:val="002A674C"/>
    <w:rsid w:val="002A6798"/>
    <w:rsid w:val="002A6BA7"/>
    <w:rsid w:val="002A6BF3"/>
    <w:rsid w:val="002A7815"/>
    <w:rsid w:val="002A7816"/>
    <w:rsid w:val="002B00EF"/>
    <w:rsid w:val="002B0258"/>
    <w:rsid w:val="002B057D"/>
    <w:rsid w:val="002B0643"/>
    <w:rsid w:val="002B0DED"/>
    <w:rsid w:val="002B16E9"/>
    <w:rsid w:val="002B17EC"/>
    <w:rsid w:val="002B19A2"/>
    <w:rsid w:val="002B1B85"/>
    <w:rsid w:val="002B1C6A"/>
    <w:rsid w:val="002B249D"/>
    <w:rsid w:val="002B381A"/>
    <w:rsid w:val="002B3B81"/>
    <w:rsid w:val="002B457B"/>
    <w:rsid w:val="002B4FCC"/>
    <w:rsid w:val="002B540A"/>
    <w:rsid w:val="002B5F9C"/>
    <w:rsid w:val="002B615B"/>
    <w:rsid w:val="002B6682"/>
    <w:rsid w:val="002B6CC3"/>
    <w:rsid w:val="002B73A5"/>
    <w:rsid w:val="002B7408"/>
    <w:rsid w:val="002B740A"/>
    <w:rsid w:val="002B75D7"/>
    <w:rsid w:val="002B7601"/>
    <w:rsid w:val="002B7C28"/>
    <w:rsid w:val="002B7CFD"/>
    <w:rsid w:val="002C0295"/>
    <w:rsid w:val="002C0914"/>
    <w:rsid w:val="002C0AEE"/>
    <w:rsid w:val="002C0B91"/>
    <w:rsid w:val="002C0BF0"/>
    <w:rsid w:val="002C1407"/>
    <w:rsid w:val="002C167B"/>
    <w:rsid w:val="002C1D25"/>
    <w:rsid w:val="002C210F"/>
    <w:rsid w:val="002C275B"/>
    <w:rsid w:val="002C2EA4"/>
    <w:rsid w:val="002C3345"/>
    <w:rsid w:val="002C4773"/>
    <w:rsid w:val="002C5930"/>
    <w:rsid w:val="002C6352"/>
    <w:rsid w:val="002C672E"/>
    <w:rsid w:val="002C73C9"/>
    <w:rsid w:val="002C7811"/>
    <w:rsid w:val="002C7AC1"/>
    <w:rsid w:val="002C7F8E"/>
    <w:rsid w:val="002D0980"/>
    <w:rsid w:val="002D17D8"/>
    <w:rsid w:val="002D1A8F"/>
    <w:rsid w:val="002D1F5F"/>
    <w:rsid w:val="002D1FAD"/>
    <w:rsid w:val="002D2154"/>
    <w:rsid w:val="002D2627"/>
    <w:rsid w:val="002D2E6B"/>
    <w:rsid w:val="002D35B5"/>
    <w:rsid w:val="002D3600"/>
    <w:rsid w:val="002D3924"/>
    <w:rsid w:val="002D3E3C"/>
    <w:rsid w:val="002D42CA"/>
    <w:rsid w:val="002D491C"/>
    <w:rsid w:val="002D4CFC"/>
    <w:rsid w:val="002D58B2"/>
    <w:rsid w:val="002D5A5A"/>
    <w:rsid w:val="002D5C69"/>
    <w:rsid w:val="002D5CAD"/>
    <w:rsid w:val="002D6C15"/>
    <w:rsid w:val="002D761D"/>
    <w:rsid w:val="002E077D"/>
    <w:rsid w:val="002E0865"/>
    <w:rsid w:val="002E08C5"/>
    <w:rsid w:val="002E12A9"/>
    <w:rsid w:val="002E1640"/>
    <w:rsid w:val="002E1998"/>
    <w:rsid w:val="002E1E82"/>
    <w:rsid w:val="002E1F06"/>
    <w:rsid w:val="002E222E"/>
    <w:rsid w:val="002E22AD"/>
    <w:rsid w:val="002E2B5B"/>
    <w:rsid w:val="002E2E93"/>
    <w:rsid w:val="002E3341"/>
    <w:rsid w:val="002E3928"/>
    <w:rsid w:val="002E39F2"/>
    <w:rsid w:val="002E3BB1"/>
    <w:rsid w:val="002E3DAA"/>
    <w:rsid w:val="002E3FDF"/>
    <w:rsid w:val="002E4237"/>
    <w:rsid w:val="002E43C1"/>
    <w:rsid w:val="002E44C6"/>
    <w:rsid w:val="002E46A1"/>
    <w:rsid w:val="002E4A82"/>
    <w:rsid w:val="002E4DDC"/>
    <w:rsid w:val="002E5420"/>
    <w:rsid w:val="002E5707"/>
    <w:rsid w:val="002E5946"/>
    <w:rsid w:val="002E59BD"/>
    <w:rsid w:val="002E6B21"/>
    <w:rsid w:val="002E6BA4"/>
    <w:rsid w:val="002E725F"/>
    <w:rsid w:val="002E72A4"/>
    <w:rsid w:val="002E7CDC"/>
    <w:rsid w:val="002F0E53"/>
    <w:rsid w:val="002F125A"/>
    <w:rsid w:val="002F13E1"/>
    <w:rsid w:val="002F19A5"/>
    <w:rsid w:val="002F230A"/>
    <w:rsid w:val="002F2BC1"/>
    <w:rsid w:val="002F339B"/>
    <w:rsid w:val="002F33E2"/>
    <w:rsid w:val="002F348E"/>
    <w:rsid w:val="002F3C25"/>
    <w:rsid w:val="002F3D46"/>
    <w:rsid w:val="002F48C8"/>
    <w:rsid w:val="002F4B36"/>
    <w:rsid w:val="002F516C"/>
    <w:rsid w:val="002F57EA"/>
    <w:rsid w:val="002F5907"/>
    <w:rsid w:val="002F64EC"/>
    <w:rsid w:val="002F6520"/>
    <w:rsid w:val="002F6902"/>
    <w:rsid w:val="002F6F9B"/>
    <w:rsid w:val="002F72AD"/>
    <w:rsid w:val="002F735B"/>
    <w:rsid w:val="00300289"/>
    <w:rsid w:val="0030075E"/>
    <w:rsid w:val="00301AA3"/>
    <w:rsid w:val="00302253"/>
    <w:rsid w:val="00302480"/>
    <w:rsid w:val="003024E4"/>
    <w:rsid w:val="00302B60"/>
    <w:rsid w:val="0030302B"/>
    <w:rsid w:val="003035C9"/>
    <w:rsid w:val="00303FD5"/>
    <w:rsid w:val="00304397"/>
    <w:rsid w:val="00304DCC"/>
    <w:rsid w:val="00304E2E"/>
    <w:rsid w:val="0030517E"/>
    <w:rsid w:val="003055AC"/>
    <w:rsid w:val="003059AF"/>
    <w:rsid w:val="00305A45"/>
    <w:rsid w:val="00306881"/>
    <w:rsid w:val="00307544"/>
    <w:rsid w:val="003078A3"/>
    <w:rsid w:val="00307990"/>
    <w:rsid w:val="00307A75"/>
    <w:rsid w:val="00307CE9"/>
    <w:rsid w:val="00310631"/>
    <w:rsid w:val="003108E8"/>
    <w:rsid w:val="00310B24"/>
    <w:rsid w:val="00310BB1"/>
    <w:rsid w:val="00310C89"/>
    <w:rsid w:val="00310D69"/>
    <w:rsid w:val="00310E0E"/>
    <w:rsid w:val="0031114B"/>
    <w:rsid w:val="0031120A"/>
    <w:rsid w:val="0031160C"/>
    <w:rsid w:val="003116F7"/>
    <w:rsid w:val="003121C2"/>
    <w:rsid w:val="003122F7"/>
    <w:rsid w:val="003129AA"/>
    <w:rsid w:val="00314001"/>
    <w:rsid w:val="0031402D"/>
    <w:rsid w:val="0031440E"/>
    <w:rsid w:val="00314B3C"/>
    <w:rsid w:val="00314E09"/>
    <w:rsid w:val="003152F3"/>
    <w:rsid w:val="00315473"/>
    <w:rsid w:val="00315923"/>
    <w:rsid w:val="00315DC4"/>
    <w:rsid w:val="00316068"/>
    <w:rsid w:val="003160A4"/>
    <w:rsid w:val="003165E6"/>
    <w:rsid w:val="003168CF"/>
    <w:rsid w:val="00316982"/>
    <w:rsid w:val="00316E7C"/>
    <w:rsid w:val="00317609"/>
    <w:rsid w:val="003176A4"/>
    <w:rsid w:val="00320723"/>
    <w:rsid w:val="00320F57"/>
    <w:rsid w:val="003218B9"/>
    <w:rsid w:val="003221CF"/>
    <w:rsid w:val="003223A3"/>
    <w:rsid w:val="003230CA"/>
    <w:rsid w:val="003233ED"/>
    <w:rsid w:val="003237F4"/>
    <w:rsid w:val="00323A99"/>
    <w:rsid w:val="00323D27"/>
    <w:rsid w:val="0032407C"/>
    <w:rsid w:val="003246AF"/>
    <w:rsid w:val="00324D9F"/>
    <w:rsid w:val="00324FEF"/>
    <w:rsid w:val="0032504C"/>
    <w:rsid w:val="0032534C"/>
    <w:rsid w:val="0032558A"/>
    <w:rsid w:val="00326508"/>
    <w:rsid w:val="0032676C"/>
    <w:rsid w:val="00326874"/>
    <w:rsid w:val="00326D83"/>
    <w:rsid w:val="00326F34"/>
    <w:rsid w:val="003272E9"/>
    <w:rsid w:val="003276EC"/>
    <w:rsid w:val="00327948"/>
    <w:rsid w:val="00327F36"/>
    <w:rsid w:val="0033000F"/>
    <w:rsid w:val="00330299"/>
    <w:rsid w:val="003308D4"/>
    <w:rsid w:val="00330BF4"/>
    <w:rsid w:val="00330F20"/>
    <w:rsid w:val="003310E3"/>
    <w:rsid w:val="003311F4"/>
    <w:rsid w:val="00332011"/>
    <w:rsid w:val="00332518"/>
    <w:rsid w:val="00332925"/>
    <w:rsid w:val="00332D87"/>
    <w:rsid w:val="00332EAA"/>
    <w:rsid w:val="00333159"/>
    <w:rsid w:val="003332ED"/>
    <w:rsid w:val="0033349E"/>
    <w:rsid w:val="00333791"/>
    <w:rsid w:val="00333FA6"/>
    <w:rsid w:val="0033445A"/>
    <w:rsid w:val="00334AD5"/>
    <w:rsid w:val="00334FD1"/>
    <w:rsid w:val="0033501C"/>
    <w:rsid w:val="00336128"/>
    <w:rsid w:val="003368DC"/>
    <w:rsid w:val="00336F88"/>
    <w:rsid w:val="0033704D"/>
    <w:rsid w:val="00337112"/>
    <w:rsid w:val="0033757A"/>
    <w:rsid w:val="00337DC9"/>
    <w:rsid w:val="00337F6B"/>
    <w:rsid w:val="00340B46"/>
    <w:rsid w:val="00340D0E"/>
    <w:rsid w:val="00341377"/>
    <w:rsid w:val="00341968"/>
    <w:rsid w:val="00341C26"/>
    <w:rsid w:val="003421A6"/>
    <w:rsid w:val="00342453"/>
    <w:rsid w:val="00342515"/>
    <w:rsid w:val="00342829"/>
    <w:rsid w:val="003435AF"/>
    <w:rsid w:val="003436A3"/>
    <w:rsid w:val="00343997"/>
    <w:rsid w:val="00343AC5"/>
    <w:rsid w:val="00344132"/>
    <w:rsid w:val="0034430C"/>
    <w:rsid w:val="00344410"/>
    <w:rsid w:val="00344950"/>
    <w:rsid w:val="00344DD1"/>
    <w:rsid w:val="00345084"/>
    <w:rsid w:val="003457A5"/>
    <w:rsid w:val="003458B1"/>
    <w:rsid w:val="00345927"/>
    <w:rsid w:val="0034616C"/>
    <w:rsid w:val="00346AE9"/>
    <w:rsid w:val="003473DE"/>
    <w:rsid w:val="00347772"/>
    <w:rsid w:val="00347DDA"/>
    <w:rsid w:val="00350103"/>
    <w:rsid w:val="003503F4"/>
    <w:rsid w:val="00350584"/>
    <w:rsid w:val="0035101F"/>
    <w:rsid w:val="003510C1"/>
    <w:rsid w:val="003515B6"/>
    <w:rsid w:val="00351857"/>
    <w:rsid w:val="00351BD5"/>
    <w:rsid w:val="003521CF"/>
    <w:rsid w:val="003529A9"/>
    <w:rsid w:val="00353297"/>
    <w:rsid w:val="00353833"/>
    <w:rsid w:val="00353CB3"/>
    <w:rsid w:val="00353DB5"/>
    <w:rsid w:val="00353F48"/>
    <w:rsid w:val="00353F69"/>
    <w:rsid w:val="00356244"/>
    <w:rsid w:val="00356341"/>
    <w:rsid w:val="00356B74"/>
    <w:rsid w:val="00356E71"/>
    <w:rsid w:val="0035716D"/>
    <w:rsid w:val="003572F6"/>
    <w:rsid w:val="00357365"/>
    <w:rsid w:val="0035762A"/>
    <w:rsid w:val="00360148"/>
    <w:rsid w:val="0036053B"/>
    <w:rsid w:val="00360590"/>
    <w:rsid w:val="0036074E"/>
    <w:rsid w:val="003609FE"/>
    <w:rsid w:val="00360C8C"/>
    <w:rsid w:val="00360E7F"/>
    <w:rsid w:val="00360F37"/>
    <w:rsid w:val="003610E1"/>
    <w:rsid w:val="00361728"/>
    <w:rsid w:val="00361C84"/>
    <w:rsid w:val="00362031"/>
    <w:rsid w:val="003625FE"/>
    <w:rsid w:val="003628EC"/>
    <w:rsid w:val="00362A54"/>
    <w:rsid w:val="00362C1B"/>
    <w:rsid w:val="0036317C"/>
    <w:rsid w:val="00363C92"/>
    <w:rsid w:val="00363C9F"/>
    <w:rsid w:val="00364D41"/>
    <w:rsid w:val="00365486"/>
    <w:rsid w:val="003662F4"/>
    <w:rsid w:val="00366391"/>
    <w:rsid w:val="00366695"/>
    <w:rsid w:val="00366C8D"/>
    <w:rsid w:val="00366D10"/>
    <w:rsid w:val="00366FA7"/>
    <w:rsid w:val="003671BE"/>
    <w:rsid w:val="00367A31"/>
    <w:rsid w:val="00367BF8"/>
    <w:rsid w:val="00367D4F"/>
    <w:rsid w:val="00367EDA"/>
    <w:rsid w:val="0037068F"/>
    <w:rsid w:val="0037070E"/>
    <w:rsid w:val="00370A93"/>
    <w:rsid w:val="00370B83"/>
    <w:rsid w:val="00370EF4"/>
    <w:rsid w:val="00371D98"/>
    <w:rsid w:val="00372395"/>
    <w:rsid w:val="00372485"/>
    <w:rsid w:val="00372514"/>
    <w:rsid w:val="00372584"/>
    <w:rsid w:val="003725FC"/>
    <w:rsid w:val="003725FD"/>
    <w:rsid w:val="00372853"/>
    <w:rsid w:val="00372CC4"/>
    <w:rsid w:val="00373200"/>
    <w:rsid w:val="00373553"/>
    <w:rsid w:val="00374311"/>
    <w:rsid w:val="003744A8"/>
    <w:rsid w:val="003745B8"/>
    <w:rsid w:val="0037473E"/>
    <w:rsid w:val="00374767"/>
    <w:rsid w:val="00374ED3"/>
    <w:rsid w:val="003751CF"/>
    <w:rsid w:val="00375697"/>
    <w:rsid w:val="0037579C"/>
    <w:rsid w:val="003757FD"/>
    <w:rsid w:val="00375871"/>
    <w:rsid w:val="00375BA8"/>
    <w:rsid w:val="00375BFB"/>
    <w:rsid w:val="00375EF5"/>
    <w:rsid w:val="00375FBC"/>
    <w:rsid w:val="00375FC5"/>
    <w:rsid w:val="00375FFA"/>
    <w:rsid w:val="00376050"/>
    <w:rsid w:val="00376210"/>
    <w:rsid w:val="003763EB"/>
    <w:rsid w:val="003767A5"/>
    <w:rsid w:val="00376962"/>
    <w:rsid w:val="003769E4"/>
    <w:rsid w:val="00376CF2"/>
    <w:rsid w:val="003779DC"/>
    <w:rsid w:val="00377A70"/>
    <w:rsid w:val="00380089"/>
    <w:rsid w:val="0038016B"/>
    <w:rsid w:val="00380A9E"/>
    <w:rsid w:val="00381593"/>
    <w:rsid w:val="00381B02"/>
    <w:rsid w:val="003826B2"/>
    <w:rsid w:val="00382BF9"/>
    <w:rsid w:val="00384240"/>
    <w:rsid w:val="0038486E"/>
    <w:rsid w:val="003850CB"/>
    <w:rsid w:val="003850DA"/>
    <w:rsid w:val="00385150"/>
    <w:rsid w:val="00385254"/>
    <w:rsid w:val="00385439"/>
    <w:rsid w:val="00385903"/>
    <w:rsid w:val="00386ECB"/>
    <w:rsid w:val="00386FBA"/>
    <w:rsid w:val="003877BA"/>
    <w:rsid w:val="00387A97"/>
    <w:rsid w:val="0039062B"/>
    <w:rsid w:val="00390701"/>
    <w:rsid w:val="00390A38"/>
    <w:rsid w:val="00390B81"/>
    <w:rsid w:val="00390C87"/>
    <w:rsid w:val="00390EB4"/>
    <w:rsid w:val="00390EBF"/>
    <w:rsid w:val="00390F7B"/>
    <w:rsid w:val="003914ED"/>
    <w:rsid w:val="0039153A"/>
    <w:rsid w:val="00391575"/>
    <w:rsid w:val="00391647"/>
    <w:rsid w:val="00391D08"/>
    <w:rsid w:val="003924F0"/>
    <w:rsid w:val="00392E2C"/>
    <w:rsid w:val="00392E30"/>
    <w:rsid w:val="00392E5D"/>
    <w:rsid w:val="003932B1"/>
    <w:rsid w:val="003932DE"/>
    <w:rsid w:val="003947A9"/>
    <w:rsid w:val="00395225"/>
    <w:rsid w:val="00395568"/>
    <w:rsid w:val="00395A8C"/>
    <w:rsid w:val="00396242"/>
    <w:rsid w:val="003962F7"/>
    <w:rsid w:val="00396591"/>
    <w:rsid w:val="00396B81"/>
    <w:rsid w:val="00396B91"/>
    <w:rsid w:val="00396DBC"/>
    <w:rsid w:val="00396F44"/>
    <w:rsid w:val="003971B0"/>
    <w:rsid w:val="0039742C"/>
    <w:rsid w:val="00397736"/>
    <w:rsid w:val="00397FD8"/>
    <w:rsid w:val="00397FF7"/>
    <w:rsid w:val="003A0AB0"/>
    <w:rsid w:val="003A0E58"/>
    <w:rsid w:val="003A1718"/>
    <w:rsid w:val="003A1729"/>
    <w:rsid w:val="003A1A99"/>
    <w:rsid w:val="003A1AF0"/>
    <w:rsid w:val="003A1F05"/>
    <w:rsid w:val="003A27D6"/>
    <w:rsid w:val="003A2BE2"/>
    <w:rsid w:val="003A344E"/>
    <w:rsid w:val="003A352C"/>
    <w:rsid w:val="003A3B43"/>
    <w:rsid w:val="003A3C71"/>
    <w:rsid w:val="003A3E58"/>
    <w:rsid w:val="003A42C5"/>
    <w:rsid w:val="003A47FA"/>
    <w:rsid w:val="003A4848"/>
    <w:rsid w:val="003A50B8"/>
    <w:rsid w:val="003A55D7"/>
    <w:rsid w:val="003A58AA"/>
    <w:rsid w:val="003A5F5B"/>
    <w:rsid w:val="003A62C0"/>
    <w:rsid w:val="003A6A20"/>
    <w:rsid w:val="003A7834"/>
    <w:rsid w:val="003A789A"/>
    <w:rsid w:val="003B0087"/>
    <w:rsid w:val="003B05B2"/>
    <w:rsid w:val="003B0F98"/>
    <w:rsid w:val="003B12EC"/>
    <w:rsid w:val="003B182D"/>
    <w:rsid w:val="003B2121"/>
    <w:rsid w:val="003B2885"/>
    <w:rsid w:val="003B2F6C"/>
    <w:rsid w:val="003B3A40"/>
    <w:rsid w:val="003B3E1C"/>
    <w:rsid w:val="003B418F"/>
    <w:rsid w:val="003B4468"/>
    <w:rsid w:val="003B4929"/>
    <w:rsid w:val="003B4A2E"/>
    <w:rsid w:val="003B5ABE"/>
    <w:rsid w:val="003B5CBE"/>
    <w:rsid w:val="003B6B35"/>
    <w:rsid w:val="003B72EF"/>
    <w:rsid w:val="003B73DC"/>
    <w:rsid w:val="003B7641"/>
    <w:rsid w:val="003B7AB8"/>
    <w:rsid w:val="003B7C2C"/>
    <w:rsid w:val="003C0BF3"/>
    <w:rsid w:val="003C1338"/>
    <w:rsid w:val="003C1405"/>
    <w:rsid w:val="003C1924"/>
    <w:rsid w:val="003C3688"/>
    <w:rsid w:val="003C37DB"/>
    <w:rsid w:val="003C380E"/>
    <w:rsid w:val="003C3BC1"/>
    <w:rsid w:val="003C4243"/>
    <w:rsid w:val="003C4E9C"/>
    <w:rsid w:val="003C5235"/>
    <w:rsid w:val="003C57DC"/>
    <w:rsid w:val="003C59C3"/>
    <w:rsid w:val="003C5CDE"/>
    <w:rsid w:val="003C6715"/>
    <w:rsid w:val="003C6796"/>
    <w:rsid w:val="003C6A68"/>
    <w:rsid w:val="003C6DB5"/>
    <w:rsid w:val="003C6ED0"/>
    <w:rsid w:val="003C715F"/>
    <w:rsid w:val="003C7680"/>
    <w:rsid w:val="003C77E0"/>
    <w:rsid w:val="003C7F7C"/>
    <w:rsid w:val="003D13D2"/>
    <w:rsid w:val="003D1405"/>
    <w:rsid w:val="003D17D7"/>
    <w:rsid w:val="003D1DE9"/>
    <w:rsid w:val="003D2174"/>
    <w:rsid w:val="003D2678"/>
    <w:rsid w:val="003D28B4"/>
    <w:rsid w:val="003D319F"/>
    <w:rsid w:val="003D3405"/>
    <w:rsid w:val="003D3CAA"/>
    <w:rsid w:val="003D40A4"/>
    <w:rsid w:val="003D475B"/>
    <w:rsid w:val="003D4A96"/>
    <w:rsid w:val="003D4AE6"/>
    <w:rsid w:val="003D54BC"/>
    <w:rsid w:val="003D6205"/>
    <w:rsid w:val="003D667A"/>
    <w:rsid w:val="003D667D"/>
    <w:rsid w:val="003D71A3"/>
    <w:rsid w:val="003D756E"/>
    <w:rsid w:val="003D76DE"/>
    <w:rsid w:val="003E092A"/>
    <w:rsid w:val="003E0E25"/>
    <w:rsid w:val="003E172A"/>
    <w:rsid w:val="003E18A0"/>
    <w:rsid w:val="003E1998"/>
    <w:rsid w:val="003E2182"/>
    <w:rsid w:val="003E2B8A"/>
    <w:rsid w:val="003E339D"/>
    <w:rsid w:val="003E449E"/>
    <w:rsid w:val="003E4997"/>
    <w:rsid w:val="003E5F7B"/>
    <w:rsid w:val="003E6439"/>
    <w:rsid w:val="003E6D8C"/>
    <w:rsid w:val="003E7AEF"/>
    <w:rsid w:val="003E7E50"/>
    <w:rsid w:val="003F10EE"/>
    <w:rsid w:val="003F1650"/>
    <w:rsid w:val="003F16F6"/>
    <w:rsid w:val="003F24E6"/>
    <w:rsid w:val="003F2C7A"/>
    <w:rsid w:val="003F3BAC"/>
    <w:rsid w:val="003F44BE"/>
    <w:rsid w:val="003F4C61"/>
    <w:rsid w:val="003F4D8C"/>
    <w:rsid w:val="003F4DC7"/>
    <w:rsid w:val="003F5235"/>
    <w:rsid w:val="003F570C"/>
    <w:rsid w:val="003F5A2B"/>
    <w:rsid w:val="003F5C17"/>
    <w:rsid w:val="003F5F10"/>
    <w:rsid w:val="003F61A2"/>
    <w:rsid w:val="003F61AC"/>
    <w:rsid w:val="003F678B"/>
    <w:rsid w:val="003F6CA3"/>
    <w:rsid w:val="003F6CAF"/>
    <w:rsid w:val="003F7373"/>
    <w:rsid w:val="003F767E"/>
    <w:rsid w:val="003F7A78"/>
    <w:rsid w:val="003F7D62"/>
    <w:rsid w:val="004000DB"/>
    <w:rsid w:val="00400753"/>
    <w:rsid w:val="00400CCF"/>
    <w:rsid w:val="0040120E"/>
    <w:rsid w:val="0040131D"/>
    <w:rsid w:val="00402108"/>
    <w:rsid w:val="00402791"/>
    <w:rsid w:val="004027E4"/>
    <w:rsid w:val="00402BE4"/>
    <w:rsid w:val="0040303B"/>
    <w:rsid w:val="00403365"/>
    <w:rsid w:val="0040348B"/>
    <w:rsid w:val="0040398D"/>
    <w:rsid w:val="00403B77"/>
    <w:rsid w:val="00403D44"/>
    <w:rsid w:val="004045E5"/>
    <w:rsid w:val="00404D43"/>
    <w:rsid w:val="00404DC6"/>
    <w:rsid w:val="004059E8"/>
    <w:rsid w:val="00405A6E"/>
    <w:rsid w:val="004063C6"/>
    <w:rsid w:val="0040645D"/>
    <w:rsid w:val="00406561"/>
    <w:rsid w:val="00406F40"/>
    <w:rsid w:val="00407FAA"/>
    <w:rsid w:val="0041053E"/>
    <w:rsid w:val="0041071D"/>
    <w:rsid w:val="0041075E"/>
    <w:rsid w:val="00411C07"/>
    <w:rsid w:val="00411E3D"/>
    <w:rsid w:val="00412144"/>
    <w:rsid w:val="00413AC7"/>
    <w:rsid w:val="004144EF"/>
    <w:rsid w:val="00414947"/>
    <w:rsid w:val="00414AFC"/>
    <w:rsid w:val="00414B42"/>
    <w:rsid w:val="004151A7"/>
    <w:rsid w:val="00415310"/>
    <w:rsid w:val="00416824"/>
    <w:rsid w:val="00416EE0"/>
    <w:rsid w:val="004173DB"/>
    <w:rsid w:val="004173FB"/>
    <w:rsid w:val="0041744D"/>
    <w:rsid w:val="00417A6E"/>
    <w:rsid w:val="00417FF1"/>
    <w:rsid w:val="0042063D"/>
    <w:rsid w:val="00420AF5"/>
    <w:rsid w:val="0042159F"/>
    <w:rsid w:val="004215DC"/>
    <w:rsid w:val="0042164D"/>
    <w:rsid w:val="00421709"/>
    <w:rsid w:val="00421ABD"/>
    <w:rsid w:val="00421E85"/>
    <w:rsid w:val="004222B9"/>
    <w:rsid w:val="004222CA"/>
    <w:rsid w:val="004225D3"/>
    <w:rsid w:val="00422715"/>
    <w:rsid w:val="00422764"/>
    <w:rsid w:val="0042370A"/>
    <w:rsid w:val="00423763"/>
    <w:rsid w:val="00423863"/>
    <w:rsid w:val="004243B6"/>
    <w:rsid w:val="00424444"/>
    <w:rsid w:val="00424ABD"/>
    <w:rsid w:val="0042501D"/>
    <w:rsid w:val="004250BD"/>
    <w:rsid w:val="00425140"/>
    <w:rsid w:val="00425310"/>
    <w:rsid w:val="00425363"/>
    <w:rsid w:val="004254A5"/>
    <w:rsid w:val="00425648"/>
    <w:rsid w:val="004265F3"/>
    <w:rsid w:val="004268D1"/>
    <w:rsid w:val="00426BB8"/>
    <w:rsid w:val="00426C95"/>
    <w:rsid w:val="00426F6C"/>
    <w:rsid w:val="00426FEF"/>
    <w:rsid w:val="00427223"/>
    <w:rsid w:val="0042762F"/>
    <w:rsid w:val="00427768"/>
    <w:rsid w:val="00427B9F"/>
    <w:rsid w:val="00427DC7"/>
    <w:rsid w:val="00427E5E"/>
    <w:rsid w:val="0043009D"/>
    <w:rsid w:val="00430423"/>
    <w:rsid w:val="00430510"/>
    <w:rsid w:val="0043082C"/>
    <w:rsid w:val="004313DC"/>
    <w:rsid w:val="004315B5"/>
    <w:rsid w:val="00431613"/>
    <w:rsid w:val="00431662"/>
    <w:rsid w:val="00431792"/>
    <w:rsid w:val="00431A0E"/>
    <w:rsid w:val="00431B47"/>
    <w:rsid w:val="00431F9B"/>
    <w:rsid w:val="004320B9"/>
    <w:rsid w:val="004324C8"/>
    <w:rsid w:val="0043297A"/>
    <w:rsid w:val="00432BC2"/>
    <w:rsid w:val="00432D37"/>
    <w:rsid w:val="00432E90"/>
    <w:rsid w:val="00432EB2"/>
    <w:rsid w:val="00433B70"/>
    <w:rsid w:val="00433B89"/>
    <w:rsid w:val="00433CF4"/>
    <w:rsid w:val="0043448C"/>
    <w:rsid w:val="0043542E"/>
    <w:rsid w:val="00435877"/>
    <w:rsid w:val="00435B5C"/>
    <w:rsid w:val="00436B59"/>
    <w:rsid w:val="00436EE1"/>
    <w:rsid w:val="0043714F"/>
    <w:rsid w:val="004377DD"/>
    <w:rsid w:val="004400A4"/>
    <w:rsid w:val="00440B24"/>
    <w:rsid w:val="00441008"/>
    <w:rsid w:val="0044123C"/>
    <w:rsid w:val="00442011"/>
    <w:rsid w:val="004421E8"/>
    <w:rsid w:val="00442A3D"/>
    <w:rsid w:val="00442C3E"/>
    <w:rsid w:val="004432F6"/>
    <w:rsid w:val="004436D3"/>
    <w:rsid w:val="004438B5"/>
    <w:rsid w:val="00443F57"/>
    <w:rsid w:val="004448B3"/>
    <w:rsid w:val="004448F5"/>
    <w:rsid w:val="0044498C"/>
    <w:rsid w:val="0044503A"/>
    <w:rsid w:val="00445659"/>
    <w:rsid w:val="00445B66"/>
    <w:rsid w:val="00446EFB"/>
    <w:rsid w:val="00447005"/>
    <w:rsid w:val="00447037"/>
    <w:rsid w:val="004474F7"/>
    <w:rsid w:val="004475AD"/>
    <w:rsid w:val="00447E6D"/>
    <w:rsid w:val="00450233"/>
    <w:rsid w:val="004506C1"/>
    <w:rsid w:val="004507CD"/>
    <w:rsid w:val="00450E1C"/>
    <w:rsid w:val="0045116E"/>
    <w:rsid w:val="0045124D"/>
    <w:rsid w:val="00451635"/>
    <w:rsid w:val="00451A1D"/>
    <w:rsid w:val="00451FE2"/>
    <w:rsid w:val="00452148"/>
    <w:rsid w:val="00452BA0"/>
    <w:rsid w:val="0045408A"/>
    <w:rsid w:val="00454122"/>
    <w:rsid w:val="00454596"/>
    <w:rsid w:val="00454978"/>
    <w:rsid w:val="00454A0C"/>
    <w:rsid w:val="00455520"/>
    <w:rsid w:val="004555D1"/>
    <w:rsid w:val="0045605D"/>
    <w:rsid w:val="00456096"/>
    <w:rsid w:val="00456446"/>
    <w:rsid w:val="004575B7"/>
    <w:rsid w:val="00457645"/>
    <w:rsid w:val="004576D2"/>
    <w:rsid w:val="00457D7C"/>
    <w:rsid w:val="00457E2C"/>
    <w:rsid w:val="00457F0C"/>
    <w:rsid w:val="00460096"/>
    <w:rsid w:val="004603A6"/>
    <w:rsid w:val="004605CD"/>
    <w:rsid w:val="00460841"/>
    <w:rsid w:val="0046135B"/>
    <w:rsid w:val="004615B4"/>
    <w:rsid w:val="004616E6"/>
    <w:rsid w:val="0046198A"/>
    <w:rsid w:val="00461A74"/>
    <w:rsid w:val="00461DE5"/>
    <w:rsid w:val="0046207F"/>
    <w:rsid w:val="00462339"/>
    <w:rsid w:val="00462623"/>
    <w:rsid w:val="0046263F"/>
    <w:rsid w:val="0046332B"/>
    <w:rsid w:val="00464ACE"/>
    <w:rsid w:val="00464D54"/>
    <w:rsid w:val="00465377"/>
    <w:rsid w:val="00465F59"/>
    <w:rsid w:val="00466013"/>
    <w:rsid w:val="004664AA"/>
    <w:rsid w:val="00466865"/>
    <w:rsid w:val="00466B51"/>
    <w:rsid w:val="00466C4D"/>
    <w:rsid w:val="00467AFA"/>
    <w:rsid w:val="00470E95"/>
    <w:rsid w:val="004711DA"/>
    <w:rsid w:val="00471433"/>
    <w:rsid w:val="004718CC"/>
    <w:rsid w:val="00472475"/>
    <w:rsid w:val="004727B6"/>
    <w:rsid w:val="00472964"/>
    <w:rsid w:val="00472B78"/>
    <w:rsid w:val="00472DB4"/>
    <w:rsid w:val="004731C3"/>
    <w:rsid w:val="004736AB"/>
    <w:rsid w:val="004738D2"/>
    <w:rsid w:val="00473925"/>
    <w:rsid w:val="0047420B"/>
    <w:rsid w:val="004752E7"/>
    <w:rsid w:val="004753C8"/>
    <w:rsid w:val="00475BD1"/>
    <w:rsid w:val="004769A8"/>
    <w:rsid w:val="00477715"/>
    <w:rsid w:val="00480372"/>
    <w:rsid w:val="004805DB"/>
    <w:rsid w:val="0048064D"/>
    <w:rsid w:val="00480C4D"/>
    <w:rsid w:val="00480CC8"/>
    <w:rsid w:val="00480EE6"/>
    <w:rsid w:val="00481695"/>
    <w:rsid w:val="00481971"/>
    <w:rsid w:val="00482314"/>
    <w:rsid w:val="00482895"/>
    <w:rsid w:val="00482D83"/>
    <w:rsid w:val="00483BD3"/>
    <w:rsid w:val="00483F2D"/>
    <w:rsid w:val="00484873"/>
    <w:rsid w:val="00484B88"/>
    <w:rsid w:val="00484F85"/>
    <w:rsid w:val="00485591"/>
    <w:rsid w:val="00485746"/>
    <w:rsid w:val="00485DC9"/>
    <w:rsid w:val="00486B0A"/>
    <w:rsid w:val="00487F6E"/>
    <w:rsid w:val="0049041C"/>
    <w:rsid w:val="004909C3"/>
    <w:rsid w:val="004909EB"/>
    <w:rsid w:val="00490DB8"/>
    <w:rsid w:val="00490F8E"/>
    <w:rsid w:val="0049169E"/>
    <w:rsid w:val="00491AB7"/>
    <w:rsid w:val="00491E4E"/>
    <w:rsid w:val="0049222A"/>
    <w:rsid w:val="00492277"/>
    <w:rsid w:val="00492302"/>
    <w:rsid w:val="004923C5"/>
    <w:rsid w:val="00492413"/>
    <w:rsid w:val="00492AF2"/>
    <w:rsid w:val="00492F08"/>
    <w:rsid w:val="0049313E"/>
    <w:rsid w:val="00493EA7"/>
    <w:rsid w:val="00494533"/>
    <w:rsid w:val="004946AB"/>
    <w:rsid w:val="004949FD"/>
    <w:rsid w:val="00494D83"/>
    <w:rsid w:val="00495143"/>
    <w:rsid w:val="0049528E"/>
    <w:rsid w:val="00495A96"/>
    <w:rsid w:val="00495AD7"/>
    <w:rsid w:val="00495DD4"/>
    <w:rsid w:val="00495E2A"/>
    <w:rsid w:val="0049683A"/>
    <w:rsid w:val="0049771C"/>
    <w:rsid w:val="004978F0"/>
    <w:rsid w:val="00497B14"/>
    <w:rsid w:val="00497BE1"/>
    <w:rsid w:val="004A044B"/>
    <w:rsid w:val="004A072B"/>
    <w:rsid w:val="004A099F"/>
    <w:rsid w:val="004A16F2"/>
    <w:rsid w:val="004A173F"/>
    <w:rsid w:val="004A204C"/>
    <w:rsid w:val="004A2509"/>
    <w:rsid w:val="004A2F2C"/>
    <w:rsid w:val="004A2F7F"/>
    <w:rsid w:val="004A2FC5"/>
    <w:rsid w:val="004A3320"/>
    <w:rsid w:val="004A33B7"/>
    <w:rsid w:val="004A3C27"/>
    <w:rsid w:val="004A3C72"/>
    <w:rsid w:val="004A3E5E"/>
    <w:rsid w:val="004A3F33"/>
    <w:rsid w:val="004A4015"/>
    <w:rsid w:val="004A4319"/>
    <w:rsid w:val="004A459C"/>
    <w:rsid w:val="004A544D"/>
    <w:rsid w:val="004A56BB"/>
    <w:rsid w:val="004A5831"/>
    <w:rsid w:val="004A6002"/>
    <w:rsid w:val="004A60D5"/>
    <w:rsid w:val="004A638D"/>
    <w:rsid w:val="004A6C59"/>
    <w:rsid w:val="004A7F09"/>
    <w:rsid w:val="004B01F1"/>
    <w:rsid w:val="004B039B"/>
    <w:rsid w:val="004B09A0"/>
    <w:rsid w:val="004B1159"/>
    <w:rsid w:val="004B1443"/>
    <w:rsid w:val="004B1751"/>
    <w:rsid w:val="004B2102"/>
    <w:rsid w:val="004B25CF"/>
    <w:rsid w:val="004B2980"/>
    <w:rsid w:val="004B2B6C"/>
    <w:rsid w:val="004B2C8B"/>
    <w:rsid w:val="004B2DFB"/>
    <w:rsid w:val="004B2F25"/>
    <w:rsid w:val="004B3038"/>
    <w:rsid w:val="004B389E"/>
    <w:rsid w:val="004B3A37"/>
    <w:rsid w:val="004B4048"/>
    <w:rsid w:val="004B4739"/>
    <w:rsid w:val="004B493D"/>
    <w:rsid w:val="004B5069"/>
    <w:rsid w:val="004B58B6"/>
    <w:rsid w:val="004B5C5E"/>
    <w:rsid w:val="004B5C8F"/>
    <w:rsid w:val="004B63DB"/>
    <w:rsid w:val="004B72E9"/>
    <w:rsid w:val="004B7394"/>
    <w:rsid w:val="004B7AE0"/>
    <w:rsid w:val="004B7E23"/>
    <w:rsid w:val="004C0253"/>
    <w:rsid w:val="004C19C8"/>
    <w:rsid w:val="004C1D9B"/>
    <w:rsid w:val="004C216F"/>
    <w:rsid w:val="004C220A"/>
    <w:rsid w:val="004C22E5"/>
    <w:rsid w:val="004C2343"/>
    <w:rsid w:val="004C28FC"/>
    <w:rsid w:val="004C31D8"/>
    <w:rsid w:val="004C332E"/>
    <w:rsid w:val="004C3404"/>
    <w:rsid w:val="004C35BB"/>
    <w:rsid w:val="004C3622"/>
    <w:rsid w:val="004C405B"/>
    <w:rsid w:val="004C4154"/>
    <w:rsid w:val="004C47BE"/>
    <w:rsid w:val="004C49E8"/>
    <w:rsid w:val="004C4B52"/>
    <w:rsid w:val="004C570D"/>
    <w:rsid w:val="004C5A6E"/>
    <w:rsid w:val="004C5C33"/>
    <w:rsid w:val="004C7681"/>
    <w:rsid w:val="004D0125"/>
    <w:rsid w:val="004D017C"/>
    <w:rsid w:val="004D02DD"/>
    <w:rsid w:val="004D0A82"/>
    <w:rsid w:val="004D0AFB"/>
    <w:rsid w:val="004D0B87"/>
    <w:rsid w:val="004D0BFC"/>
    <w:rsid w:val="004D0FB0"/>
    <w:rsid w:val="004D130D"/>
    <w:rsid w:val="004D15D7"/>
    <w:rsid w:val="004D1AE0"/>
    <w:rsid w:val="004D1F30"/>
    <w:rsid w:val="004D28E2"/>
    <w:rsid w:val="004D2A2E"/>
    <w:rsid w:val="004D2AA6"/>
    <w:rsid w:val="004D2D23"/>
    <w:rsid w:val="004D2D3D"/>
    <w:rsid w:val="004D360E"/>
    <w:rsid w:val="004D365B"/>
    <w:rsid w:val="004D3AE1"/>
    <w:rsid w:val="004D401F"/>
    <w:rsid w:val="004D4155"/>
    <w:rsid w:val="004D44B5"/>
    <w:rsid w:val="004D5463"/>
    <w:rsid w:val="004D56FF"/>
    <w:rsid w:val="004D58D1"/>
    <w:rsid w:val="004D5D19"/>
    <w:rsid w:val="004D63D2"/>
    <w:rsid w:val="004D6595"/>
    <w:rsid w:val="004D65D6"/>
    <w:rsid w:val="004D6C0F"/>
    <w:rsid w:val="004D6E31"/>
    <w:rsid w:val="004D7740"/>
    <w:rsid w:val="004E135C"/>
    <w:rsid w:val="004E195C"/>
    <w:rsid w:val="004E1B80"/>
    <w:rsid w:val="004E1F0A"/>
    <w:rsid w:val="004E1F75"/>
    <w:rsid w:val="004E39D3"/>
    <w:rsid w:val="004E4E67"/>
    <w:rsid w:val="004E508A"/>
    <w:rsid w:val="004E5201"/>
    <w:rsid w:val="004E5794"/>
    <w:rsid w:val="004E579D"/>
    <w:rsid w:val="004E5953"/>
    <w:rsid w:val="004E59B9"/>
    <w:rsid w:val="004E616D"/>
    <w:rsid w:val="004E6327"/>
    <w:rsid w:val="004E65BE"/>
    <w:rsid w:val="004E6762"/>
    <w:rsid w:val="004E6C96"/>
    <w:rsid w:val="004E6FCA"/>
    <w:rsid w:val="004E7F17"/>
    <w:rsid w:val="004F02BA"/>
    <w:rsid w:val="004F02C1"/>
    <w:rsid w:val="004F1372"/>
    <w:rsid w:val="004F1764"/>
    <w:rsid w:val="004F19F1"/>
    <w:rsid w:val="004F1BDE"/>
    <w:rsid w:val="004F1C8A"/>
    <w:rsid w:val="004F1D76"/>
    <w:rsid w:val="004F1EF3"/>
    <w:rsid w:val="004F268C"/>
    <w:rsid w:val="004F2CEE"/>
    <w:rsid w:val="004F3341"/>
    <w:rsid w:val="004F449C"/>
    <w:rsid w:val="004F492B"/>
    <w:rsid w:val="004F4AE0"/>
    <w:rsid w:val="004F5311"/>
    <w:rsid w:val="004F544D"/>
    <w:rsid w:val="004F556E"/>
    <w:rsid w:val="004F55F7"/>
    <w:rsid w:val="004F6177"/>
    <w:rsid w:val="004F64E5"/>
    <w:rsid w:val="004F6601"/>
    <w:rsid w:val="004F68D0"/>
    <w:rsid w:val="004F6B42"/>
    <w:rsid w:val="004F7449"/>
    <w:rsid w:val="004F7CBA"/>
    <w:rsid w:val="004F7D3B"/>
    <w:rsid w:val="004F7E2F"/>
    <w:rsid w:val="004F7F44"/>
    <w:rsid w:val="00500138"/>
    <w:rsid w:val="00500468"/>
    <w:rsid w:val="005004FF"/>
    <w:rsid w:val="00500C24"/>
    <w:rsid w:val="00500CBA"/>
    <w:rsid w:val="00500D86"/>
    <w:rsid w:val="005011B5"/>
    <w:rsid w:val="00501B72"/>
    <w:rsid w:val="00502469"/>
    <w:rsid w:val="00502B1C"/>
    <w:rsid w:val="005037B4"/>
    <w:rsid w:val="0050430F"/>
    <w:rsid w:val="005047B4"/>
    <w:rsid w:val="005047DC"/>
    <w:rsid w:val="0050522E"/>
    <w:rsid w:val="005059C4"/>
    <w:rsid w:val="00505C7C"/>
    <w:rsid w:val="00505D61"/>
    <w:rsid w:val="00506A1F"/>
    <w:rsid w:val="0050741E"/>
    <w:rsid w:val="00507528"/>
    <w:rsid w:val="005075A3"/>
    <w:rsid w:val="00507641"/>
    <w:rsid w:val="005079BF"/>
    <w:rsid w:val="00507AE9"/>
    <w:rsid w:val="00507DF6"/>
    <w:rsid w:val="00510717"/>
    <w:rsid w:val="00510797"/>
    <w:rsid w:val="005107B5"/>
    <w:rsid w:val="00510D5E"/>
    <w:rsid w:val="00511505"/>
    <w:rsid w:val="00511CAF"/>
    <w:rsid w:val="0051242B"/>
    <w:rsid w:val="005125B5"/>
    <w:rsid w:val="005140F1"/>
    <w:rsid w:val="00514242"/>
    <w:rsid w:val="0051473D"/>
    <w:rsid w:val="00515879"/>
    <w:rsid w:val="005158C8"/>
    <w:rsid w:val="00515DE7"/>
    <w:rsid w:val="00517323"/>
    <w:rsid w:val="0051783B"/>
    <w:rsid w:val="005179EC"/>
    <w:rsid w:val="00517E2E"/>
    <w:rsid w:val="00520778"/>
    <w:rsid w:val="005216E9"/>
    <w:rsid w:val="005219E7"/>
    <w:rsid w:val="00522175"/>
    <w:rsid w:val="00522235"/>
    <w:rsid w:val="00522B08"/>
    <w:rsid w:val="00522E61"/>
    <w:rsid w:val="005230DF"/>
    <w:rsid w:val="005233A2"/>
    <w:rsid w:val="00523879"/>
    <w:rsid w:val="00523E0B"/>
    <w:rsid w:val="00524150"/>
    <w:rsid w:val="0052484C"/>
    <w:rsid w:val="00524E1A"/>
    <w:rsid w:val="005252E3"/>
    <w:rsid w:val="005253FE"/>
    <w:rsid w:val="005255FB"/>
    <w:rsid w:val="00525B3C"/>
    <w:rsid w:val="00525E4E"/>
    <w:rsid w:val="005264BD"/>
    <w:rsid w:val="00527108"/>
    <w:rsid w:val="005271BA"/>
    <w:rsid w:val="0052781B"/>
    <w:rsid w:val="00527D54"/>
    <w:rsid w:val="00527F03"/>
    <w:rsid w:val="00530318"/>
    <w:rsid w:val="00530645"/>
    <w:rsid w:val="00530726"/>
    <w:rsid w:val="00530CE6"/>
    <w:rsid w:val="0053114B"/>
    <w:rsid w:val="005312A3"/>
    <w:rsid w:val="00531349"/>
    <w:rsid w:val="0053199B"/>
    <w:rsid w:val="00531B9A"/>
    <w:rsid w:val="00531D15"/>
    <w:rsid w:val="0053247F"/>
    <w:rsid w:val="00532734"/>
    <w:rsid w:val="005328F5"/>
    <w:rsid w:val="00533C84"/>
    <w:rsid w:val="005341A6"/>
    <w:rsid w:val="005341E8"/>
    <w:rsid w:val="005344E4"/>
    <w:rsid w:val="00535645"/>
    <w:rsid w:val="00535904"/>
    <w:rsid w:val="00535ABA"/>
    <w:rsid w:val="00536624"/>
    <w:rsid w:val="0053691C"/>
    <w:rsid w:val="005370DB"/>
    <w:rsid w:val="00537604"/>
    <w:rsid w:val="0054012A"/>
    <w:rsid w:val="005409D6"/>
    <w:rsid w:val="00540E73"/>
    <w:rsid w:val="005410FC"/>
    <w:rsid w:val="0054150A"/>
    <w:rsid w:val="00541989"/>
    <w:rsid w:val="005421B1"/>
    <w:rsid w:val="0054234F"/>
    <w:rsid w:val="00542377"/>
    <w:rsid w:val="00542E3B"/>
    <w:rsid w:val="00542FA7"/>
    <w:rsid w:val="00543345"/>
    <w:rsid w:val="00543B79"/>
    <w:rsid w:val="00543CD6"/>
    <w:rsid w:val="00544206"/>
    <w:rsid w:val="005443FC"/>
    <w:rsid w:val="005445F9"/>
    <w:rsid w:val="00544A04"/>
    <w:rsid w:val="00544E7F"/>
    <w:rsid w:val="00544F24"/>
    <w:rsid w:val="0054657E"/>
    <w:rsid w:val="00546F32"/>
    <w:rsid w:val="00546FDA"/>
    <w:rsid w:val="0054795A"/>
    <w:rsid w:val="00547ADD"/>
    <w:rsid w:val="00547CC3"/>
    <w:rsid w:val="00550825"/>
    <w:rsid w:val="00550DBD"/>
    <w:rsid w:val="00550F91"/>
    <w:rsid w:val="005513B4"/>
    <w:rsid w:val="00551782"/>
    <w:rsid w:val="0055253A"/>
    <w:rsid w:val="00552D6C"/>
    <w:rsid w:val="00552FE7"/>
    <w:rsid w:val="00553042"/>
    <w:rsid w:val="00553992"/>
    <w:rsid w:val="00553AC9"/>
    <w:rsid w:val="00553E37"/>
    <w:rsid w:val="00554BEA"/>
    <w:rsid w:val="00554F8C"/>
    <w:rsid w:val="00555892"/>
    <w:rsid w:val="00555CF8"/>
    <w:rsid w:val="00555FC5"/>
    <w:rsid w:val="00556421"/>
    <w:rsid w:val="0055671D"/>
    <w:rsid w:val="00556C76"/>
    <w:rsid w:val="00556E13"/>
    <w:rsid w:val="00557134"/>
    <w:rsid w:val="00557AB3"/>
    <w:rsid w:val="00557B12"/>
    <w:rsid w:val="0056051C"/>
    <w:rsid w:val="005608BA"/>
    <w:rsid w:val="00560ABC"/>
    <w:rsid w:val="0056117D"/>
    <w:rsid w:val="005615E4"/>
    <w:rsid w:val="00561794"/>
    <w:rsid w:val="00561A50"/>
    <w:rsid w:val="005622A1"/>
    <w:rsid w:val="00562C93"/>
    <w:rsid w:val="00563021"/>
    <w:rsid w:val="00563788"/>
    <w:rsid w:val="005637B3"/>
    <w:rsid w:val="00563826"/>
    <w:rsid w:val="00563EF1"/>
    <w:rsid w:val="00564945"/>
    <w:rsid w:val="005650C6"/>
    <w:rsid w:val="00565425"/>
    <w:rsid w:val="00565671"/>
    <w:rsid w:val="00565C85"/>
    <w:rsid w:val="00565CF7"/>
    <w:rsid w:val="005664A4"/>
    <w:rsid w:val="00566AB4"/>
    <w:rsid w:val="0056716A"/>
    <w:rsid w:val="00570817"/>
    <w:rsid w:val="0057084B"/>
    <w:rsid w:val="00571190"/>
    <w:rsid w:val="00571194"/>
    <w:rsid w:val="00571E45"/>
    <w:rsid w:val="00572563"/>
    <w:rsid w:val="00572B97"/>
    <w:rsid w:val="0057332F"/>
    <w:rsid w:val="005735B2"/>
    <w:rsid w:val="005735F6"/>
    <w:rsid w:val="005739D5"/>
    <w:rsid w:val="00573BB2"/>
    <w:rsid w:val="00573D07"/>
    <w:rsid w:val="00573F9F"/>
    <w:rsid w:val="00574457"/>
    <w:rsid w:val="0057566E"/>
    <w:rsid w:val="00575AC5"/>
    <w:rsid w:val="00575D57"/>
    <w:rsid w:val="0057605D"/>
    <w:rsid w:val="00576902"/>
    <w:rsid w:val="00576A6F"/>
    <w:rsid w:val="00576E29"/>
    <w:rsid w:val="00576E34"/>
    <w:rsid w:val="00577311"/>
    <w:rsid w:val="00577433"/>
    <w:rsid w:val="0058092E"/>
    <w:rsid w:val="00581347"/>
    <w:rsid w:val="0058146B"/>
    <w:rsid w:val="00581AC9"/>
    <w:rsid w:val="00582056"/>
    <w:rsid w:val="005829C7"/>
    <w:rsid w:val="00582B27"/>
    <w:rsid w:val="00583E35"/>
    <w:rsid w:val="005843BC"/>
    <w:rsid w:val="0058492D"/>
    <w:rsid w:val="005849F8"/>
    <w:rsid w:val="0058504B"/>
    <w:rsid w:val="005867E0"/>
    <w:rsid w:val="0058684F"/>
    <w:rsid w:val="00586EDF"/>
    <w:rsid w:val="00587930"/>
    <w:rsid w:val="00587E6D"/>
    <w:rsid w:val="005906CB"/>
    <w:rsid w:val="00590AD8"/>
    <w:rsid w:val="00590BF9"/>
    <w:rsid w:val="005914E1"/>
    <w:rsid w:val="005918F4"/>
    <w:rsid w:val="00591904"/>
    <w:rsid w:val="00591E0E"/>
    <w:rsid w:val="00592247"/>
    <w:rsid w:val="00592639"/>
    <w:rsid w:val="00592F5D"/>
    <w:rsid w:val="005932C3"/>
    <w:rsid w:val="005935FB"/>
    <w:rsid w:val="0059383F"/>
    <w:rsid w:val="00593862"/>
    <w:rsid w:val="005938DF"/>
    <w:rsid w:val="00593A7E"/>
    <w:rsid w:val="00593C3A"/>
    <w:rsid w:val="00593D56"/>
    <w:rsid w:val="00593DB2"/>
    <w:rsid w:val="00593F21"/>
    <w:rsid w:val="0059479B"/>
    <w:rsid w:val="00594B31"/>
    <w:rsid w:val="00594D03"/>
    <w:rsid w:val="00594E9C"/>
    <w:rsid w:val="00595155"/>
    <w:rsid w:val="00595D4D"/>
    <w:rsid w:val="00595E0D"/>
    <w:rsid w:val="00595E79"/>
    <w:rsid w:val="005965DF"/>
    <w:rsid w:val="00597006"/>
    <w:rsid w:val="0059772D"/>
    <w:rsid w:val="00597C99"/>
    <w:rsid w:val="005A0164"/>
    <w:rsid w:val="005A0243"/>
    <w:rsid w:val="005A099B"/>
    <w:rsid w:val="005A0A3C"/>
    <w:rsid w:val="005A0C1C"/>
    <w:rsid w:val="005A0C3F"/>
    <w:rsid w:val="005A0C44"/>
    <w:rsid w:val="005A0C87"/>
    <w:rsid w:val="005A14F8"/>
    <w:rsid w:val="005A282B"/>
    <w:rsid w:val="005A2899"/>
    <w:rsid w:val="005A2A01"/>
    <w:rsid w:val="005A2BCB"/>
    <w:rsid w:val="005A2D9C"/>
    <w:rsid w:val="005A3424"/>
    <w:rsid w:val="005A355A"/>
    <w:rsid w:val="005A360B"/>
    <w:rsid w:val="005A48A5"/>
    <w:rsid w:val="005A4AC3"/>
    <w:rsid w:val="005A55FE"/>
    <w:rsid w:val="005A57FC"/>
    <w:rsid w:val="005A5AD3"/>
    <w:rsid w:val="005A5EAD"/>
    <w:rsid w:val="005A61B2"/>
    <w:rsid w:val="005A6A11"/>
    <w:rsid w:val="005A70A2"/>
    <w:rsid w:val="005A754A"/>
    <w:rsid w:val="005A7869"/>
    <w:rsid w:val="005A7933"/>
    <w:rsid w:val="005B00DF"/>
    <w:rsid w:val="005B015A"/>
    <w:rsid w:val="005B028E"/>
    <w:rsid w:val="005B0A27"/>
    <w:rsid w:val="005B103D"/>
    <w:rsid w:val="005B1054"/>
    <w:rsid w:val="005B1343"/>
    <w:rsid w:val="005B1386"/>
    <w:rsid w:val="005B13D2"/>
    <w:rsid w:val="005B1A02"/>
    <w:rsid w:val="005B2A38"/>
    <w:rsid w:val="005B3176"/>
    <w:rsid w:val="005B4A21"/>
    <w:rsid w:val="005B4E9B"/>
    <w:rsid w:val="005B51DB"/>
    <w:rsid w:val="005B56EA"/>
    <w:rsid w:val="005B61E5"/>
    <w:rsid w:val="005B6AD2"/>
    <w:rsid w:val="005B6B38"/>
    <w:rsid w:val="005B7BCB"/>
    <w:rsid w:val="005B7D78"/>
    <w:rsid w:val="005C0494"/>
    <w:rsid w:val="005C14CA"/>
    <w:rsid w:val="005C1D43"/>
    <w:rsid w:val="005C1E9F"/>
    <w:rsid w:val="005C204F"/>
    <w:rsid w:val="005C2435"/>
    <w:rsid w:val="005C2605"/>
    <w:rsid w:val="005C2E4D"/>
    <w:rsid w:val="005C3048"/>
    <w:rsid w:val="005C37E2"/>
    <w:rsid w:val="005C3806"/>
    <w:rsid w:val="005C4450"/>
    <w:rsid w:val="005C4484"/>
    <w:rsid w:val="005C45D9"/>
    <w:rsid w:val="005C4704"/>
    <w:rsid w:val="005C5993"/>
    <w:rsid w:val="005C5A57"/>
    <w:rsid w:val="005C5B80"/>
    <w:rsid w:val="005C7235"/>
    <w:rsid w:val="005C73EC"/>
    <w:rsid w:val="005C7597"/>
    <w:rsid w:val="005C7713"/>
    <w:rsid w:val="005D0525"/>
    <w:rsid w:val="005D0BD6"/>
    <w:rsid w:val="005D0EBE"/>
    <w:rsid w:val="005D19D4"/>
    <w:rsid w:val="005D1B6B"/>
    <w:rsid w:val="005D1BDB"/>
    <w:rsid w:val="005D1E41"/>
    <w:rsid w:val="005D1F81"/>
    <w:rsid w:val="005D2502"/>
    <w:rsid w:val="005D25CF"/>
    <w:rsid w:val="005D2DB0"/>
    <w:rsid w:val="005D2F74"/>
    <w:rsid w:val="005D3571"/>
    <w:rsid w:val="005D3667"/>
    <w:rsid w:val="005D37A4"/>
    <w:rsid w:val="005D47F3"/>
    <w:rsid w:val="005D49BF"/>
    <w:rsid w:val="005D4A30"/>
    <w:rsid w:val="005D4A76"/>
    <w:rsid w:val="005D4B13"/>
    <w:rsid w:val="005D54D8"/>
    <w:rsid w:val="005D58BA"/>
    <w:rsid w:val="005D59FC"/>
    <w:rsid w:val="005D5BC9"/>
    <w:rsid w:val="005D5C48"/>
    <w:rsid w:val="005D6292"/>
    <w:rsid w:val="005D64A0"/>
    <w:rsid w:val="005D6745"/>
    <w:rsid w:val="005D6D2D"/>
    <w:rsid w:val="005D6F05"/>
    <w:rsid w:val="005D6F4E"/>
    <w:rsid w:val="005D7515"/>
    <w:rsid w:val="005E05C4"/>
    <w:rsid w:val="005E0EF9"/>
    <w:rsid w:val="005E2297"/>
    <w:rsid w:val="005E2735"/>
    <w:rsid w:val="005E285C"/>
    <w:rsid w:val="005E296A"/>
    <w:rsid w:val="005E3507"/>
    <w:rsid w:val="005E3ACD"/>
    <w:rsid w:val="005E3C1A"/>
    <w:rsid w:val="005E3E9B"/>
    <w:rsid w:val="005E4107"/>
    <w:rsid w:val="005E415C"/>
    <w:rsid w:val="005E448E"/>
    <w:rsid w:val="005E46F2"/>
    <w:rsid w:val="005E5153"/>
    <w:rsid w:val="005E5766"/>
    <w:rsid w:val="005E57E1"/>
    <w:rsid w:val="005E627F"/>
    <w:rsid w:val="005E6D33"/>
    <w:rsid w:val="005E7111"/>
    <w:rsid w:val="005E7226"/>
    <w:rsid w:val="005E7320"/>
    <w:rsid w:val="005E759D"/>
    <w:rsid w:val="005E769B"/>
    <w:rsid w:val="005E7A57"/>
    <w:rsid w:val="005E7C58"/>
    <w:rsid w:val="005F06C0"/>
    <w:rsid w:val="005F0851"/>
    <w:rsid w:val="005F19F2"/>
    <w:rsid w:val="005F24B0"/>
    <w:rsid w:val="005F2548"/>
    <w:rsid w:val="005F2A40"/>
    <w:rsid w:val="005F2E18"/>
    <w:rsid w:val="005F337D"/>
    <w:rsid w:val="005F35E8"/>
    <w:rsid w:val="005F3927"/>
    <w:rsid w:val="005F468C"/>
    <w:rsid w:val="005F46EA"/>
    <w:rsid w:val="005F49A6"/>
    <w:rsid w:val="005F5376"/>
    <w:rsid w:val="005F71B3"/>
    <w:rsid w:val="005F71B7"/>
    <w:rsid w:val="005F78D1"/>
    <w:rsid w:val="005F7CFE"/>
    <w:rsid w:val="005F7D73"/>
    <w:rsid w:val="0060008B"/>
    <w:rsid w:val="0060008D"/>
    <w:rsid w:val="0060056D"/>
    <w:rsid w:val="0060059F"/>
    <w:rsid w:val="00600B70"/>
    <w:rsid w:val="00600DFA"/>
    <w:rsid w:val="00600F1C"/>
    <w:rsid w:val="00601839"/>
    <w:rsid w:val="00601DF9"/>
    <w:rsid w:val="00601EA4"/>
    <w:rsid w:val="00602495"/>
    <w:rsid w:val="00602590"/>
    <w:rsid w:val="00602730"/>
    <w:rsid w:val="00602B72"/>
    <w:rsid w:val="00602E72"/>
    <w:rsid w:val="006034F6"/>
    <w:rsid w:val="006039E4"/>
    <w:rsid w:val="00603E2C"/>
    <w:rsid w:val="00604315"/>
    <w:rsid w:val="00604653"/>
    <w:rsid w:val="006049B8"/>
    <w:rsid w:val="00604E26"/>
    <w:rsid w:val="00604E60"/>
    <w:rsid w:val="006052CF"/>
    <w:rsid w:val="00605993"/>
    <w:rsid w:val="00605EF9"/>
    <w:rsid w:val="00606394"/>
    <w:rsid w:val="0060659D"/>
    <w:rsid w:val="0060679A"/>
    <w:rsid w:val="00606C43"/>
    <w:rsid w:val="006071C5"/>
    <w:rsid w:val="00607270"/>
    <w:rsid w:val="006072D0"/>
    <w:rsid w:val="00607967"/>
    <w:rsid w:val="00607B8D"/>
    <w:rsid w:val="00607CE9"/>
    <w:rsid w:val="00607F76"/>
    <w:rsid w:val="006100DE"/>
    <w:rsid w:val="006102AC"/>
    <w:rsid w:val="00610C90"/>
    <w:rsid w:val="00610CA4"/>
    <w:rsid w:val="00611419"/>
    <w:rsid w:val="00611547"/>
    <w:rsid w:val="00611F5C"/>
    <w:rsid w:val="00612BFF"/>
    <w:rsid w:val="00612F88"/>
    <w:rsid w:val="006130A0"/>
    <w:rsid w:val="00613419"/>
    <w:rsid w:val="00613787"/>
    <w:rsid w:val="0061387E"/>
    <w:rsid w:val="00613A7C"/>
    <w:rsid w:val="00613D09"/>
    <w:rsid w:val="00614064"/>
    <w:rsid w:val="006145DD"/>
    <w:rsid w:val="0061527B"/>
    <w:rsid w:val="006152F7"/>
    <w:rsid w:val="00615516"/>
    <w:rsid w:val="0061597E"/>
    <w:rsid w:val="00615BC6"/>
    <w:rsid w:val="00616577"/>
    <w:rsid w:val="006165C9"/>
    <w:rsid w:val="0061677B"/>
    <w:rsid w:val="00616807"/>
    <w:rsid w:val="00616CA1"/>
    <w:rsid w:val="00616E09"/>
    <w:rsid w:val="006173E0"/>
    <w:rsid w:val="0061794E"/>
    <w:rsid w:val="00617CBA"/>
    <w:rsid w:val="006200BD"/>
    <w:rsid w:val="0062035D"/>
    <w:rsid w:val="00620589"/>
    <w:rsid w:val="00620AA3"/>
    <w:rsid w:val="0062116F"/>
    <w:rsid w:val="0062188E"/>
    <w:rsid w:val="006218FC"/>
    <w:rsid w:val="00622084"/>
    <w:rsid w:val="0062212D"/>
    <w:rsid w:val="0062226A"/>
    <w:rsid w:val="00622415"/>
    <w:rsid w:val="006225A1"/>
    <w:rsid w:val="006225ED"/>
    <w:rsid w:val="006227FD"/>
    <w:rsid w:val="006228F1"/>
    <w:rsid w:val="00622A3B"/>
    <w:rsid w:val="00622AB3"/>
    <w:rsid w:val="00622C46"/>
    <w:rsid w:val="00622CF9"/>
    <w:rsid w:val="00623025"/>
    <w:rsid w:val="00623906"/>
    <w:rsid w:val="0062396C"/>
    <w:rsid w:val="00623FF9"/>
    <w:rsid w:val="00624098"/>
    <w:rsid w:val="0062431B"/>
    <w:rsid w:val="006249CE"/>
    <w:rsid w:val="00624AE0"/>
    <w:rsid w:val="0062509A"/>
    <w:rsid w:val="0062605B"/>
    <w:rsid w:val="0062670E"/>
    <w:rsid w:val="00626B95"/>
    <w:rsid w:val="00626BAA"/>
    <w:rsid w:val="0062714A"/>
    <w:rsid w:val="00627A84"/>
    <w:rsid w:val="00627D4E"/>
    <w:rsid w:val="00630305"/>
    <w:rsid w:val="00631200"/>
    <w:rsid w:val="00631B1A"/>
    <w:rsid w:val="00631F9E"/>
    <w:rsid w:val="00632353"/>
    <w:rsid w:val="00632A76"/>
    <w:rsid w:val="006334CB"/>
    <w:rsid w:val="00633AAE"/>
    <w:rsid w:val="00633AE0"/>
    <w:rsid w:val="00634266"/>
    <w:rsid w:val="00634478"/>
    <w:rsid w:val="006344A7"/>
    <w:rsid w:val="00634ACA"/>
    <w:rsid w:val="00634D65"/>
    <w:rsid w:val="00635696"/>
    <w:rsid w:val="00635B09"/>
    <w:rsid w:val="00640CD5"/>
    <w:rsid w:val="00640F08"/>
    <w:rsid w:val="0064148A"/>
    <w:rsid w:val="00641551"/>
    <w:rsid w:val="00642E07"/>
    <w:rsid w:val="00642ECE"/>
    <w:rsid w:val="00643471"/>
    <w:rsid w:val="00643570"/>
    <w:rsid w:val="00643ABC"/>
    <w:rsid w:val="00643C26"/>
    <w:rsid w:val="006442C1"/>
    <w:rsid w:val="00644373"/>
    <w:rsid w:val="006444DA"/>
    <w:rsid w:val="006446FF"/>
    <w:rsid w:val="006447F5"/>
    <w:rsid w:val="00644A33"/>
    <w:rsid w:val="00644FFF"/>
    <w:rsid w:val="0064549D"/>
    <w:rsid w:val="00645915"/>
    <w:rsid w:val="00646157"/>
    <w:rsid w:val="006465BD"/>
    <w:rsid w:val="006469A3"/>
    <w:rsid w:val="00647793"/>
    <w:rsid w:val="00647C30"/>
    <w:rsid w:val="00647C69"/>
    <w:rsid w:val="00650710"/>
    <w:rsid w:val="00650ACB"/>
    <w:rsid w:val="00650F41"/>
    <w:rsid w:val="0065101A"/>
    <w:rsid w:val="006514E6"/>
    <w:rsid w:val="0065169C"/>
    <w:rsid w:val="006517BC"/>
    <w:rsid w:val="0065181C"/>
    <w:rsid w:val="006519C3"/>
    <w:rsid w:val="00651C1E"/>
    <w:rsid w:val="00652285"/>
    <w:rsid w:val="006526CD"/>
    <w:rsid w:val="00652B30"/>
    <w:rsid w:val="006536DD"/>
    <w:rsid w:val="0065382B"/>
    <w:rsid w:val="00653BD9"/>
    <w:rsid w:val="00654034"/>
    <w:rsid w:val="00654A49"/>
    <w:rsid w:val="00655F0E"/>
    <w:rsid w:val="0065621D"/>
    <w:rsid w:val="006562B8"/>
    <w:rsid w:val="00656345"/>
    <w:rsid w:val="00656541"/>
    <w:rsid w:val="0065679B"/>
    <w:rsid w:val="00656A6E"/>
    <w:rsid w:val="00656B13"/>
    <w:rsid w:val="00656C8A"/>
    <w:rsid w:val="00656DC6"/>
    <w:rsid w:val="0065743F"/>
    <w:rsid w:val="0065752E"/>
    <w:rsid w:val="0065791E"/>
    <w:rsid w:val="00657F5A"/>
    <w:rsid w:val="00657F66"/>
    <w:rsid w:val="0066063C"/>
    <w:rsid w:val="00660645"/>
    <w:rsid w:val="0066069D"/>
    <w:rsid w:val="00660ACA"/>
    <w:rsid w:val="00660B1E"/>
    <w:rsid w:val="006612DD"/>
    <w:rsid w:val="00661328"/>
    <w:rsid w:val="00662513"/>
    <w:rsid w:val="006629EA"/>
    <w:rsid w:val="00663911"/>
    <w:rsid w:val="00663AEE"/>
    <w:rsid w:val="006640C5"/>
    <w:rsid w:val="00664110"/>
    <w:rsid w:val="00664A14"/>
    <w:rsid w:val="00664D17"/>
    <w:rsid w:val="00666520"/>
    <w:rsid w:val="00666FF8"/>
    <w:rsid w:val="006672F1"/>
    <w:rsid w:val="00667AD6"/>
    <w:rsid w:val="00667C5B"/>
    <w:rsid w:val="0067050D"/>
    <w:rsid w:val="00670983"/>
    <w:rsid w:val="0067098E"/>
    <w:rsid w:val="00670DB7"/>
    <w:rsid w:val="00670E90"/>
    <w:rsid w:val="006710F4"/>
    <w:rsid w:val="00671A86"/>
    <w:rsid w:val="00671BBE"/>
    <w:rsid w:val="00671C65"/>
    <w:rsid w:val="00671F72"/>
    <w:rsid w:val="00672A11"/>
    <w:rsid w:val="00672C98"/>
    <w:rsid w:val="006737C5"/>
    <w:rsid w:val="00673958"/>
    <w:rsid w:val="00673AE0"/>
    <w:rsid w:val="00674DA2"/>
    <w:rsid w:val="00674F7C"/>
    <w:rsid w:val="00674F93"/>
    <w:rsid w:val="00675A81"/>
    <w:rsid w:val="00675F02"/>
    <w:rsid w:val="00676772"/>
    <w:rsid w:val="006768F4"/>
    <w:rsid w:val="00680116"/>
    <w:rsid w:val="006804CD"/>
    <w:rsid w:val="00680554"/>
    <w:rsid w:val="00680658"/>
    <w:rsid w:val="006806CC"/>
    <w:rsid w:val="00680EA2"/>
    <w:rsid w:val="00681030"/>
    <w:rsid w:val="00681C1C"/>
    <w:rsid w:val="00682038"/>
    <w:rsid w:val="0068223A"/>
    <w:rsid w:val="0068284D"/>
    <w:rsid w:val="00682894"/>
    <w:rsid w:val="006828C1"/>
    <w:rsid w:val="00682D42"/>
    <w:rsid w:val="00683494"/>
    <w:rsid w:val="00683823"/>
    <w:rsid w:val="00683C76"/>
    <w:rsid w:val="00684101"/>
    <w:rsid w:val="00684291"/>
    <w:rsid w:val="00684368"/>
    <w:rsid w:val="00684757"/>
    <w:rsid w:val="006853E7"/>
    <w:rsid w:val="0068569F"/>
    <w:rsid w:val="0068581D"/>
    <w:rsid w:val="00685F0E"/>
    <w:rsid w:val="00686141"/>
    <w:rsid w:val="006864C7"/>
    <w:rsid w:val="0068664F"/>
    <w:rsid w:val="006869EF"/>
    <w:rsid w:val="00687472"/>
    <w:rsid w:val="00687487"/>
    <w:rsid w:val="006877D2"/>
    <w:rsid w:val="00690277"/>
    <w:rsid w:val="00690F30"/>
    <w:rsid w:val="00691151"/>
    <w:rsid w:val="006917E2"/>
    <w:rsid w:val="00691DED"/>
    <w:rsid w:val="00691DEE"/>
    <w:rsid w:val="00691E2A"/>
    <w:rsid w:val="0069244F"/>
    <w:rsid w:val="0069285F"/>
    <w:rsid w:val="006928D0"/>
    <w:rsid w:val="00692CDE"/>
    <w:rsid w:val="00693073"/>
    <w:rsid w:val="00693545"/>
    <w:rsid w:val="00693581"/>
    <w:rsid w:val="00693735"/>
    <w:rsid w:val="00693D42"/>
    <w:rsid w:val="00693FFA"/>
    <w:rsid w:val="00694477"/>
    <w:rsid w:val="00694F5B"/>
    <w:rsid w:val="00694F9A"/>
    <w:rsid w:val="006960B4"/>
    <w:rsid w:val="0069630A"/>
    <w:rsid w:val="00696721"/>
    <w:rsid w:val="00697082"/>
    <w:rsid w:val="006977D2"/>
    <w:rsid w:val="006977FF"/>
    <w:rsid w:val="00697F08"/>
    <w:rsid w:val="006A01FA"/>
    <w:rsid w:val="006A0867"/>
    <w:rsid w:val="006A0BEC"/>
    <w:rsid w:val="006A0BF4"/>
    <w:rsid w:val="006A0E9E"/>
    <w:rsid w:val="006A177F"/>
    <w:rsid w:val="006A1A72"/>
    <w:rsid w:val="006A1A76"/>
    <w:rsid w:val="006A1A9B"/>
    <w:rsid w:val="006A1CBE"/>
    <w:rsid w:val="006A1D3F"/>
    <w:rsid w:val="006A1EEA"/>
    <w:rsid w:val="006A254A"/>
    <w:rsid w:val="006A25C7"/>
    <w:rsid w:val="006A271A"/>
    <w:rsid w:val="006A2D16"/>
    <w:rsid w:val="006A3444"/>
    <w:rsid w:val="006A34C6"/>
    <w:rsid w:val="006A4244"/>
    <w:rsid w:val="006A48CE"/>
    <w:rsid w:val="006A4AAD"/>
    <w:rsid w:val="006A4AD5"/>
    <w:rsid w:val="006A503F"/>
    <w:rsid w:val="006A5162"/>
    <w:rsid w:val="006A5235"/>
    <w:rsid w:val="006A536C"/>
    <w:rsid w:val="006A5DDA"/>
    <w:rsid w:val="006A636F"/>
    <w:rsid w:val="006A6DA2"/>
    <w:rsid w:val="006A70A6"/>
    <w:rsid w:val="006A7AB2"/>
    <w:rsid w:val="006B09C8"/>
    <w:rsid w:val="006B0A31"/>
    <w:rsid w:val="006B0B93"/>
    <w:rsid w:val="006B0EEE"/>
    <w:rsid w:val="006B19B9"/>
    <w:rsid w:val="006B1B32"/>
    <w:rsid w:val="006B1D5D"/>
    <w:rsid w:val="006B2B31"/>
    <w:rsid w:val="006B2F4D"/>
    <w:rsid w:val="006B2F4F"/>
    <w:rsid w:val="006B373C"/>
    <w:rsid w:val="006B39AB"/>
    <w:rsid w:val="006B3AED"/>
    <w:rsid w:val="006B3F89"/>
    <w:rsid w:val="006B4990"/>
    <w:rsid w:val="006B4C3E"/>
    <w:rsid w:val="006B4F4E"/>
    <w:rsid w:val="006B546F"/>
    <w:rsid w:val="006B5630"/>
    <w:rsid w:val="006B5717"/>
    <w:rsid w:val="006B582F"/>
    <w:rsid w:val="006B58ED"/>
    <w:rsid w:val="006B5E65"/>
    <w:rsid w:val="006B6115"/>
    <w:rsid w:val="006B6217"/>
    <w:rsid w:val="006B62E4"/>
    <w:rsid w:val="006B71BB"/>
    <w:rsid w:val="006B7377"/>
    <w:rsid w:val="006B78C2"/>
    <w:rsid w:val="006B7942"/>
    <w:rsid w:val="006B7A48"/>
    <w:rsid w:val="006B7E1D"/>
    <w:rsid w:val="006C0452"/>
    <w:rsid w:val="006C077B"/>
    <w:rsid w:val="006C0CEB"/>
    <w:rsid w:val="006C0E35"/>
    <w:rsid w:val="006C0F10"/>
    <w:rsid w:val="006C15D8"/>
    <w:rsid w:val="006C1662"/>
    <w:rsid w:val="006C1D90"/>
    <w:rsid w:val="006C390C"/>
    <w:rsid w:val="006C3B1E"/>
    <w:rsid w:val="006C3D95"/>
    <w:rsid w:val="006C41FF"/>
    <w:rsid w:val="006C47E3"/>
    <w:rsid w:val="006C47FD"/>
    <w:rsid w:val="006C4BE7"/>
    <w:rsid w:val="006C4CC5"/>
    <w:rsid w:val="006C4E7C"/>
    <w:rsid w:val="006C4F00"/>
    <w:rsid w:val="006C5824"/>
    <w:rsid w:val="006C5985"/>
    <w:rsid w:val="006C63B7"/>
    <w:rsid w:val="006C6537"/>
    <w:rsid w:val="006C70A0"/>
    <w:rsid w:val="006C7129"/>
    <w:rsid w:val="006C762B"/>
    <w:rsid w:val="006C7776"/>
    <w:rsid w:val="006C788F"/>
    <w:rsid w:val="006C78CC"/>
    <w:rsid w:val="006C7D02"/>
    <w:rsid w:val="006D0418"/>
    <w:rsid w:val="006D0BAA"/>
    <w:rsid w:val="006D142F"/>
    <w:rsid w:val="006D191C"/>
    <w:rsid w:val="006D1B08"/>
    <w:rsid w:val="006D216D"/>
    <w:rsid w:val="006D21C1"/>
    <w:rsid w:val="006D27CB"/>
    <w:rsid w:val="006D295E"/>
    <w:rsid w:val="006D2F08"/>
    <w:rsid w:val="006D3289"/>
    <w:rsid w:val="006D37DD"/>
    <w:rsid w:val="006D40D5"/>
    <w:rsid w:val="006D465D"/>
    <w:rsid w:val="006D466C"/>
    <w:rsid w:val="006D46B4"/>
    <w:rsid w:val="006D4945"/>
    <w:rsid w:val="006D4B9F"/>
    <w:rsid w:val="006D4C87"/>
    <w:rsid w:val="006D516C"/>
    <w:rsid w:val="006D55C8"/>
    <w:rsid w:val="006D576C"/>
    <w:rsid w:val="006D5816"/>
    <w:rsid w:val="006D5865"/>
    <w:rsid w:val="006D5A9B"/>
    <w:rsid w:val="006D600C"/>
    <w:rsid w:val="006D62A2"/>
    <w:rsid w:val="006D62C2"/>
    <w:rsid w:val="006D677E"/>
    <w:rsid w:val="006D68AC"/>
    <w:rsid w:val="006D6B22"/>
    <w:rsid w:val="006D6B48"/>
    <w:rsid w:val="006D6E8D"/>
    <w:rsid w:val="006D790D"/>
    <w:rsid w:val="006D7F18"/>
    <w:rsid w:val="006E024D"/>
    <w:rsid w:val="006E03BD"/>
    <w:rsid w:val="006E044A"/>
    <w:rsid w:val="006E0AE9"/>
    <w:rsid w:val="006E0B15"/>
    <w:rsid w:val="006E0B73"/>
    <w:rsid w:val="006E11D2"/>
    <w:rsid w:val="006E13CF"/>
    <w:rsid w:val="006E1DEF"/>
    <w:rsid w:val="006E209F"/>
    <w:rsid w:val="006E217E"/>
    <w:rsid w:val="006E27B0"/>
    <w:rsid w:val="006E35E0"/>
    <w:rsid w:val="006E3B16"/>
    <w:rsid w:val="006E3DDA"/>
    <w:rsid w:val="006E3DE4"/>
    <w:rsid w:val="006E400B"/>
    <w:rsid w:val="006E429D"/>
    <w:rsid w:val="006E4318"/>
    <w:rsid w:val="006E48D6"/>
    <w:rsid w:val="006E4B1B"/>
    <w:rsid w:val="006E5445"/>
    <w:rsid w:val="006E5F06"/>
    <w:rsid w:val="006E61FD"/>
    <w:rsid w:val="006E69E0"/>
    <w:rsid w:val="006E6D18"/>
    <w:rsid w:val="006E6D51"/>
    <w:rsid w:val="006E70EB"/>
    <w:rsid w:val="006E75F6"/>
    <w:rsid w:val="006E766B"/>
    <w:rsid w:val="006E799B"/>
    <w:rsid w:val="006E7D93"/>
    <w:rsid w:val="006E7F2C"/>
    <w:rsid w:val="006F0574"/>
    <w:rsid w:val="006F0B9D"/>
    <w:rsid w:val="006F0D86"/>
    <w:rsid w:val="006F1137"/>
    <w:rsid w:val="006F149A"/>
    <w:rsid w:val="006F1645"/>
    <w:rsid w:val="006F169A"/>
    <w:rsid w:val="006F19AB"/>
    <w:rsid w:val="006F2380"/>
    <w:rsid w:val="006F25BE"/>
    <w:rsid w:val="006F2945"/>
    <w:rsid w:val="006F2975"/>
    <w:rsid w:val="006F3138"/>
    <w:rsid w:val="006F3347"/>
    <w:rsid w:val="006F3565"/>
    <w:rsid w:val="006F3A78"/>
    <w:rsid w:val="006F4542"/>
    <w:rsid w:val="006F4A57"/>
    <w:rsid w:val="006F4EB8"/>
    <w:rsid w:val="006F50DC"/>
    <w:rsid w:val="006F51F8"/>
    <w:rsid w:val="006F53C6"/>
    <w:rsid w:val="006F5833"/>
    <w:rsid w:val="006F5A6D"/>
    <w:rsid w:val="006F5BB0"/>
    <w:rsid w:val="006F5C20"/>
    <w:rsid w:val="006F5D8F"/>
    <w:rsid w:val="006F780D"/>
    <w:rsid w:val="00700E6E"/>
    <w:rsid w:val="00700F54"/>
    <w:rsid w:val="00701357"/>
    <w:rsid w:val="00701864"/>
    <w:rsid w:val="0070199D"/>
    <w:rsid w:val="00701B26"/>
    <w:rsid w:val="007028C2"/>
    <w:rsid w:val="007029A3"/>
    <w:rsid w:val="00703984"/>
    <w:rsid w:val="00703B56"/>
    <w:rsid w:val="00703F01"/>
    <w:rsid w:val="007043A6"/>
    <w:rsid w:val="00704517"/>
    <w:rsid w:val="00704640"/>
    <w:rsid w:val="0070485C"/>
    <w:rsid w:val="0070488D"/>
    <w:rsid w:val="00704E82"/>
    <w:rsid w:val="0070519F"/>
    <w:rsid w:val="0070556B"/>
    <w:rsid w:val="007055ED"/>
    <w:rsid w:val="00705A61"/>
    <w:rsid w:val="00705B35"/>
    <w:rsid w:val="00705D77"/>
    <w:rsid w:val="00705E85"/>
    <w:rsid w:val="00706114"/>
    <w:rsid w:val="00706410"/>
    <w:rsid w:val="0070683E"/>
    <w:rsid w:val="00706A36"/>
    <w:rsid w:val="00706C88"/>
    <w:rsid w:val="00706E4E"/>
    <w:rsid w:val="00706F73"/>
    <w:rsid w:val="007074BF"/>
    <w:rsid w:val="007075D6"/>
    <w:rsid w:val="0070791C"/>
    <w:rsid w:val="007103C7"/>
    <w:rsid w:val="0071089C"/>
    <w:rsid w:val="007110B1"/>
    <w:rsid w:val="0071251F"/>
    <w:rsid w:val="0071383C"/>
    <w:rsid w:val="007141A7"/>
    <w:rsid w:val="00714EA7"/>
    <w:rsid w:val="007151E4"/>
    <w:rsid w:val="0071585E"/>
    <w:rsid w:val="007158A9"/>
    <w:rsid w:val="007159F6"/>
    <w:rsid w:val="007167B4"/>
    <w:rsid w:val="0071715A"/>
    <w:rsid w:val="00717452"/>
    <w:rsid w:val="0071748D"/>
    <w:rsid w:val="007174EF"/>
    <w:rsid w:val="00717896"/>
    <w:rsid w:val="007178DE"/>
    <w:rsid w:val="00720CE8"/>
    <w:rsid w:val="007215D4"/>
    <w:rsid w:val="00721B55"/>
    <w:rsid w:val="00721F3A"/>
    <w:rsid w:val="007221F4"/>
    <w:rsid w:val="00722C9C"/>
    <w:rsid w:val="0072381B"/>
    <w:rsid w:val="00723A4C"/>
    <w:rsid w:val="00723AFA"/>
    <w:rsid w:val="00723B12"/>
    <w:rsid w:val="00723C62"/>
    <w:rsid w:val="00723E02"/>
    <w:rsid w:val="00724783"/>
    <w:rsid w:val="00724897"/>
    <w:rsid w:val="00725082"/>
    <w:rsid w:val="0072524B"/>
    <w:rsid w:val="007252F7"/>
    <w:rsid w:val="00725511"/>
    <w:rsid w:val="0072551A"/>
    <w:rsid w:val="00725AAE"/>
    <w:rsid w:val="00725C57"/>
    <w:rsid w:val="00725E19"/>
    <w:rsid w:val="00726CE4"/>
    <w:rsid w:val="00727293"/>
    <w:rsid w:val="0072742A"/>
    <w:rsid w:val="00730A14"/>
    <w:rsid w:val="007315AE"/>
    <w:rsid w:val="00731829"/>
    <w:rsid w:val="007329AD"/>
    <w:rsid w:val="00732A65"/>
    <w:rsid w:val="007332E7"/>
    <w:rsid w:val="00733502"/>
    <w:rsid w:val="00733D03"/>
    <w:rsid w:val="00733D08"/>
    <w:rsid w:val="00734143"/>
    <w:rsid w:val="00735585"/>
    <w:rsid w:val="00735627"/>
    <w:rsid w:val="00735873"/>
    <w:rsid w:val="00735B53"/>
    <w:rsid w:val="00736EE9"/>
    <w:rsid w:val="00737053"/>
    <w:rsid w:val="007370DB"/>
    <w:rsid w:val="007371A7"/>
    <w:rsid w:val="00737547"/>
    <w:rsid w:val="007378E9"/>
    <w:rsid w:val="00737A84"/>
    <w:rsid w:val="00737AEE"/>
    <w:rsid w:val="00737B05"/>
    <w:rsid w:val="00737E47"/>
    <w:rsid w:val="0074082E"/>
    <w:rsid w:val="00740BE3"/>
    <w:rsid w:val="00740D67"/>
    <w:rsid w:val="00740EAC"/>
    <w:rsid w:val="007410CA"/>
    <w:rsid w:val="00741294"/>
    <w:rsid w:val="00741608"/>
    <w:rsid w:val="00741DBA"/>
    <w:rsid w:val="007422A8"/>
    <w:rsid w:val="00742DA4"/>
    <w:rsid w:val="00743780"/>
    <w:rsid w:val="00743BBE"/>
    <w:rsid w:val="00743C7F"/>
    <w:rsid w:val="00743F81"/>
    <w:rsid w:val="007448E1"/>
    <w:rsid w:val="00744956"/>
    <w:rsid w:val="007449BD"/>
    <w:rsid w:val="00744D00"/>
    <w:rsid w:val="00745A5C"/>
    <w:rsid w:val="0074605F"/>
    <w:rsid w:val="0074619A"/>
    <w:rsid w:val="0074634B"/>
    <w:rsid w:val="0074651C"/>
    <w:rsid w:val="0074667A"/>
    <w:rsid w:val="00746787"/>
    <w:rsid w:val="00746B35"/>
    <w:rsid w:val="00746C09"/>
    <w:rsid w:val="00746CCE"/>
    <w:rsid w:val="00747989"/>
    <w:rsid w:val="00747B86"/>
    <w:rsid w:val="00747C33"/>
    <w:rsid w:val="00747C61"/>
    <w:rsid w:val="00747E94"/>
    <w:rsid w:val="0075035E"/>
    <w:rsid w:val="00750678"/>
    <w:rsid w:val="00750D41"/>
    <w:rsid w:val="0075119D"/>
    <w:rsid w:val="007513F2"/>
    <w:rsid w:val="00751625"/>
    <w:rsid w:val="00751C8A"/>
    <w:rsid w:val="00751F26"/>
    <w:rsid w:val="00751F56"/>
    <w:rsid w:val="00753686"/>
    <w:rsid w:val="0075368E"/>
    <w:rsid w:val="00753AEE"/>
    <w:rsid w:val="00753D3D"/>
    <w:rsid w:val="00753F6B"/>
    <w:rsid w:val="007540CF"/>
    <w:rsid w:val="00754440"/>
    <w:rsid w:val="00754C2A"/>
    <w:rsid w:val="00754FBF"/>
    <w:rsid w:val="007550AC"/>
    <w:rsid w:val="007552FF"/>
    <w:rsid w:val="007553C8"/>
    <w:rsid w:val="00755A65"/>
    <w:rsid w:val="00755AEA"/>
    <w:rsid w:val="00755E59"/>
    <w:rsid w:val="0075611C"/>
    <w:rsid w:val="007563C6"/>
    <w:rsid w:val="00756EA0"/>
    <w:rsid w:val="0075791C"/>
    <w:rsid w:val="00757A23"/>
    <w:rsid w:val="007604C7"/>
    <w:rsid w:val="00760653"/>
    <w:rsid w:val="00761E11"/>
    <w:rsid w:val="00761E6D"/>
    <w:rsid w:val="00762BA3"/>
    <w:rsid w:val="00763292"/>
    <w:rsid w:val="007636F2"/>
    <w:rsid w:val="00763BC1"/>
    <w:rsid w:val="00763C2D"/>
    <w:rsid w:val="00763C6C"/>
    <w:rsid w:val="007645B3"/>
    <w:rsid w:val="0076506D"/>
    <w:rsid w:val="00765CD1"/>
    <w:rsid w:val="00766599"/>
    <w:rsid w:val="00766749"/>
    <w:rsid w:val="00766DE0"/>
    <w:rsid w:val="007672C7"/>
    <w:rsid w:val="00767BAD"/>
    <w:rsid w:val="00767C1B"/>
    <w:rsid w:val="007700D1"/>
    <w:rsid w:val="007700F3"/>
    <w:rsid w:val="0077097D"/>
    <w:rsid w:val="007714A9"/>
    <w:rsid w:val="0077160E"/>
    <w:rsid w:val="00771708"/>
    <w:rsid w:val="00772341"/>
    <w:rsid w:val="00772409"/>
    <w:rsid w:val="007726C2"/>
    <w:rsid w:val="00772F1A"/>
    <w:rsid w:val="0077354D"/>
    <w:rsid w:val="00773ABC"/>
    <w:rsid w:val="00773D48"/>
    <w:rsid w:val="00773F9A"/>
    <w:rsid w:val="00773FEF"/>
    <w:rsid w:val="0077408E"/>
    <w:rsid w:val="0077435D"/>
    <w:rsid w:val="0077471A"/>
    <w:rsid w:val="00774AEF"/>
    <w:rsid w:val="00774C06"/>
    <w:rsid w:val="00774F88"/>
    <w:rsid w:val="00774FDB"/>
    <w:rsid w:val="00775185"/>
    <w:rsid w:val="007756C0"/>
    <w:rsid w:val="007769C3"/>
    <w:rsid w:val="00776ABF"/>
    <w:rsid w:val="00776BFD"/>
    <w:rsid w:val="00776E93"/>
    <w:rsid w:val="007773AC"/>
    <w:rsid w:val="00777BA2"/>
    <w:rsid w:val="00780016"/>
    <w:rsid w:val="0078064F"/>
    <w:rsid w:val="00780CE8"/>
    <w:rsid w:val="00781135"/>
    <w:rsid w:val="00781168"/>
    <w:rsid w:val="00781408"/>
    <w:rsid w:val="0078166C"/>
    <w:rsid w:val="00781C75"/>
    <w:rsid w:val="0078213E"/>
    <w:rsid w:val="00782431"/>
    <w:rsid w:val="0078252F"/>
    <w:rsid w:val="00782731"/>
    <w:rsid w:val="00782A19"/>
    <w:rsid w:val="00782A62"/>
    <w:rsid w:val="007830EA"/>
    <w:rsid w:val="007835C0"/>
    <w:rsid w:val="00783B00"/>
    <w:rsid w:val="00783B82"/>
    <w:rsid w:val="00783C0B"/>
    <w:rsid w:val="00783C0E"/>
    <w:rsid w:val="00783E4B"/>
    <w:rsid w:val="00784346"/>
    <w:rsid w:val="00784537"/>
    <w:rsid w:val="00784567"/>
    <w:rsid w:val="00784D40"/>
    <w:rsid w:val="00784F7F"/>
    <w:rsid w:val="0078519E"/>
    <w:rsid w:val="0078537B"/>
    <w:rsid w:val="007854F1"/>
    <w:rsid w:val="00785727"/>
    <w:rsid w:val="00785784"/>
    <w:rsid w:val="00785B92"/>
    <w:rsid w:val="00785C0F"/>
    <w:rsid w:val="00785DA0"/>
    <w:rsid w:val="00786612"/>
    <w:rsid w:val="007869C7"/>
    <w:rsid w:val="00786E29"/>
    <w:rsid w:val="00787480"/>
    <w:rsid w:val="0078777C"/>
    <w:rsid w:val="00787B07"/>
    <w:rsid w:val="00790381"/>
    <w:rsid w:val="007908CB"/>
    <w:rsid w:val="007910D4"/>
    <w:rsid w:val="0079157F"/>
    <w:rsid w:val="007916C5"/>
    <w:rsid w:val="007917DA"/>
    <w:rsid w:val="00792D9D"/>
    <w:rsid w:val="0079353C"/>
    <w:rsid w:val="0079470C"/>
    <w:rsid w:val="007948ED"/>
    <w:rsid w:val="007956C2"/>
    <w:rsid w:val="00795927"/>
    <w:rsid w:val="00795CA7"/>
    <w:rsid w:val="0079628C"/>
    <w:rsid w:val="0079638D"/>
    <w:rsid w:val="00796E54"/>
    <w:rsid w:val="00796E86"/>
    <w:rsid w:val="00796F25"/>
    <w:rsid w:val="00797DF8"/>
    <w:rsid w:val="007A0594"/>
    <w:rsid w:val="007A1260"/>
    <w:rsid w:val="007A1D7E"/>
    <w:rsid w:val="007A26BD"/>
    <w:rsid w:val="007A29F5"/>
    <w:rsid w:val="007A2C07"/>
    <w:rsid w:val="007A2E98"/>
    <w:rsid w:val="007A3BA3"/>
    <w:rsid w:val="007A46CA"/>
    <w:rsid w:val="007A4FFC"/>
    <w:rsid w:val="007A695A"/>
    <w:rsid w:val="007A6CC0"/>
    <w:rsid w:val="007A6DD3"/>
    <w:rsid w:val="007A6FE2"/>
    <w:rsid w:val="007A78A6"/>
    <w:rsid w:val="007A79B3"/>
    <w:rsid w:val="007A7ACE"/>
    <w:rsid w:val="007B069B"/>
    <w:rsid w:val="007B07F9"/>
    <w:rsid w:val="007B0819"/>
    <w:rsid w:val="007B0895"/>
    <w:rsid w:val="007B0A03"/>
    <w:rsid w:val="007B0A78"/>
    <w:rsid w:val="007B0DFB"/>
    <w:rsid w:val="007B104A"/>
    <w:rsid w:val="007B1188"/>
    <w:rsid w:val="007B1499"/>
    <w:rsid w:val="007B1BBF"/>
    <w:rsid w:val="007B248C"/>
    <w:rsid w:val="007B2960"/>
    <w:rsid w:val="007B2BAA"/>
    <w:rsid w:val="007B2C3E"/>
    <w:rsid w:val="007B3184"/>
    <w:rsid w:val="007B355D"/>
    <w:rsid w:val="007B3708"/>
    <w:rsid w:val="007B3FF3"/>
    <w:rsid w:val="007B4380"/>
    <w:rsid w:val="007B519B"/>
    <w:rsid w:val="007B5328"/>
    <w:rsid w:val="007B59FE"/>
    <w:rsid w:val="007B689B"/>
    <w:rsid w:val="007B6B9B"/>
    <w:rsid w:val="007B74E2"/>
    <w:rsid w:val="007B75AF"/>
    <w:rsid w:val="007B77BF"/>
    <w:rsid w:val="007B7980"/>
    <w:rsid w:val="007B7BD7"/>
    <w:rsid w:val="007C0099"/>
    <w:rsid w:val="007C0A74"/>
    <w:rsid w:val="007C0B74"/>
    <w:rsid w:val="007C0FAE"/>
    <w:rsid w:val="007C1441"/>
    <w:rsid w:val="007C2C17"/>
    <w:rsid w:val="007C3485"/>
    <w:rsid w:val="007C3E44"/>
    <w:rsid w:val="007C48D8"/>
    <w:rsid w:val="007C48DE"/>
    <w:rsid w:val="007C4A23"/>
    <w:rsid w:val="007C4E78"/>
    <w:rsid w:val="007C5D5A"/>
    <w:rsid w:val="007C607F"/>
    <w:rsid w:val="007C6C89"/>
    <w:rsid w:val="007C6F6E"/>
    <w:rsid w:val="007C79DD"/>
    <w:rsid w:val="007C7AAA"/>
    <w:rsid w:val="007D1A8E"/>
    <w:rsid w:val="007D1A97"/>
    <w:rsid w:val="007D1D3D"/>
    <w:rsid w:val="007D20E8"/>
    <w:rsid w:val="007D2301"/>
    <w:rsid w:val="007D26B2"/>
    <w:rsid w:val="007D28CA"/>
    <w:rsid w:val="007D2952"/>
    <w:rsid w:val="007D2995"/>
    <w:rsid w:val="007D2BD7"/>
    <w:rsid w:val="007D2CD6"/>
    <w:rsid w:val="007D3063"/>
    <w:rsid w:val="007D3257"/>
    <w:rsid w:val="007D3AF9"/>
    <w:rsid w:val="007D3CEB"/>
    <w:rsid w:val="007D3D90"/>
    <w:rsid w:val="007D3EE2"/>
    <w:rsid w:val="007D3F6A"/>
    <w:rsid w:val="007D40F4"/>
    <w:rsid w:val="007D42FE"/>
    <w:rsid w:val="007D43CB"/>
    <w:rsid w:val="007D46B8"/>
    <w:rsid w:val="007D480D"/>
    <w:rsid w:val="007D4D89"/>
    <w:rsid w:val="007D4F32"/>
    <w:rsid w:val="007D5E8E"/>
    <w:rsid w:val="007D5FF1"/>
    <w:rsid w:val="007D674E"/>
    <w:rsid w:val="007D6973"/>
    <w:rsid w:val="007D69A5"/>
    <w:rsid w:val="007D751D"/>
    <w:rsid w:val="007D7B72"/>
    <w:rsid w:val="007D7BD2"/>
    <w:rsid w:val="007E0535"/>
    <w:rsid w:val="007E088E"/>
    <w:rsid w:val="007E08C7"/>
    <w:rsid w:val="007E0A39"/>
    <w:rsid w:val="007E0E00"/>
    <w:rsid w:val="007E122C"/>
    <w:rsid w:val="007E137F"/>
    <w:rsid w:val="007E140F"/>
    <w:rsid w:val="007E14EF"/>
    <w:rsid w:val="007E1905"/>
    <w:rsid w:val="007E1F85"/>
    <w:rsid w:val="007E241A"/>
    <w:rsid w:val="007E2A9D"/>
    <w:rsid w:val="007E2FF6"/>
    <w:rsid w:val="007E3587"/>
    <w:rsid w:val="007E4097"/>
    <w:rsid w:val="007E4843"/>
    <w:rsid w:val="007E4967"/>
    <w:rsid w:val="007E54E0"/>
    <w:rsid w:val="007E55ED"/>
    <w:rsid w:val="007E5608"/>
    <w:rsid w:val="007E57C2"/>
    <w:rsid w:val="007E5A7F"/>
    <w:rsid w:val="007E5AE1"/>
    <w:rsid w:val="007E602C"/>
    <w:rsid w:val="007E6225"/>
    <w:rsid w:val="007E69C4"/>
    <w:rsid w:val="007E728F"/>
    <w:rsid w:val="007E757B"/>
    <w:rsid w:val="007E7683"/>
    <w:rsid w:val="007F0985"/>
    <w:rsid w:val="007F17F4"/>
    <w:rsid w:val="007F193C"/>
    <w:rsid w:val="007F197C"/>
    <w:rsid w:val="007F24B8"/>
    <w:rsid w:val="007F262F"/>
    <w:rsid w:val="007F291B"/>
    <w:rsid w:val="007F2BFA"/>
    <w:rsid w:val="007F2CBB"/>
    <w:rsid w:val="007F2E83"/>
    <w:rsid w:val="007F36CC"/>
    <w:rsid w:val="007F3947"/>
    <w:rsid w:val="007F3B91"/>
    <w:rsid w:val="007F3FBC"/>
    <w:rsid w:val="007F45F5"/>
    <w:rsid w:val="007F46B5"/>
    <w:rsid w:val="007F49FA"/>
    <w:rsid w:val="007F5024"/>
    <w:rsid w:val="007F534E"/>
    <w:rsid w:val="007F54C4"/>
    <w:rsid w:val="007F59CE"/>
    <w:rsid w:val="007F6248"/>
    <w:rsid w:val="007F6278"/>
    <w:rsid w:val="007F6298"/>
    <w:rsid w:val="007F6B1D"/>
    <w:rsid w:val="007F6B69"/>
    <w:rsid w:val="007F6CAA"/>
    <w:rsid w:val="007F6E9A"/>
    <w:rsid w:val="007F74BF"/>
    <w:rsid w:val="007F751B"/>
    <w:rsid w:val="007F7843"/>
    <w:rsid w:val="007F7AF8"/>
    <w:rsid w:val="0080111A"/>
    <w:rsid w:val="00801227"/>
    <w:rsid w:val="008014C6"/>
    <w:rsid w:val="008027DE"/>
    <w:rsid w:val="0080340A"/>
    <w:rsid w:val="00803663"/>
    <w:rsid w:val="008036A5"/>
    <w:rsid w:val="0080412A"/>
    <w:rsid w:val="008041AC"/>
    <w:rsid w:val="008042B8"/>
    <w:rsid w:val="008044D4"/>
    <w:rsid w:val="008047A8"/>
    <w:rsid w:val="00804852"/>
    <w:rsid w:val="0080489A"/>
    <w:rsid w:val="00805057"/>
    <w:rsid w:val="008052C5"/>
    <w:rsid w:val="0080576D"/>
    <w:rsid w:val="00805C80"/>
    <w:rsid w:val="00805D21"/>
    <w:rsid w:val="0080614F"/>
    <w:rsid w:val="00806244"/>
    <w:rsid w:val="008062C7"/>
    <w:rsid w:val="00806B49"/>
    <w:rsid w:val="00806C18"/>
    <w:rsid w:val="00806E89"/>
    <w:rsid w:val="00807129"/>
    <w:rsid w:val="008071F2"/>
    <w:rsid w:val="00807FA3"/>
    <w:rsid w:val="0081075D"/>
    <w:rsid w:val="00810AB4"/>
    <w:rsid w:val="00811EC1"/>
    <w:rsid w:val="00811F51"/>
    <w:rsid w:val="00811FE1"/>
    <w:rsid w:val="008124C7"/>
    <w:rsid w:val="008129A8"/>
    <w:rsid w:val="00812BB2"/>
    <w:rsid w:val="008138E5"/>
    <w:rsid w:val="00813CAD"/>
    <w:rsid w:val="00814003"/>
    <w:rsid w:val="00814D29"/>
    <w:rsid w:val="00815477"/>
    <w:rsid w:val="0081553F"/>
    <w:rsid w:val="008155D5"/>
    <w:rsid w:val="00816325"/>
    <w:rsid w:val="00816B51"/>
    <w:rsid w:val="00817155"/>
    <w:rsid w:val="008175A5"/>
    <w:rsid w:val="00817B3C"/>
    <w:rsid w:val="00817B56"/>
    <w:rsid w:val="00817E9F"/>
    <w:rsid w:val="008203E0"/>
    <w:rsid w:val="008205EB"/>
    <w:rsid w:val="0082179B"/>
    <w:rsid w:val="00821821"/>
    <w:rsid w:val="00821A88"/>
    <w:rsid w:val="00821C94"/>
    <w:rsid w:val="0082238A"/>
    <w:rsid w:val="00822589"/>
    <w:rsid w:val="008227A2"/>
    <w:rsid w:val="00823AB4"/>
    <w:rsid w:val="00823B02"/>
    <w:rsid w:val="00823E29"/>
    <w:rsid w:val="008240B4"/>
    <w:rsid w:val="00824214"/>
    <w:rsid w:val="0082495D"/>
    <w:rsid w:val="00825DC6"/>
    <w:rsid w:val="00825E54"/>
    <w:rsid w:val="00826C11"/>
    <w:rsid w:val="00826D57"/>
    <w:rsid w:val="00826E2E"/>
    <w:rsid w:val="00826F2D"/>
    <w:rsid w:val="00827160"/>
    <w:rsid w:val="00827189"/>
    <w:rsid w:val="008272D2"/>
    <w:rsid w:val="00827820"/>
    <w:rsid w:val="00827BC1"/>
    <w:rsid w:val="0083003F"/>
    <w:rsid w:val="00830640"/>
    <w:rsid w:val="008309CD"/>
    <w:rsid w:val="00830AE4"/>
    <w:rsid w:val="00830D63"/>
    <w:rsid w:val="0083140B"/>
    <w:rsid w:val="00831A44"/>
    <w:rsid w:val="00831AC3"/>
    <w:rsid w:val="00831E20"/>
    <w:rsid w:val="008320E7"/>
    <w:rsid w:val="00832609"/>
    <w:rsid w:val="00832740"/>
    <w:rsid w:val="00832E67"/>
    <w:rsid w:val="008335D7"/>
    <w:rsid w:val="00833BCE"/>
    <w:rsid w:val="008341B8"/>
    <w:rsid w:val="008347B1"/>
    <w:rsid w:val="00834DCC"/>
    <w:rsid w:val="00835DB5"/>
    <w:rsid w:val="00836B72"/>
    <w:rsid w:val="008372CB"/>
    <w:rsid w:val="0083765A"/>
    <w:rsid w:val="00837C34"/>
    <w:rsid w:val="00837F91"/>
    <w:rsid w:val="00837FB0"/>
    <w:rsid w:val="00837FC0"/>
    <w:rsid w:val="00840DB8"/>
    <w:rsid w:val="00841350"/>
    <w:rsid w:val="00842108"/>
    <w:rsid w:val="0084266F"/>
    <w:rsid w:val="00842BC5"/>
    <w:rsid w:val="008458B0"/>
    <w:rsid w:val="008458FB"/>
    <w:rsid w:val="00845CFD"/>
    <w:rsid w:val="008467D5"/>
    <w:rsid w:val="008467D8"/>
    <w:rsid w:val="00846B13"/>
    <w:rsid w:val="00846B2E"/>
    <w:rsid w:val="00846B7E"/>
    <w:rsid w:val="00846D79"/>
    <w:rsid w:val="00847DFD"/>
    <w:rsid w:val="0085050C"/>
    <w:rsid w:val="00850FA3"/>
    <w:rsid w:val="00851A98"/>
    <w:rsid w:val="00851BB8"/>
    <w:rsid w:val="00851D17"/>
    <w:rsid w:val="00851F3F"/>
    <w:rsid w:val="00852C8C"/>
    <w:rsid w:val="00853297"/>
    <w:rsid w:val="008532DC"/>
    <w:rsid w:val="00853721"/>
    <w:rsid w:val="00853852"/>
    <w:rsid w:val="00854E00"/>
    <w:rsid w:val="00855830"/>
    <w:rsid w:val="008558D4"/>
    <w:rsid w:val="00855AB2"/>
    <w:rsid w:val="00855E40"/>
    <w:rsid w:val="00855F56"/>
    <w:rsid w:val="008560D6"/>
    <w:rsid w:val="0085636C"/>
    <w:rsid w:val="008564F3"/>
    <w:rsid w:val="00856666"/>
    <w:rsid w:val="00856EDC"/>
    <w:rsid w:val="008571E7"/>
    <w:rsid w:val="008573CA"/>
    <w:rsid w:val="0085790E"/>
    <w:rsid w:val="0086012E"/>
    <w:rsid w:val="00860565"/>
    <w:rsid w:val="00860B69"/>
    <w:rsid w:val="0086199D"/>
    <w:rsid w:val="008619FB"/>
    <w:rsid w:val="008623B5"/>
    <w:rsid w:val="0086278A"/>
    <w:rsid w:val="0086297E"/>
    <w:rsid w:val="00862C4F"/>
    <w:rsid w:val="00862E20"/>
    <w:rsid w:val="0086372A"/>
    <w:rsid w:val="008639AE"/>
    <w:rsid w:val="00863D1E"/>
    <w:rsid w:val="0086479A"/>
    <w:rsid w:val="0086493D"/>
    <w:rsid w:val="00864AAD"/>
    <w:rsid w:val="00864D24"/>
    <w:rsid w:val="00865A33"/>
    <w:rsid w:val="00865C70"/>
    <w:rsid w:val="0086614F"/>
    <w:rsid w:val="008662E8"/>
    <w:rsid w:val="008662F6"/>
    <w:rsid w:val="00866435"/>
    <w:rsid w:val="008665B2"/>
    <w:rsid w:val="00866AE4"/>
    <w:rsid w:val="008676EC"/>
    <w:rsid w:val="00867797"/>
    <w:rsid w:val="0086785E"/>
    <w:rsid w:val="00867B55"/>
    <w:rsid w:val="00867D45"/>
    <w:rsid w:val="00867E6E"/>
    <w:rsid w:val="00870812"/>
    <w:rsid w:val="0087098A"/>
    <w:rsid w:val="00870ABA"/>
    <w:rsid w:val="008710E1"/>
    <w:rsid w:val="008713DA"/>
    <w:rsid w:val="008716E5"/>
    <w:rsid w:val="0087247E"/>
    <w:rsid w:val="008728B3"/>
    <w:rsid w:val="00872D73"/>
    <w:rsid w:val="00872E26"/>
    <w:rsid w:val="00873440"/>
    <w:rsid w:val="00873A3A"/>
    <w:rsid w:val="00873B22"/>
    <w:rsid w:val="00873F4F"/>
    <w:rsid w:val="008740B9"/>
    <w:rsid w:val="008743A9"/>
    <w:rsid w:val="008749FF"/>
    <w:rsid w:val="00874C68"/>
    <w:rsid w:val="0087544F"/>
    <w:rsid w:val="00875E58"/>
    <w:rsid w:val="00876731"/>
    <w:rsid w:val="00877016"/>
    <w:rsid w:val="00877409"/>
    <w:rsid w:val="00877513"/>
    <w:rsid w:val="00880717"/>
    <w:rsid w:val="0088156E"/>
    <w:rsid w:val="00881CA9"/>
    <w:rsid w:val="0088333A"/>
    <w:rsid w:val="00883446"/>
    <w:rsid w:val="00883628"/>
    <w:rsid w:val="0088364C"/>
    <w:rsid w:val="008839FE"/>
    <w:rsid w:val="00883F33"/>
    <w:rsid w:val="008842E1"/>
    <w:rsid w:val="00884592"/>
    <w:rsid w:val="00884EE9"/>
    <w:rsid w:val="00884FD2"/>
    <w:rsid w:val="0088516D"/>
    <w:rsid w:val="00885544"/>
    <w:rsid w:val="00885EEA"/>
    <w:rsid w:val="00886140"/>
    <w:rsid w:val="0088634E"/>
    <w:rsid w:val="00886571"/>
    <w:rsid w:val="0088673C"/>
    <w:rsid w:val="00886B9C"/>
    <w:rsid w:val="00887168"/>
    <w:rsid w:val="00887426"/>
    <w:rsid w:val="00887EC4"/>
    <w:rsid w:val="008907DA"/>
    <w:rsid w:val="008908B1"/>
    <w:rsid w:val="0089143B"/>
    <w:rsid w:val="008916FA"/>
    <w:rsid w:val="008919D5"/>
    <w:rsid w:val="00891F1F"/>
    <w:rsid w:val="0089251A"/>
    <w:rsid w:val="008928FA"/>
    <w:rsid w:val="00892955"/>
    <w:rsid w:val="0089297D"/>
    <w:rsid w:val="00892F13"/>
    <w:rsid w:val="00893708"/>
    <w:rsid w:val="00893AB8"/>
    <w:rsid w:val="00894499"/>
    <w:rsid w:val="008945D8"/>
    <w:rsid w:val="008947AB"/>
    <w:rsid w:val="00894DF8"/>
    <w:rsid w:val="00895563"/>
    <w:rsid w:val="008956AE"/>
    <w:rsid w:val="00895B3F"/>
    <w:rsid w:val="00895D78"/>
    <w:rsid w:val="00896434"/>
    <w:rsid w:val="00896817"/>
    <w:rsid w:val="00896AF0"/>
    <w:rsid w:val="00896D22"/>
    <w:rsid w:val="00897A7E"/>
    <w:rsid w:val="00897CC1"/>
    <w:rsid w:val="008A04C8"/>
    <w:rsid w:val="008A0636"/>
    <w:rsid w:val="008A094E"/>
    <w:rsid w:val="008A0B77"/>
    <w:rsid w:val="008A0D69"/>
    <w:rsid w:val="008A139F"/>
    <w:rsid w:val="008A156E"/>
    <w:rsid w:val="008A1FCC"/>
    <w:rsid w:val="008A1FE2"/>
    <w:rsid w:val="008A2336"/>
    <w:rsid w:val="008A235F"/>
    <w:rsid w:val="008A2F72"/>
    <w:rsid w:val="008A32D7"/>
    <w:rsid w:val="008A3B4F"/>
    <w:rsid w:val="008A3C07"/>
    <w:rsid w:val="008A3E9D"/>
    <w:rsid w:val="008A41B6"/>
    <w:rsid w:val="008A4A1E"/>
    <w:rsid w:val="008A4C4C"/>
    <w:rsid w:val="008A4DBD"/>
    <w:rsid w:val="008A581C"/>
    <w:rsid w:val="008A650C"/>
    <w:rsid w:val="008A6913"/>
    <w:rsid w:val="008A7156"/>
    <w:rsid w:val="008A72A2"/>
    <w:rsid w:val="008A7E10"/>
    <w:rsid w:val="008B035D"/>
    <w:rsid w:val="008B03B5"/>
    <w:rsid w:val="008B059C"/>
    <w:rsid w:val="008B070C"/>
    <w:rsid w:val="008B0A5D"/>
    <w:rsid w:val="008B0A93"/>
    <w:rsid w:val="008B1029"/>
    <w:rsid w:val="008B13C1"/>
    <w:rsid w:val="008B149F"/>
    <w:rsid w:val="008B1848"/>
    <w:rsid w:val="008B1ABC"/>
    <w:rsid w:val="008B1C34"/>
    <w:rsid w:val="008B20F0"/>
    <w:rsid w:val="008B222C"/>
    <w:rsid w:val="008B38FA"/>
    <w:rsid w:val="008B3B70"/>
    <w:rsid w:val="008B43F9"/>
    <w:rsid w:val="008B5496"/>
    <w:rsid w:val="008B55A3"/>
    <w:rsid w:val="008B597D"/>
    <w:rsid w:val="008B5DB9"/>
    <w:rsid w:val="008B63A1"/>
    <w:rsid w:val="008B6A8F"/>
    <w:rsid w:val="008B6DED"/>
    <w:rsid w:val="008B6ED2"/>
    <w:rsid w:val="008B70F3"/>
    <w:rsid w:val="008B76DF"/>
    <w:rsid w:val="008B76E4"/>
    <w:rsid w:val="008B7CB2"/>
    <w:rsid w:val="008B7D09"/>
    <w:rsid w:val="008B7FD0"/>
    <w:rsid w:val="008C0A1C"/>
    <w:rsid w:val="008C10F4"/>
    <w:rsid w:val="008C1426"/>
    <w:rsid w:val="008C149A"/>
    <w:rsid w:val="008C1A5C"/>
    <w:rsid w:val="008C1DC6"/>
    <w:rsid w:val="008C23F7"/>
    <w:rsid w:val="008C2C7A"/>
    <w:rsid w:val="008C32D3"/>
    <w:rsid w:val="008C3370"/>
    <w:rsid w:val="008C37E6"/>
    <w:rsid w:val="008C3F8F"/>
    <w:rsid w:val="008C45D3"/>
    <w:rsid w:val="008C4972"/>
    <w:rsid w:val="008C4AD7"/>
    <w:rsid w:val="008C4ADF"/>
    <w:rsid w:val="008C4FF0"/>
    <w:rsid w:val="008C5546"/>
    <w:rsid w:val="008C5A47"/>
    <w:rsid w:val="008C602C"/>
    <w:rsid w:val="008C64BB"/>
    <w:rsid w:val="008C6945"/>
    <w:rsid w:val="008C73E7"/>
    <w:rsid w:val="008C76CB"/>
    <w:rsid w:val="008C788B"/>
    <w:rsid w:val="008C7F0B"/>
    <w:rsid w:val="008D0188"/>
    <w:rsid w:val="008D0332"/>
    <w:rsid w:val="008D06E2"/>
    <w:rsid w:val="008D0B92"/>
    <w:rsid w:val="008D11E4"/>
    <w:rsid w:val="008D1208"/>
    <w:rsid w:val="008D1BAE"/>
    <w:rsid w:val="008D1DC5"/>
    <w:rsid w:val="008D2034"/>
    <w:rsid w:val="008D20CD"/>
    <w:rsid w:val="008D2A0F"/>
    <w:rsid w:val="008D2FBC"/>
    <w:rsid w:val="008D3487"/>
    <w:rsid w:val="008D3707"/>
    <w:rsid w:val="008D4A7D"/>
    <w:rsid w:val="008D4FB6"/>
    <w:rsid w:val="008D5D41"/>
    <w:rsid w:val="008D609D"/>
    <w:rsid w:val="008D69D0"/>
    <w:rsid w:val="008D6C5B"/>
    <w:rsid w:val="008D71D5"/>
    <w:rsid w:val="008D74EA"/>
    <w:rsid w:val="008D74FB"/>
    <w:rsid w:val="008D7727"/>
    <w:rsid w:val="008D7A2C"/>
    <w:rsid w:val="008D7AF8"/>
    <w:rsid w:val="008D7DD8"/>
    <w:rsid w:val="008E075C"/>
    <w:rsid w:val="008E2365"/>
    <w:rsid w:val="008E2A85"/>
    <w:rsid w:val="008E2AA5"/>
    <w:rsid w:val="008E2C04"/>
    <w:rsid w:val="008E2CA6"/>
    <w:rsid w:val="008E2E4F"/>
    <w:rsid w:val="008E3C98"/>
    <w:rsid w:val="008E41AD"/>
    <w:rsid w:val="008E44B6"/>
    <w:rsid w:val="008E4767"/>
    <w:rsid w:val="008E4D90"/>
    <w:rsid w:val="008E5799"/>
    <w:rsid w:val="008E68A4"/>
    <w:rsid w:val="008E6A25"/>
    <w:rsid w:val="008E6E80"/>
    <w:rsid w:val="008E7109"/>
    <w:rsid w:val="008E735E"/>
    <w:rsid w:val="008E787F"/>
    <w:rsid w:val="008E78B1"/>
    <w:rsid w:val="008E7A8C"/>
    <w:rsid w:val="008E7EDC"/>
    <w:rsid w:val="008F0298"/>
    <w:rsid w:val="008F031F"/>
    <w:rsid w:val="008F0C3A"/>
    <w:rsid w:val="008F0EE8"/>
    <w:rsid w:val="008F0FA2"/>
    <w:rsid w:val="008F18E2"/>
    <w:rsid w:val="008F1A19"/>
    <w:rsid w:val="008F1A53"/>
    <w:rsid w:val="008F1C3B"/>
    <w:rsid w:val="008F1CA9"/>
    <w:rsid w:val="008F28C1"/>
    <w:rsid w:val="008F2AC4"/>
    <w:rsid w:val="008F2FBF"/>
    <w:rsid w:val="008F3453"/>
    <w:rsid w:val="008F3675"/>
    <w:rsid w:val="008F3A26"/>
    <w:rsid w:val="008F4608"/>
    <w:rsid w:val="008F48E3"/>
    <w:rsid w:val="008F4A3C"/>
    <w:rsid w:val="008F4FDC"/>
    <w:rsid w:val="008F507E"/>
    <w:rsid w:val="008F5472"/>
    <w:rsid w:val="008F575F"/>
    <w:rsid w:val="008F63EC"/>
    <w:rsid w:val="008F6896"/>
    <w:rsid w:val="008F6A73"/>
    <w:rsid w:val="008F6D98"/>
    <w:rsid w:val="008F7792"/>
    <w:rsid w:val="008F792A"/>
    <w:rsid w:val="0090024F"/>
    <w:rsid w:val="009005A0"/>
    <w:rsid w:val="009009B3"/>
    <w:rsid w:val="00900E8D"/>
    <w:rsid w:val="009010BC"/>
    <w:rsid w:val="00902309"/>
    <w:rsid w:val="00902A92"/>
    <w:rsid w:val="009030AC"/>
    <w:rsid w:val="00903285"/>
    <w:rsid w:val="0090394B"/>
    <w:rsid w:val="00904586"/>
    <w:rsid w:val="00904603"/>
    <w:rsid w:val="00904730"/>
    <w:rsid w:val="00904898"/>
    <w:rsid w:val="00905073"/>
    <w:rsid w:val="00905075"/>
    <w:rsid w:val="009052C0"/>
    <w:rsid w:val="0090570A"/>
    <w:rsid w:val="00905989"/>
    <w:rsid w:val="00905E2D"/>
    <w:rsid w:val="00905E7F"/>
    <w:rsid w:val="00906797"/>
    <w:rsid w:val="00906F40"/>
    <w:rsid w:val="0090731E"/>
    <w:rsid w:val="00907744"/>
    <w:rsid w:val="009077DC"/>
    <w:rsid w:val="0090793B"/>
    <w:rsid w:val="00907DF7"/>
    <w:rsid w:val="00910803"/>
    <w:rsid w:val="00910BE5"/>
    <w:rsid w:val="00910CBC"/>
    <w:rsid w:val="00910E44"/>
    <w:rsid w:val="00910FE9"/>
    <w:rsid w:val="0091155F"/>
    <w:rsid w:val="00911564"/>
    <w:rsid w:val="00911685"/>
    <w:rsid w:val="00911781"/>
    <w:rsid w:val="00911972"/>
    <w:rsid w:val="00912017"/>
    <w:rsid w:val="009120CA"/>
    <w:rsid w:val="00912667"/>
    <w:rsid w:val="00913341"/>
    <w:rsid w:val="0091341F"/>
    <w:rsid w:val="00913669"/>
    <w:rsid w:val="009139E6"/>
    <w:rsid w:val="0091425E"/>
    <w:rsid w:val="009146F1"/>
    <w:rsid w:val="00914DDD"/>
    <w:rsid w:val="00914EC4"/>
    <w:rsid w:val="00915346"/>
    <w:rsid w:val="009157D2"/>
    <w:rsid w:val="00915814"/>
    <w:rsid w:val="00915B09"/>
    <w:rsid w:val="00915B1C"/>
    <w:rsid w:val="00915EA8"/>
    <w:rsid w:val="00916596"/>
    <w:rsid w:val="0091664D"/>
    <w:rsid w:val="00916689"/>
    <w:rsid w:val="009169AC"/>
    <w:rsid w:val="009174F3"/>
    <w:rsid w:val="00917755"/>
    <w:rsid w:val="0091797D"/>
    <w:rsid w:val="00917A03"/>
    <w:rsid w:val="00917E28"/>
    <w:rsid w:val="009200B7"/>
    <w:rsid w:val="009201D0"/>
    <w:rsid w:val="0092043F"/>
    <w:rsid w:val="00920934"/>
    <w:rsid w:val="00920EE5"/>
    <w:rsid w:val="00921102"/>
    <w:rsid w:val="00921339"/>
    <w:rsid w:val="0092141F"/>
    <w:rsid w:val="00921B81"/>
    <w:rsid w:val="0092252A"/>
    <w:rsid w:val="00922ACE"/>
    <w:rsid w:val="00923CBA"/>
    <w:rsid w:val="00923CC6"/>
    <w:rsid w:val="00924ACD"/>
    <w:rsid w:val="00924DF4"/>
    <w:rsid w:val="0092530B"/>
    <w:rsid w:val="00925467"/>
    <w:rsid w:val="0092556D"/>
    <w:rsid w:val="00925E60"/>
    <w:rsid w:val="0092652C"/>
    <w:rsid w:val="00926703"/>
    <w:rsid w:val="009268DF"/>
    <w:rsid w:val="00927013"/>
    <w:rsid w:val="00927461"/>
    <w:rsid w:val="00927691"/>
    <w:rsid w:val="00927A5F"/>
    <w:rsid w:val="00930FDE"/>
    <w:rsid w:val="00931205"/>
    <w:rsid w:val="00931AD8"/>
    <w:rsid w:val="009322DD"/>
    <w:rsid w:val="0093328A"/>
    <w:rsid w:val="009332A1"/>
    <w:rsid w:val="009337A3"/>
    <w:rsid w:val="00933E2C"/>
    <w:rsid w:val="00934AB1"/>
    <w:rsid w:val="00935822"/>
    <w:rsid w:val="00935909"/>
    <w:rsid w:val="00935B63"/>
    <w:rsid w:val="00936098"/>
    <w:rsid w:val="009367CB"/>
    <w:rsid w:val="00936AEA"/>
    <w:rsid w:val="00936B1D"/>
    <w:rsid w:val="00936BD2"/>
    <w:rsid w:val="00936D04"/>
    <w:rsid w:val="00936EB8"/>
    <w:rsid w:val="00936FDA"/>
    <w:rsid w:val="0093794D"/>
    <w:rsid w:val="00937DCD"/>
    <w:rsid w:val="00940068"/>
    <w:rsid w:val="0094013B"/>
    <w:rsid w:val="00940339"/>
    <w:rsid w:val="0094037D"/>
    <w:rsid w:val="00940422"/>
    <w:rsid w:val="00940550"/>
    <w:rsid w:val="0094078F"/>
    <w:rsid w:val="00940C92"/>
    <w:rsid w:val="00940FA3"/>
    <w:rsid w:val="009411A1"/>
    <w:rsid w:val="00941711"/>
    <w:rsid w:val="00941FB0"/>
    <w:rsid w:val="009426D4"/>
    <w:rsid w:val="00944104"/>
    <w:rsid w:val="00944A3E"/>
    <w:rsid w:val="00944B01"/>
    <w:rsid w:val="00944B8E"/>
    <w:rsid w:val="00944F37"/>
    <w:rsid w:val="00944F7E"/>
    <w:rsid w:val="00945100"/>
    <w:rsid w:val="009454B1"/>
    <w:rsid w:val="0094551A"/>
    <w:rsid w:val="009458C2"/>
    <w:rsid w:val="0094595D"/>
    <w:rsid w:val="00945C06"/>
    <w:rsid w:val="00945FDD"/>
    <w:rsid w:val="0094622E"/>
    <w:rsid w:val="0094637F"/>
    <w:rsid w:val="00947A7B"/>
    <w:rsid w:val="00947F25"/>
    <w:rsid w:val="0095006B"/>
    <w:rsid w:val="00950159"/>
    <w:rsid w:val="00950738"/>
    <w:rsid w:val="00950784"/>
    <w:rsid w:val="00950C2F"/>
    <w:rsid w:val="00950C3D"/>
    <w:rsid w:val="00950FCC"/>
    <w:rsid w:val="00951835"/>
    <w:rsid w:val="00952339"/>
    <w:rsid w:val="00952C5E"/>
    <w:rsid w:val="00952E9C"/>
    <w:rsid w:val="00953432"/>
    <w:rsid w:val="00953471"/>
    <w:rsid w:val="009541C0"/>
    <w:rsid w:val="00954368"/>
    <w:rsid w:val="0095443C"/>
    <w:rsid w:val="0095490B"/>
    <w:rsid w:val="0095628B"/>
    <w:rsid w:val="009564FF"/>
    <w:rsid w:val="00956989"/>
    <w:rsid w:val="00956994"/>
    <w:rsid w:val="009569C6"/>
    <w:rsid w:val="00957066"/>
    <w:rsid w:val="00957520"/>
    <w:rsid w:val="00957677"/>
    <w:rsid w:val="00957F09"/>
    <w:rsid w:val="009601E9"/>
    <w:rsid w:val="00960866"/>
    <w:rsid w:val="00960976"/>
    <w:rsid w:val="00960AED"/>
    <w:rsid w:val="00960B28"/>
    <w:rsid w:val="00960C86"/>
    <w:rsid w:val="009612C0"/>
    <w:rsid w:val="00961ED5"/>
    <w:rsid w:val="009622C9"/>
    <w:rsid w:val="00962ECC"/>
    <w:rsid w:val="009632DC"/>
    <w:rsid w:val="00963530"/>
    <w:rsid w:val="00963717"/>
    <w:rsid w:val="009639EA"/>
    <w:rsid w:val="00964353"/>
    <w:rsid w:val="0096472A"/>
    <w:rsid w:val="0096510B"/>
    <w:rsid w:val="00965C6F"/>
    <w:rsid w:val="009663CE"/>
    <w:rsid w:val="009664E2"/>
    <w:rsid w:val="00966A7F"/>
    <w:rsid w:val="00966A91"/>
    <w:rsid w:val="00966BE2"/>
    <w:rsid w:val="00966EE8"/>
    <w:rsid w:val="00967628"/>
    <w:rsid w:val="0096780A"/>
    <w:rsid w:val="0096786A"/>
    <w:rsid w:val="00967885"/>
    <w:rsid w:val="00967CDD"/>
    <w:rsid w:val="00967D97"/>
    <w:rsid w:val="00970379"/>
    <w:rsid w:val="00970395"/>
    <w:rsid w:val="009705A2"/>
    <w:rsid w:val="00970D8B"/>
    <w:rsid w:val="00971034"/>
    <w:rsid w:val="0097106B"/>
    <w:rsid w:val="00971C1C"/>
    <w:rsid w:val="00971D23"/>
    <w:rsid w:val="00971F87"/>
    <w:rsid w:val="00971FCE"/>
    <w:rsid w:val="0097331B"/>
    <w:rsid w:val="0097348D"/>
    <w:rsid w:val="009734E4"/>
    <w:rsid w:val="0097378C"/>
    <w:rsid w:val="00973A1D"/>
    <w:rsid w:val="00973F58"/>
    <w:rsid w:val="00974064"/>
    <w:rsid w:val="00974065"/>
    <w:rsid w:val="00974281"/>
    <w:rsid w:val="00974363"/>
    <w:rsid w:val="009748C9"/>
    <w:rsid w:val="00975503"/>
    <w:rsid w:val="00975CAB"/>
    <w:rsid w:val="00976415"/>
    <w:rsid w:val="009766ED"/>
    <w:rsid w:val="009767A2"/>
    <w:rsid w:val="00976E1B"/>
    <w:rsid w:val="009772C4"/>
    <w:rsid w:val="0097747A"/>
    <w:rsid w:val="00977B3F"/>
    <w:rsid w:val="00977BC2"/>
    <w:rsid w:val="00977C62"/>
    <w:rsid w:val="00977EA5"/>
    <w:rsid w:val="00981713"/>
    <w:rsid w:val="00981898"/>
    <w:rsid w:val="009832F6"/>
    <w:rsid w:val="00984745"/>
    <w:rsid w:val="00984766"/>
    <w:rsid w:val="009848C3"/>
    <w:rsid w:val="00984ACB"/>
    <w:rsid w:val="00984DBF"/>
    <w:rsid w:val="00984F9F"/>
    <w:rsid w:val="0098541C"/>
    <w:rsid w:val="0098557F"/>
    <w:rsid w:val="00985D7E"/>
    <w:rsid w:val="00986E2D"/>
    <w:rsid w:val="00986F71"/>
    <w:rsid w:val="00987314"/>
    <w:rsid w:val="00987733"/>
    <w:rsid w:val="00987B23"/>
    <w:rsid w:val="009908BD"/>
    <w:rsid w:val="00990B83"/>
    <w:rsid w:val="00990CC7"/>
    <w:rsid w:val="00990FC9"/>
    <w:rsid w:val="0099131B"/>
    <w:rsid w:val="00991A18"/>
    <w:rsid w:val="00991D18"/>
    <w:rsid w:val="00992129"/>
    <w:rsid w:val="00992A62"/>
    <w:rsid w:val="009930AD"/>
    <w:rsid w:val="009934AA"/>
    <w:rsid w:val="0099377B"/>
    <w:rsid w:val="00993C12"/>
    <w:rsid w:val="00993C33"/>
    <w:rsid w:val="00993DDE"/>
    <w:rsid w:val="0099415A"/>
    <w:rsid w:val="00994194"/>
    <w:rsid w:val="00994611"/>
    <w:rsid w:val="00995535"/>
    <w:rsid w:val="0099577C"/>
    <w:rsid w:val="00995973"/>
    <w:rsid w:val="009961EA"/>
    <w:rsid w:val="0099671C"/>
    <w:rsid w:val="00996799"/>
    <w:rsid w:val="00996B95"/>
    <w:rsid w:val="00997882"/>
    <w:rsid w:val="00997AEC"/>
    <w:rsid w:val="009A019D"/>
    <w:rsid w:val="009A0784"/>
    <w:rsid w:val="009A0D7C"/>
    <w:rsid w:val="009A121B"/>
    <w:rsid w:val="009A1A98"/>
    <w:rsid w:val="009A1FBC"/>
    <w:rsid w:val="009A20E6"/>
    <w:rsid w:val="009A26CC"/>
    <w:rsid w:val="009A2B04"/>
    <w:rsid w:val="009A2BC9"/>
    <w:rsid w:val="009A319F"/>
    <w:rsid w:val="009A32CE"/>
    <w:rsid w:val="009A3BA5"/>
    <w:rsid w:val="009A3C00"/>
    <w:rsid w:val="009A3EBB"/>
    <w:rsid w:val="009A42E5"/>
    <w:rsid w:val="009A453E"/>
    <w:rsid w:val="009A45F2"/>
    <w:rsid w:val="009A51AF"/>
    <w:rsid w:val="009A5D9E"/>
    <w:rsid w:val="009A60EE"/>
    <w:rsid w:val="009A6889"/>
    <w:rsid w:val="009A6BF6"/>
    <w:rsid w:val="009A721A"/>
    <w:rsid w:val="009A7988"/>
    <w:rsid w:val="009A7C25"/>
    <w:rsid w:val="009B00CB"/>
    <w:rsid w:val="009B06A7"/>
    <w:rsid w:val="009B0845"/>
    <w:rsid w:val="009B0EE9"/>
    <w:rsid w:val="009B1B13"/>
    <w:rsid w:val="009B22D2"/>
    <w:rsid w:val="009B2987"/>
    <w:rsid w:val="009B2C15"/>
    <w:rsid w:val="009B322D"/>
    <w:rsid w:val="009B33BE"/>
    <w:rsid w:val="009B37EA"/>
    <w:rsid w:val="009B3909"/>
    <w:rsid w:val="009B3C4E"/>
    <w:rsid w:val="009B423E"/>
    <w:rsid w:val="009B43BE"/>
    <w:rsid w:val="009B4E9E"/>
    <w:rsid w:val="009B4F83"/>
    <w:rsid w:val="009B534B"/>
    <w:rsid w:val="009B59AC"/>
    <w:rsid w:val="009B6174"/>
    <w:rsid w:val="009B6548"/>
    <w:rsid w:val="009B6955"/>
    <w:rsid w:val="009B72E3"/>
    <w:rsid w:val="009B7750"/>
    <w:rsid w:val="009B7809"/>
    <w:rsid w:val="009B7C00"/>
    <w:rsid w:val="009B7C17"/>
    <w:rsid w:val="009B7D3B"/>
    <w:rsid w:val="009C0521"/>
    <w:rsid w:val="009C1690"/>
    <w:rsid w:val="009C281B"/>
    <w:rsid w:val="009C2965"/>
    <w:rsid w:val="009C3063"/>
    <w:rsid w:val="009C4118"/>
    <w:rsid w:val="009C46AC"/>
    <w:rsid w:val="009C4A14"/>
    <w:rsid w:val="009C4E05"/>
    <w:rsid w:val="009C51DD"/>
    <w:rsid w:val="009C59E9"/>
    <w:rsid w:val="009C5AFC"/>
    <w:rsid w:val="009C5C3B"/>
    <w:rsid w:val="009C60C9"/>
    <w:rsid w:val="009C679C"/>
    <w:rsid w:val="009C6881"/>
    <w:rsid w:val="009C6E02"/>
    <w:rsid w:val="009C70E3"/>
    <w:rsid w:val="009C748F"/>
    <w:rsid w:val="009C74D8"/>
    <w:rsid w:val="009C7759"/>
    <w:rsid w:val="009C7AC0"/>
    <w:rsid w:val="009D043D"/>
    <w:rsid w:val="009D0453"/>
    <w:rsid w:val="009D071E"/>
    <w:rsid w:val="009D0831"/>
    <w:rsid w:val="009D09CF"/>
    <w:rsid w:val="009D1265"/>
    <w:rsid w:val="009D1956"/>
    <w:rsid w:val="009D2B34"/>
    <w:rsid w:val="009D2CA8"/>
    <w:rsid w:val="009D3679"/>
    <w:rsid w:val="009D3C29"/>
    <w:rsid w:val="009D3FC5"/>
    <w:rsid w:val="009D4084"/>
    <w:rsid w:val="009D4264"/>
    <w:rsid w:val="009D498E"/>
    <w:rsid w:val="009D515F"/>
    <w:rsid w:val="009D56D0"/>
    <w:rsid w:val="009D57DB"/>
    <w:rsid w:val="009D593E"/>
    <w:rsid w:val="009D5E48"/>
    <w:rsid w:val="009D6379"/>
    <w:rsid w:val="009D654E"/>
    <w:rsid w:val="009D6C71"/>
    <w:rsid w:val="009D723A"/>
    <w:rsid w:val="009D7E52"/>
    <w:rsid w:val="009E0631"/>
    <w:rsid w:val="009E0749"/>
    <w:rsid w:val="009E0CA3"/>
    <w:rsid w:val="009E0DAC"/>
    <w:rsid w:val="009E12BF"/>
    <w:rsid w:val="009E16D0"/>
    <w:rsid w:val="009E25F0"/>
    <w:rsid w:val="009E2A12"/>
    <w:rsid w:val="009E38FD"/>
    <w:rsid w:val="009E3B69"/>
    <w:rsid w:val="009E3C5A"/>
    <w:rsid w:val="009E410C"/>
    <w:rsid w:val="009E43FA"/>
    <w:rsid w:val="009E46C6"/>
    <w:rsid w:val="009E4739"/>
    <w:rsid w:val="009E539A"/>
    <w:rsid w:val="009E54C3"/>
    <w:rsid w:val="009E5A4F"/>
    <w:rsid w:val="009E5CE4"/>
    <w:rsid w:val="009E669C"/>
    <w:rsid w:val="009E6788"/>
    <w:rsid w:val="009E6B5A"/>
    <w:rsid w:val="009E7659"/>
    <w:rsid w:val="009E7783"/>
    <w:rsid w:val="009F0AF5"/>
    <w:rsid w:val="009F0C5B"/>
    <w:rsid w:val="009F0E91"/>
    <w:rsid w:val="009F13D6"/>
    <w:rsid w:val="009F15FF"/>
    <w:rsid w:val="009F17D0"/>
    <w:rsid w:val="009F1EE9"/>
    <w:rsid w:val="009F1F94"/>
    <w:rsid w:val="009F21A7"/>
    <w:rsid w:val="009F2B05"/>
    <w:rsid w:val="009F2C3C"/>
    <w:rsid w:val="009F2EB3"/>
    <w:rsid w:val="009F317C"/>
    <w:rsid w:val="009F3608"/>
    <w:rsid w:val="009F3C5E"/>
    <w:rsid w:val="009F4293"/>
    <w:rsid w:val="009F44D6"/>
    <w:rsid w:val="009F45B7"/>
    <w:rsid w:val="009F4C6B"/>
    <w:rsid w:val="009F503E"/>
    <w:rsid w:val="009F512D"/>
    <w:rsid w:val="009F51F0"/>
    <w:rsid w:val="009F5707"/>
    <w:rsid w:val="009F57CC"/>
    <w:rsid w:val="009F5CEB"/>
    <w:rsid w:val="009F6574"/>
    <w:rsid w:val="009F65C4"/>
    <w:rsid w:val="009F6899"/>
    <w:rsid w:val="009F6FD7"/>
    <w:rsid w:val="009F78A8"/>
    <w:rsid w:val="009F7CC2"/>
    <w:rsid w:val="00A000C1"/>
    <w:rsid w:val="00A01427"/>
    <w:rsid w:val="00A01760"/>
    <w:rsid w:val="00A01FBB"/>
    <w:rsid w:val="00A02069"/>
    <w:rsid w:val="00A021C7"/>
    <w:rsid w:val="00A022AB"/>
    <w:rsid w:val="00A024C0"/>
    <w:rsid w:val="00A025C3"/>
    <w:rsid w:val="00A026ED"/>
    <w:rsid w:val="00A02735"/>
    <w:rsid w:val="00A02754"/>
    <w:rsid w:val="00A028CB"/>
    <w:rsid w:val="00A02AD6"/>
    <w:rsid w:val="00A02D66"/>
    <w:rsid w:val="00A02EFD"/>
    <w:rsid w:val="00A02F88"/>
    <w:rsid w:val="00A031A2"/>
    <w:rsid w:val="00A033D2"/>
    <w:rsid w:val="00A0368A"/>
    <w:rsid w:val="00A03814"/>
    <w:rsid w:val="00A03882"/>
    <w:rsid w:val="00A03972"/>
    <w:rsid w:val="00A03A96"/>
    <w:rsid w:val="00A04BEA"/>
    <w:rsid w:val="00A04DDB"/>
    <w:rsid w:val="00A04E11"/>
    <w:rsid w:val="00A04F5A"/>
    <w:rsid w:val="00A056E3"/>
    <w:rsid w:val="00A0675E"/>
    <w:rsid w:val="00A068D6"/>
    <w:rsid w:val="00A06A67"/>
    <w:rsid w:val="00A06C29"/>
    <w:rsid w:val="00A06CC4"/>
    <w:rsid w:val="00A06F89"/>
    <w:rsid w:val="00A07096"/>
    <w:rsid w:val="00A07318"/>
    <w:rsid w:val="00A07549"/>
    <w:rsid w:val="00A0773A"/>
    <w:rsid w:val="00A07960"/>
    <w:rsid w:val="00A07BE1"/>
    <w:rsid w:val="00A07D27"/>
    <w:rsid w:val="00A10AF6"/>
    <w:rsid w:val="00A10B69"/>
    <w:rsid w:val="00A10E8B"/>
    <w:rsid w:val="00A11370"/>
    <w:rsid w:val="00A1179A"/>
    <w:rsid w:val="00A11964"/>
    <w:rsid w:val="00A11C00"/>
    <w:rsid w:val="00A1259B"/>
    <w:rsid w:val="00A12D53"/>
    <w:rsid w:val="00A12F8E"/>
    <w:rsid w:val="00A13214"/>
    <w:rsid w:val="00A13340"/>
    <w:rsid w:val="00A1353B"/>
    <w:rsid w:val="00A13979"/>
    <w:rsid w:val="00A14867"/>
    <w:rsid w:val="00A14924"/>
    <w:rsid w:val="00A14AAF"/>
    <w:rsid w:val="00A14E11"/>
    <w:rsid w:val="00A1506A"/>
    <w:rsid w:val="00A15FBE"/>
    <w:rsid w:val="00A16119"/>
    <w:rsid w:val="00A1655C"/>
    <w:rsid w:val="00A167D1"/>
    <w:rsid w:val="00A168CD"/>
    <w:rsid w:val="00A17127"/>
    <w:rsid w:val="00A177BA"/>
    <w:rsid w:val="00A20150"/>
    <w:rsid w:val="00A202CE"/>
    <w:rsid w:val="00A20609"/>
    <w:rsid w:val="00A206A7"/>
    <w:rsid w:val="00A20BEF"/>
    <w:rsid w:val="00A217D4"/>
    <w:rsid w:val="00A21BAB"/>
    <w:rsid w:val="00A224CE"/>
    <w:rsid w:val="00A22522"/>
    <w:rsid w:val="00A22526"/>
    <w:rsid w:val="00A225DA"/>
    <w:rsid w:val="00A22774"/>
    <w:rsid w:val="00A228D9"/>
    <w:rsid w:val="00A229EA"/>
    <w:rsid w:val="00A23C97"/>
    <w:rsid w:val="00A241ED"/>
    <w:rsid w:val="00A244E8"/>
    <w:rsid w:val="00A24555"/>
    <w:rsid w:val="00A24659"/>
    <w:rsid w:val="00A24AFD"/>
    <w:rsid w:val="00A24E78"/>
    <w:rsid w:val="00A24F5C"/>
    <w:rsid w:val="00A25098"/>
    <w:rsid w:val="00A25520"/>
    <w:rsid w:val="00A256C6"/>
    <w:rsid w:val="00A257F8"/>
    <w:rsid w:val="00A25BDE"/>
    <w:rsid w:val="00A27311"/>
    <w:rsid w:val="00A276FD"/>
    <w:rsid w:val="00A27ED4"/>
    <w:rsid w:val="00A30272"/>
    <w:rsid w:val="00A302AA"/>
    <w:rsid w:val="00A30473"/>
    <w:rsid w:val="00A30D79"/>
    <w:rsid w:val="00A315FB"/>
    <w:rsid w:val="00A3182F"/>
    <w:rsid w:val="00A318F0"/>
    <w:rsid w:val="00A3260D"/>
    <w:rsid w:val="00A32618"/>
    <w:rsid w:val="00A32DE7"/>
    <w:rsid w:val="00A32F96"/>
    <w:rsid w:val="00A3377E"/>
    <w:rsid w:val="00A3394B"/>
    <w:rsid w:val="00A33FCB"/>
    <w:rsid w:val="00A34326"/>
    <w:rsid w:val="00A34C1E"/>
    <w:rsid w:val="00A3604E"/>
    <w:rsid w:val="00A362B4"/>
    <w:rsid w:val="00A3683D"/>
    <w:rsid w:val="00A36C7F"/>
    <w:rsid w:val="00A36F96"/>
    <w:rsid w:val="00A3749C"/>
    <w:rsid w:val="00A37C25"/>
    <w:rsid w:val="00A37E8D"/>
    <w:rsid w:val="00A37FE9"/>
    <w:rsid w:val="00A4059A"/>
    <w:rsid w:val="00A4063E"/>
    <w:rsid w:val="00A40871"/>
    <w:rsid w:val="00A409F5"/>
    <w:rsid w:val="00A40F03"/>
    <w:rsid w:val="00A412AB"/>
    <w:rsid w:val="00A41717"/>
    <w:rsid w:val="00A4193E"/>
    <w:rsid w:val="00A41B61"/>
    <w:rsid w:val="00A4245B"/>
    <w:rsid w:val="00A42B36"/>
    <w:rsid w:val="00A42D1E"/>
    <w:rsid w:val="00A42EA3"/>
    <w:rsid w:val="00A42EFA"/>
    <w:rsid w:val="00A42FE2"/>
    <w:rsid w:val="00A436DE"/>
    <w:rsid w:val="00A440E0"/>
    <w:rsid w:val="00A4459D"/>
    <w:rsid w:val="00A44D34"/>
    <w:rsid w:val="00A44D8A"/>
    <w:rsid w:val="00A44DFB"/>
    <w:rsid w:val="00A454C7"/>
    <w:rsid w:val="00A458BB"/>
    <w:rsid w:val="00A45962"/>
    <w:rsid w:val="00A46CC3"/>
    <w:rsid w:val="00A477E9"/>
    <w:rsid w:val="00A479B8"/>
    <w:rsid w:val="00A47A1A"/>
    <w:rsid w:val="00A50730"/>
    <w:rsid w:val="00A50739"/>
    <w:rsid w:val="00A50D18"/>
    <w:rsid w:val="00A50EE1"/>
    <w:rsid w:val="00A514A1"/>
    <w:rsid w:val="00A514B2"/>
    <w:rsid w:val="00A5187F"/>
    <w:rsid w:val="00A52600"/>
    <w:rsid w:val="00A52CF7"/>
    <w:rsid w:val="00A52FF2"/>
    <w:rsid w:val="00A5418D"/>
    <w:rsid w:val="00A5474E"/>
    <w:rsid w:val="00A548F7"/>
    <w:rsid w:val="00A54B8D"/>
    <w:rsid w:val="00A54C79"/>
    <w:rsid w:val="00A55376"/>
    <w:rsid w:val="00A559C6"/>
    <w:rsid w:val="00A563D8"/>
    <w:rsid w:val="00A56AF1"/>
    <w:rsid w:val="00A56D5B"/>
    <w:rsid w:val="00A5702C"/>
    <w:rsid w:val="00A57583"/>
    <w:rsid w:val="00A579AB"/>
    <w:rsid w:val="00A57BE3"/>
    <w:rsid w:val="00A60048"/>
    <w:rsid w:val="00A60F02"/>
    <w:rsid w:val="00A614CA"/>
    <w:rsid w:val="00A616D9"/>
    <w:rsid w:val="00A62532"/>
    <w:rsid w:val="00A626F1"/>
    <w:rsid w:val="00A62B22"/>
    <w:rsid w:val="00A63689"/>
    <w:rsid w:val="00A6393A"/>
    <w:rsid w:val="00A63B5A"/>
    <w:rsid w:val="00A64341"/>
    <w:rsid w:val="00A646D9"/>
    <w:rsid w:val="00A64D22"/>
    <w:rsid w:val="00A64E7D"/>
    <w:rsid w:val="00A65A20"/>
    <w:rsid w:val="00A65C3D"/>
    <w:rsid w:val="00A65E45"/>
    <w:rsid w:val="00A666F2"/>
    <w:rsid w:val="00A67872"/>
    <w:rsid w:val="00A67AFE"/>
    <w:rsid w:val="00A67B57"/>
    <w:rsid w:val="00A67CB3"/>
    <w:rsid w:val="00A70088"/>
    <w:rsid w:val="00A70382"/>
    <w:rsid w:val="00A70647"/>
    <w:rsid w:val="00A709A3"/>
    <w:rsid w:val="00A70ADF"/>
    <w:rsid w:val="00A70B22"/>
    <w:rsid w:val="00A70C54"/>
    <w:rsid w:val="00A711BF"/>
    <w:rsid w:val="00A7128E"/>
    <w:rsid w:val="00A71463"/>
    <w:rsid w:val="00A71466"/>
    <w:rsid w:val="00A71D1B"/>
    <w:rsid w:val="00A71DF8"/>
    <w:rsid w:val="00A72263"/>
    <w:rsid w:val="00A7260B"/>
    <w:rsid w:val="00A727B3"/>
    <w:rsid w:val="00A72BAB"/>
    <w:rsid w:val="00A72BB9"/>
    <w:rsid w:val="00A73A7D"/>
    <w:rsid w:val="00A73ABB"/>
    <w:rsid w:val="00A74806"/>
    <w:rsid w:val="00A74B5E"/>
    <w:rsid w:val="00A7508A"/>
    <w:rsid w:val="00A7512A"/>
    <w:rsid w:val="00A758B3"/>
    <w:rsid w:val="00A75E47"/>
    <w:rsid w:val="00A765A0"/>
    <w:rsid w:val="00A76B0D"/>
    <w:rsid w:val="00A8009E"/>
    <w:rsid w:val="00A808EA"/>
    <w:rsid w:val="00A810E5"/>
    <w:rsid w:val="00A811EB"/>
    <w:rsid w:val="00A8163A"/>
    <w:rsid w:val="00A8174B"/>
    <w:rsid w:val="00A818D6"/>
    <w:rsid w:val="00A81BED"/>
    <w:rsid w:val="00A81CA9"/>
    <w:rsid w:val="00A81EC4"/>
    <w:rsid w:val="00A8226D"/>
    <w:rsid w:val="00A82C0F"/>
    <w:rsid w:val="00A82D62"/>
    <w:rsid w:val="00A82F13"/>
    <w:rsid w:val="00A834A9"/>
    <w:rsid w:val="00A838B4"/>
    <w:rsid w:val="00A83A45"/>
    <w:rsid w:val="00A83A73"/>
    <w:rsid w:val="00A84C5B"/>
    <w:rsid w:val="00A851D6"/>
    <w:rsid w:val="00A8545A"/>
    <w:rsid w:val="00A85FCA"/>
    <w:rsid w:val="00A86816"/>
    <w:rsid w:val="00A86859"/>
    <w:rsid w:val="00A8725E"/>
    <w:rsid w:val="00A8744A"/>
    <w:rsid w:val="00A877B1"/>
    <w:rsid w:val="00A905C2"/>
    <w:rsid w:val="00A9078F"/>
    <w:rsid w:val="00A908E0"/>
    <w:rsid w:val="00A9093D"/>
    <w:rsid w:val="00A90F33"/>
    <w:rsid w:val="00A9129A"/>
    <w:rsid w:val="00A9140E"/>
    <w:rsid w:val="00A91CEF"/>
    <w:rsid w:val="00A92226"/>
    <w:rsid w:val="00A922A8"/>
    <w:rsid w:val="00A92B57"/>
    <w:rsid w:val="00A92BF6"/>
    <w:rsid w:val="00A93055"/>
    <w:rsid w:val="00A942DE"/>
    <w:rsid w:val="00A94BB6"/>
    <w:rsid w:val="00A94CA2"/>
    <w:rsid w:val="00A94D35"/>
    <w:rsid w:val="00A94E53"/>
    <w:rsid w:val="00A953BF"/>
    <w:rsid w:val="00A9579C"/>
    <w:rsid w:val="00A957A4"/>
    <w:rsid w:val="00A95E63"/>
    <w:rsid w:val="00A965EE"/>
    <w:rsid w:val="00A966E7"/>
    <w:rsid w:val="00A967FD"/>
    <w:rsid w:val="00A96898"/>
    <w:rsid w:val="00A96A5D"/>
    <w:rsid w:val="00A96AA9"/>
    <w:rsid w:val="00A97C6D"/>
    <w:rsid w:val="00A97D00"/>
    <w:rsid w:val="00AA0173"/>
    <w:rsid w:val="00AA02D6"/>
    <w:rsid w:val="00AA0444"/>
    <w:rsid w:val="00AA1254"/>
    <w:rsid w:val="00AA1444"/>
    <w:rsid w:val="00AA1651"/>
    <w:rsid w:val="00AA1B9B"/>
    <w:rsid w:val="00AA22AA"/>
    <w:rsid w:val="00AA22F0"/>
    <w:rsid w:val="00AA3DDF"/>
    <w:rsid w:val="00AA4267"/>
    <w:rsid w:val="00AA4294"/>
    <w:rsid w:val="00AA4407"/>
    <w:rsid w:val="00AA4D90"/>
    <w:rsid w:val="00AA4DD8"/>
    <w:rsid w:val="00AA4FF9"/>
    <w:rsid w:val="00AA51EA"/>
    <w:rsid w:val="00AA55A1"/>
    <w:rsid w:val="00AA5909"/>
    <w:rsid w:val="00AA60AD"/>
    <w:rsid w:val="00AA65B8"/>
    <w:rsid w:val="00AA68C5"/>
    <w:rsid w:val="00AA700C"/>
    <w:rsid w:val="00AA733A"/>
    <w:rsid w:val="00AA7438"/>
    <w:rsid w:val="00AA7599"/>
    <w:rsid w:val="00AA75A4"/>
    <w:rsid w:val="00AA79B4"/>
    <w:rsid w:val="00AA7F0A"/>
    <w:rsid w:val="00AB034B"/>
    <w:rsid w:val="00AB0413"/>
    <w:rsid w:val="00AB0647"/>
    <w:rsid w:val="00AB08B9"/>
    <w:rsid w:val="00AB09CF"/>
    <w:rsid w:val="00AB0E40"/>
    <w:rsid w:val="00AB13A6"/>
    <w:rsid w:val="00AB156C"/>
    <w:rsid w:val="00AB184D"/>
    <w:rsid w:val="00AB1925"/>
    <w:rsid w:val="00AB299D"/>
    <w:rsid w:val="00AB2CBA"/>
    <w:rsid w:val="00AB2FDE"/>
    <w:rsid w:val="00AB36B3"/>
    <w:rsid w:val="00AB3702"/>
    <w:rsid w:val="00AB3D37"/>
    <w:rsid w:val="00AB4139"/>
    <w:rsid w:val="00AB4505"/>
    <w:rsid w:val="00AB5275"/>
    <w:rsid w:val="00AB538A"/>
    <w:rsid w:val="00AB59BB"/>
    <w:rsid w:val="00AB606D"/>
    <w:rsid w:val="00AB607F"/>
    <w:rsid w:val="00AB6814"/>
    <w:rsid w:val="00AB6927"/>
    <w:rsid w:val="00AB6AC5"/>
    <w:rsid w:val="00AB75BE"/>
    <w:rsid w:val="00AB7C4E"/>
    <w:rsid w:val="00AB7D29"/>
    <w:rsid w:val="00AC04BA"/>
    <w:rsid w:val="00AC0727"/>
    <w:rsid w:val="00AC0E39"/>
    <w:rsid w:val="00AC1265"/>
    <w:rsid w:val="00AC15C4"/>
    <w:rsid w:val="00AC1B83"/>
    <w:rsid w:val="00AC1F37"/>
    <w:rsid w:val="00AC2767"/>
    <w:rsid w:val="00AC2CB4"/>
    <w:rsid w:val="00AC316A"/>
    <w:rsid w:val="00AC337F"/>
    <w:rsid w:val="00AC34B9"/>
    <w:rsid w:val="00AC356A"/>
    <w:rsid w:val="00AC3959"/>
    <w:rsid w:val="00AC3A82"/>
    <w:rsid w:val="00AC3EF4"/>
    <w:rsid w:val="00AC4965"/>
    <w:rsid w:val="00AC4DB2"/>
    <w:rsid w:val="00AC4E00"/>
    <w:rsid w:val="00AC5100"/>
    <w:rsid w:val="00AC53E3"/>
    <w:rsid w:val="00AC5C68"/>
    <w:rsid w:val="00AC6040"/>
    <w:rsid w:val="00AC64E0"/>
    <w:rsid w:val="00AC652C"/>
    <w:rsid w:val="00AC70F4"/>
    <w:rsid w:val="00AC7168"/>
    <w:rsid w:val="00AC7CED"/>
    <w:rsid w:val="00AD024D"/>
    <w:rsid w:val="00AD037A"/>
    <w:rsid w:val="00AD05A5"/>
    <w:rsid w:val="00AD088E"/>
    <w:rsid w:val="00AD09FD"/>
    <w:rsid w:val="00AD1886"/>
    <w:rsid w:val="00AD1B48"/>
    <w:rsid w:val="00AD1D3C"/>
    <w:rsid w:val="00AD2A40"/>
    <w:rsid w:val="00AD3082"/>
    <w:rsid w:val="00AD3098"/>
    <w:rsid w:val="00AD309A"/>
    <w:rsid w:val="00AD3162"/>
    <w:rsid w:val="00AD3204"/>
    <w:rsid w:val="00AD321A"/>
    <w:rsid w:val="00AD3EEA"/>
    <w:rsid w:val="00AD48BA"/>
    <w:rsid w:val="00AD4AD0"/>
    <w:rsid w:val="00AD4EFB"/>
    <w:rsid w:val="00AD5009"/>
    <w:rsid w:val="00AD50A0"/>
    <w:rsid w:val="00AD535D"/>
    <w:rsid w:val="00AD5436"/>
    <w:rsid w:val="00AD5497"/>
    <w:rsid w:val="00AD575F"/>
    <w:rsid w:val="00AD5AF6"/>
    <w:rsid w:val="00AD60CD"/>
    <w:rsid w:val="00AD6461"/>
    <w:rsid w:val="00AD64BD"/>
    <w:rsid w:val="00AD69DD"/>
    <w:rsid w:val="00AD6C8C"/>
    <w:rsid w:val="00AD70F5"/>
    <w:rsid w:val="00AD7161"/>
    <w:rsid w:val="00AD7203"/>
    <w:rsid w:val="00AD726C"/>
    <w:rsid w:val="00AD75CE"/>
    <w:rsid w:val="00AE0745"/>
    <w:rsid w:val="00AE091D"/>
    <w:rsid w:val="00AE0973"/>
    <w:rsid w:val="00AE0B14"/>
    <w:rsid w:val="00AE1489"/>
    <w:rsid w:val="00AE17DC"/>
    <w:rsid w:val="00AE1C7B"/>
    <w:rsid w:val="00AE1F08"/>
    <w:rsid w:val="00AE229E"/>
    <w:rsid w:val="00AE2582"/>
    <w:rsid w:val="00AE27A3"/>
    <w:rsid w:val="00AE291C"/>
    <w:rsid w:val="00AE341D"/>
    <w:rsid w:val="00AE3B60"/>
    <w:rsid w:val="00AE4067"/>
    <w:rsid w:val="00AE4708"/>
    <w:rsid w:val="00AE49E9"/>
    <w:rsid w:val="00AE4A27"/>
    <w:rsid w:val="00AE4C3E"/>
    <w:rsid w:val="00AE4CFD"/>
    <w:rsid w:val="00AE53A1"/>
    <w:rsid w:val="00AE5924"/>
    <w:rsid w:val="00AE5CC0"/>
    <w:rsid w:val="00AE6729"/>
    <w:rsid w:val="00AE734A"/>
    <w:rsid w:val="00AE74A2"/>
    <w:rsid w:val="00AE7579"/>
    <w:rsid w:val="00AE7D4F"/>
    <w:rsid w:val="00AF03CB"/>
    <w:rsid w:val="00AF099C"/>
    <w:rsid w:val="00AF14EA"/>
    <w:rsid w:val="00AF1D40"/>
    <w:rsid w:val="00AF1DC2"/>
    <w:rsid w:val="00AF1ED7"/>
    <w:rsid w:val="00AF20CD"/>
    <w:rsid w:val="00AF22FB"/>
    <w:rsid w:val="00AF2484"/>
    <w:rsid w:val="00AF25B2"/>
    <w:rsid w:val="00AF3131"/>
    <w:rsid w:val="00AF3191"/>
    <w:rsid w:val="00AF33AF"/>
    <w:rsid w:val="00AF36BF"/>
    <w:rsid w:val="00AF45BE"/>
    <w:rsid w:val="00AF463D"/>
    <w:rsid w:val="00AF4642"/>
    <w:rsid w:val="00AF46BF"/>
    <w:rsid w:val="00AF4AD5"/>
    <w:rsid w:val="00AF4B63"/>
    <w:rsid w:val="00AF513E"/>
    <w:rsid w:val="00AF539B"/>
    <w:rsid w:val="00AF55DD"/>
    <w:rsid w:val="00AF587B"/>
    <w:rsid w:val="00AF5DA0"/>
    <w:rsid w:val="00AF612E"/>
    <w:rsid w:val="00AF61BB"/>
    <w:rsid w:val="00AF6335"/>
    <w:rsid w:val="00AF63E7"/>
    <w:rsid w:val="00AF69BA"/>
    <w:rsid w:val="00AF7269"/>
    <w:rsid w:val="00AF7926"/>
    <w:rsid w:val="00AF7CBC"/>
    <w:rsid w:val="00B015B8"/>
    <w:rsid w:val="00B0165D"/>
    <w:rsid w:val="00B017B2"/>
    <w:rsid w:val="00B01830"/>
    <w:rsid w:val="00B031F3"/>
    <w:rsid w:val="00B03688"/>
    <w:rsid w:val="00B03B49"/>
    <w:rsid w:val="00B046E2"/>
    <w:rsid w:val="00B04DFA"/>
    <w:rsid w:val="00B052A4"/>
    <w:rsid w:val="00B0532A"/>
    <w:rsid w:val="00B05657"/>
    <w:rsid w:val="00B057AC"/>
    <w:rsid w:val="00B05E90"/>
    <w:rsid w:val="00B063DC"/>
    <w:rsid w:val="00B07715"/>
    <w:rsid w:val="00B079B7"/>
    <w:rsid w:val="00B10029"/>
    <w:rsid w:val="00B1080F"/>
    <w:rsid w:val="00B10F6C"/>
    <w:rsid w:val="00B111DE"/>
    <w:rsid w:val="00B114B1"/>
    <w:rsid w:val="00B117E9"/>
    <w:rsid w:val="00B120C7"/>
    <w:rsid w:val="00B121A1"/>
    <w:rsid w:val="00B125DE"/>
    <w:rsid w:val="00B1267E"/>
    <w:rsid w:val="00B12AD0"/>
    <w:rsid w:val="00B12BFC"/>
    <w:rsid w:val="00B12CED"/>
    <w:rsid w:val="00B130C0"/>
    <w:rsid w:val="00B1334B"/>
    <w:rsid w:val="00B13E99"/>
    <w:rsid w:val="00B13FDD"/>
    <w:rsid w:val="00B13FEA"/>
    <w:rsid w:val="00B14161"/>
    <w:rsid w:val="00B14252"/>
    <w:rsid w:val="00B149A5"/>
    <w:rsid w:val="00B14CA1"/>
    <w:rsid w:val="00B14E30"/>
    <w:rsid w:val="00B15362"/>
    <w:rsid w:val="00B15872"/>
    <w:rsid w:val="00B158C5"/>
    <w:rsid w:val="00B15995"/>
    <w:rsid w:val="00B15AFC"/>
    <w:rsid w:val="00B15C78"/>
    <w:rsid w:val="00B15FE9"/>
    <w:rsid w:val="00B16425"/>
    <w:rsid w:val="00B16439"/>
    <w:rsid w:val="00B16BF4"/>
    <w:rsid w:val="00B21243"/>
    <w:rsid w:val="00B21DFC"/>
    <w:rsid w:val="00B21E80"/>
    <w:rsid w:val="00B22883"/>
    <w:rsid w:val="00B22EB2"/>
    <w:rsid w:val="00B22F82"/>
    <w:rsid w:val="00B23097"/>
    <w:rsid w:val="00B232B2"/>
    <w:rsid w:val="00B24484"/>
    <w:rsid w:val="00B248EE"/>
    <w:rsid w:val="00B249D0"/>
    <w:rsid w:val="00B24DE9"/>
    <w:rsid w:val="00B25026"/>
    <w:rsid w:val="00B251F8"/>
    <w:rsid w:val="00B254D9"/>
    <w:rsid w:val="00B25923"/>
    <w:rsid w:val="00B25969"/>
    <w:rsid w:val="00B260CB"/>
    <w:rsid w:val="00B265EC"/>
    <w:rsid w:val="00B26E12"/>
    <w:rsid w:val="00B27169"/>
    <w:rsid w:val="00B272A6"/>
    <w:rsid w:val="00B27442"/>
    <w:rsid w:val="00B27EA5"/>
    <w:rsid w:val="00B30601"/>
    <w:rsid w:val="00B30AAA"/>
    <w:rsid w:val="00B30BA4"/>
    <w:rsid w:val="00B30D32"/>
    <w:rsid w:val="00B3106B"/>
    <w:rsid w:val="00B3107C"/>
    <w:rsid w:val="00B31167"/>
    <w:rsid w:val="00B316AD"/>
    <w:rsid w:val="00B31AC7"/>
    <w:rsid w:val="00B322B4"/>
    <w:rsid w:val="00B329D8"/>
    <w:rsid w:val="00B32BB9"/>
    <w:rsid w:val="00B32E87"/>
    <w:rsid w:val="00B33220"/>
    <w:rsid w:val="00B339B7"/>
    <w:rsid w:val="00B33A45"/>
    <w:rsid w:val="00B33AE1"/>
    <w:rsid w:val="00B33F82"/>
    <w:rsid w:val="00B35273"/>
    <w:rsid w:val="00B355EE"/>
    <w:rsid w:val="00B35C55"/>
    <w:rsid w:val="00B360BF"/>
    <w:rsid w:val="00B36495"/>
    <w:rsid w:val="00B364BC"/>
    <w:rsid w:val="00B367D2"/>
    <w:rsid w:val="00B37995"/>
    <w:rsid w:val="00B37C38"/>
    <w:rsid w:val="00B37D38"/>
    <w:rsid w:val="00B40095"/>
    <w:rsid w:val="00B401E7"/>
    <w:rsid w:val="00B404FE"/>
    <w:rsid w:val="00B4078A"/>
    <w:rsid w:val="00B40DF3"/>
    <w:rsid w:val="00B415B5"/>
    <w:rsid w:val="00B41789"/>
    <w:rsid w:val="00B41D16"/>
    <w:rsid w:val="00B41E97"/>
    <w:rsid w:val="00B42096"/>
    <w:rsid w:val="00B422F8"/>
    <w:rsid w:val="00B4288C"/>
    <w:rsid w:val="00B43262"/>
    <w:rsid w:val="00B43C23"/>
    <w:rsid w:val="00B43DBA"/>
    <w:rsid w:val="00B44073"/>
    <w:rsid w:val="00B44100"/>
    <w:rsid w:val="00B443BD"/>
    <w:rsid w:val="00B44DD9"/>
    <w:rsid w:val="00B44F94"/>
    <w:rsid w:val="00B4531E"/>
    <w:rsid w:val="00B45A27"/>
    <w:rsid w:val="00B4676B"/>
    <w:rsid w:val="00B46CBA"/>
    <w:rsid w:val="00B46F94"/>
    <w:rsid w:val="00B4706C"/>
    <w:rsid w:val="00B471A5"/>
    <w:rsid w:val="00B4745E"/>
    <w:rsid w:val="00B47A51"/>
    <w:rsid w:val="00B50209"/>
    <w:rsid w:val="00B50563"/>
    <w:rsid w:val="00B50E3A"/>
    <w:rsid w:val="00B50E79"/>
    <w:rsid w:val="00B51400"/>
    <w:rsid w:val="00B51D1E"/>
    <w:rsid w:val="00B51FA4"/>
    <w:rsid w:val="00B521C9"/>
    <w:rsid w:val="00B5279B"/>
    <w:rsid w:val="00B52875"/>
    <w:rsid w:val="00B5307B"/>
    <w:rsid w:val="00B53EA2"/>
    <w:rsid w:val="00B5431C"/>
    <w:rsid w:val="00B548B5"/>
    <w:rsid w:val="00B54AEA"/>
    <w:rsid w:val="00B54B21"/>
    <w:rsid w:val="00B5508E"/>
    <w:rsid w:val="00B55202"/>
    <w:rsid w:val="00B55611"/>
    <w:rsid w:val="00B55F88"/>
    <w:rsid w:val="00B5602E"/>
    <w:rsid w:val="00B56217"/>
    <w:rsid w:val="00B567B3"/>
    <w:rsid w:val="00B569F4"/>
    <w:rsid w:val="00B56C2A"/>
    <w:rsid w:val="00B56EF6"/>
    <w:rsid w:val="00B571ED"/>
    <w:rsid w:val="00B578F2"/>
    <w:rsid w:val="00B57A5B"/>
    <w:rsid w:val="00B57EFF"/>
    <w:rsid w:val="00B603D9"/>
    <w:rsid w:val="00B60713"/>
    <w:rsid w:val="00B6098F"/>
    <w:rsid w:val="00B60A67"/>
    <w:rsid w:val="00B60A6B"/>
    <w:rsid w:val="00B6106E"/>
    <w:rsid w:val="00B616C4"/>
    <w:rsid w:val="00B61F03"/>
    <w:rsid w:val="00B626E4"/>
    <w:rsid w:val="00B62C2C"/>
    <w:rsid w:val="00B631F8"/>
    <w:rsid w:val="00B63747"/>
    <w:rsid w:val="00B64372"/>
    <w:rsid w:val="00B64493"/>
    <w:rsid w:val="00B64B2A"/>
    <w:rsid w:val="00B64E5A"/>
    <w:rsid w:val="00B652F7"/>
    <w:rsid w:val="00B655D0"/>
    <w:rsid w:val="00B661B8"/>
    <w:rsid w:val="00B663D6"/>
    <w:rsid w:val="00B66530"/>
    <w:rsid w:val="00B66C67"/>
    <w:rsid w:val="00B66CEE"/>
    <w:rsid w:val="00B66E84"/>
    <w:rsid w:val="00B70090"/>
    <w:rsid w:val="00B70A31"/>
    <w:rsid w:val="00B711E1"/>
    <w:rsid w:val="00B71287"/>
    <w:rsid w:val="00B71427"/>
    <w:rsid w:val="00B71462"/>
    <w:rsid w:val="00B71850"/>
    <w:rsid w:val="00B7185D"/>
    <w:rsid w:val="00B723C8"/>
    <w:rsid w:val="00B7243C"/>
    <w:rsid w:val="00B72861"/>
    <w:rsid w:val="00B728C6"/>
    <w:rsid w:val="00B72CDD"/>
    <w:rsid w:val="00B72CF0"/>
    <w:rsid w:val="00B72DEE"/>
    <w:rsid w:val="00B72E9A"/>
    <w:rsid w:val="00B72F4A"/>
    <w:rsid w:val="00B73046"/>
    <w:rsid w:val="00B7319F"/>
    <w:rsid w:val="00B734BD"/>
    <w:rsid w:val="00B73A9B"/>
    <w:rsid w:val="00B74303"/>
    <w:rsid w:val="00B75619"/>
    <w:rsid w:val="00B76518"/>
    <w:rsid w:val="00B77A85"/>
    <w:rsid w:val="00B80D56"/>
    <w:rsid w:val="00B80EFB"/>
    <w:rsid w:val="00B81256"/>
    <w:rsid w:val="00B82374"/>
    <w:rsid w:val="00B8260D"/>
    <w:rsid w:val="00B83034"/>
    <w:rsid w:val="00B830B5"/>
    <w:rsid w:val="00B83595"/>
    <w:rsid w:val="00B83717"/>
    <w:rsid w:val="00B83C27"/>
    <w:rsid w:val="00B83D0B"/>
    <w:rsid w:val="00B84554"/>
    <w:rsid w:val="00B84689"/>
    <w:rsid w:val="00B84BC3"/>
    <w:rsid w:val="00B84BDD"/>
    <w:rsid w:val="00B8559B"/>
    <w:rsid w:val="00B856CF"/>
    <w:rsid w:val="00B858B6"/>
    <w:rsid w:val="00B85FAF"/>
    <w:rsid w:val="00B862D3"/>
    <w:rsid w:val="00B86337"/>
    <w:rsid w:val="00B8653D"/>
    <w:rsid w:val="00B865FC"/>
    <w:rsid w:val="00B86CA6"/>
    <w:rsid w:val="00B8745C"/>
    <w:rsid w:val="00B8765F"/>
    <w:rsid w:val="00B8784B"/>
    <w:rsid w:val="00B909F4"/>
    <w:rsid w:val="00B90E4B"/>
    <w:rsid w:val="00B910C4"/>
    <w:rsid w:val="00B9181C"/>
    <w:rsid w:val="00B91C55"/>
    <w:rsid w:val="00B92455"/>
    <w:rsid w:val="00B9246E"/>
    <w:rsid w:val="00B92812"/>
    <w:rsid w:val="00B92C66"/>
    <w:rsid w:val="00B93134"/>
    <w:rsid w:val="00B931F1"/>
    <w:rsid w:val="00B93208"/>
    <w:rsid w:val="00B9351A"/>
    <w:rsid w:val="00B9364A"/>
    <w:rsid w:val="00B93A5A"/>
    <w:rsid w:val="00B93F3B"/>
    <w:rsid w:val="00B94106"/>
    <w:rsid w:val="00B945A0"/>
    <w:rsid w:val="00B94A7B"/>
    <w:rsid w:val="00B959DE"/>
    <w:rsid w:val="00B95A57"/>
    <w:rsid w:val="00B9630E"/>
    <w:rsid w:val="00B9632B"/>
    <w:rsid w:val="00B963D3"/>
    <w:rsid w:val="00B96405"/>
    <w:rsid w:val="00B96A43"/>
    <w:rsid w:val="00B973E3"/>
    <w:rsid w:val="00B974FE"/>
    <w:rsid w:val="00B97A8D"/>
    <w:rsid w:val="00B97AB6"/>
    <w:rsid w:val="00B97D0A"/>
    <w:rsid w:val="00BA00DC"/>
    <w:rsid w:val="00BA0C67"/>
    <w:rsid w:val="00BA1393"/>
    <w:rsid w:val="00BA180F"/>
    <w:rsid w:val="00BA1A00"/>
    <w:rsid w:val="00BA1B59"/>
    <w:rsid w:val="00BA1B5C"/>
    <w:rsid w:val="00BA1DF2"/>
    <w:rsid w:val="00BA2644"/>
    <w:rsid w:val="00BA267F"/>
    <w:rsid w:val="00BA2C23"/>
    <w:rsid w:val="00BA2CF3"/>
    <w:rsid w:val="00BA2F7F"/>
    <w:rsid w:val="00BA4D5B"/>
    <w:rsid w:val="00BA542E"/>
    <w:rsid w:val="00BA5905"/>
    <w:rsid w:val="00BA593B"/>
    <w:rsid w:val="00BA5FCC"/>
    <w:rsid w:val="00BA6427"/>
    <w:rsid w:val="00BA66CA"/>
    <w:rsid w:val="00BA66DF"/>
    <w:rsid w:val="00BA6720"/>
    <w:rsid w:val="00BA70BE"/>
    <w:rsid w:val="00BA7C84"/>
    <w:rsid w:val="00BB0005"/>
    <w:rsid w:val="00BB03C7"/>
    <w:rsid w:val="00BB072F"/>
    <w:rsid w:val="00BB0C4C"/>
    <w:rsid w:val="00BB16C3"/>
    <w:rsid w:val="00BB1F40"/>
    <w:rsid w:val="00BB287A"/>
    <w:rsid w:val="00BB3628"/>
    <w:rsid w:val="00BB39C1"/>
    <w:rsid w:val="00BB3B35"/>
    <w:rsid w:val="00BB45A1"/>
    <w:rsid w:val="00BB4656"/>
    <w:rsid w:val="00BB4A1E"/>
    <w:rsid w:val="00BB4BA4"/>
    <w:rsid w:val="00BB5278"/>
    <w:rsid w:val="00BB53CC"/>
    <w:rsid w:val="00BB5C66"/>
    <w:rsid w:val="00BB5E04"/>
    <w:rsid w:val="00BB5E1E"/>
    <w:rsid w:val="00BB6417"/>
    <w:rsid w:val="00BB6D0A"/>
    <w:rsid w:val="00BB7059"/>
    <w:rsid w:val="00BB71A4"/>
    <w:rsid w:val="00BB75AE"/>
    <w:rsid w:val="00BB7686"/>
    <w:rsid w:val="00BB7C76"/>
    <w:rsid w:val="00BB7D41"/>
    <w:rsid w:val="00BB7D8B"/>
    <w:rsid w:val="00BC08B1"/>
    <w:rsid w:val="00BC0ACD"/>
    <w:rsid w:val="00BC188F"/>
    <w:rsid w:val="00BC1BCA"/>
    <w:rsid w:val="00BC2220"/>
    <w:rsid w:val="00BC232A"/>
    <w:rsid w:val="00BC23F9"/>
    <w:rsid w:val="00BC2841"/>
    <w:rsid w:val="00BC3421"/>
    <w:rsid w:val="00BC360C"/>
    <w:rsid w:val="00BC38CA"/>
    <w:rsid w:val="00BC607D"/>
    <w:rsid w:val="00BC6370"/>
    <w:rsid w:val="00BC640D"/>
    <w:rsid w:val="00BC6587"/>
    <w:rsid w:val="00BC68A6"/>
    <w:rsid w:val="00BC69C1"/>
    <w:rsid w:val="00BC732C"/>
    <w:rsid w:val="00BC75DA"/>
    <w:rsid w:val="00BC7A3D"/>
    <w:rsid w:val="00BC7D8A"/>
    <w:rsid w:val="00BD1922"/>
    <w:rsid w:val="00BD193A"/>
    <w:rsid w:val="00BD1A5C"/>
    <w:rsid w:val="00BD1C72"/>
    <w:rsid w:val="00BD2D99"/>
    <w:rsid w:val="00BD2F12"/>
    <w:rsid w:val="00BD3057"/>
    <w:rsid w:val="00BD3761"/>
    <w:rsid w:val="00BD3B8F"/>
    <w:rsid w:val="00BD40C7"/>
    <w:rsid w:val="00BD42FB"/>
    <w:rsid w:val="00BD4530"/>
    <w:rsid w:val="00BD4BDB"/>
    <w:rsid w:val="00BD4DDF"/>
    <w:rsid w:val="00BD5058"/>
    <w:rsid w:val="00BD5105"/>
    <w:rsid w:val="00BD54A3"/>
    <w:rsid w:val="00BD55A9"/>
    <w:rsid w:val="00BD5FCC"/>
    <w:rsid w:val="00BD60DD"/>
    <w:rsid w:val="00BD62EE"/>
    <w:rsid w:val="00BD6386"/>
    <w:rsid w:val="00BD69D6"/>
    <w:rsid w:val="00BD6B57"/>
    <w:rsid w:val="00BD6D02"/>
    <w:rsid w:val="00BD73B3"/>
    <w:rsid w:val="00BD75A2"/>
    <w:rsid w:val="00BD7642"/>
    <w:rsid w:val="00BD76B2"/>
    <w:rsid w:val="00BD7BE0"/>
    <w:rsid w:val="00BD7C46"/>
    <w:rsid w:val="00BD7E05"/>
    <w:rsid w:val="00BE096B"/>
    <w:rsid w:val="00BE09F1"/>
    <w:rsid w:val="00BE1016"/>
    <w:rsid w:val="00BE13AC"/>
    <w:rsid w:val="00BE1534"/>
    <w:rsid w:val="00BE1978"/>
    <w:rsid w:val="00BE1EEA"/>
    <w:rsid w:val="00BE24F8"/>
    <w:rsid w:val="00BE2580"/>
    <w:rsid w:val="00BE266D"/>
    <w:rsid w:val="00BE2CCE"/>
    <w:rsid w:val="00BE2F6A"/>
    <w:rsid w:val="00BE33EF"/>
    <w:rsid w:val="00BE3851"/>
    <w:rsid w:val="00BE3938"/>
    <w:rsid w:val="00BE3D69"/>
    <w:rsid w:val="00BE4236"/>
    <w:rsid w:val="00BE44EE"/>
    <w:rsid w:val="00BE481D"/>
    <w:rsid w:val="00BE4C11"/>
    <w:rsid w:val="00BE4CEC"/>
    <w:rsid w:val="00BE4D5B"/>
    <w:rsid w:val="00BE4DEC"/>
    <w:rsid w:val="00BE50AD"/>
    <w:rsid w:val="00BE5361"/>
    <w:rsid w:val="00BE5490"/>
    <w:rsid w:val="00BE59E9"/>
    <w:rsid w:val="00BE5E73"/>
    <w:rsid w:val="00BE5F05"/>
    <w:rsid w:val="00BE6DD4"/>
    <w:rsid w:val="00BE711E"/>
    <w:rsid w:val="00BE71C0"/>
    <w:rsid w:val="00BE724D"/>
    <w:rsid w:val="00BE7C24"/>
    <w:rsid w:val="00BE7E96"/>
    <w:rsid w:val="00BF04DA"/>
    <w:rsid w:val="00BF11C8"/>
    <w:rsid w:val="00BF1429"/>
    <w:rsid w:val="00BF185E"/>
    <w:rsid w:val="00BF1A8C"/>
    <w:rsid w:val="00BF1D40"/>
    <w:rsid w:val="00BF1E89"/>
    <w:rsid w:val="00BF2338"/>
    <w:rsid w:val="00BF30E2"/>
    <w:rsid w:val="00BF326B"/>
    <w:rsid w:val="00BF331F"/>
    <w:rsid w:val="00BF3CBF"/>
    <w:rsid w:val="00BF3E57"/>
    <w:rsid w:val="00BF4B7E"/>
    <w:rsid w:val="00BF4C29"/>
    <w:rsid w:val="00BF544F"/>
    <w:rsid w:val="00BF59DC"/>
    <w:rsid w:val="00BF5E40"/>
    <w:rsid w:val="00BF5EDC"/>
    <w:rsid w:val="00BF610C"/>
    <w:rsid w:val="00BF6178"/>
    <w:rsid w:val="00BF67EA"/>
    <w:rsid w:val="00BF6CE5"/>
    <w:rsid w:val="00C0024E"/>
    <w:rsid w:val="00C004AE"/>
    <w:rsid w:val="00C0060B"/>
    <w:rsid w:val="00C00C64"/>
    <w:rsid w:val="00C011C5"/>
    <w:rsid w:val="00C0133C"/>
    <w:rsid w:val="00C01A17"/>
    <w:rsid w:val="00C02377"/>
    <w:rsid w:val="00C024DD"/>
    <w:rsid w:val="00C0277D"/>
    <w:rsid w:val="00C02F3E"/>
    <w:rsid w:val="00C03C47"/>
    <w:rsid w:val="00C053A1"/>
    <w:rsid w:val="00C05448"/>
    <w:rsid w:val="00C05CAF"/>
    <w:rsid w:val="00C06A06"/>
    <w:rsid w:val="00C06F84"/>
    <w:rsid w:val="00C07108"/>
    <w:rsid w:val="00C072BC"/>
    <w:rsid w:val="00C074B5"/>
    <w:rsid w:val="00C079DA"/>
    <w:rsid w:val="00C10ADB"/>
    <w:rsid w:val="00C10E8A"/>
    <w:rsid w:val="00C1122C"/>
    <w:rsid w:val="00C11B2B"/>
    <w:rsid w:val="00C11ED7"/>
    <w:rsid w:val="00C11FB0"/>
    <w:rsid w:val="00C12260"/>
    <w:rsid w:val="00C1250B"/>
    <w:rsid w:val="00C12A1D"/>
    <w:rsid w:val="00C13521"/>
    <w:rsid w:val="00C136E6"/>
    <w:rsid w:val="00C13B51"/>
    <w:rsid w:val="00C13D41"/>
    <w:rsid w:val="00C13DA0"/>
    <w:rsid w:val="00C13E38"/>
    <w:rsid w:val="00C13ED2"/>
    <w:rsid w:val="00C14434"/>
    <w:rsid w:val="00C147FA"/>
    <w:rsid w:val="00C1511A"/>
    <w:rsid w:val="00C15414"/>
    <w:rsid w:val="00C156FB"/>
    <w:rsid w:val="00C159E2"/>
    <w:rsid w:val="00C160D1"/>
    <w:rsid w:val="00C16198"/>
    <w:rsid w:val="00C1674F"/>
    <w:rsid w:val="00C16BE0"/>
    <w:rsid w:val="00C16C44"/>
    <w:rsid w:val="00C17638"/>
    <w:rsid w:val="00C17B8F"/>
    <w:rsid w:val="00C2072A"/>
    <w:rsid w:val="00C207B0"/>
    <w:rsid w:val="00C2083D"/>
    <w:rsid w:val="00C208A9"/>
    <w:rsid w:val="00C20980"/>
    <w:rsid w:val="00C20987"/>
    <w:rsid w:val="00C21001"/>
    <w:rsid w:val="00C214AC"/>
    <w:rsid w:val="00C2175F"/>
    <w:rsid w:val="00C21BC4"/>
    <w:rsid w:val="00C22CD0"/>
    <w:rsid w:val="00C23353"/>
    <w:rsid w:val="00C23EDA"/>
    <w:rsid w:val="00C244AF"/>
    <w:rsid w:val="00C249C9"/>
    <w:rsid w:val="00C24A53"/>
    <w:rsid w:val="00C24AE8"/>
    <w:rsid w:val="00C24BB1"/>
    <w:rsid w:val="00C24DBD"/>
    <w:rsid w:val="00C259F2"/>
    <w:rsid w:val="00C25BBD"/>
    <w:rsid w:val="00C2664A"/>
    <w:rsid w:val="00C26A5D"/>
    <w:rsid w:val="00C2765A"/>
    <w:rsid w:val="00C27A40"/>
    <w:rsid w:val="00C27C2A"/>
    <w:rsid w:val="00C30657"/>
    <w:rsid w:val="00C30C28"/>
    <w:rsid w:val="00C30EBD"/>
    <w:rsid w:val="00C30EED"/>
    <w:rsid w:val="00C31225"/>
    <w:rsid w:val="00C31ABF"/>
    <w:rsid w:val="00C31DC0"/>
    <w:rsid w:val="00C34162"/>
    <w:rsid w:val="00C35BEE"/>
    <w:rsid w:val="00C35EE0"/>
    <w:rsid w:val="00C36512"/>
    <w:rsid w:val="00C36515"/>
    <w:rsid w:val="00C365FD"/>
    <w:rsid w:val="00C3664F"/>
    <w:rsid w:val="00C36922"/>
    <w:rsid w:val="00C37076"/>
    <w:rsid w:val="00C3763D"/>
    <w:rsid w:val="00C3767B"/>
    <w:rsid w:val="00C3778D"/>
    <w:rsid w:val="00C37CF1"/>
    <w:rsid w:val="00C37E15"/>
    <w:rsid w:val="00C4032F"/>
    <w:rsid w:val="00C405A1"/>
    <w:rsid w:val="00C40A2D"/>
    <w:rsid w:val="00C4122F"/>
    <w:rsid w:val="00C41ACC"/>
    <w:rsid w:val="00C41ADE"/>
    <w:rsid w:val="00C41E0D"/>
    <w:rsid w:val="00C42B44"/>
    <w:rsid w:val="00C43CE7"/>
    <w:rsid w:val="00C43F6C"/>
    <w:rsid w:val="00C44047"/>
    <w:rsid w:val="00C45155"/>
    <w:rsid w:val="00C45264"/>
    <w:rsid w:val="00C452E6"/>
    <w:rsid w:val="00C45CD6"/>
    <w:rsid w:val="00C466A7"/>
    <w:rsid w:val="00C4672A"/>
    <w:rsid w:val="00C469A1"/>
    <w:rsid w:val="00C500B7"/>
    <w:rsid w:val="00C5032B"/>
    <w:rsid w:val="00C50435"/>
    <w:rsid w:val="00C5044E"/>
    <w:rsid w:val="00C50551"/>
    <w:rsid w:val="00C50932"/>
    <w:rsid w:val="00C5110D"/>
    <w:rsid w:val="00C52166"/>
    <w:rsid w:val="00C521F6"/>
    <w:rsid w:val="00C524A1"/>
    <w:rsid w:val="00C527EE"/>
    <w:rsid w:val="00C52A5D"/>
    <w:rsid w:val="00C54574"/>
    <w:rsid w:val="00C5498F"/>
    <w:rsid w:val="00C54E26"/>
    <w:rsid w:val="00C55235"/>
    <w:rsid w:val="00C564B5"/>
    <w:rsid w:val="00C56656"/>
    <w:rsid w:val="00C5666B"/>
    <w:rsid w:val="00C566A3"/>
    <w:rsid w:val="00C56885"/>
    <w:rsid w:val="00C568A9"/>
    <w:rsid w:val="00C56B53"/>
    <w:rsid w:val="00C56C93"/>
    <w:rsid w:val="00C56EC6"/>
    <w:rsid w:val="00C570D7"/>
    <w:rsid w:val="00C574FC"/>
    <w:rsid w:val="00C57950"/>
    <w:rsid w:val="00C60B03"/>
    <w:rsid w:val="00C610A7"/>
    <w:rsid w:val="00C6129F"/>
    <w:rsid w:val="00C6144F"/>
    <w:rsid w:val="00C62B4A"/>
    <w:rsid w:val="00C62F26"/>
    <w:rsid w:val="00C6363E"/>
    <w:rsid w:val="00C63A9F"/>
    <w:rsid w:val="00C63F15"/>
    <w:rsid w:val="00C64CD0"/>
    <w:rsid w:val="00C659BB"/>
    <w:rsid w:val="00C65AA5"/>
    <w:rsid w:val="00C65B4E"/>
    <w:rsid w:val="00C6649A"/>
    <w:rsid w:val="00C664C1"/>
    <w:rsid w:val="00C6668C"/>
    <w:rsid w:val="00C6684F"/>
    <w:rsid w:val="00C67500"/>
    <w:rsid w:val="00C676B2"/>
    <w:rsid w:val="00C676F7"/>
    <w:rsid w:val="00C7048E"/>
    <w:rsid w:val="00C70773"/>
    <w:rsid w:val="00C70C5D"/>
    <w:rsid w:val="00C70E57"/>
    <w:rsid w:val="00C70E70"/>
    <w:rsid w:val="00C71915"/>
    <w:rsid w:val="00C71FD9"/>
    <w:rsid w:val="00C722EF"/>
    <w:rsid w:val="00C725E4"/>
    <w:rsid w:val="00C72D10"/>
    <w:rsid w:val="00C72E1B"/>
    <w:rsid w:val="00C734F9"/>
    <w:rsid w:val="00C7352C"/>
    <w:rsid w:val="00C736FC"/>
    <w:rsid w:val="00C73782"/>
    <w:rsid w:val="00C73A90"/>
    <w:rsid w:val="00C73B43"/>
    <w:rsid w:val="00C73D29"/>
    <w:rsid w:val="00C73EB2"/>
    <w:rsid w:val="00C7419B"/>
    <w:rsid w:val="00C74822"/>
    <w:rsid w:val="00C74BEA"/>
    <w:rsid w:val="00C753E4"/>
    <w:rsid w:val="00C753F1"/>
    <w:rsid w:val="00C758E1"/>
    <w:rsid w:val="00C75F8D"/>
    <w:rsid w:val="00C76D1E"/>
    <w:rsid w:val="00C77380"/>
    <w:rsid w:val="00C77741"/>
    <w:rsid w:val="00C77997"/>
    <w:rsid w:val="00C77B6E"/>
    <w:rsid w:val="00C77D4F"/>
    <w:rsid w:val="00C77DDC"/>
    <w:rsid w:val="00C77EF3"/>
    <w:rsid w:val="00C8096F"/>
    <w:rsid w:val="00C80DB5"/>
    <w:rsid w:val="00C80EC0"/>
    <w:rsid w:val="00C8186B"/>
    <w:rsid w:val="00C81B42"/>
    <w:rsid w:val="00C81C60"/>
    <w:rsid w:val="00C81D2B"/>
    <w:rsid w:val="00C81E64"/>
    <w:rsid w:val="00C82B5E"/>
    <w:rsid w:val="00C8458D"/>
    <w:rsid w:val="00C84604"/>
    <w:rsid w:val="00C84A80"/>
    <w:rsid w:val="00C84DAE"/>
    <w:rsid w:val="00C85166"/>
    <w:rsid w:val="00C8589A"/>
    <w:rsid w:val="00C85F6E"/>
    <w:rsid w:val="00C86014"/>
    <w:rsid w:val="00C86168"/>
    <w:rsid w:val="00C86940"/>
    <w:rsid w:val="00C901B0"/>
    <w:rsid w:val="00C901D8"/>
    <w:rsid w:val="00C90B2F"/>
    <w:rsid w:val="00C90B60"/>
    <w:rsid w:val="00C90C4A"/>
    <w:rsid w:val="00C910F6"/>
    <w:rsid w:val="00C91433"/>
    <w:rsid w:val="00C92487"/>
    <w:rsid w:val="00C92EC6"/>
    <w:rsid w:val="00C932D8"/>
    <w:rsid w:val="00C933D5"/>
    <w:rsid w:val="00C9387D"/>
    <w:rsid w:val="00C93B46"/>
    <w:rsid w:val="00C93DE5"/>
    <w:rsid w:val="00C945D8"/>
    <w:rsid w:val="00C94E51"/>
    <w:rsid w:val="00C95571"/>
    <w:rsid w:val="00C96635"/>
    <w:rsid w:val="00C96810"/>
    <w:rsid w:val="00C96E7B"/>
    <w:rsid w:val="00C96F6F"/>
    <w:rsid w:val="00C970F8"/>
    <w:rsid w:val="00C97736"/>
    <w:rsid w:val="00C97872"/>
    <w:rsid w:val="00CA03AC"/>
    <w:rsid w:val="00CA04C6"/>
    <w:rsid w:val="00CA05E9"/>
    <w:rsid w:val="00CA0B85"/>
    <w:rsid w:val="00CA209D"/>
    <w:rsid w:val="00CA290C"/>
    <w:rsid w:val="00CA2BAD"/>
    <w:rsid w:val="00CA345A"/>
    <w:rsid w:val="00CA378A"/>
    <w:rsid w:val="00CA40C1"/>
    <w:rsid w:val="00CA438B"/>
    <w:rsid w:val="00CA45E2"/>
    <w:rsid w:val="00CA4611"/>
    <w:rsid w:val="00CA58E8"/>
    <w:rsid w:val="00CA5D8D"/>
    <w:rsid w:val="00CA691A"/>
    <w:rsid w:val="00CA6B07"/>
    <w:rsid w:val="00CA6E3B"/>
    <w:rsid w:val="00CA7164"/>
    <w:rsid w:val="00CA7261"/>
    <w:rsid w:val="00CB0027"/>
    <w:rsid w:val="00CB0308"/>
    <w:rsid w:val="00CB07D6"/>
    <w:rsid w:val="00CB19D2"/>
    <w:rsid w:val="00CB1E82"/>
    <w:rsid w:val="00CB2DAC"/>
    <w:rsid w:val="00CB2F90"/>
    <w:rsid w:val="00CB3C1C"/>
    <w:rsid w:val="00CB407C"/>
    <w:rsid w:val="00CB41DC"/>
    <w:rsid w:val="00CB4219"/>
    <w:rsid w:val="00CB4BA8"/>
    <w:rsid w:val="00CB4BC7"/>
    <w:rsid w:val="00CB4DD2"/>
    <w:rsid w:val="00CB52D7"/>
    <w:rsid w:val="00CB54C0"/>
    <w:rsid w:val="00CB5A23"/>
    <w:rsid w:val="00CB5BA4"/>
    <w:rsid w:val="00CB5C48"/>
    <w:rsid w:val="00CB5FC9"/>
    <w:rsid w:val="00CB65DC"/>
    <w:rsid w:val="00CB6B1E"/>
    <w:rsid w:val="00CB7516"/>
    <w:rsid w:val="00CB78A7"/>
    <w:rsid w:val="00CB7EAD"/>
    <w:rsid w:val="00CB7EDB"/>
    <w:rsid w:val="00CB7F79"/>
    <w:rsid w:val="00CC0360"/>
    <w:rsid w:val="00CC08A9"/>
    <w:rsid w:val="00CC1350"/>
    <w:rsid w:val="00CC2C85"/>
    <w:rsid w:val="00CC331B"/>
    <w:rsid w:val="00CC359F"/>
    <w:rsid w:val="00CC3B80"/>
    <w:rsid w:val="00CC4134"/>
    <w:rsid w:val="00CC4334"/>
    <w:rsid w:val="00CC4852"/>
    <w:rsid w:val="00CC499C"/>
    <w:rsid w:val="00CC4A9A"/>
    <w:rsid w:val="00CC5D54"/>
    <w:rsid w:val="00CC5EBC"/>
    <w:rsid w:val="00CC6416"/>
    <w:rsid w:val="00CC6732"/>
    <w:rsid w:val="00CC6741"/>
    <w:rsid w:val="00CC6B89"/>
    <w:rsid w:val="00CC74B0"/>
    <w:rsid w:val="00CD03BB"/>
    <w:rsid w:val="00CD0718"/>
    <w:rsid w:val="00CD0C63"/>
    <w:rsid w:val="00CD0CFD"/>
    <w:rsid w:val="00CD2084"/>
    <w:rsid w:val="00CD2CF8"/>
    <w:rsid w:val="00CD3016"/>
    <w:rsid w:val="00CD327A"/>
    <w:rsid w:val="00CD34D9"/>
    <w:rsid w:val="00CD3526"/>
    <w:rsid w:val="00CD37A4"/>
    <w:rsid w:val="00CD3A17"/>
    <w:rsid w:val="00CD3BEA"/>
    <w:rsid w:val="00CD3C11"/>
    <w:rsid w:val="00CD3D5F"/>
    <w:rsid w:val="00CD4573"/>
    <w:rsid w:val="00CD45C1"/>
    <w:rsid w:val="00CD4C3D"/>
    <w:rsid w:val="00CD4E4B"/>
    <w:rsid w:val="00CD51EC"/>
    <w:rsid w:val="00CD53B0"/>
    <w:rsid w:val="00CD53B5"/>
    <w:rsid w:val="00CD5B42"/>
    <w:rsid w:val="00CD6AA8"/>
    <w:rsid w:val="00CD6BF3"/>
    <w:rsid w:val="00CD7142"/>
    <w:rsid w:val="00CD7AB4"/>
    <w:rsid w:val="00CD7F88"/>
    <w:rsid w:val="00CD7FFB"/>
    <w:rsid w:val="00CE0108"/>
    <w:rsid w:val="00CE011D"/>
    <w:rsid w:val="00CE0ACA"/>
    <w:rsid w:val="00CE0B11"/>
    <w:rsid w:val="00CE0C9A"/>
    <w:rsid w:val="00CE1511"/>
    <w:rsid w:val="00CE15E7"/>
    <w:rsid w:val="00CE1736"/>
    <w:rsid w:val="00CE1DFA"/>
    <w:rsid w:val="00CE220A"/>
    <w:rsid w:val="00CE232B"/>
    <w:rsid w:val="00CE3231"/>
    <w:rsid w:val="00CE3769"/>
    <w:rsid w:val="00CE3C96"/>
    <w:rsid w:val="00CE48ED"/>
    <w:rsid w:val="00CE4B34"/>
    <w:rsid w:val="00CE4E8B"/>
    <w:rsid w:val="00CE511E"/>
    <w:rsid w:val="00CE51A8"/>
    <w:rsid w:val="00CE5632"/>
    <w:rsid w:val="00CE56C5"/>
    <w:rsid w:val="00CE5B24"/>
    <w:rsid w:val="00CE5B39"/>
    <w:rsid w:val="00CE5D9B"/>
    <w:rsid w:val="00CE6442"/>
    <w:rsid w:val="00CE6E58"/>
    <w:rsid w:val="00CE6FAD"/>
    <w:rsid w:val="00CE7745"/>
    <w:rsid w:val="00CE791F"/>
    <w:rsid w:val="00CE79C7"/>
    <w:rsid w:val="00CE7DCA"/>
    <w:rsid w:val="00CE7EF4"/>
    <w:rsid w:val="00CF013B"/>
    <w:rsid w:val="00CF0383"/>
    <w:rsid w:val="00CF0DDC"/>
    <w:rsid w:val="00CF0FAA"/>
    <w:rsid w:val="00CF131B"/>
    <w:rsid w:val="00CF1347"/>
    <w:rsid w:val="00CF1747"/>
    <w:rsid w:val="00CF21EB"/>
    <w:rsid w:val="00CF2F80"/>
    <w:rsid w:val="00CF369B"/>
    <w:rsid w:val="00CF389A"/>
    <w:rsid w:val="00CF41D6"/>
    <w:rsid w:val="00CF4341"/>
    <w:rsid w:val="00CF4DFE"/>
    <w:rsid w:val="00CF507B"/>
    <w:rsid w:val="00CF5577"/>
    <w:rsid w:val="00CF5B1A"/>
    <w:rsid w:val="00CF5B6D"/>
    <w:rsid w:val="00CF5C8D"/>
    <w:rsid w:val="00CF5DC4"/>
    <w:rsid w:val="00CF6B4D"/>
    <w:rsid w:val="00CF6C01"/>
    <w:rsid w:val="00CF6CF9"/>
    <w:rsid w:val="00CF6EC1"/>
    <w:rsid w:val="00CF7253"/>
    <w:rsid w:val="00CF7298"/>
    <w:rsid w:val="00CF750D"/>
    <w:rsid w:val="00CF78D1"/>
    <w:rsid w:val="00D00863"/>
    <w:rsid w:val="00D00D55"/>
    <w:rsid w:val="00D00E28"/>
    <w:rsid w:val="00D01180"/>
    <w:rsid w:val="00D015CC"/>
    <w:rsid w:val="00D018DF"/>
    <w:rsid w:val="00D01C2F"/>
    <w:rsid w:val="00D01DB1"/>
    <w:rsid w:val="00D0269E"/>
    <w:rsid w:val="00D027C8"/>
    <w:rsid w:val="00D02BC7"/>
    <w:rsid w:val="00D02BE6"/>
    <w:rsid w:val="00D03518"/>
    <w:rsid w:val="00D0391C"/>
    <w:rsid w:val="00D04188"/>
    <w:rsid w:val="00D046EE"/>
    <w:rsid w:val="00D04BBD"/>
    <w:rsid w:val="00D0523F"/>
    <w:rsid w:val="00D060A4"/>
    <w:rsid w:val="00D0706F"/>
    <w:rsid w:val="00D0717D"/>
    <w:rsid w:val="00D07351"/>
    <w:rsid w:val="00D076BE"/>
    <w:rsid w:val="00D101F1"/>
    <w:rsid w:val="00D107F1"/>
    <w:rsid w:val="00D10EF3"/>
    <w:rsid w:val="00D11B63"/>
    <w:rsid w:val="00D11C16"/>
    <w:rsid w:val="00D1272C"/>
    <w:rsid w:val="00D12B33"/>
    <w:rsid w:val="00D12C57"/>
    <w:rsid w:val="00D12EC9"/>
    <w:rsid w:val="00D12F90"/>
    <w:rsid w:val="00D1369B"/>
    <w:rsid w:val="00D1429F"/>
    <w:rsid w:val="00D146A3"/>
    <w:rsid w:val="00D147AE"/>
    <w:rsid w:val="00D14CCC"/>
    <w:rsid w:val="00D15743"/>
    <w:rsid w:val="00D15810"/>
    <w:rsid w:val="00D16126"/>
    <w:rsid w:val="00D161A5"/>
    <w:rsid w:val="00D165E1"/>
    <w:rsid w:val="00D16D4E"/>
    <w:rsid w:val="00D16FE3"/>
    <w:rsid w:val="00D170CE"/>
    <w:rsid w:val="00D17CEF"/>
    <w:rsid w:val="00D205C5"/>
    <w:rsid w:val="00D208DF"/>
    <w:rsid w:val="00D20E01"/>
    <w:rsid w:val="00D2125C"/>
    <w:rsid w:val="00D213BC"/>
    <w:rsid w:val="00D22063"/>
    <w:rsid w:val="00D22084"/>
    <w:rsid w:val="00D22282"/>
    <w:rsid w:val="00D227B6"/>
    <w:rsid w:val="00D22C4F"/>
    <w:rsid w:val="00D22ED2"/>
    <w:rsid w:val="00D23755"/>
    <w:rsid w:val="00D238CE"/>
    <w:rsid w:val="00D2393F"/>
    <w:rsid w:val="00D23999"/>
    <w:rsid w:val="00D240DA"/>
    <w:rsid w:val="00D24149"/>
    <w:rsid w:val="00D24BCA"/>
    <w:rsid w:val="00D24C01"/>
    <w:rsid w:val="00D24ED3"/>
    <w:rsid w:val="00D255F4"/>
    <w:rsid w:val="00D25673"/>
    <w:rsid w:val="00D25D20"/>
    <w:rsid w:val="00D265E6"/>
    <w:rsid w:val="00D269D1"/>
    <w:rsid w:val="00D27259"/>
    <w:rsid w:val="00D27F41"/>
    <w:rsid w:val="00D303F2"/>
    <w:rsid w:val="00D30AA2"/>
    <w:rsid w:val="00D31610"/>
    <w:rsid w:val="00D31D6B"/>
    <w:rsid w:val="00D31DC8"/>
    <w:rsid w:val="00D3206E"/>
    <w:rsid w:val="00D3236C"/>
    <w:rsid w:val="00D324AE"/>
    <w:rsid w:val="00D33606"/>
    <w:rsid w:val="00D3389A"/>
    <w:rsid w:val="00D33ABD"/>
    <w:rsid w:val="00D33DB3"/>
    <w:rsid w:val="00D343CE"/>
    <w:rsid w:val="00D34FF1"/>
    <w:rsid w:val="00D35F22"/>
    <w:rsid w:val="00D360AF"/>
    <w:rsid w:val="00D36441"/>
    <w:rsid w:val="00D36614"/>
    <w:rsid w:val="00D3687A"/>
    <w:rsid w:val="00D3695A"/>
    <w:rsid w:val="00D3699B"/>
    <w:rsid w:val="00D36AE3"/>
    <w:rsid w:val="00D3703B"/>
    <w:rsid w:val="00D371FF"/>
    <w:rsid w:val="00D37264"/>
    <w:rsid w:val="00D37589"/>
    <w:rsid w:val="00D3764A"/>
    <w:rsid w:val="00D376E2"/>
    <w:rsid w:val="00D405EF"/>
    <w:rsid w:val="00D4064E"/>
    <w:rsid w:val="00D40853"/>
    <w:rsid w:val="00D40FCA"/>
    <w:rsid w:val="00D40FD8"/>
    <w:rsid w:val="00D41737"/>
    <w:rsid w:val="00D425DA"/>
    <w:rsid w:val="00D42E4D"/>
    <w:rsid w:val="00D43099"/>
    <w:rsid w:val="00D4335E"/>
    <w:rsid w:val="00D434A2"/>
    <w:rsid w:val="00D43929"/>
    <w:rsid w:val="00D43D3D"/>
    <w:rsid w:val="00D43EDE"/>
    <w:rsid w:val="00D43F5D"/>
    <w:rsid w:val="00D44B04"/>
    <w:rsid w:val="00D44E2A"/>
    <w:rsid w:val="00D44E72"/>
    <w:rsid w:val="00D44E9B"/>
    <w:rsid w:val="00D44ED4"/>
    <w:rsid w:val="00D457FE"/>
    <w:rsid w:val="00D45916"/>
    <w:rsid w:val="00D46065"/>
    <w:rsid w:val="00D4668F"/>
    <w:rsid w:val="00D467B4"/>
    <w:rsid w:val="00D46C29"/>
    <w:rsid w:val="00D46DC6"/>
    <w:rsid w:val="00D47ADC"/>
    <w:rsid w:val="00D47B97"/>
    <w:rsid w:val="00D503DE"/>
    <w:rsid w:val="00D50894"/>
    <w:rsid w:val="00D50A93"/>
    <w:rsid w:val="00D50DB9"/>
    <w:rsid w:val="00D51730"/>
    <w:rsid w:val="00D5178D"/>
    <w:rsid w:val="00D51F75"/>
    <w:rsid w:val="00D52C43"/>
    <w:rsid w:val="00D52ED8"/>
    <w:rsid w:val="00D52F7D"/>
    <w:rsid w:val="00D535DA"/>
    <w:rsid w:val="00D53E78"/>
    <w:rsid w:val="00D53F4E"/>
    <w:rsid w:val="00D54446"/>
    <w:rsid w:val="00D54B63"/>
    <w:rsid w:val="00D553EE"/>
    <w:rsid w:val="00D5574B"/>
    <w:rsid w:val="00D55A5E"/>
    <w:rsid w:val="00D55A77"/>
    <w:rsid w:val="00D55DBA"/>
    <w:rsid w:val="00D55DE1"/>
    <w:rsid w:val="00D5607D"/>
    <w:rsid w:val="00D5655A"/>
    <w:rsid w:val="00D56AA3"/>
    <w:rsid w:val="00D56D57"/>
    <w:rsid w:val="00D57056"/>
    <w:rsid w:val="00D57541"/>
    <w:rsid w:val="00D575DE"/>
    <w:rsid w:val="00D576BA"/>
    <w:rsid w:val="00D57A87"/>
    <w:rsid w:val="00D57C30"/>
    <w:rsid w:val="00D57D78"/>
    <w:rsid w:val="00D57D86"/>
    <w:rsid w:val="00D609A6"/>
    <w:rsid w:val="00D609DA"/>
    <w:rsid w:val="00D610FF"/>
    <w:rsid w:val="00D61FF7"/>
    <w:rsid w:val="00D623D5"/>
    <w:rsid w:val="00D62BE5"/>
    <w:rsid w:val="00D62E6E"/>
    <w:rsid w:val="00D62EB1"/>
    <w:rsid w:val="00D63188"/>
    <w:rsid w:val="00D63F31"/>
    <w:rsid w:val="00D64129"/>
    <w:rsid w:val="00D648F9"/>
    <w:rsid w:val="00D6507F"/>
    <w:rsid w:val="00D650C5"/>
    <w:rsid w:val="00D65B68"/>
    <w:rsid w:val="00D66E38"/>
    <w:rsid w:val="00D67557"/>
    <w:rsid w:val="00D677A2"/>
    <w:rsid w:val="00D67A36"/>
    <w:rsid w:val="00D70067"/>
    <w:rsid w:val="00D70D4F"/>
    <w:rsid w:val="00D71829"/>
    <w:rsid w:val="00D7190A"/>
    <w:rsid w:val="00D72673"/>
    <w:rsid w:val="00D726EB"/>
    <w:rsid w:val="00D72EDA"/>
    <w:rsid w:val="00D7307B"/>
    <w:rsid w:val="00D730BC"/>
    <w:rsid w:val="00D73912"/>
    <w:rsid w:val="00D73A40"/>
    <w:rsid w:val="00D73CE4"/>
    <w:rsid w:val="00D73CFB"/>
    <w:rsid w:val="00D73EF6"/>
    <w:rsid w:val="00D740EE"/>
    <w:rsid w:val="00D74173"/>
    <w:rsid w:val="00D743FF"/>
    <w:rsid w:val="00D746AF"/>
    <w:rsid w:val="00D746D1"/>
    <w:rsid w:val="00D74D42"/>
    <w:rsid w:val="00D75568"/>
    <w:rsid w:val="00D7595C"/>
    <w:rsid w:val="00D75E57"/>
    <w:rsid w:val="00D76292"/>
    <w:rsid w:val="00D762B4"/>
    <w:rsid w:val="00D7650D"/>
    <w:rsid w:val="00D766DF"/>
    <w:rsid w:val="00D77B6C"/>
    <w:rsid w:val="00D77DBF"/>
    <w:rsid w:val="00D77E08"/>
    <w:rsid w:val="00D77FBD"/>
    <w:rsid w:val="00D80025"/>
    <w:rsid w:val="00D8014A"/>
    <w:rsid w:val="00D80DE0"/>
    <w:rsid w:val="00D8112A"/>
    <w:rsid w:val="00D81995"/>
    <w:rsid w:val="00D81EF5"/>
    <w:rsid w:val="00D821D7"/>
    <w:rsid w:val="00D82D8A"/>
    <w:rsid w:val="00D82ED9"/>
    <w:rsid w:val="00D83536"/>
    <w:rsid w:val="00D835B5"/>
    <w:rsid w:val="00D8398D"/>
    <w:rsid w:val="00D84102"/>
    <w:rsid w:val="00D84299"/>
    <w:rsid w:val="00D8450D"/>
    <w:rsid w:val="00D8460A"/>
    <w:rsid w:val="00D848E6"/>
    <w:rsid w:val="00D849DD"/>
    <w:rsid w:val="00D851C6"/>
    <w:rsid w:val="00D85226"/>
    <w:rsid w:val="00D85EEA"/>
    <w:rsid w:val="00D8612F"/>
    <w:rsid w:val="00D864E7"/>
    <w:rsid w:val="00D86EC5"/>
    <w:rsid w:val="00D86F21"/>
    <w:rsid w:val="00D86F5B"/>
    <w:rsid w:val="00D873CB"/>
    <w:rsid w:val="00D87944"/>
    <w:rsid w:val="00D87B94"/>
    <w:rsid w:val="00D87CE6"/>
    <w:rsid w:val="00D87EB2"/>
    <w:rsid w:val="00D87F95"/>
    <w:rsid w:val="00D900F6"/>
    <w:rsid w:val="00D9045D"/>
    <w:rsid w:val="00D9059A"/>
    <w:rsid w:val="00D90860"/>
    <w:rsid w:val="00D917C1"/>
    <w:rsid w:val="00D91902"/>
    <w:rsid w:val="00D91E84"/>
    <w:rsid w:val="00D91EED"/>
    <w:rsid w:val="00D92023"/>
    <w:rsid w:val="00D920D7"/>
    <w:rsid w:val="00D92412"/>
    <w:rsid w:val="00D9259B"/>
    <w:rsid w:val="00D92D1F"/>
    <w:rsid w:val="00D92D49"/>
    <w:rsid w:val="00D92EC1"/>
    <w:rsid w:val="00D934DD"/>
    <w:rsid w:val="00D935F9"/>
    <w:rsid w:val="00D938AA"/>
    <w:rsid w:val="00D93AB6"/>
    <w:rsid w:val="00D93C67"/>
    <w:rsid w:val="00D93DE7"/>
    <w:rsid w:val="00D94077"/>
    <w:rsid w:val="00D9416B"/>
    <w:rsid w:val="00D94C89"/>
    <w:rsid w:val="00D94D44"/>
    <w:rsid w:val="00D9523C"/>
    <w:rsid w:val="00D95415"/>
    <w:rsid w:val="00D95584"/>
    <w:rsid w:val="00D95688"/>
    <w:rsid w:val="00D95FEB"/>
    <w:rsid w:val="00D96C54"/>
    <w:rsid w:val="00D96DEA"/>
    <w:rsid w:val="00D97891"/>
    <w:rsid w:val="00DA0BA4"/>
    <w:rsid w:val="00DA1090"/>
    <w:rsid w:val="00DA1E90"/>
    <w:rsid w:val="00DA22E7"/>
    <w:rsid w:val="00DA2362"/>
    <w:rsid w:val="00DA2542"/>
    <w:rsid w:val="00DA26DC"/>
    <w:rsid w:val="00DA3E09"/>
    <w:rsid w:val="00DA4091"/>
    <w:rsid w:val="00DA435C"/>
    <w:rsid w:val="00DA4E41"/>
    <w:rsid w:val="00DA4F3F"/>
    <w:rsid w:val="00DA5A97"/>
    <w:rsid w:val="00DA5F40"/>
    <w:rsid w:val="00DA5FB3"/>
    <w:rsid w:val="00DA642E"/>
    <w:rsid w:val="00DA67C1"/>
    <w:rsid w:val="00DA68EE"/>
    <w:rsid w:val="00DA6BBB"/>
    <w:rsid w:val="00DA73B6"/>
    <w:rsid w:val="00DA7A10"/>
    <w:rsid w:val="00DB00CD"/>
    <w:rsid w:val="00DB01E4"/>
    <w:rsid w:val="00DB10F3"/>
    <w:rsid w:val="00DB117A"/>
    <w:rsid w:val="00DB15EA"/>
    <w:rsid w:val="00DB1661"/>
    <w:rsid w:val="00DB1942"/>
    <w:rsid w:val="00DB1D2E"/>
    <w:rsid w:val="00DB27B2"/>
    <w:rsid w:val="00DB2BB8"/>
    <w:rsid w:val="00DB2DC7"/>
    <w:rsid w:val="00DB2FC0"/>
    <w:rsid w:val="00DB3491"/>
    <w:rsid w:val="00DB3518"/>
    <w:rsid w:val="00DB38A5"/>
    <w:rsid w:val="00DB3E68"/>
    <w:rsid w:val="00DB4214"/>
    <w:rsid w:val="00DB49E1"/>
    <w:rsid w:val="00DB5173"/>
    <w:rsid w:val="00DB5248"/>
    <w:rsid w:val="00DB5855"/>
    <w:rsid w:val="00DB5875"/>
    <w:rsid w:val="00DB596B"/>
    <w:rsid w:val="00DB5F8E"/>
    <w:rsid w:val="00DB62C6"/>
    <w:rsid w:val="00DB668C"/>
    <w:rsid w:val="00DB6B3D"/>
    <w:rsid w:val="00DB7873"/>
    <w:rsid w:val="00DB7A4C"/>
    <w:rsid w:val="00DC0375"/>
    <w:rsid w:val="00DC0E29"/>
    <w:rsid w:val="00DC187B"/>
    <w:rsid w:val="00DC2652"/>
    <w:rsid w:val="00DC26E1"/>
    <w:rsid w:val="00DC2AB2"/>
    <w:rsid w:val="00DC2C45"/>
    <w:rsid w:val="00DC328C"/>
    <w:rsid w:val="00DC3C70"/>
    <w:rsid w:val="00DC479C"/>
    <w:rsid w:val="00DC4A4B"/>
    <w:rsid w:val="00DC4EBE"/>
    <w:rsid w:val="00DC5710"/>
    <w:rsid w:val="00DC5BAF"/>
    <w:rsid w:val="00DC690C"/>
    <w:rsid w:val="00DC6BDD"/>
    <w:rsid w:val="00DC6DC4"/>
    <w:rsid w:val="00DC6F95"/>
    <w:rsid w:val="00DC7A46"/>
    <w:rsid w:val="00DD0B6C"/>
    <w:rsid w:val="00DD0E52"/>
    <w:rsid w:val="00DD1022"/>
    <w:rsid w:val="00DD1244"/>
    <w:rsid w:val="00DD1A6B"/>
    <w:rsid w:val="00DD2138"/>
    <w:rsid w:val="00DD21A8"/>
    <w:rsid w:val="00DD339C"/>
    <w:rsid w:val="00DD3663"/>
    <w:rsid w:val="00DD37D5"/>
    <w:rsid w:val="00DD3FF6"/>
    <w:rsid w:val="00DD46C8"/>
    <w:rsid w:val="00DD5203"/>
    <w:rsid w:val="00DD52BC"/>
    <w:rsid w:val="00DD5BC9"/>
    <w:rsid w:val="00DD5F41"/>
    <w:rsid w:val="00DD6366"/>
    <w:rsid w:val="00DD669C"/>
    <w:rsid w:val="00DD6735"/>
    <w:rsid w:val="00DD69D6"/>
    <w:rsid w:val="00DD6FAB"/>
    <w:rsid w:val="00DD73C2"/>
    <w:rsid w:val="00DD7525"/>
    <w:rsid w:val="00DD7672"/>
    <w:rsid w:val="00DD7859"/>
    <w:rsid w:val="00DE0C77"/>
    <w:rsid w:val="00DE0CFC"/>
    <w:rsid w:val="00DE14DA"/>
    <w:rsid w:val="00DE1738"/>
    <w:rsid w:val="00DE22B4"/>
    <w:rsid w:val="00DE257B"/>
    <w:rsid w:val="00DE2600"/>
    <w:rsid w:val="00DE2678"/>
    <w:rsid w:val="00DE2A43"/>
    <w:rsid w:val="00DE2DDE"/>
    <w:rsid w:val="00DE319B"/>
    <w:rsid w:val="00DE3E9E"/>
    <w:rsid w:val="00DE3FFE"/>
    <w:rsid w:val="00DE452F"/>
    <w:rsid w:val="00DE456E"/>
    <w:rsid w:val="00DE46DB"/>
    <w:rsid w:val="00DE4C03"/>
    <w:rsid w:val="00DE50AB"/>
    <w:rsid w:val="00DE523A"/>
    <w:rsid w:val="00DE52C7"/>
    <w:rsid w:val="00DE5AC8"/>
    <w:rsid w:val="00DE5B99"/>
    <w:rsid w:val="00DE68C4"/>
    <w:rsid w:val="00DE6D2C"/>
    <w:rsid w:val="00DE70B9"/>
    <w:rsid w:val="00DE7BCF"/>
    <w:rsid w:val="00DF046F"/>
    <w:rsid w:val="00DF0819"/>
    <w:rsid w:val="00DF10B9"/>
    <w:rsid w:val="00DF15F6"/>
    <w:rsid w:val="00DF16C9"/>
    <w:rsid w:val="00DF1BB5"/>
    <w:rsid w:val="00DF1CC6"/>
    <w:rsid w:val="00DF2156"/>
    <w:rsid w:val="00DF235B"/>
    <w:rsid w:val="00DF26DA"/>
    <w:rsid w:val="00DF2775"/>
    <w:rsid w:val="00DF2A9D"/>
    <w:rsid w:val="00DF2F92"/>
    <w:rsid w:val="00DF3107"/>
    <w:rsid w:val="00DF3378"/>
    <w:rsid w:val="00DF34FE"/>
    <w:rsid w:val="00DF3604"/>
    <w:rsid w:val="00DF3DBB"/>
    <w:rsid w:val="00DF4178"/>
    <w:rsid w:val="00DF41B3"/>
    <w:rsid w:val="00DF4432"/>
    <w:rsid w:val="00DF4A50"/>
    <w:rsid w:val="00DF4A9E"/>
    <w:rsid w:val="00DF4FFB"/>
    <w:rsid w:val="00DF5529"/>
    <w:rsid w:val="00DF55F4"/>
    <w:rsid w:val="00DF56AA"/>
    <w:rsid w:val="00DF589A"/>
    <w:rsid w:val="00DF5907"/>
    <w:rsid w:val="00DF5F40"/>
    <w:rsid w:val="00DF5FBB"/>
    <w:rsid w:val="00DF64E4"/>
    <w:rsid w:val="00DF6B1C"/>
    <w:rsid w:val="00DF71C3"/>
    <w:rsid w:val="00DF731D"/>
    <w:rsid w:val="00DF78E7"/>
    <w:rsid w:val="00DF7903"/>
    <w:rsid w:val="00E004E1"/>
    <w:rsid w:val="00E01530"/>
    <w:rsid w:val="00E01992"/>
    <w:rsid w:val="00E01B0B"/>
    <w:rsid w:val="00E01BB0"/>
    <w:rsid w:val="00E02053"/>
    <w:rsid w:val="00E02448"/>
    <w:rsid w:val="00E02562"/>
    <w:rsid w:val="00E0266F"/>
    <w:rsid w:val="00E02A4A"/>
    <w:rsid w:val="00E034E4"/>
    <w:rsid w:val="00E03B59"/>
    <w:rsid w:val="00E03D0E"/>
    <w:rsid w:val="00E043F2"/>
    <w:rsid w:val="00E044D1"/>
    <w:rsid w:val="00E0499B"/>
    <w:rsid w:val="00E04B1C"/>
    <w:rsid w:val="00E05080"/>
    <w:rsid w:val="00E05167"/>
    <w:rsid w:val="00E0525D"/>
    <w:rsid w:val="00E0570E"/>
    <w:rsid w:val="00E05BB4"/>
    <w:rsid w:val="00E05D59"/>
    <w:rsid w:val="00E069AD"/>
    <w:rsid w:val="00E06A67"/>
    <w:rsid w:val="00E06A8C"/>
    <w:rsid w:val="00E1002C"/>
    <w:rsid w:val="00E10784"/>
    <w:rsid w:val="00E10CEE"/>
    <w:rsid w:val="00E11053"/>
    <w:rsid w:val="00E110E0"/>
    <w:rsid w:val="00E115E0"/>
    <w:rsid w:val="00E1176B"/>
    <w:rsid w:val="00E13122"/>
    <w:rsid w:val="00E13BA0"/>
    <w:rsid w:val="00E13F44"/>
    <w:rsid w:val="00E14DD3"/>
    <w:rsid w:val="00E14DE5"/>
    <w:rsid w:val="00E150A7"/>
    <w:rsid w:val="00E15371"/>
    <w:rsid w:val="00E16480"/>
    <w:rsid w:val="00E16927"/>
    <w:rsid w:val="00E16A73"/>
    <w:rsid w:val="00E16B22"/>
    <w:rsid w:val="00E16D06"/>
    <w:rsid w:val="00E16E91"/>
    <w:rsid w:val="00E17D9C"/>
    <w:rsid w:val="00E17DF6"/>
    <w:rsid w:val="00E17F27"/>
    <w:rsid w:val="00E20048"/>
    <w:rsid w:val="00E20401"/>
    <w:rsid w:val="00E204F8"/>
    <w:rsid w:val="00E20DC3"/>
    <w:rsid w:val="00E2165C"/>
    <w:rsid w:val="00E218C1"/>
    <w:rsid w:val="00E222E0"/>
    <w:rsid w:val="00E227F0"/>
    <w:rsid w:val="00E233FC"/>
    <w:rsid w:val="00E2368D"/>
    <w:rsid w:val="00E23AE1"/>
    <w:rsid w:val="00E24104"/>
    <w:rsid w:val="00E24192"/>
    <w:rsid w:val="00E24290"/>
    <w:rsid w:val="00E24AF8"/>
    <w:rsid w:val="00E24B8A"/>
    <w:rsid w:val="00E24FB9"/>
    <w:rsid w:val="00E251E8"/>
    <w:rsid w:val="00E25753"/>
    <w:rsid w:val="00E25853"/>
    <w:rsid w:val="00E2670A"/>
    <w:rsid w:val="00E26828"/>
    <w:rsid w:val="00E2692A"/>
    <w:rsid w:val="00E26FBC"/>
    <w:rsid w:val="00E273F4"/>
    <w:rsid w:val="00E27504"/>
    <w:rsid w:val="00E277FF"/>
    <w:rsid w:val="00E27A08"/>
    <w:rsid w:val="00E27D28"/>
    <w:rsid w:val="00E303E2"/>
    <w:rsid w:val="00E30579"/>
    <w:rsid w:val="00E30687"/>
    <w:rsid w:val="00E30AD9"/>
    <w:rsid w:val="00E30E10"/>
    <w:rsid w:val="00E31204"/>
    <w:rsid w:val="00E3188E"/>
    <w:rsid w:val="00E31E1A"/>
    <w:rsid w:val="00E31E8A"/>
    <w:rsid w:val="00E32121"/>
    <w:rsid w:val="00E3231C"/>
    <w:rsid w:val="00E324DD"/>
    <w:rsid w:val="00E32F61"/>
    <w:rsid w:val="00E32FD3"/>
    <w:rsid w:val="00E334D9"/>
    <w:rsid w:val="00E347A8"/>
    <w:rsid w:val="00E34C4E"/>
    <w:rsid w:val="00E34F5D"/>
    <w:rsid w:val="00E35262"/>
    <w:rsid w:val="00E35644"/>
    <w:rsid w:val="00E35707"/>
    <w:rsid w:val="00E360ED"/>
    <w:rsid w:val="00E363C8"/>
    <w:rsid w:val="00E364A4"/>
    <w:rsid w:val="00E366F5"/>
    <w:rsid w:val="00E36AA1"/>
    <w:rsid w:val="00E36DE5"/>
    <w:rsid w:val="00E3709B"/>
    <w:rsid w:val="00E37455"/>
    <w:rsid w:val="00E375F7"/>
    <w:rsid w:val="00E37EF6"/>
    <w:rsid w:val="00E40301"/>
    <w:rsid w:val="00E40952"/>
    <w:rsid w:val="00E40D45"/>
    <w:rsid w:val="00E40D8E"/>
    <w:rsid w:val="00E415AF"/>
    <w:rsid w:val="00E41B00"/>
    <w:rsid w:val="00E41ECB"/>
    <w:rsid w:val="00E422B5"/>
    <w:rsid w:val="00E4231B"/>
    <w:rsid w:val="00E4236F"/>
    <w:rsid w:val="00E42591"/>
    <w:rsid w:val="00E426BF"/>
    <w:rsid w:val="00E42A83"/>
    <w:rsid w:val="00E42E2C"/>
    <w:rsid w:val="00E43582"/>
    <w:rsid w:val="00E43B8A"/>
    <w:rsid w:val="00E44371"/>
    <w:rsid w:val="00E4467C"/>
    <w:rsid w:val="00E44C52"/>
    <w:rsid w:val="00E45953"/>
    <w:rsid w:val="00E459A3"/>
    <w:rsid w:val="00E47C29"/>
    <w:rsid w:val="00E47DAB"/>
    <w:rsid w:val="00E47F1B"/>
    <w:rsid w:val="00E50613"/>
    <w:rsid w:val="00E50ABA"/>
    <w:rsid w:val="00E511AC"/>
    <w:rsid w:val="00E518E0"/>
    <w:rsid w:val="00E519B0"/>
    <w:rsid w:val="00E51C16"/>
    <w:rsid w:val="00E520B1"/>
    <w:rsid w:val="00E521AD"/>
    <w:rsid w:val="00E523C8"/>
    <w:rsid w:val="00E52479"/>
    <w:rsid w:val="00E53638"/>
    <w:rsid w:val="00E53720"/>
    <w:rsid w:val="00E53846"/>
    <w:rsid w:val="00E539B3"/>
    <w:rsid w:val="00E53E06"/>
    <w:rsid w:val="00E5437A"/>
    <w:rsid w:val="00E54566"/>
    <w:rsid w:val="00E54C0F"/>
    <w:rsid w:val="00E54C20"/>
    <w:rsid w:val="00E54E54"/>
    <w:rsid w:val="00E54FDB"/>
    <w:rsid w:val="00E554A4"/>
    <w:rsid w:val="00E5598D"/>
    <w:rsid w:val="00E55B88"/>
    <w:rsid w:val="00E5617D"/>
    <w:rsid w:val="00E563D7"/>
    <w:rsid w:val="00E56CB0"/>
    <w:rsid w:val="00E57179"/>
    <w:rsid w:val="00E574EA"/>
    <w:rsid w:val="00E57F9E"/>
    <w:rsid w:val="00E615AE"/>
    <w:rsid w:val="00E6229D"/>
    <w:rsid w:val="00E62DE3"/>
    <w:rsid w:val="00E62FCA"/>
    <w:rsid w:val="00E63175"/>
    <w:rsid w:val="00E6346D"/>
    <w:rsid w:val="00E63B0F"/>
    <w:rsid w:val="00E63BC1"/>
    <w:rsid w:val="00E63D1D"/>
    <w:rsid w:val="00E63FAB"/>
    <w:rsid w:val="00E64526"/>
    <w:rsid w:val="00E65CEA"/>
    <w:rsid w:val="00E663F4"/>
    <w:rsid w:val="00E666F2"/>
    <w:rsid w:val="00E66A73"/>
    <w:rsid w:val="00E66DD4"/>
    <w:rsid w:val="00E67241"/>
    <w:rsid w:val="00E673F7"/>
    <w:rsid w:val="00E67588"/>
    <w:rsid w:val="00E67AD2"/>
    <w:rsid w:val="00E67BB7"/>
    <w:rsid w:val="00E67C4F"/>
    <w:rsid w:val="00E70F10"/>
    <w:rsid w:val="00E712C9"/>
    <w:rsid w:val="00E7133F"/>
    <w:rsid w:val="00E72259"/>
    <w:rsid w:val="00E72264"/>
    <w:rsid w:val="00E72E1D"/>
    <w:rsid w:val="00E734A2"/>
    <w:rsid w:val="00E73C3B"/>
    <w:rsid w:val="00E73C8B"/>
    <w:rsid w:val="00E73EB6"/>
    <w:rsid w:val="00E73F6C"/>
    <w:rsid w:val="00E746B1"/>
    <w:rsid w:val="00E748C5"/>
    <w:rsid w:val="00E748CC"/>
    <w:rsid w:val="00E749F5"/>
    <w:rsid w:val="00E74C86"/>
    <w:rsid w:val="00E74ECF"/>
    <w:rsid w:val="00E7501D"/>
    <w:rsid w:val="00E75415"/>
    <w:rsid w:val="00E7619D"/>
    <w:rsid w:val="00E76453"/>
    <w:rsid w:val="00E769D2"/>
    <w:rsid w:val="00E77045"/>
    <w:rsid w:val="00E77222"/>
    <w:rsid w:val="00E7738B"/>
    <w:rsid w:val="00E775B1"/>
    <w:rsid w:val="00E77A33"/>
    <w:rsid w:val="00E77DC3"/>
    <w:rsid w:val="00E77FCE"/>
    <w:rsid w:val="00E80576"/>
    <w:rsid w:val="00E8057B"/>
    <w:rsid w:val="00E805AE"/>
    <w:rsid w:val="00E8081F"/>
    <w:rsid w:val="00E80FC0"/>
    <w:rsid w:val="00E8111F"/>
    <w:rsid w:val="00E81370"/>
    <w:rsid w:val="00E81391"/>
    <w:rsid w:val="00E814CC"/>
    <w:rsid w:val="00E8152A"/>
    <w:rsid w:val="00E81541"/>
    <w:rsid w:val="00E817B2"/>
    <w:rsid w:val="00E81E10"/>
    <w:rsid w:val="00E822CA"/>
    <w:rsid w:val="00E8238D"/>
    <w:rsid w:val="00E8259A"/>
    <w:rsid w:val="00E82722"/>
    <w:rsid w:val="00E82727"/>
    <w:rsid w:val="00E82928"/>
    <w:rsid w:val="00E830CF"/>
    <w:rsid w:val="00E83105"/>
    <w:rsid w:val="00E8313A"/>
    <w:rsid w:val="00E832AF"/>
    <w:rsid w:val="00E83A31"/>
    <w:rsid w:val="00E83AE6"/>
    <w:rsid w:val="00E83DCF"/>
    <w:rsid w:val="00E8488A"/>
    <w:rsid w:val="00E8498C"/>
    <w:rsid w:val="00E85164"/>
    <w:rsid w:val="00E854F6"/>
    <w:rsid w:val="00E861A4"/>
    <w:rsid w:val="00E86AAD"/>
    <w:rsid w:val="00E8705A"/>
    <w:rsid w:val="00E8764B"/>
    <w:rsid w:val="00E87CB8"/>
    <w:rsid w:val="00E90F53"/>
    <w:rsid w:val="00E90F93"/>
    <w:rsid w:val="00E91128"/>
    <w:rsid w:val="00E9229B"/>
    <w:rsid w:val="00E92641"/>
    <w:rsid w:val="00E92883"/>
    <w:rsid w:val="00E92A14"/>
    <w:rsid w:val="00E92BD9"/>
    <w:rsid w:val="00E92F17"/>
    <w:rsid w:val="00E933A9"/>
    <w:rsid w:val="00E93629"/>
    <w:rsid w:val="00E93ABF"/>
    <w:rsid w:val="00E93B5C"/>
    <w:rsid w:val="00E93B96"/>
    <w:rsid w:val="00E93C85"/>
    <w:rsid w:val="00E94CEC"/>
    <w:rsid w:val="00E94E54"/>
    <w:rsid w:val="00E94EE5"/>
    <w:rsid w:val="00E95186"/>
    <w:rsid w:val="00E959DC"/>
    <w:rsid w:val="00E96029"/>
    <w:rsid w:val="00E96D48"/>
    <w:rsid w:val="00EA04EF"/>
    <w:rsid w:val="00EA07EB"/>
    <w:rsid w:val="00EA0B6C"/>
    <w:rsid w:val="00EA125C"/>
    <w:rsid w:val="00EA1303"/>
    <w:rsid w:val="00EA178C"/>
    <w:rsid w:val="00EA1CB0"/>
    <w:rsid w:val="00EA295F"/>
    <w:rsid w:val="00EA29F3"/>
    <w:rsid w:val="00EA2B5B"/>
    <w:rsid w:val="00EA2FB8"/>
    <w:rsid w:val="00EA2FB9"/>
    <w:rsid w:val="00EA445C"/>
    <w:rsid w:val="00EA4997"/>
    <w:rsid w:val="00EA4E0B"/>
    <w:rsid w:val="00EA5A33"/>
    <w:rsid w:val="00EA63B8"/>
    <w:rsid w:val="00EA6D8C"/>
    <w:rsid w:val="00EA6F19"/>
    <w:rsid w:val="00EA6FA4"/>
    <w:rsid w:val="00EA70CA"/>
    <w:rsid w:val="00EB0839"/>
    <w:rsid w:val="00EB0F50"/>
    <w:rsid w:val="00EB1B2E"/>
    <w:rsid w:val="00EB1BBE"/>
    <w:rsid w:val="00EB1BDC"/>
    <w:rsid w:val="00EB1FB6"/>
    <w:rsid w:val="00EB29F2"/>
    <w:rsid w:val="00EB2C83"/>
    <w:rsid w:val="00EB2D74"/>
    <w:rsid w:val="00EB2F0D"/>
    <w:rsid w:val="00EB31F3"/>
    <w:rsid w:val="00EB5581"/>
    <w:rsid w:val="00EB5697"/>
    <w:rsid w:val="00EB5857"/>
    <w:rsid w:val="00EB5ADE"/>
    <w:rsid w:val="00EB5CB8"/>
    <w:rsid w:val="00EB7090"/>
    <w:rsid w:val="00EB728A"/>
    <w:rsid w:val="00EB7F86"/>
    <w:rsid w:val="00EC02E0"/>
    <w:rsid w:val="00EC0EAC"/>
    <w:rsid w:val="00EC15F7"/>
    <w:rsid w:val="00EC1BBE"/>
    <w:rsid w:val="00EC1ED2"/>
    <w:rsid w:val="00EC20D9"/>
    <w:rsid w:val="00EC2507"/>
    <w:rsid w:val="00EC2955"/>
    <w:rsid w:val="00EC2E70"/>
    <w:rsid w:val="00EC2F34"/>
    <w:rsid w:val="00EC34BC"/>
    <w:rsid w:val="00EC3A36"/>
    <w:rsid w:val="00EC3BF5"/>
    <w:rsid w:val="00EC4049"/>
    <w:rsid w:val="00EC4870"/>
    <w:rsid w:val="00EC5BFF"/>
    <w:rsid w:val="00EC5CD7"/>
    <w:rsid w:val="00EC5EB2"/>
    <w:rsid w:val="00EC5EC3"/>
    <w:rsid w:val="00EC666C"/>
    <w:rsid w:val="00EC736A"/>
    <w:rsid w:val="00EC7DF9"/>
    <w:rsid w:val="00ED06BE"/>
    <w:rsid w:val="00ED09F0"/>
    <w:rsid w:val="00ED0B03"/>
    <w:rsid w:val="00ED0CF7"/>
    <w:rsid w:val="00ED1014"/>
    <w:rsid w:val="00ED107C"/>
    <w:rsid w:val="00ED1A51"/>
    <w:rsid w:val="00ED1BB9"/>
    <w:rsid w:val="00ED1C42"/>
    <w:rsid w:val="00ED25F3"/>
    <w:rsid w:val="00ED2E0A"/>
    <w:rsid w:val="00ED3057"/>
    <w:rsid w:val="00ED420D"/>
    <w:rsid w:val="00ED48F6"/>
    <w:rsid w:val="00ED5017"/>
    <w:rsid w:val="00ED50C9"/>
    <w:rsid w:val="00ED5129"/>
    <w:rsid w:val="00ED5307"/>
    <w:rsid w:val="00ED55EB"/>
    <w:rsid w:val="00ED5EA1"/>
    <w:rsid w:val="00ED7737"/>
    <w:rsid w:val="00ED7A17"/>
    <w:rsid w:val="00EE2066"/>
    <w:rsid w:val="00EE25B4"/>
    <w:rsid w:val="00EE267D"/>
    <w:rsid w:val="00EE2D97"/>
    <w:rsid w:val="00EE361E"/>
    <w:rsid w:val="00EE3F99"/>
    <w:rsid w:val="00EE46D7"/>
    <w:rsid w:val="00EE47BE"/>
    <w:rsid w:val="00EE573A"/>
    <w:rsid w:val="00EE5E47"/>
    <w:rsid w:val="00EE5FB3"/>
    <w:rsid w:val="00EE61D2"/>
    <w:rsid w:val="00EE6A81"/>
    <w:rsid w:val="00EE6B27"/>
    <w:rsid w:val="00EE7F79"/>
    <w:rsid w:val="00EF0333"/>
    <w:rsid w:val="00EF055F"/>
    <w:rsid w:val="00EF06D8"/>
    <w:rsid w:val="00EF07B4"/>
    <w:rsid w:val="00EF0AA0"/>
    <w:rsid w:val="00EF1A23"/>
    <w:rsid w:val="00EF258B"/>
    <w:rsid w:val="00EF2A4B"/>
    <w:rsid w:val="00EF3F2C"/>
    <w:rsid w:val="00EF45F9"/>
    <w:rsid w:val="00EF46FF"/>
    <w:rsid w:val="00EF47B1"/>
    <w:rsid w:val="00EF49B0"/>
    <w:rsid w:val="00EF4E04"/>
    <w:rsid w:val="00EF4E20"/>
    <w:rsid w:val="00EF522F"/>
    <w:rsid w:val="00EF60A5"/>
    <w:rsid w:val="00EF67C3"/>
    <w:rsid w:val="00EF6819"/>
    <w:rsid w:val="00EF6F75"/>
    <w:rsid w:val="00EF7052"/>
    <w:rsid w:val="00EF715A"/>
    <w:rsid w:val="00EF7943"/>
    <w:rsid w:val="00EF7ABA"/>
    <w:rsid w:val="00EF7DBE"/>
    <w:rsid w:val="00EF7FB0"/>
    <w:rsid w:val="00F00944"/>
    <w:rsid w:val="00F00E43"/>
    <w:rsid w:val="00F01025"/>
    <w:rsid w:val="00F0104D"/>
    <w:rsid w:val="00F010D5"/>
    <w:rsid w:val="00F015EE"/>
    <w:rsid w:val="00F01729"/>
    <w:rsid w:val="00F01A8D"/>
    <w:rsid w:val="00F0277A"/>
    <w:rsid w:val="00F02B3C"/>
    <w:rsid w:val="00F031E9"/>
    <w:rsid w:val="00F034A1"/>
    <w:rsid w:val="00F03643"/>
    <w:rsid w:val="00F03A4D"/>
    <w:rsid w:val="00F03B53"/>
    <w:rsid w:val="00F04038"/>
    <w:rsid w:val="00F0440A"/>
    <w:rsid w:val="00F04865"/>
    <w:rsid w:val="00F04989"/>
    <w:rsid w:val="00F04F0A"/>
    <w:rsid w:val="00F054EB"/>
    <w:rsid w:val="00F06CE1"/>
    <w:rsid w:val="00F06E14"/>
    <w:rsid w:val="00F07125"/>
    <w:rsid w:val="00F07469"/>
    <w:rsid w:val="00F074F2"/>
    <w:rsid w:val="00F07523"/>
    <w:rsid w:val="00F07CB0"/>
    <w:rsid w:val="00F07E2D"/>
    <w:rsid w:val="00F1124E"/>
    <w:rsid w:val="00F11A24"/>
    <w:rsid w:val="00F11D22"/>
    <w:rsid w:val="00F11FED"/>
    <w:rsid w:val="00F121F2"/>
    <w:rsid w:val="00F1252A"/>
    <w:rsid w:val="00F1270C"/>
    <w:rsid w:val="00F12A8D"/>
    <w:rsid w:val="00F12FC0"/>
    <w:rsid w:val="00F1357E"/>
    <w:rsid w:val="00F13615"/>
    <w:rsid w:val="00F139D2"/>
    <w:rsid w:val="00F13A5C"/>
    <w:rsid w:val="00F13DF7"/>
    <w:rsid w:val="00F14591"/>
    <w:rsid w:val="00F148CE"/>
    <w:rsid w:val="00F14B25"/>
    <w:rsid w:val="00F1539D"/>
    <w:rsid w:val="00F15AFF"/>
    <w:rsid w:val="00F15BA8"/>
    <w:rsid w:val="00F1600B"/>
    <w:rsid w:val="00F16091"/>
    <w:rsid w:val="00F16397"/>
    <w:rsid w:val="00F169C3"/>
    <w:rsid w:val="00F16FDF"/>
    <w:rsid w:val="00F1797E"/>
    <w:rsid w:val="00F179D4"/>
    <w:rsid w:val="00F17D69"/>
    <w:rsid w:val="00F201CF"/>
    <w:rsid w:val="00F20E49"/>
    <w:rsid w:val="00F20E68"/>
    <w:rsid w:val="00F214D8"/>
    <w:rsid w:val="00F21C58"/>
    <w:rsid w:val="00F21D1C"/>
    <w:rsid w:val="00F224DB"/>
    <w:rsid w:val="00F22C54"/>
    <w:rsid w:val="00F22DA5"/>
    <w:rsid w:val="00F23014"/>
    <w:rsid w:val="00F231A9"/>
    <w:rsid w:val="00F2355E"/>
    <w:rsid w:val="00F23EAE"/>
    <w:rsid w:val="00F24871"/>
    <w:rsid w:val="00F256C1"/>
    <w:rsid w:val="00F2611A"/>
    <w:rsid w:val="00F26CA1"/>
    <w:rsid w:val="00F26CB3"/>
    <w:rsid w:val="00F277BF"/>
    <w:rsid w:val="00F278FA"/>
    <w:rsid w:val="00F279AC"/>
    <w:rsid w:val="00F30132"/>
    <w:rsid w:val="00F30355"/>
    <w:rsid w:val="00F30BF5"/>
    <w:rsid w:val="00F31A14"/>
    <w:rsid w:val="00F31B58"/>
    <w:rsid w:val="00F3222F"/>
    <w:rsid w:val="00F3273B"/>
    <w:rsid w:val="00F32986"/>
    <w:rsid w:val="00F32AC9"/>
    <w:rsid w:val="00F3330E"/>
    <w:rsid w:val="00F33624"/>
    <w:rsid w:val="00F3373E"/>
    <w:rsid w:val="00F33C56"/>
    <w:rsid w:val="00F34017"/>
    <w:rsid w:val="00F347C7"/>
    <w:rsid w:val="00F34848"/>
    <w:rsid w:val="00F34E0B"/>
    <w:rsid w:val="00F35666"/>
    <w:rsid w:val="00F359A4"/>
    <w:rsid w:val="00F35F83"/>
    <w:rsid w:val="00F36152"/>
    <w:rsid w:val="00F368EA"/>
    <w:rsid w:val="00F36C86"/>
    <w:rsid w:val="00F36EAB"/>
    <w:rsid w:val="00F371F0"/>
    <w:rsid w:val="00F372CB"/>
    <w:rsid w:val="00F37453"/>
    <w:rsid w:val="00F3780E"/>
    <w:rsid w:val="00F37E73"/>
    <w:rsid w:val="00F40403"/>
    <w:rsid w:val="00F405C5"/>
    <w:rsid w:val="00F40830"/>
    <w:rsid w:val="00F40F4D"/>
    <w:rsid w:val="00F4129D"/>
    <w:rsid w:val="00F41420"/>
    <w:rsid w:val="00F415E4"/>
    <w:rsid w:val="00F41AAD"/>
    <w:rsid w:val="00F41CDF"/>
    <w:rsid w:val="00F41D1C"/>
    <w:rsid w:val="00F4229E"/>
    <w:rsid w:val="00F422E2"/>
    <w:rsid w:val="00F42D46"/>
    <w:rsid w:val="00F4394B"/>
    <w:rsid w:val="00F4443A"/>
    <w:rsid w:val="00F4496C"/>
    <w:rsid w:val="00F44F3A"/>
    <w:rsid w:val="00F44FA2"/>
    <w:rsid w:val="00F451F1"/>
    <w:rsid w:val="00F45834"/>
    <w:rsid w:val="00F458DB"/>
    <w:rsid w:val="00F46659"/>
    <w:rsid w:val="00F471E3"/>
    <w:rsid w:val="00F4769B"/>
    <w:rsid w:val="00F4770B"/>
    <w:rsid w:val="00F4781A"/>
    <w:rsid w:val="00F5029E"/>
    <w:rsid w:val="00F5047A"/>
    <w:rsid w:val="00F5067A"/>
    <w:rsid w:val="00F5067B"/>
    <w:rsid w:val="00F50BAC"/>
    <w:rsid w:val="00F51282"/>
    <w:rsid w:val="00F51929"/>
    <w:rsid w:val="00F51965"/>
    <w:rsid w:val="00F51F10"/>
    <w:rsid w:val="00F52044"/>
    <w:rsid w:val="00F5210E"/>
    <w:rsid w:val="00F529A5"/>
    <w:rsid w:val="00F52A08"/>
    <w:rsid w:val="00F52A8D"/>
    <w:rsid w:val="00F52EB5"/>
    <w:rsid w:val="00F53040"/>
    <w:rsid w:val="00F531DE"/>
    <w:rsid w:val="00F53BAC"/>
    <w:rsid w:val="00F53D05"/>
    <w:rsid w:val="00F53ED9"/>
    <w:rsid w:val="00F546BA"/>
    <w:rsid w:val="00F54765"/>
    <w:rsid w:val="00F548F2"/>
    <w:rsid w:val="00F54ACF"/>
    <w:rsid w:val="00F54DEF"/>
    <w:rsid w:val="00F55188"/>
    <w:rsid w:val="00F556BC"/>
    <w:rsid w:val="00F55714"/>
    <w:rsid w:val="00F5597E"/>
    <w:rsid w:val="00F55C66"/>
    <w:rsid w:val="00F5613F"/>
    <w:rsid w:val="00F56AEE"/>
    <w:rsid w:val="00F57413"/>
    <w:rsid w:val="00F57F45"/>
    <w:rsid w:val="00F60C20"/>
    <w:rsid w:val="00F60F00"/>
    <w:rsid w:val="00F61137"/>
    <w:rsid w:val="00F614C0"/>
    <w:rsid w:val="00F61C19"/>
    <w:rsid w:val="00F62227"/>
    <w:rsid w:val="00F625B7"/>
    <w:rsid w:val="00F627FA"/>
    <w:rsid w:val="00F62C6D"/>
    <w:rsid w:val="00F63229"/>
    <w:rsid w:val="00F6334C"/>
    <w:rsid w:val="00F63507"/>
    <w:rsid w:val="00F63710"/>
    <w:rsid w:val="00F63F06"/>
    <w:rsid w:val="00F64B17"/>
    <w:rsid w:val="00F66085"/>
    <w:rsid w:val="00F66310"/>
    <w:rsid w:val="00F6651F"/>
    <w:rsid w:val="00F66D11"/>
    <w:rsid w:val="00F66F01"/>
    <w:rsid w:val="00F67452"/>
    <w:rsid w:val="00F67831"/>
    <w:rsid w:val="00F67837"/>
    <w:rsid w:val="00F70439"/>
    <w:rsid w:val="00F704E1"/>
    <w:rsid w:val="00F70CE4"/>
    <w:rsid w:val="00F70D78"/>
    <w:rsid w:val="00F70EC9"/>
    <w:rsid w:val="00F711DD"/>
    <w:rsid w:val="00F7177D"/>
    <w:rsid w:val="00F71A1B"/>
    <w:rsid w:val="00F72CAC"/>
    <w:rsid w:val="00F730DE"/>
    <w:rsid w:val="00F734AF"/>
    <w:rsid w:val="00F7350E"/>
    <w:rsid w:val="00F7428C"/>
    <w:rsid w:val="00F74E55"/>
    <w:rsid w:val="00F752E0"/>
    <w:rsid w:val="00F75B30"/>
    <w:rsid w:val="00F76404"/>
    <w:rsid w:val="00F76676"/>
    <w:rsid w:val="00F76D20"/>
    <w:rsid w:val="00F77029"/>
    <w:rsid w:val="00F77E2B"/>
    <w:rsid w:val="00F80791"/>
    <w:rsid w:val="00F807E7"/>
    <w:rsid w:val="00F80BEA"/>
    <w:rsid w:val="00F81A06"/>
    <w:rsid w:val="00F8272D"/>
    <w:rsid w:val="00F82845"/>
    <w:rsid w:val="00F82945"/>
    <w:rsid w:val="00F82FD3"/>
    <w:rsid w:val="00F830B6"/>
    <w:rsid w:val="00F83495"/>
    <w:rsid w:val="00F836F8"/>
    <w:rsid w:val="00F83721"/>
    <w:rsid w:val="00F837EC"/>
    <w:rsid w:val="00F83848"/>
    <w:rsid w:val="00F83AF7"/>
    <w:rsid w:val="00F83EE9"/>
    <w:rsid w:val="00F8506B"/>
    <w:rsid w:val="00F85506"/>
    <w:rsid w:val="00F85D4F"/>
    <w:rsid w:val="00F85E4E"/>
    <w:rsid w:val="00F860AA"/>
    <w:rsid w:val="00F8671E"/>
    <w:rsid w:val="00F86985"/>
    <w:rsid w:val="00F86DD6"/>
    <w:rsid w:val="00F8746E"/>
    <w:rsid w:val="00F87870"/>
    <w:rsid w:val="00F8797D"/>
    <w:rsid w:val="00F879CB"/>
    <w:rsid w:val="00F879EB"/>
    <w:rsid w:val="00F90550"/>
    <w:rsid w:val="00F9078D"/>
    <w:rsid w:val="00F91328"/>
    <w:rsid w:val="00F9174B"/>
    <w:rsid w:val="00F917C4"/>
    <w:rsid w:val="00F9196F"/>
    <w:rsid w:val="00F91E13"/>
    <w:rsid w:val="00F91EC9"/>
    <w:rsid w:val="00F925EA"/>
    <w:rsid w:val="00F92B32"/>
    <w:rsid w:val="00F92CEE"/>
    <w:rsid w:val="00F9335B"/>
    <w:rsid w:val="00F933E5"/>
    <w:rsid w:val="00F94016"/>
    <w:rsid w:val="00F94665"/>
    <w:rsid w:val="00F946DE"/>
    <w:rsid w:val="00F948B0"/>
    <w:rsid w:val="00F9533A"/>
    <w:rsid w:val="00F9547C"/>
    <w:rsid w:val="00F955D4"/>
    <w:rsid w:val="00F95A64"/>
    <w:rsid w:val="00F95AAD"/>
    <w:rsid w:val="00F95D7C"/>
    <w:rsid w:val="00F9653D"/>
    <w:rsid w:val="00F965CC"/>
    <w:rsid w:val="00F96871"/>
    <w:rsid w:val="00F96C7B"/>
    <w:rsid w:val="00F97470"/>
    <w:rsid w:val="00F9749B"/>
    <w:rsid w:val="00F975E9"/>
    <w:rsid w:val="00F97D92"/>
    <w:rsid w:val="00F97E84"/>
    <w:rsid w:val="00F97F4C"/>
    <w:rsid w:val="00FA079B"/>
    <w:rsid w:val="00FA0F97"/>
    <w:rsid w:val="00FA1649"/>
    <w:rsid w:val="00FA1A8B"/>
    <w:rsid w:val="00FA1B7D"/>
    <w:rsid w:val="00FA2980"/>
    <w:rsid w:val="00FA2AF5"/>
    <w:rsid w:val="00FA2C50"/>
    <w:rsid w:val="00FA364C"/>
    <w:rsid w:val="00FA4DF7"/>
    <w:rsid w:val="00FA4F94"/>
    <w:rsid w:val="00FA5D02"/>
    <w:rsid w:val="00FA5D23"/>
    <w:rsid w:val="00FA6307"/>
    <w:rsid w:val="00FA6335"/>
    <w:rsid w:val="00FA6C94"/>
    <w:rsid w:val="00FA6D91"/>
    <w:rsid w:val="00FA70E0"/>
    <w:rsid w:val="00FA722D"/>
    <w:rsid w:val="00FA73B9"/>
    <w:rsid w:val="00FA7690"/>
    <w:rsid w:val="00FA77BD"/>
    <w:rsid w:val="00FA7AE6"/>
    <w:rsid w:val="00FA7C76"/>
    <w:rsid w:val="00FB0164"/>
    <w:rsid w:val="00FB0165"/>
    <w:rsid w:val="00FB077E"/>
    <w:rsid w:val="00FB0ECE"/>
    <w:rsid w:val="00FB10B4"/>
    <w:rsid w:val="00FB174E"/>
    <w:rsid w:val="00FB1E32"/>
    <w:rsid w:val="00FB2617"/>
    <w:rsid w:val="00FB269A"/>
    <w:rsid w:val="00FB30E2"/>
    <w:rsid w:val="00FB3154"/>
    <w:rsid w:val="00FB3224"/>
    <w:rsid w:val="00FB35C0"/>
    <w:rsid w:val="00FB373D"/>
    <w:rsid w:val="00FB3883"/>
    <w:rsid w:val="00FB3B79"/>
    <w:rsid w:val="00FB3E19"/>
    <w:rsid w:val="00FB495F"/>
    <w:rsid w:val="00FB4D16"/>
    <w:rsid w:val="00FB4E72"/>
    <w:rsid w:val="00FB53FB"/>
    <w:rsid w:val="00FB5755"/>
    <w:rsid w:val="00FB58AC"/>
    <w:rsid w:val="00FB5AEA"/>
    <w:rsid w:val="00FB5E4C"/>
    <w:rsid w:val="00FB5FD0"/>
    <w:rsid w:val="00FB6436"/>
    <w:rsid w:val="00FB68D5"/>
    <w:rsid w:val="00FB6927"/>
    <w:rsid w:val="00FB6D05"/>
    <w:rsid w:val="00FB6FF2"/>
    <w:rsid w:val="00FB7142"/>
    <w:rsid w:val="00FB7548"/>
    <w:rsid w:val="00FB783E"/>
    <w:rsid w:val="00FB7AFE"/>
    <w:rsid w:val="00FB7C05"/>
    <w:rsid w:val="00FB7C82"/>
    <w:rsid w:val="00FC0093"/>
    <w:rsid w:val="00FC0403"/>
    <w:rsid w:val="00FC0473"/>
    <w:rsid w:val="00FC072E"/>
    <w:rsid w:val="00FC07B9"/>
    <w:rsid w:val="00FC0D22"/>
    <w:rsid w:val="00FC1089"/>
    <w:rsid w:val="00FC12C4"/>
    <w:rsid w:val="00FC1458"/>
    <w:rsid w:val="00FC1CE6"/>
    <w:rsid w:val="00FC1DE7"/>
    <w:rsid w:val="00FC20B2"/>
    <w:rsid w:val="00FC23AB"/>
    <w:rsid w:val="00FC258D"/>
    <w:rsid w:val="00FC27FE"/>
    <w:rsid w:val="00FC2916"/>
    <w:rsid w:val="00FC2E4F"/>
    <w:rsid w:val="00FC3452"/>
    <w:rsid w:val="00FC3988"/>
    <w:rsid w:val="00FC3C47"/>
    <w:rsid w:val="00FC3DB9"/>
    <w:rsid w:val="00FC443F"/>
    <w:rsid w:val="00FC4E21"/>
    <w:rsid w:val="00FC5407"/>
    <w:rsid w:val="00FC5777"/>
    <w:rsid w:val="00FC5F6D"/>
    <w:rsid w:val="00FC6525"/>
    <w:rsid w:val="00FC6A37"/>
    <w:rsid w:val="00FC6B10"/>
    <w:rsid w:val="00FC6BF1"/>
    <w:rsid w:val="00FC6FA3"/>
    <w:rsid w:val="00FC7AA6"/>
    <w:rsid w:val="00FC7B99"/>
    <w:rsid w:val="00FD02E2"/>
    <w:rsid w:val="00FD0EBA"/>
    <w:rsid w:val="00FD12ED"/>
    <w:rsid w:val="00FD17BB"/>
    <w:rsid w:val="00FD1962"/>
    <w:rsid w:val="00FD209E"/>
    <w:rsid w:val="00FD2282"/>
    <w:rsid w:val="00FD2820"/>
    <w:rsid w:val="00FD2C2F"/>
    <w:rsid w:val="00FD2F13"/>
    <w:rsid w:val="00FD315A"/>
    <w:rsid w:val="00FD33E7"/>
    <w:rsid w:val="00FD3637"/>
    <w:rsid w:val="00FD3B31"/>
    <w:rsid w:val="00FD3B77"/>
    <w:rsid w:val="00FD419C"/>
    <w:rsid w:val="00FD4E83"/>
    <w:rsid w:val="00FD4FF4"/>
    <w:rsid w:val="00FD53AE"/>
    <w:rsid w:val="00FD577F"/>
    <w:rsid w:val="00FD592D"/>
    <w:rsid w:val="00FD5D4F"/>
    <w:rsid w:val="00FD64D4"/>
    <w:rsid w:val="00FD6621"/>
    <w:rsid w:val="00FD762B"/>
    <w:rsid w:val="00FE01DD"/>
    <w:rsid w:val="00FE0271"/>
    <w:rsid w:val="00FE0508"/>
    <w:rsid w:val="00FE0A17"/>
    <w:rsid w:val="00FE1823"/>
    <w:rsid w:val="00FE1EAB"/>
    <w:rsid w:val="00FE2082"/>
    <w:rsid w:val="00FE2BA8"/>
    <w:rsid w:val="00FE3017"/>
    <w:rsid w:val="00FE3994"/>
    <w:rsid w:val="00FE424A"/>
    <w:rsid w:val="00FE487A"/>
    <w:rsid w:val="00FE4D22"/>
    <w:rsid w:val="00FE4EE5"/>
    <w:rsid w:val="00FE4F3F"/>
    <w:rsid w:val="00FE51D8"/>
    <w:rsid w:val="00FE5626"/>
    <w:rsid w:val="00FE57DE"/>
    <w:rsid w:val="00FE5BFD"/>
    <w:rsid w:val="00FE5D34"/>
    <w:rsid w:val="00FE61E1"/>
    <w:rsid w:val="00FE647C"/>
    <w:rsid w:val="00FE64E5"/>
    <w:rsid w:val="00FE6A81"/>
    <w:rsid w:val="00FE714B"/>
    <w:rsid w:val="00FE74BA"/>
    <w:rsid w:val="00FE7B1B"/>
    <w:rsid w:val="00FF0234"/>
    <w:rsid w:val="00FF050C"/>
    <w:rsid w:val="00FF0569"/>
    <w:rsid w:val="00FF0908"/>
    <w:rsid w:val="00FF0B8C"/>
    <w:rsid w:val="00FF11BF"/>
    <w:rsid w:val="00FF1249"/>
    <w:rsid w:val="00FF137B"/>
    <w:rsid w:val="00FF1F7F"/>
    <w:rsid w:val="00FF206E"/>
    <w:rsid w:val="00FF275B"/>
    <w:rsid w:val="00FF2EA2"/>
    <w:rsid w:val="00FF2F76"/>
    <w:rsid w:val="00FF2F84"/>
    <w:rsid w:val="00FF3569"/>
    <w:rsid w:val="00FF358A"/>
    <w:rsid w:val="00FF3C09"/>
    <w:rsid w:val="00FF3C69"/>
    <w:rsid w:val="00FF3DDC"/>
    <w:rsid w:val="00FF436C"/>
    <w:rsid w:val="00FF51DA"/>
    <w:rsid w:val="00FF57E0"/>
    <w:rsid w:val="00FF5F2A"/>
    <w:rsid w:val="00FF630F"/>
    <w:rsid w:val="00FF634E"/>
    <w:rsid w:val="00FF648A"/>
    <w:rsid w:val="00FF6E0A"/>
    <w:rsid w:val="00FF7B18"/>
    <w:rsid w:val="00FF7B1B"/>
    <w:rsid w:val="00FF7EDD"/>
    <w:rsid w:val="00FF7EDF"/>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colormru v:ext="edit" colors="red,#4d4d4f"/>
    </o:shapedefaults>
    <o:shapelayout v:ext="edit">
      <o:idmap v:ext="edit" data="1"/>
    </o:shapelayout>
  </w:shapeDefaults>
  <w:decimalSymbol w:val="."/>
  <w:listSeparator w:val=","/>
  <w14:docId w14:val="459196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imes New Roman" w:hAnsi="Arial" w:cs="Times New Roman"/>
        <w:lang w:val="en-AU" w:eastAsia="en-AU" w:bidi="ar-SA"/>
      </w:rPr>
    </w:rPrDefault>
    <w:pPrDefault>
      <w:pPr>
        <w:spacing w:line="240" w:lineRule="atLeast"/>
      </w:pPr>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77222"/>
    <w:pPr>
      <w:spacing w:after="240"/>
    </w:pPr>
    <w:rPr>
      <w:szCs w:val="24"/>
    </w:rPr>
  </w:style>
  <w:style w:type="paragraph" w:styleId="Heading1">
    <w:name w:val="heading 1"/>
    <w:basedOn w:val="Normal"/>
    <w:next w:val="Normal"/>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qFormat/>
    <w:rsid w:val="00AE7579"/>
    <w:pPr>
      <w:keepNext/>
      <w:spacing w:before="320" w:after="60"/>
      <w:outlineLvl w:val="1"/>
    </w:pPr>
    <w:rPr>
      <w:rFonts w:cs="Arial"/>
      <w:b/>
      <w:bCs/>
      <w:iCs/>
      <w:sz w:val="30"/>
      <w:szCs w:val="28"/>
    </w:rPr>
  </w:style>
  <w:style w:type="paragraph" w:styleId="Heading3">
    <w:name w:val="heading 3"/>
    <w:basedOn w:val="Normal"/>
    <w:next w:val="Normal"/>
    <w:link w:val="Heading3Char"/>
    <w:qFormat/>
    <w:rsid w:val="00F16FDF"/>
    <w:pPr>
      <w:keepNext/>
      <w:spacing w:before="360" w:after="120"/>
      <w:outlineLvl w:val="2"/>
    </w:pPr>
    <w:rPr>
      <w:rFonts w:cs="Arial"/>
      <w:b/>
      <w:bCs/>
      <w:sz w:val="24"/>
      <w:szCs w:val="26"/>
    </w:rPr>
  </w:style>
  <w:style w:type="paragraph" w:styleId="Heading4">
    <w:name w:val="heading 4"/>
    <w:basedOn w:val="Normal"/>
    <w:next w:val="Normal"/>
    <w:semiHidden/>
    <w:qFormat/>
    <w:rsid w:val="00AD5436"/>
    <w:pPr>
      <w:keepNext/>
      <w:numPr>
        <w:ilvl w:val="3"/>
        <w:numId w:val="5"/>
      </w:numPr>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246093"/>
    <w:pPr>
      <w:spacing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39"/>
    <w:rsid w:val="002268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3A1729"/>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pPr>
    <w:rPr>
      <w:b/>
      <w:bCs/>
      <w:color w:val="323232"/>
    </w:rPr>
  </w:style>
  <w:style w:type="paragraph" w:customStyle="1" w:styleId="BodySubHeader">
    <w:name w:val="BodySubHeader"/>
    <w:basedOn w:val="Normal"/>
    <w:next w:val="Normal"/>
    <w:qFormat/>
    <w:rsid w:val="005B7BCB"/>
    <w:pPr>
      <w:keepNext/>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247C59"/>
    <w:pPr>
      <w:numPr>
        <w:numId w:val="4"/>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basedOn w:val="DefaultParagraphFont"/>
    <w:uiPriority w:val="99"/>
    <w:semiHidden/>
    <w:rsid w:val="00566AB4"/>
    <w:rPr>
      <w:rFonts w:ascii="Arial" w:hAnsi="Arial"/>
      <w:vertAlign w:val="superscript"/>
    </w:rPr>
  </w:style>
  <w:style w:type="paragraph" w:styleId="FootnoteText">
    <w:name w:val="footnote text"/>
    <w:basedOn w:val="Normal"/>
    <w:link w:val="FootnoteTextChar"/>
    <w:uiPriority w:val="99"/>
    <w:semiHidden/>
    <w:rsid w:val="00566AB4"/>
    <w:rPr>
      <w:sz w:val="16"/>
      <w:szCs w:val="16"/>
    </w:rPr>
  </w:style>
  <w:style w:type="paragraph" w:customStyle="1" w:styleId="TableBody">
    <w:name w:val="Table Body"/>
    <w:basedOn w:val="Normal"/>
    <w:qFormat/>
    <w:rsid w:val="003A1729"/>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rsid w:val="00EE7F79"/>
    <w:pPr>
      <w:spacing w:line="240" w:lineRule="auto"/>
    </w:p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uiPriority w:val="22"/>
    <w:qFormat/>
    <w:rsid w:val="0005011A"/>
    <w:rPr>
      <w:b/>
      <w:bCs/>
    </w:rPr>
  </w:style>
  <w:style w:type="paragraph" w:customStyle="1" w:styleId="ACMACorporateAddressHeader">
    <w:name w:val="ACMA_CorporateAddressHeader"/>
    <w:basedOn w:val="Normal"/>
    <w:next w:val="ACMACorporateAddresses"/>
    <w:qFormat/>
    <w:rsid w:val="003A172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3A172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b/>
      <w:sz w:val="13"/>
    </w:rPr>
  </w:style>
  <w:style w:type="paragraph" w:customStyle="1" w:styleId="ListBulletLast">
    <w:name w:val="List Bullet Last"/>
    <w:basedOn w:val="ListBullet"/>
    <w:qFormat/>
    <w:rsid w:val="00111DF5"/>
    <w:pPr>
      <w:spacing w:before="120"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b/>
      <w:bCs/>
      <w:color w:val="323232"/>
    </w:rPr>
  </w:style>
  <w:style w:type="paragraph" w:customStyle="1" w:styleId="ACMANotes">
    <w:name w:val="ACMA_Notes"/>
    <w:qFormat/>
    <w:rsid w:val="003A1729"/>
    <w:pPr>
      <w:spacing w:before="80" w:line="240" w:lineRule="auto"/>
    </w:pPr>
    <w:rPr>
      <w:rFonts w:cs="Arial"/>
      <w:i/>
      <w:sz w:val="16"/>
      <w:szCs w:val="24"/>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uiPriority w:val="20"/>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b/>
      <w:bCs/>
      <w:color w:val="323232"/>
    </w:rPr>
  </w:style>
  <w:style w:type="paragraph" w:customStyle="1" w:styleId="Captionfigure">
    <w:name w:val="Caption figure"/>
    <w:basedOn w:val="Caption"/>
    <w:qFormat/>
    <w:rsid w:val="00E8152A"/>
    <w:pPr>
      <w:keepNext/>
      <w:numPr>
        <w:numId w:val="8"/>
      </w:numPr>
    </w:pPr>
    <w:rPr>
      <w:rFonts w:cs="Arial"/>
    </w:rPr>
  </w:style>
  <w:style w:type="paragraph" w:customStyle="1" w:styleId="ACMALinecover">
    <w:name w:val="ACMA_Line cover"/>
    <w:basedOn w:val="Normal"/>
    <w:qFormat/>
    <w:rsid w:val="00E034E4"/>
    <w:pPr>
      <w:pBdr>
        <w:bottom w:val="single" w:sz="4" w:space="1" w:color="auto"/>
      </w:pBdr>
      <w:spacing w:after="600"/>
    </w:pPr>
    <w:rPr>
      <w:rFonts w:cs="Arial"/>
    </w:rPr>
  </w:style>
  <w:style w:type="paragraph" w:customStyle="1" w:styleId="Researchquote">
    <w:name w:val="Research quote"/>
    <w:basedOn w:val="Normal"/>
    <w:qFormat/>
    <w:rsid w:val="00E034E4"/>
    <w:pPr>
      <w:spacing w:before="120" w:after="120"/>
      <w:ind w:left="680" w:right="567"/>
    </w:pPr>
    <w:rPr>
      <w:rFonts w:cs="Arial"/>
      <w:sz w:val="18"/>
      <w:szCs w:val="18"/>
    </w:rPr>
  </w:style>
  <w:style w:type="paragraph" w:styleId="Quote">
    <w:name w:val="Quote"/>
    <w:basedOn w:val="Normal"/>
    <w:next w:val="Normal"/>
    <w:link w:val="QuoteChar"/>
    <w:rsid w:val="00E034E4"/>
    <w:rPr>
      <w:i/>
      <w:iCs/>
      <w:color w:val="000000" w:themeColor="text1"/>
    </w:rPr>
  </w:style>
  <w:style w:type="character" w:customStyle="1" w:styleId="QuoteChar">
    <w:name w:val="Quote Char"/>
    <w:basedOn w:val="DefaultParagraphFont"/>
    <w:link w:val="Quote"/>
    <w:rsid w:val="00E034E4"/>
    <w:rPr>
      <w:rFonts w:ascii="Arial" w:hAnsi="Arial"/>
      <w:i/>
      <w:iCs/>
      <w:color w:val="000000" w:themeColor="text1"/>
      <w:sz w:val="20"/>
    </w:rPr>
  </w:style>
  <w:style w:type="character" w:styleId="BookTitle">
    <w:name w:val="Book Title"/>
    <w:basedOn w:val="DefaultParagraphFont"/>
    <w:rsid w:val="00F06CE1"/>
    <w:rPr>
      <w:b/>
      <w:bCs/>
      <w:i/>
      <w:iCs/>
      <w:spacing w:val="5"/>
    </w:rPr>
  </w:style>
  <w:style w:type="paragraph" w:customStyle="1" w:styleId="GridTable31">
    <w:name w:val="Grid Table 31"/>
    <w:basedOn w:val="Normal"/>
    <w:qFormat/>
    <w:rsid w:val="0078252F"/>
    <w:pPr>
      <w:spacing w:after="0" w:line="240" w:lineRule="auto"/>
    </w:pPr>
    <w:rPr>
      <w:b/>
      <w:color w:val="4D4D4F"/>
      <w:spacing w:val="-28"/>
      <w:sz w:val="53"/>
    </w:rPr>
  </w:style>
  <w:style w:type="character" w:customStyle="1" w:styleId="HeaderChar">
    <w:name w:val="Header Char"/>
    <w:link w:val="Header"/>
    <w:semiHidden/>
    <w:rsid w:val="0078252F"/>
    <w:rPr>
      <w:sz w:val="16"/>
      <w:szCs w:val="24"/>
    </w:rPr>
  </w:style>
  <w:style w:type="character" w:styleId="UnresolvedMention">
    <w:name w:val="Unresolved Mention"/>
    <w:basedOn w:val="DefaultParagraphFont"/>
    <w:uiPriority w:val="99"/>
    <w:semiHidden/>
    <w:unhideWhenUsed/>
    <w:rsid w:val="0023770F"/>
    <w:rPr>
      <w:color w:val="605E5C"/>
      <w:shd w:val="clear" w:color="auto" w:fill="E1DFDD"/>
    </w:rPr>
  </w:style>
  <w:style w:type="paragraph" w:customStyle="1" w:styleId="Heading4a">
    <w:name w:val="Heading4a"/>
    <w:basedOn w:val="Heading3"/>
    <w:link w:val="Heading4aChar"/>
    <w:qFormat/>
    <w:rsid w:val="00B63747"/>
    <w:pPr>
      <w:spacing w:before="240"/>
    </w:pPr>
    <w:rPr>
      <w:b w:val="0"/>
      <w:bCs w:val="0"/>
      <w:szCs w:val="24"/>
    </w:rPr>
  </w:style>
  <w:style w:type="paragraph" w:styleId="ListParagraph">
    <w:name w:val="List Paragraph"/>
    <w:basedOn w:val="Normal"/>
    <w:uiPriority w:val="34"/>
    <w:qFormat/>
    <w:rsid w:val="002C1D25"/>
    <w:pPr>
      <w:ind w:left="720"/>
      <w:contextualSpacing/>
    </w:pPr>
  </w:style>
  <w:style w:type="character" w:customStyle="1" w:styleId="Heading3Char">
    <w:name w:val="Heading 3 Char"/>
    <w:basedOn w:val="DefaultParagraphFont"/>
    <w:link w:val="Heading3"/>
    <w:rsid w:val="00F16FDF"/>
    <w:rPr>
      <w:rFonts w:cs="Arial"/>
      <w:b/>
      <w:bCs/>
      <w:sz w:val="24"/>
      <w:szCs w:val="26"/>
    </w:rPr>
  </w:style>
  <w:style w:type="character" w:customStyle="1" w:styleId="Heading4aChar">
    <w:name w:val="Heading4a Char"/>
    <w:basedOn w:val="Heading3Char"/>
    <w:link w:val="Heading4a"/>
    <w:rsid w:val="00B63747"/>
    <w:rPr>
      <w:rFonts w:cs="Arial"/>
      <w:b w:val="0"/>
      <w:bCs w:val="0"/>
      <w:sz w:val="24"/>
      <w:szCs w:val="24"/>
    </w:rPr>
  </w:style>
  <w:style w:type="character" w:customStyle="1" w:styleId="FootnoteTextChar">
    <w:name w:val="Footnote Text Char"/>
    <w:basedOn w:val="DefaultParagraphFont"/>
    <w:link w:val="FootnoteText"/>
    <w:uiPriority w:val="99"/>
    <w:semiHidden/>
    <w:rsid w:val="002E077D"/>
    <w:rPr>
      <w:sz w:val="16"/>
      <w:szCs w:val="16"/>
    </w:rPr>
  </w:style>
  <w:style w:type="paragraph" w:styleId="EndnoteText">
    <w:name w:val="endnote text"/>
    <w:basedOn w:val="Normal"/>
    <w:link w:val="EndnoteTextChar"/>
    <w:semiHidden/>
    <w:unhideWhenUsed/>
    <w:rsid w:val="00B30BA4"/>
    <w:pPr>
      <w:spacing w:after="0" w:line="240" w:lineRule="auto"/>
    </w:pPr>
    <w:rPr>
      <w:szCs w:val="20"/>
    </w:rPr>
  </w:style>
  <w:style w:type="character" w:customStyle="1" w:styleId="EndnoteTextChar">
    <w:name w:val="Endnote Text Char"/>
    <w:basedOn w:val="DefaultParagraphFont"/>
    <w:link w:val="EndnoteText"/>
    <w:semiHidden/>
    <w:rsid w:val="00B30BA4"/>
  </w:style>
  <w:style w:type="character" w:styleId="EndnoteReference">
    <w:name w:val="endnote reference"/>
    <w:basedOn w:val="DefaultParagraphFont"/>
    <w:semiHidden/>
    <w:unhideWhenUsed/>
    <w:rsid w:val="00B30BA4"/>
    <w:rPr>
      <w:vertAlign w:val="superscript"/>
    </w:rPr>
  </w:style>
  <w:style w:type="paragraph" w:styleId="NormalWeb">
    <w:name w:val="Normal (Web)"/>
    <w:basedOn w:val="Normal"/>
    <w:uiPriority w:val="99"/>
    <w:semiHidden/>
    <w:unhideWhenUsed/>
    <w:rsid w:val="00E35262"/>
    <w:pPr>
      <w:spacing w:before="100" w:beforeAutospacing="1" w:after="100" w:afterAutospacing="1" w:line="240" w:lineRule="auto"/>
    </w:pPr>
    <w:rPr>
      <w:rFonts w:ascii="Times New Roman" w:hAnsi="Times New Roman"/>
      <w:sz w:val="24"/>
    </w:rPr>
  </w:style>
  <w:style w:type="paragraph" w:customStyle="1" w:styleId="Reportsubtitle">
    <w:name w:val="Report subtitle"/>
    <w:basedOn w:val="Normal"/>
    <w:uiPriority w:val="20"/>
    <w:qFormat/>
    <w:rsid w:val="00674F93"/>
    <w:pPr>
      <w:spacing w:after="200" w:line="560" w:lineRule="exact"/>
    </w:pPr>
    <w:rPr>
      <w:color w:val="323232"/>
      <w:spacing w:val="-28"/>
      <w:sz w:val="53"/>
    </w:rPr>
  </w:style>
  <w:style w:type="paragraph" w:customStyle="1" w:styleId="Reportdate">
    <w:name w:val="Report date"/>
    <w:basedOn w:val="Reportsubtitle"/>
    <w:uiPriority w:val="21"/>
    <w:qFormat/>
    <w:rsid w:val="00674F93"/>
    <w:pPr>
      <w:spacing w:after="1200" w:line="240" w:lineRule="auto"/>
    </w:pPr>
    <w:rPr>
      <w:caps/>
      <w:spacing w:val="-10"/>
      <w:sz w:val="20"/>
    </w:rPr>
  </w:style>
  <w:style w:type="paragraph" w:styleId="Revision">
    <w:name w:val="Revision"/>
    <w:hidden/>
    <w:semiHidden/>
    <w:rsid w:val="000534CA"/>
    <w:pPr>
      <w:spacing w:line="240" w:lineRule="auto"/>
    </w:pPr>
    <w:rPr>
      <w:szCs w:val="24"/>
    </w:rPr>
  </w:style>
  <w:style w:type="character" w:customStyle="1" w:styleId="st1">
    <w:name w:val="st1"/>
    <w:basedOn w:val="DefaultParagraphFont"/>
    <w:rsid w:val="006024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526035">
      <w:bodyDiv w:val="1"/>
      <w:marLeft w:val="0"/>
      <w:marRight w:val="0"/>
      <w:marTop w:val="0"/>
      <w:marBottom w:val="0"/>
      <w:divBdr>
        <w:top w:val="none" w:sz="0" w:space="0" w:color="auto"/>
        <w:left w:val="none" w:sz="0" w:space="0" w:color="auto"/>
        <w:bottom w:val="none" w:sz="0" w:space="0" w:color="auto"/>
        <w:right w:val="none" w:sz="0" w:space="0" w:color="auto"/>
      </w:divBdr>
    </w:div>
    <w:div w:id="558633195">
      <w:bodyDiv w:val="1"/>
      <w:marLeft w:val="0"/>
      <w:marRight w:val="0"/>
      <w:marTop w:val="0"/>
      <w:marBottom w:val="0"/>
      <w:divBdr>
        <w:top w:val="none" w:sz="0" w:space="0" w:color="auto"/>
        <w:left w:val="none" w:sz="0" w:space="0" w:color="auto"/>
        <w:bottom w:val="none" w:sz="0" w:space="0" w:color="auto"/>
        <w:right w:val="none" w:sz="0" w:space="0" w:color="auto"/>
      </w:divBdr>
    </w:div>
    <w:div w:id="604969191">
      <w:bodyDiv w:val="1"/>
      <w:marLeft w:val="0"/>
      <w:marRight w:val="0"/>
      <w:marTop w:val="0"/>
      <w:marBottom w:val="0"/>
      <w:divBdr>
        <w:top w:val="none" w:sz="0" w:space="0" w:color="auto"/>
        <w:left w:val="none" w:sz="0" w:space="0" w:color="auto"/>
        <w:bottom w:val="none" w:sz="0" w:space="0" w:color="auto"/>
        <w:right w:val="none" w:sz="0" w:space="0" w:color="auto"/>
      </w:divBdr>
    </w:div>
    <w:div w:id="859709852">
      <w:bodyDiv w:val="1"/>
      <w:marLeft w:val="0"/>
      <w:marRight w:val="0"/>
      <w:marTop w:val="0"/>
      <w:marBottom w:val="0"/>
      <w:divBdr>
        <w:top w:val="none" w:sz="0" w:space="0" w:color="auto"/>
        <w:left w:val="none" w:sz="0" w:space="0" w:color="auto"/>
        <w:bottom w:val="none" w:sz="0" w:space="0" w:color="auto"/>
        <w:right w:val="none" w:sz="0" w:space="0" w:color="auto"/>
      </w:divBdr>
    </w:div>
    <w:div w:id="929123863">
      <w:bodyDiv w:val="1"/>
      <w:marLeft w:val="0"/>
      <w:marRight w:val="0"/>
      <w:marTop w:val="0"/>
      <w:marBottom w:val="0"/>
      <w:divBdr>
        <w:top w:val="none" w:sz="0" w:space="0" w:color="auto"/>
        <w:left w:val="none" w:sz="0" w:space="0" w:color="auto"/>
        <w:bottom w:val="none" w:sz="0" w:space="0" w:color="auto"/>
        <w:right w:val="none" w:sz="0" w:space="0" w:color="auto"/>
      </w:divBdr>
    </w:div>
    <w:div w:id="983201050">
      <w:bodyDiv w:val="1"/>
      <w:marLeft w:val="0"/>
      <w:marRight w:val="0"/>
      <w:marTop w:val="0"/>
      <w:marBottom w:val="0"/>
      <w:divBdr>
        <w:top w:val="none" w:sz="0" w:space="0" w:color="auto"/>
        <w:left w:val="none" w:sz="0" w:space="0" w:color="auto"/>
        <w:bottom w:val="none" w:sz="0" w:space="0" w:color="auto"/>
        <w:right w:val="none" w:sz="0" w:space="0" w:color="auto"/>
      </w:divBdr>
    </w:div>
    <w:div w:id="994069706">
      <w:bodyDiv w:val="1"/>
      <w:marLeft w:val="0"/>
      <w:marRight w:val="0"/>
      <w:marTop w:val="0"/>
      <w:marBottom w:val="0"/>
      <w:divBdr>
        <w:top w:val="none" w:sz="0" w:space="0" w:color="auto"/>
        <w:left w:val="none" w:sz="0" w:space="0" w:color="auto"/>
        <w:bottom w:val="none" w:sz="0" w:space="0" w:color="auto"/>
        <w:right w:val="none" w:sz="0" w:space="0" w:color="auto"/>
      </w:divBdr>
    </w:div>
    <w:div w:id="1085885611">
      <w:bodyDiv w:val="1"/>
      <w:marLeft w:val="0"/>
      <w:marRight w:val="0"/>
      <w:marTop w:val="0"/>
      <w:marBottom w:val="0"/>
      <w:divBdr>
        <w:top w:val="none" w:sz="0" w:space="0" w:color="auto"/>
        <w:left w:val="none" w:sz="0" w:space="0" w:color="auto"/>
        <w:bottom w:val="none" w:sz="0" w:space="0" w:color="auto"/>
        <w:right w:val="none" w:sz="0" w:space="0" w:color="auto"/>
      </w:divBdr>
    </w:div>
    <w:div w:id="1120033104">
      <w:bodyDiv w:val="1"/>
      <w:marLeft w:val="0"/>
      <w:marRight w:val="0"/>
      <w:marTop w:val="0"/>
      <w:marBottom w:val="0"/>
      <w:divBdr>
        <w:top w:val="none" w:sz="0" w:space="0" w:color="auto"/>
        <w:left w:val="none" w:sz="0" w:space="0" w:color="auto"/>
        <w:bottom w:val="none" w:sz="0" w:space="0" w:color="auto"/>
        <w:right w:val="none" w:sz="0" w:space="0" w:color="auto"/>
      </w:divBdr>
    </w:div>
    <w:div w:id="1196967201">
      <w:bodyDiv w:val="1"/>
      <w:marLeft w:val="0"/>
      <w:marRight w:val="0"/>
      <w:marTop w:val="0"/>
      <w:marBottom w:val="0"/>
      <w:divBdr>
        <w:top w:val="none" w:sz="0" w:space="0" w:color="auto"/>
        <w:left w:val="none" w:sz="0" w:space="0" w:color="auto"/>
        <w:bottom w:val="none" w:sz="0" w:space="0" w:color="auto"/>
        <w:right w:val="none" w:sz="0" w:space="0" w:color="auto"/>
      </w:divBdr>
    </w:div>
    <w:div w:id="1297102427">
      <w:bodyDiv w:val="1"/>
      <w:marLeft w:val="0"/>
      <w:marRight w:val="0"/>
      <w:marTop w:val="0"/>
      <w:marBottom w:val="0"/>
      <w:divBdr>
        <w:top w:val="none" w:sz="0" w:space="0" w:color="auto"/>
        <w:left w:val="none" w:sz="0" w:space="0" w:color="auto"/>
        <w:bottom w:val="none" w:sz="0" w:space="0" w:color="auto"/>
        <w:right w:val="none" w:sz="0" w:space="0" w:color="auto"/>
      </w:divBdr>
    </w:div>
    <w:div w:id="1435632091">
      <w:bodyDiv w:val="1"/>
      <w:marLeft w:val="0"/>
      <w:marRight w:val="0"/>
      <w:marTop w:val="0"/>
      <w:marBottom w:val="0"/>
      <w:divBdr>
        <w:top w:val="none" w:sz="0" w:space="0" w:color="auto"/>
        <w:left w:val="none" w:sz="0" w:space="0" w:color="auto"/>
        <w:bottom w:val="none" w:sz="0" w:space="0" w:color="auto"/>
        <w:right w:val="none" w:sz="0" w:space="0" w:color="auto"/>
      </w:divBdr>
    </w:div>
    <w:div w:id="1486892649">
      <w:bodyDiv w:val="1"/>
      <w:marLeft w:val="0"/>
      <w:marRight w:val="0"/>
      <w:marTop w:val="0"/>
      <w:marBottom w:val="0"/>
      <w:divBdr>
        <w:top w:val="none" w:sz="0" w:space="0" w:color="auto"/>
        <w:left w:val="none" w:sz="0" w:space="0" w:color="auto"/>
        <w:bottom w:val="none" w:sz="0" w:space="0" w:color="auto"/>
        <w:right w:val="none" w:sz="0" w:space="0" w:color="auto"/>
      </w:divBdr>
    </w:div>
    <w:div w:id="1511486486">
      <w:bodyDiv w:val="1"/>
      <w:marLeft w:val="0"/>
      <w:marRight w:val="0"/>
      <w:marTop w:val="0"/>
      <w:marBottom w:val="0"/>
      <w:divBdr>
        <w:top w:val="none" w:sz="0" w:space="0" w:color="auto"/>
        <w:left w:val="none" w:sz="0" w:space="0" w:color="auto"/>
        <w:bottom w:val="none" w:sz="0" w:space="0" w:color="auto"/>
        <w:right w:val="none" w:sz="0" w:space="0" w:color="auto"/>
      </w:divBdr>
    </w:div>
    <w:div w:id="1566260891">
      <w:bodyDiv w:val="1"/>
      <w:marLeft w:val="0"/>
      <w:marRight w:val="0"/>
      <w:marTop w:val="0"/>
      <w:marBottom w:val="0"/>
      <w:divBdr>
        <w:top w:val="none" w:sz="0" w:space="0" w:color="auto"/>
        <w:left w:val="none" w:sz="0" w:space="0" w:color="auto"/>
        <w:bottom w:val="none" w:sz="0" w:space="0" w:color="auto"/>
        <w:right w:val="none" w:sz="0" w:space="0" w:color="auto"/>
      </w:divBdr>
    </w:div>
    <w:div w:id="1943761187">
      <w:bodyDiv w:val="1"/>
      <w:marLeft w:val="0"/>
      <w:marRight w:val="0"/>
      <w:marTop w:val="0"/>
      <w:marBottom w:val="0"/>
      <w:divBdr>
        <w:top w:val="none" w:sz="0" w:space="0" w:color="auto"/>
        <w:left w:val="none" w:sz="0" w:space="0" w:color="auto"/>
        <w:bottom w:val="none" w:sz="0" w:space="0" w:color="auto"/>
        <w:right w:val="none" w:sz="0" w:space="0" w:color="auto"/>
      </w:divBdr>
    </w:div>
    <w:div w:id="2080326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18" Type="http://schemas.openxmlformats.org/officeDocument/2006/relationships/footer" Target="footer2.xml"/><Relationship Id="rId26" Type="http://schemas.openxmlformats.org/officeDocument/2006/relationships/image" Target="media/image6.png"/><Relationship Id="rId39" Type="http://schemas.openxmlformats.org/officeDocument/2006/relationships/header" Target="header8.xml"/><Relationship Id="rId3" Type="http://schemas.openxmlformats.org/officeDocument/2006/relationships/styles" Target="styles.xml"/><Relationship Id="rId21" Type="http://schemas.openxmlformats.org/officeDocument/2006/relationships/header" Target="header5.xml"/><Relationship Id="rId34" Type="http://schemas.openxmlformats.org/officeDocument/2006/relationships/image" Target="media/image14.png"/><Relationship Id="rId42"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mailto:info@acma.gov.au" TargetMode="External"/><Relationship Id="rId17" Type="http://schemas.openxmlformats.org/officeDocument/2006/relationships/header" Target="header4.xml"/><Relationship Id="rId25" Type="http://schemas.openxmlformats.org/officeDocument/2006/relationships/image" Target="media/image5.png"/><Relationship Id="rId33" Type="http://schemas.openxmlformats.org/officeDocument/2006/relationships/image" Target="media/image13.png"/><Relationship Id="rId38" Type="http://schemas.openxmlformats.org/officeDocument/2006/relationships/header" Target="header7.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footer" Target="footer4.xml"/><Relationship Id="rId29" Type="http://schemas.openxmlformats.org/officeDocument/2006/relationships/image" Target="media/image9.svg"/><Relationship Id="rId41" Type="http://schemas.openxmlformats.org/officeDocument/2006/relationships/footer" Target="foot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creativecommons.org/licenses/by/4.0/" TargetMode="External"/><Relationship Id="rId24" Type="http://schemas.openxmlformats.org/officeDocument/2006/relationships/footer" Target="footer6.xml"/><Relationship Id="rId32" Type="http://schemas.openxmlformats.org/officeDocument/2006/relationships/image" Target="media/image12.svg"/><Relationship Id="rId37" Type="http://schemas.openxmlformats.org/officeDocument/2006/relationships/hyperlink" Target="https://www.ofcom.org.uk/__data/assets/pdf_file/0025/91492/rules.pdf" TargetMode="External"/><Relationship Id="rId40" Type="http://schemas.openxmlformats.org/officeDocument/2006/relationships/footer" Target="footer7.xml"/><Relationship Id="rId5" Type="http://schemas.openxmlformats.org/officeDocument/2006/relationships/webSettings" Target="webSettings.xml"/><Relationship Id="rId15" Type="http://schemas.openxmlformats.org/officeDocument/2006/relationships/header" Target="header2.xml"/><Relationship Id="rId23" Type="http://schemas.openxmlformats.org/officeDocument/2006/relationships/footer" Target="footer5.xml"/><Relationship Id="rId28" Type="http://schemas.openxmlformats.org/officeDocument/2006/relationships/image" Target="media/image8.png"/><Relationship Id="rId36" Type="http://schemas.openxmlformats.org/officeDocument/2006/relationships/image" Target="media/image16.png"/><Relationship Id="rId10" Type="http://schemas.openxmlformats.org/officeDocument/2006/relationships/image" Target="media/image2.png"/><Relationship Id="rId19" Type="http://schemas.openxmlformats.org/officeDocument/2006/relationships/footer" Target="footer3.xml"/><Relationship Id="rId31" Type="http://schemas.openxmlformats.org/officeDocument/2006/relationships/image" Target="media/image11.png"/><Relationship Id="rId4" Type="http://schemas.openxmlformats.org/officeDocument/2006/relationships/settings" Target="settings.xml"/><Relationship Id="rId9" Type="http://schemas.openxmlformats.org/officeDocument/2006/relationships/hyperlink" Target="http://i.creativecommons.org/l/by/3.0/88x31.png" TargetMode="External"/><Relationship Id="rId14" Type="http://schemas.openxmlformats.org/officeDocument/2006/relationships/footer" Target="footer1.xml"/><Relationship Id="rId22" Type="http://schemas.openxmlformats.org/officeDocument/2006/relationships/header" Target="header6.xml"/><Relationship Id="rId27" Type="http://schemas.openxmlformats.org/officeDocument/2006/relationships/image" Target="media/image7.svg"/><Relationship Id="rId30" Type="http://schemas.openxmlformats.org/officeDocument/2006/relationships/image" Target="media/image10.png"/><Relationship Id="rId35" Type="http://schemas.openxmlformats.org/officeDocument/2006/relationships/image" Target="media/image15.png"/><Relationship Id="rId43"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13" Type="http://schemas.openxmlformats.org/officeDocument/2006/relationships/hyperlink" Target="https://www.ofcom.org.uk/__data/assets/pdf_file/0030/127929/Media-ownership-rules-report-2018.pdf" TargetMode="External"/><Relationship Id="rId18" Type="http://schemas.openxmlformats.org/officeDocument/2006/relationships/hyperlink" Target="https://medialandscapes.org/country/norway/policies/regulatory-authorities" TargetMode="External"/><Relationship Id="rId26" Type="http://schemas.openxmlformats.org/officeDocument/2006/relationships/hyperlink" Target="https://acmagovau.sharepoint.com/sites/Newsproject/Shared%20Documents/Comparative%20regulatory%20analysis%20project/.https:/www.ofcom.org.uk/tv-radio-and-on-demand/information-for-industry/radio-broadcasters/localness" TargetMode="External"/><Relationship Id="rId39" Type="http://schemas.openxmlformats.org/officeDocument/2006/relationships/hyperlink" Target="https://www.accc.gov.au/system/files/ACCC%20commissioned%20report%20-%20Public%20funding%20of%20high-quality%20journalism%20-%20phase%201%2C%20Communications%20Chambers.PDF" TargetMode="External"/><Relationship Id="rId21" Type="http://schemas.openxmlformats.org/officeDocument/2006/relationships/hyperlink" Target="https://docs.fcc.gov/public/attachments/DA-19-1303A1.pdf" TargetMode="External"/><Relationship Id="rId34" Type="http://schemas.openxmlformats.org/officeDocument/2006/relationships/hyperlink" Target="https://law.lis.virginia.gov/admincode/title23/agency10/chapter210/section1060/" TargetMode="External"/><Relationship Id="rId42" Type="http://schemas.openxmlformats.org/officeDocument/2006/relationships/hyperlink" Target="https://treasury.gov.au/publication/p2019-41708" TargetMode="External"/><Relationship Id="rId47" Type="http://schemas.openxmlformats.org/officeDocument/2006/relationships/hyperlink" Target="https://www.gov.uk/government/publications/the-cairncross-review-a-sustainable-future-for-journalism/government-response-to-the-cairncross-review-a-sustainable-future-for-journalism" TargetMode="External"/><Relationship Id="rId50" Type="http://schemas.openxmlformats.org/officeDocument/2006/relationships/hyperlink" Target="https://www.communications.gov.au/documents/regional-and-small-publishers-cadetships-program" TargetMode="External"/><Relationship Id="rId55" Type="http://schemas.openxmlformats.org/officeDocument/2006/relationships/hyperlink" Target="https://transition.fcc.gov/Reports/1934new.pdf" TargetMode="External"/><Relationship Id="rId63" Type="http://schemas.openxmlformats.org/officeDocument/2006/relationships/hyperlink" Target="https://treasury.gov.au/publication/p2019-41708" TargetMode="External"/><Relationship Id="rId68" Type="http://schemas.openxmlformats.org/officeDocument/2006/relationships/hyperlink" Target="https://about.abc.net.au/how-the-abc-is-run/what-guides-us/legislative-framework/" TargetMode="External"/><Relationship Id="rId76" Type="http://schemas.openxmlformats.org/officeDocument/2006/relationships/hyperlink" Target="https://crtc.gc.ca/eng/archive/2013/2013-263.htm" TargetMode="External"/><Relationship Id="rId7" Type="http://schemas.openxmlformats.org/officeDocument/2006/relationships/hyperlink" Target="https://www.accc.gov.au/publications/media-merger-guidelines-2017" TargetMode="External"/><Relationship Id="rId71" Type="http://schemas.openxmlformats.org/officeDocument/2006/relationships/hyperlink" Target="https://www.ofcom.org.uk/__data/assets/pdf_file/0026/111896/Public-service-broadcasting-in-the-digital-age.pdf" TargetMode="External"/><Relationship Id="rId2" Type="http://schemas.openxmlformats.org/officeDocument/2006/relationships/hyperlink" Target="https://www.cislm.org/wp-content/uploads/2018/10/The-Expanding-News-Desert-10_14-Web.pdf" TargetMode="External"/><Relationship Id="rId16" Type="http://schemas.openxmlformats.org/officeDocument/2006/relationships/hyperlink" Target="https://www.huffingtonpost.ca/nicholas-mizera/shrinking-media-ownership-canada_a_23403033/" TargetMode="External"/><Relationship Id="rId29" Type="http://schemas.openxmlformats.org/officeDocument/2006/relationships/hyperlink" Target="https://assets.publishing.service.gov.uk/government/uploads/system/uploads/attachment_data/file/779882/021919_DCMS_Cairncross_Review_.pdf" TargetMode="External"/><Relationship Id="rId11" Type="http://schemas.openxmlformats.org/officeDocument/2006/relationships/hyperlink" Target="https://firb.gov.au/sites/firb.gov.au/files/2018/12/1-January-2019-Policy_.pdf" TargetMode="External"/><Relationship Id="rId24" Type="http://schemas.openxmlformats.org/officeDocument/2006/relationships/hyperlink" Target="https://www.fcc.gov/sites/default/files/fcc_broadcast_ownership_rules.pdf" TargetMode="External"/><Relationship Id="rId32" Type="http://schemas.openxmlformats.org/officeDocument/2006/relationships/hyperlink" Target="http://www.pacodeandbulletin.gov/Display/pabull?file=/secure/pabulletin/data/vol28/28-24/932.html" TargetMode="External"/><Relationship Id="rId37" Type="http://schemas.openxmlformats.org/officeDocument/2006/relationships/hyperlink" Target="https://www.gov.uk/guidance/rates-of-vat-on-different-goods-and-services" TargetMode="External"/><Relationship Id="rId40" Type="http://schemas.openxmlformats.org/officeDocument/2006/relationships/hyperlink" Target="https://www.regjeringen.no/contentassets/95cf7028fac3455d859305d0d72399f2/14-4781-notifikasjon-01-12-2015.pdf" TargetMode="External"/><Relationship Id="rId45" Type="http://schemas.openxmlformats.org/officeDocument/2006/relationships/hyperlink" Target="https://www.ic.gc.ca/eic/site/110.nsf/vwapj/BTLR_Eng-V3.pdf/$file/BTLR_Eng-V3.pdf" TargetMode="External"/><Relationship Id="rId53" Type="http://schemas.openxmlformats.org/officeDocument/2006/relationships/hyperlink" Target="https://crtc.gc.ca/pubs/cmr2019-en.pdf" TargetMode="External"/><Relationship Id="rId58" Type="http://schemas.openxmlformats.org/officeDocument/2006/relationships/hyperlink" Target="https://newsinitiative.withgoogle.com/innovation-challenges/" TargetMode="External"/><Relationship Id="rId66" Type="http://schemas.openxmlformats.org/officeDocument/2006/relationships/hyperlink" Target="https://www.gov.uk/government/publications/the-cairncross-review-a-sustainable-future-for-journalism/government-response-to-the-cairncross-review-a-sustainable-future-for-journalism" TargetMode="External"/><Relationship Id="rId74" Type="http://schemas.openxmlformats.org/officeDocument/2006/relationships/hyperlink" Target="https://downloads.bbc.co.uk/lnp/LDRS_operation_principles.pdf" TargetMode="External"/><Relationship Id="rId79" Type="http://schemas.openxmlformats.org/officeDocument/2006/relationships/hyperlink" Target="https://medietilsynet.no/om/aktuelt-2018/rapport-om-nrk-og-mediemangfold/" TargetMode="External"/><Relationship Id="rId5" Type="http://schemas.openxmlformats.org/officeDocument/2006/relationships/hyperlink" Target="https://www.meaa.org/download/meaa-submission-to-public-interest-journalism-inquiry-170714/" TargetMode="External"/><Relationship Id="rId61" Type="http://schemas.openxmlformats.org/officeDocument/2006/relationships/hyperlink" Target="https://www.facebook.com/facebookmedia/blog/facebook-partners-with-australian-news-publishers-to-fund-news-shows-on-facebook-watch" TargetMode="External"/><Relationship Id="rId10" Type="http://schemas.openxmlformats.org/officeDocument/2006/relationships/hyperlink" Target="https://www.researchgate.net/publication/328138371_Media_ownership_rules_in_Europe_a_focus_on_EU_Member_States'_legislation_on_foreign_ownership" TargetMode="External"/><Relationship Id="rId19" Type="http://schemas.openxmlformats.org/officeDocument/2006/relationships/hyperlink" Target="https://www.communications.gov.au/what-we-do/television/media/updating-australias-media-laws" TargetMode="External"/><Relationship Id="rId31" Type="http://schemas.openxmlformats.org/officeDocument/2006/relationships/hyperlink" Target="https://portal.ct.gov/DRS/Sales-Tax/Exemptions-from-Sales-and-Use-Taxes" TargetMode="External"/><Relationship Id="rId44" Type="http://schemas.openxmlformats.org/officeDocument/2006/relationships/hyperlink" Target="https://www.budget.gc.ca/2019/docs/tm-mf/si-is-en.html" TargetMode="External"/><Relationship Id="rId52" Type="http://schemas.openxmlformats.org/officeDocument/2006/relationships/hyperlink" Target="https://www.regjeringen.no/contentassets/95cf7028fac3455d859305d0d72399f2/14-4781-notifikasjon-01-12-2015.pdf" TargetMode="External"/><Relationship Id="rId60" Type="http://schemas.openxmlformats.org/officeDocument/2006/relationships/hyperlink" Target="https://www.facebook.com/journalismproject/facebook-walkley-foundation-australian-news" TargetMode="External"/><Relationship Id="rId65" Type="http://schemas.openxmlformats.org/officeDocument/2006/relationships/hyperlink" Target="https://assets.publishing.service.gov.uk/government/uploads/system/uploads/attachment_data/file/779882/021919_DCMS_Cairncross_Review_.pdf" TargetMode="External"/><Relationship Id="rId73" Type="http://schemas.openxmlformats.org/officeDocument/2006/relationships/hyperlink" Target="https://www.ofcom.org.uk/__data/assets/pdf_file/0026/111896/Public-service-broadcasting-in-the-digital-age.pdf" TargetMode="External"/><Relationship Id="rId78" Type="http://schemas.openxmlformats.org/officeDocument/2006/relationships/hyperlink" Target="https://www.communications.gov.au/sites/default/files/submissions/news_corp_australia_-_29_june.pdf?acsf_files_redirect" TargetMode="External"/><Relationship Id="rId4" Type="http://schemas.openxmlformats.org/officeDocument/2006/relationships/hyperlink" Target="https://www.pressgazette.co.uk/new-research-some-198-uk-local-newspapers-have-closed-since-2005/" TargetMode="External"/><Relationship Id="rId9" Type="http://schemas.openxmlformats.org/officeDocument/2006/relationships/hyperlink" Target="https://crtc.gc.ca/eng/archive/2008/pb2008-4.htm" TargetMode="External"/><Relationship Id="rId14" Type="http://schemas.openxmlformats.org/officeDocument/2006/relationships/hyperlink" Target="https://www.ofcom.org.uk/consultations-and-statements/category-3/public-interest-test-sky-fox" TargetMode="External"/><Relationship Id="rId22" Type="http://schemas.openxmlformats.org/officeDocument/2006/relationships/hyperlink" Target="https://theconversation.com/starters-gun-goes-off-on-new-phase-of-media-concentration-as-nine-fairfax-lead-the-way-100592" TargetMode="External"/><Relationship Id="rId27" Type="http://schemas.openxmlformats.org/officeDocument/2006/relationships/hyperlink" Target="https://crtc.gc.ca/eng/archive/2016/2016-224.htm" TargetMode="External"/><Relationship Id="rId30" Type="http://schemas.openxmlformats.org/officeDocument/2006/relationships/hyperlink" Target="https://www.legislation.gov.au/Details/C2017B00125/Explanatory%20Memorandum/Text" TargetMode="External"/><Relationship Id="rId35" Type="http://schemas.openxmlformats.org/officeDocument/2006/relationships/hyperlink" Target="https://www.gov.uk/tax-and-chancery-tribunal-decisions/news-corp-uk-and-ireland-ltd-v-the-commissioners-for-hm-revenue-and-customs-2019-ukut-0404-tcc" TargetMode="External"/><Relationship Id="rId43" Type="http://schemas.openxmlformats.org/officeDocument/2006/relationships/hyperlink" Target="https://www.budget.gc.ca/2019/docs/tm-mf/si-is-en.html" TargetMode="External"/><Relationship Id="rId48" Type="http://schemas.openxmlformats.org/officeDocument/2006/relationships/hyperlink" Target="https://www.communications.gov.au/what-we-do/television/regional-and-small-publishers-jobs-and-innovation-package" TargetMode="External"/><Relationship Id="rId56" Type="http://schemas.openxmlformats.org/officeDocument/2006/relationships/hyperlink" Target="https://www.fcc.gov/document/fcc-establishes-incubator-program-increase-broadcaster-diversity" TargetMode="External"/><Relationship Id="rId64" Type="http://schemas.openxmlformats.org/officeDocument/2006/relationships/hyperlink" Target="https://www.nesta.org.uk/project/future-news-fund/" TargetMode="External"/><Relationship Id="rId69" Type="http://schemas.openxmlformats.org/officeDocument/2006/relationships/hyperlink" Target="https://www.aph.gov.au/Parliamentary_Business/Bills_Legislation/Bills_Search_Results/Result?bId=r6382" TargetMode="External"/><Relationship Id="rId77" Type="http://schemas.openxmlformats.org/officeDocument/2006/relationships/hyperlink" Target="https://www.ic.gc.ca/eic/site/110.nsf/vwapj/BTLR_Eng-V3.pdf/$file/BTLR_Eng-V3.pdf" TargetMode="External"/><Relationship Id="rId8" Type="http://schemas.openxmlformats.org/officeDocument/2006/relationships/hyperlink" Target="https://www.ofcom.org.uk/__data/assets/pdf_file/0030/127929/Media-ownership-rules-report-2018.pdf" TargetMode="External"/><Relationship Id="rId51" Type="http://schemas.openxmlformats.org/officeDocument/2006/relationships/hyperlink" Target="https://minister.infrastructure.gov.au/fletcher/media-release/supporting-public-interest-journalism" TargetMode="External"/><Relationship Id="rId72" Type="http://schemas.openxmlformats.org/officeDocument/2006/relationships/hyperlink" Target="https://www.ofcom.org.uk/__data/assets/pdf_file/0022/107239/summary-regulatory-conditions.pdf" TargetMode="External"/><Relationship Id="rId80" Type="http://schemas.openxmlformats.org/officeDocument/2006/relationships/hyperlink" Target="https://www.ic.gc.ca/eic/site/110.nsf/vwapj/BTLR_Eng-V3.pdf/$file/BTLR_Eng-V3.pdf" TargetMode="External"/><Relationship Id="rId3" Type="http://schemas.openxmlformats.org/officeDocument/2006/relationships/hyperlink" Target="http://ceur-ws.org/Vol-2323/SKI-Canada-2019-7-4-2.pdf" TargetMode="External"/><Relationship Id="rId12" Type="http://schemas.openxmlformats.org/officeDocument/2006/relationships/hyperlink" Target="https://www.acma.gov.au/register-foreign-owners-media-assets-form" TargetMode="External"/><Relationship Id="rId17" Type="http://schemas.openxmlformats.org/officeDocument/2006/relationships/hyperlink" Target="https://cadmus.eui.eu/bitstream/handle/1814/46796/France_EN_rev.pdf?sequence=1&amp;isAllowed=y" TargetMode="External"/><Relationship Id="rId25" Type="http://schemas.openxmlformats.org/officeDocument/2006/relationships/hyperlink" Target="https://www.ofcom.org.uk/__data/assets/pdf_file/0023/155921/Local-Television-Network-Variation-Requests.pdf" TargetMode="External"/><Relationship Id="rId33" Type="http://schemas.openxmlformats.org/officeDocument/2006/relationships/hyperlink" Target="https://www.salestaxhandbook.com/rhode-island/sales-tax-taxability/newspapers-and-magazines" TargetMode="External"/><Relationship Id="rId38" Type="http://schemas.openxmlformats.org/officeDocument/2006/relationships/hyperlink" Target="https://www.avalara.com/vatlive/en/country-guides/europe/france/french-vat-rates.html" TargetMode="External"/><Relationship Id="rId46" Type="http://schemas.openxmlformats.org/officeDocument/2006/relationships/hyperlink" Target="https://assets.publishing.service.gov.uk/government/uploads/system/uploads/attachment_data/file/779882/021919_DCMS_Cairncross_Review_.pdf" TargetMode="External"/><Relationship Id="rId59" Type="http://schemas.openxmlformats.org/officeDocument/2006/relationships/hyperlink" Target="https://www.facebook.com/journalismproject/facebook-supports-local-news" TargetMode="External"/><Relationship Id="rId67" Type="http://schemas.openxmlformats.org/officeDocument/2006/relationships/hyperlink" Target="https://www.ic.gc.ca/eic/site/110.nsf/vwapj/BTLR_Eng-V3.pdf/$file/BTLR_Eng-V3.pdf" TargetMode="External"/><Relationship Id="rId20" Type="http://schemas.openxmlformats.org/officeDocument/2006/relationships/hyperlink" Target="https://www.fcc.gov/consumers/guides/fccs-review-broadcast-ownership-rules" TargetMode="External"/><Relationship Id="rId41" Type="http://schemas.openxmlformats.org/officeDocument/2006/relationships/hyperlink" Target="https://www.accc.gov.au/system/files/Digital%20platforms%20inquiry%20-%20final%20report.pdf" TargetMode="External"/><Relationship Id="rId54" Type="http://schemas.openxmlformats.org/officeDocument/2006/relationships/hyperlink" Target="https://transition.fcc.gov/Reports/1934new.pdf" TargetMode="External"/><Relationship Id="rId62" Type="http://schemas.openxmlformats.org/officeDocument/2006/relationships/hyperlink" Target="https://www.cjr.org/special_report/google-facebook-journalism.php" TargetMode="External"/><Relationship Id="rId70" Type="http://schemas.openxmlformats.org/officeDocument/2006/relationships/hyperlink" Target="https://www.sbs.com.au/aboutus/corporate" TargetMode="External"/><Relationship Id="rId75" Type="http://schemas.openxmlformats.org/officeDocument/2006/relationships/hyperlink" Target="https://www.bbc.com/lnp/ldrs" TargetMode="External"/><Relationship Id="rId1" Type="http://schemas.openxmlformats.org/officeDocument/2006/relationships/hyperlink" Target="https://www.accc.gov.au/system/files/Digital%20platforms%20inquiry%20-%20final%20report.pdf" TargetMode="External"/><Relationship Id="rId6" Type="http://schemas.openxmlformats.org/officeDocument/2006/relationships/hyperlink" Target="https://www.acma.gov.au/media-control-rules" TargetMode="External"/><Relationship Id="rId15" Type="http://schemas.openxmlformats.org/officeDocument/2006/relationships/hyperlink" Target="https://www.ofcom.org.uk/__data/assets/pdf_file/0024/84174/measurement_framework_for_media_plurality_statement.pdf" TargetMode="External"/><Relationship Id="rId23" Type="http://schemas.openxmlformats.org/officeDocument/2006/relationships/hyperlink" Target="https://www.ofcom.org.uk/__data/assets/pdf_file/0030/127929/Media-ownership-rules-report-2018.pdf" TargetMode="External"/><Relationship Id="rId28" Type="http://schemas.openxmlformats.org/officeDocument/2006/relationships/hyperlink" Target="https://www.nytimes.com/2019/09/12/business/media/google-algorithm-original-reporting.html" TargetMode="External"/><Relationship Id="rId36" Type="http://schemas.openxmlformats.org/officeDocument/2006/relationships/hyperlink" Target="https://www.gov.uk/government/publications/revenue-and-customs-brief-1-2020-vat-liability-of-digital-publications-upper-tribunal-in-news-corp-and-ireland-ltd/revenue-and-customs-brief-1-2020-vat-liability-of-digital-publications-upper-tribunal-in-news-corp-and-ireland-ltd" TargetMode="External"/><Relationship Id="rId49" Type="http://schemas.openxmlformats.org/officeDocument/2006/relationships/hyperlink" Target="https://www.communications.gov.au/documents/regional-and-small-publishers-cadetships-program" TargetMode="External"/><Relationship Id="rId57" Type="http://schemas.openxmlformats.org/officeDocument/2006/relationships/hyperlink" Target="https://www.fcc.gov/broadcast-radio-incubator-progra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133644-8F8E-430E-9369-B3B189F10F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23</Pages>
  <Words>7244</Words>
  <Characters>40497</Characters>
  <Application>Microsoft Office Word</Application>
  <DocSecurity>0</DocSecurity>
  <Lines>674</Lines>
  <Paragraphs>207</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47534</CharactersWithSpaces>
  <SharedDoc>false</SharedDoc>
  <HyperlinkBase/>
  <HLinks>
    <vt:vector size="474" baseType="variant">
      <vt:variant>
        <vt:i4>3080194</vt:i4>
      </vt:variant>
      <vt:variant>
        <vt:i4>57</vt:i4>
      </vt:variant>
      <vt:variant>
        <vt:i4>0</vt:i4>
      </vt:variant>
      <vt:variant>
        <vt:i4>5</vt:i4>
      </vt:variant>
      <vt:variant>
        <vt:lpwstr>https://www.ofcom.org.uk/__data/assets/pdf_file/0025/91492/rules.pdf</vt:lpwstr>
      </vt:variant>
      <vt:variant>
        <vt:lpwstr/>
      </vt:variant>
      <vt:variant>
        <vt:i4>983052</vt:i4>
      </vt:variant>
      <vt:variant>
        <vt:i4>54</vt:i4>
      </vt:variant>
      <vt:variant>
        <vt:i4>0</vt:i4>
      </vt:variant>
      <vt:variant>
        <vt:i4>5</vt:i4>
      </vt:variant>
      <vt:variant>
        <vt:lpwstr>https://www.acma.gov.au/research-program</vt:lpwstr>
      </vt:variant>
      <vt:variant>
        <vt:lpwstr/>
      </vt:variant>
      <vt:variant>
        <vt:i4>1179654</vt:i4>
      </vt:variant>
      <vt:variant>
        <vt:i4>51</vt:i4>
      </vt:variant>
      <vt:variant>
        <vt:i4>0</vt:i4>
      </vt:variant>
      <vt:variant>
        <vt:i4>5</vt:i4>
      </vt:variant>
      <vt:variant>
        <vt:lpwstr>https://www.acma.gov.au/compliance-priorities</vt:lpwstr>
      </vt:variant>
      <vt:variant>
        <vt:lpwstr/>
      </vt:variant>
      <vt:variant>
        <vt:i4>6225960</vt:i4>
      </vt:variant>
      <vt:variant>
        <vt:i4>3</vt:i4>
      </vt:variant>
      <vt:variant>
        <vt:i4>0</vt:i4>
      </vt:variant>
      <vt:variant>
        <vt:i4>5</vt:i4>
      </vt:variant>
      <vt:variant>
        <vt:lpwstr>mailto:info@acma.gov.au</vt:lpwstr>
      </vt:variant>
      <vt:variant>
        <vt:lpwstr/>
      </vt:variant>
      <vt:variant>
        <vt:i4>5308424</vt:i4>
      </vt:variant>
      <vt:variant>
        <vt:i4>0</vt:i4>
      </vt:variant>
      <vt:variant>
        <vt:i4>0</vt:i4>
      </vt:variant>
      <vt:variant>
        <vt:i4>5</vt:i4>
      </vt:variant>
      <vt:variant>
        <vt:lpwstr>https://creativecommons.org/licenses/by/4.0/</vt:lpwstr>
      </vt:variant>
      <vt:variant>
        <vt:lpwstr/>
      </vt:variant>
      <vt:variant>
        <vt:i4>5046345</vt:i4>
      </vt:variant>
      <vt:variant>
        <vt:i4>219</vt:i4>
      </vt:variant>
      <vt:variant>
        <vt:i4>0</vt:i4>
      </vt:variant>
      <vt:variant>
        <vt:i4>5</vt:i4>
      </vt:variant>
      <vt:variant>
        <vt:lpwstr>https://medietilsynet.no/om/aktuelt-2018/rapport-om-nrk-og-mediemangfold/</vt:lpwstr>
      </vt:variant>
      <vt:variant>
        <vt:lpwstr/>
      </vt:variant>
      <vt:variant>
        <vt:i4>6160410</vt:i4>
      </vt:variant>
      <vt:variant>
        <vt:i4>216</vt:i4>
      </vt:variant>
      <vt:variant>
        <vt:i4>0</vt:i4>
      </vt:variant>
      <vt:variant>
        <vt:i4>5</vt:i4>
      </vt:variant>
      <vt:variant>
        <vt:lpwstr>https://www.communications.gov.au/documents/inquiry-competitive-neutrality-national-broadcasters-report-expert-panel</vt:lpwstr>
      </vt:variant>
      <vt:variant>
        <vt:lpwstr/>
      </vt:variant>
      <vt:variant>
        <vt:i4>1441842</vt:i4>
      </vt:variant>
      <vt:variant>
        <vt:i4>213</vt:i4>
      </vt:variant>
      <vt:variant>
        <vt:i4>0</vt:i4>
      </vt:variant>
      <vt:variant>
        <vt:i4>5</vt:i4>
      </vt:variant>
      <vt:variant>
        <vt:lpwstr>https://www.communications.gov.au/sites/default/files/submissions/news_corp_australia_-_29_june.pdf?acsf_files_redirect</vt:lpwstr>
      </vt:variant>
      <vt:variant>
        <vt:lpwstr/>
      </vt:variant>
      <vt:variant>
        <vt:i4>983061</vt:i4>
      </vt:variant>
      <vt:variant>
        <vt:i4>210</vt:i4>
      </vt:variant>
      <vt:variant>
        <vt:i4>0</vt:i4>
      </vt:variant>
      <vt:variant>
        <vt:i4>5</vt:i4>
      </vt:variant>
      <vt:variant>
        <vt:lpwstr>https://crtc.gc.ca/eng/archive/2013/2013-263.htm</vt:lpwstr>
      </vt:variant>
      <vt:variant>
        <vt:lpwstr/>
      </vt:variant>
      <vt:variant>
        <vt:i4>5439499</vt:i4>
      </vt:variant>
      <vt:variant>
        <vt:i4>207</vt:i4>
      </vt:variant>
      <vt:variant>
        <vt:i4>0</vt:i4>
      </vt:variant>
      <vt:variant>
        <vt:i4>5</vt:i4>
      </vt:variant>
      <vt:variant>
        <vt:lpwstr>https://downloads.bbc.co.uk/lnp/LDRS_operation_principles.pdf</vt:lpwstr>
      </vt:variant>
      <vt:variant>
        <vt:lpwstr/>
      </vt:variant>
      <vt:variant>
        <vt:i4>1179725</vt:i4>
      </vt:variant>
      <vt:variant>
        <vt:i4>204</vt:i4>
      </vt:variant>
      <vt:variant>
        <vt:i4>0</vt:i4>
      </vt:variant>
      <vt:variant>
        <vt:i4>5</vt:i4>
      </vt:variant>
      <vt:variant>
        <vt:lpwstr>https://www.bbc.com/lnp/ldrs</vt:lpwstr>
      </vt:variant>
      <vt:variant>
        <vt:lpwstr/>
      </vt:variant>
      <vt:variant>
        <vt:i4>4194342</vt:i4>
      </vt:variant>
      <vt:variant>
        <vt:i4>201</vt:i4>
      </vt:variant>
      <vt:variant>
        <vt:i4>0</vt:i4>
      </vt:variant>
      <vt:variant>
        <vt:i4>5</vt:i4>
      </vt:variant>
      <vt:variant>
        <vt:lpwstr>https://www.ofcom.org.uk/__data/assets/pdf_file/0026/111896/Public-service-broadcasting-in-the-digital-age.pdf</vt:lpwstr>
      </vt:variant>
      <vt:variant>
        <vt:lpwstr/>
      </vt:variant>
      <vt:variant>
        <vt:i4>8323075</vt:i4>
      </vt:variant>
      <vt:variant>
        <vt:i4>198</vt:i4>
      </vt:variant>
      <vt:variant>
        <vt:i4>0</vt:i4>
      </vt:variant>
      <vt:variant>
        <vt:i4>5</vt:i4>
      </vt:variant>
      <vt:variant>
        <vt:lpwstr>https://www.ofcom.org.uk/__data/assets/pdf_file/0022/107239/summary-regulatory-conditions.pdf</vt:lpwstr>
      </vt:variant>
      <vt:variant>
        <vt:lpwstr/>
      </vt:variant>
      <vt:variant>
        <vt:i4>4194342</vt:i4>
      </vt:variant>
      <vt:variant>
        <vt:i4>195</vt:i4>
      </vt:variant>
      <vt:variant>
        <vt:i4>0</vt:i4>
      </vt:variant>
      <vt:variant>
        <vt:i4>5</vt:i4>
      </vt:variant>
      <vt:variant>
        <vt:lpwstr>https://www.ofcom.org.uk/__data/assets/pdf_file/0026/111896/Public-service-broadcasting-in-the-digital-age.pdf</vt:lpwstr>
      </vt:variant>
      <vt:variant>
        <vt:lpwstr/>
      </vt:variant>
      <vt:variant>
        <vt:i4>4390996</vt:i4>
      </vt:variant>
      <vt:variant>
        <vt:i4>192</vt:i4>
      </vt:variant>
      <vt:variant>
        <vt:i4>0</vt:i4>
      </vt:variant>
      <vt:variant>
        <vt:i4>5</vt:i4>
      </vt:variant>
      <vt:variant>
        <vt:lpwstr>https://www.sbs.com.au/aboutus/corporate</vt:lpwstr>
      </vt:variant>
      <vt:variant>
        <vt:lpwstr/>
      </vt:variant>
      <vt:variant>
        <vt:i4>4390996</vt:i4>
      </vt:variant>
      <vt:variant>
        <vt:i4>189</vt:i4>
      </vt:variant>
      <vt:variant>
        <vt:i4>0</vt:i4>
      </vt:variant>
      <vt:variant>
        <vt:i4>5</vt:i4>
      </vt:variant>
      <vt:variant>
        <vt:lpwstr>https://www.sbs.com.au/aboutus/corporate</vt:lpwstr>
      </vt:variant>
      <vt:variant>
        <vt:lpwstr/>
      </vt:variant>
      <vt:variant>
        <vt:i4>4980756</vt:i4>
      </vt:variant>
      <vt:variant>
        <vt:i4>186</vt:i4>
      </vt:variant>
      <vt:variant>
        <vt:i4>0</vt:i4>
      </vt:variant>
      <vt:variant>
        <vt:i4>5</vt:i4>
      </vt:variant>
      <vt:variant>
        <vt:lpwstr>https://www.aph.gov.au/Parliamentary_Business/Bills_Legislation/Bills_Search_Results/Result?bId=r6382</vt:lpwstr>
      </vt:variant>
      <vt:variant>
        <vt:lpwstr/>
      </vt:variant>
      <vt:variant>
        <vt:i4>1179677</vt:i4>
      </vt:variant>
      <vt:variant>
        <vt:i4>183</vt:i4>
      </vt:variant>
      <vt:variant>
        <vt:i4>0</vt:i4>
      </vt:variant>
      <vt:variant>
        <vt:i4>5</vt:i4>
      </vt:variant>
      <vt:variant>
        <vt:lpwstr>https://about.abc.net.au/how-the-abc-is-run/what-guides-us/legislative-framework/</vt:lpwstr>
      </vt:variant>
      <vt:variant>
        <vt:lpwstr/>
      </vt:variant>
      <vt:variant>
        <vt:i4>1441799</vt:i4>
      </vt:variant>
      <vt:variant>
        <vt:i4>180</vt:i4>
      </vt:variant>
      <vt:variant>
        <vt:i4>0</vt:i4>
      </vt:variant>
      <vt:variant>
        <vt:i4>5</vt:i4>
      </vt:variant>
      <vt:variant>
        <vt:lpwstr>https://www.gov.uk/government/publications/the-cairncross-review-a-sustainable-future-for-journalism/government-response-to-the-cairncross-review-a-sustainable-future-for-journalism</vt:lpwstr>
      </vt:variant>
      <vt:variant>
        <vt:lpwstr/>
      </vt:variant>
      <vt:variant>
        <vt:i4>6619210</vt:i4>
      </vt:variant>
      <vt:variant>
        <vt:i4>177</vt:i4>
      </vt:variant>
      <vt:variant>
        <vt:i4>0</vt:i4>
      </vt:variant>
      <vt:variant>
        <vt:i4>5</vt:i4>
      </vt:variant>
      <vt:variant>
        <vt:lpwstr>https://assets.publishing.service.gov.uk/government/uploads/system/uploads/attachment_data/file/779882/021919_DCMS_Cairncross_Review_.pdf</vt:lpwstr>
      </vt:variant>
      <vt:variant>
        <vt:lpwstr/>
      </vt:variant>
      <vt:variant>
        <vt:i4>3276922</vt:i4>
      </vt:variant>
      <vt:variant>
        <vt:i4>174</vt:i4>
      </vt:variant>
      <vt:variant>
        <vt:i4>0</vt:i4>
      </vt:variant>
      <vt:variant>
        <vt:i4>5</vt:i4>
      </vt:variant>
      <vt:variant>
        <vt:lpwstr>https://www.nesta.org.uk/project/future-news-fund/</vt:lpwstr>
      </vt:variant>
      <vt:variant>
        <vt:lpwstr/>
      </vt:variant>
      <vt:variant>
        <vt:i4>3145773</vt:i4>
      </vt:variant>
      <vt:variant>
        <vt:i4>171</vt:i4>
      </vt:variant>
      <vt:variant>
        <vt:i4>0</vt:i4>
      </vt:variant>
      <vt:variant>
        <vt:i4>5</vt:i4>
      </vt:variant>
      <vt:variant>
        <vt:lpwstr>https://treasury.gov.au/publication/p2019-41708</vt:lpwstr>
      </vt:variant>
      <vt:variant>
        <vt:lpwstr/>
      </vt:variant>
      <vt:variant>
        <vt:i4>6488149</vt:i4>
      </vt:variant>
      <vt:variant>
        <vt:i4>168</vt:i4>
      </vt:variant>
      <vt:variant>
        <vt:i4>0</vt:i4>
      </vt:variant>
      <vt:variant>
        <vt:i4>5</vt:i4>
      </vt:variant>
      <vt:variant>
        <vt:lpwstr>https://www.cjr.org/special_report/google-facebook-journalism.php</vt:lpwstr>
      </vt:variant>
      <vt:variant>
        <vt:lpwstr/>
      </vt:variant>
      <vt:variant>
        <vt:i4>8192121</vt:i4>
      </vt:variant>
      <vt:variant>
        <vt:i4>165</vt:i4>
      </vt:variant>
      <vt:variant>
        <vt:i4>0</vt:i4>
      </vt:variant>
      <vt:variant>
        <vt:i4>5</vt:i4>
      </vt:variant>
      <vt:variant>
        <vt:lpwstr>https://www.facebook.com/journalismproject/facebook-supports-local-news</vt:lpwstr>
      </vt:variant>
      <vt:variant>
        <vt:lpwstr/>
      </vt:variant>
      <vt:variant>
        <vt:i4>5505100</vt:i4>
      </vt:variant>
      <vt:variant>
        <vt:i4>162</vt:i4>
      </vt:variant>
      <vt:variant>
        <vt:i4>0</vt:i4>
      </vt:variant>
      <vt:variant>
        <vt:i4>5</vt:i4>
      </vt:variant>
      <vt:variant>
        <vt:lpwstr>https://newsinitiative.withgoogle.com/innovation-challenges/</vt:lpwstr>
      </vt:variant>
      <vt:variant>
        <vt:lpwstr/>
      </vt:variant>
      <vt:variant>
        <vt:i4>131154</vt:i4>
      </vt:variant>
      <vt:variant>
        <vt:i4>159</vt:i4>
      </vt:variant>
      <vt:variant>
        <vt:i4>0</vt:i4>
      </vt:variant>
      <vt:variant>
        <vt:i4>5</vt:i4>
      </vt:variant>
      <vt:variant>
        <vt:lpwstr>https://www.fcc.gov/broadcast-radio-incubator-program</vt:lpwstr>
      </vt:variant>
      <vt:variant>
        <vt:lpwstr/>
      </vt:variant>
      <vt:variant>
        <vt:i4>5570570</vt:i4>
      </vt:variant>
      <vt:variant>
        <vt:i4>156</vt:i4>
      </vt:variant>
      <vt:variant>
        <vt:i4>0</vt:i4>
      </vt:variant>
      <vt:variant>
        <vt:i4>5</vt:i4>
      </vt:variant>
      <vt:variant>
        <vt:lpwstr>https://www.fcc.gov/document/fcc-establishes-incubator-program-increase-broadcaster-diversity</vt:lpwstr>
      </vt:variant>
      <vt:variant>
        <vt:lpwstr/>
      </vt:variant>
      <vt:variant>
        <vt:i4>7929965</vt:i4>
      </vt:variant>
      <vt:variant>
        <vt:i4>153</vt:i4>
      </vt:variant>
      <vt:variant>
        <vt:i4>0</vt:i4>
      </vt:variant>
      <vt:variant>
        <vt:i4>5</vt:i4>
      </vt:variant>
      <vt:variant>
        <vt:lpwstr>https://transition.fcc.gov/Reports/1934new.pdf</vt:lpwstr>
      </vt:variant>
      <vt:variant>
        <vt:lpwstr/>
      </vt:variant>
      <vt:variant>
        <vt:i4>7929965</vt:i4>
      </vt:variant>
      <vt:variant>
        <vt:i4>150</vt:i4>
      </vt:variant>
      <vt:variant>
        <vt:i4>0</vt:i4>
      </vt:variant>
      <vt:variant>
        <vt:i4>5</vt:i4>
      </vt:variant>
      <vt:variant>
        <vt:lpwstr>https://transition.fcc.gov/Reports/1934new.pdf</vt:lpwstr>
      </vt:variant>
      <vt:variant>
        <vt:lpwstr/>
      </vt:variant>
      <vt:variant>
        <vt:i4>5701661</vt:i4>
      </vt:variant>
      <vt:variant>
        <vt:i4>147</vt:i4>
      </vt:variant>
      <vt:variant>
        <vt:i4>0</vt:i4>
      </vt:variant>
      <vt:variant>
        <vt:i4>5</vt:i4>
      </vt:variant>
      <vt:variant>
        <vt:lpwstr>https://www.regjeringen.no/contentassets/95cf7028fac3455d859305d0d72399f2/14-4781-notifikasjon-01-12-2015.pdf</vt:lpwstr>
      </vt:variant>
      <vt:variant>
        <vt:lpwstr/>
      </vt:variant>
      <vt:variant>
        <vt:i4>78</vt:i4>
      </vt:variant>
      <vt:variant>
        <vt:i4>144</vt:i4>
      </vt:variant>
      <vt:variant>
        <vt:i4>0</vt:i4>
      </vt:variant>
      <vt:variant>
        <vt:i4>5</vt:i4>
      </vt:variant>
      <vt:variant>
        <vt:lpwstr>https://www.communications.gov.au/documents/regional-and-small-publishers-cadetships-program</vt:lpwstr>
      </vt:variant>
      <vt:variant>
        <vt:lpwstr/>
      </vt:variant>
      <vt:variant>
        <vt:i4>78</vt:i4>
      </vt:variant>
      <vt:variant>
        <vt:i4>141</vt:i4>
      </vt:variant>
      <vt:variant>
        <vt:i4>0</vt:i4>
      </vt:variant>
      <vt:variant>
        <vt:i4>5</vt:i4>
      </vt:variant>
      <vt:variant>
        <vt:lpwstr>https://www.communications.gov.au/documents/regional-and-small-publishers-cadetships-program</vt:lpwstr>
      </vt:variant>
      <vt:variant>
        <vt:lpwstr/>
      </vt:variant>
      <vt:variant>
        <vt:i4>917507</vt:i4>
      </vt:variant>
      <vt:variant>
        <vt:i4>138</vt:i4>
      </vt:variant>
      <vt:variant>
        <vt:i4>0</vt:i4>
      </vt:variant>
      <vt:variant>
        <vt:i4>5</vt:i4>
      </vt:variant>
      <vt:variant>
        <vt:lpwstr>https://www.communications.gov.au/what-we-do/television/regional-and-small-publishers-jobs-and-innovation-package</vt:lpwstr>
      </vt:variant>
      <vt:variant>
        <vt:lpwstr/>
      </vt:variant>
      <vt:variant>
        <vt:i4>1441799</vt:i4>
      </vt:variant>
      <vt:variant>
        <vt:i4>135</vt:i4>
      </vt:variant>
      <vt:variant>
        <vt:i4>0</vt:i4>
      </vt:variant>
      <vt:variant>
        <vt:i4>5</vt:i4>
      </vt:variant>
      <vt:variant>
        <vt:lpwstr>https://www.gov.uk/government/publications/the-cairncross-review-a-sustainable-future-for-journalism/government-response-to-the-cairncross-review-a-sustainable-future-for-journalism</vt:lpwstr>
      </vt:variant>
      <vt:variant>
        <vt:lpwstr/>
      </vt:variant>
      <vt:variant>
        <vt:i4>6619210</vt:i4>
      </vt:variant>
      <vt:variant>
        <vt:i4>132</vt:i4>
      </vt:variant>
      <vt:variant>
        <vt:i4>0</vt:i4>
      </vt:variant>
      <vt:variant>
        <vt:i4>5</vt:i4>
      </vt:variant>
      <vt:variant>
        <vt:lpwstr>https://assets.publishing.service.gov.uk/government/uploads/system/uploads/attachment_data/file/779882/021919_DCMS_Cairncross_Review_.pdf</vt:lpwstr>
      </vt:variant>
      <vt:variant>
        <vt:lpwstr/>
      </vt:variant>
      <vt:variant>
        <vt:i4>7798890</vt:i4>
      </vt:variant>
      <vt:variant>
        <vt:i4>129</vt:i4>
      </vt:variant>
      <vt:variant>
        <vt:i4>0</vt:i4>
      </vt:variant>
      <vt:variant>
        <vt:i4>5</vt:i4>
      </vt:variant>
      <vt:variant>
        <vt:lpwstr>https://www.budget.gc.ca/2019/docs/tm-mf/si-is-en.html</vt:lpwstr>
      </vt:variant>
      <vt:variant>
        <vt:lpwstr/>
      </vt:variant>
      <vt:variant>
        <vt:i4>7798890</vt:i4>
      </vt:variant>
      <vt:variant>
        <vt:i4>126</vt:i4>
      </vt:variant>
      <vt:variant>
        <vt:i4>0</vt:i4>
      </vt:variant>
      <vt:variant>
        <vt:i4>5</vt:i4>
      </vt:variant>
      <vt:variant>
        <vt:lpwstr>https://www.budget.gc.ca/2019/docs/tm-mf/si-is-en.html</vt:lpwstr>
      </vt:variant>
      <vt:variant>
        <vt:lpwstr/>
      </vt:variant>
      <vt:variant>
        <vt:i4>7798890</vt:i4>
      </vt:variant>
      <vt:variant>
        <vt:i4>123</vt:i4>
      </vt:variant>
      <vt:variant>
        <vt:i4>0</vt:i4>
      </vt:variant>
      <vt:variant>
        <vt:i4>5</vt:i4>
      </vt:variant>
      <vt:variant>
        <vt:lpwstr>https://www.budget.gc.ca/2019/docs/tm-mf/si-is-en.html</vt:lpwstr>
      </vt:variant>
      <vt:variant>
        <vt:lpwstr/>
      </vt:variant>
      <vt:variant>
        <vt:i4>7798890</vt:i4>
      </vt:variant>
      <vt:variant>
        <vt:i4>120</vt:i4>
      </vt:variant>
      <vt:variant>
        <vt:i4>0</vt:i4>
      </vt:variant>
      <vt:variant>
        <vt:i4>5</vt:i4>
      </vt:variant>
      <vt:variant>
        <vt:lpwstr>https://www.budget.gc.ca/2019/docs/tm-mf/si-is-en.html</vt:lpwstr>
      </vt:variant>
      <vt:variant>
        <vt:lpwstr/>
      </vt:variant>
      <vt:variant>
        <vt:i4>3145773</vt:i4>
      </vt:variant>
      <vt:variant>
        <vt:i4>117</vt:i4>
      </vt:variant>
      <vt:variant>
        <vt:i4>0</vt:i4>
      </vt:variant>
      <vt:variant>
        <vt:i4>5</vt:i4>
      </vt:variant>
      <vt:variant>
        <vt:lpwstr>https://treasury.gov.au/publication/p2019-41708</vt:lpwstr>
      </vt:variant>
      <vt:variant>
        <vt:lpwstr/>
      </vt:variant>
      <vt:variant>
        <vt:i4>1572869</vt:i4>
      </vt:variant>
      <vt:variant>
        <vt:i4>114</vt:i4>
      </vt:variant>
      <vt:variant>
        <vt:i4>0</vt:i4>
      </vt:variant>
      <vt:variant>
        <vt:i4>5</vt:i4>
      </vt:variant>
      <vt:variant>
        <vt:lpwstr>https://www.accc.gov.au/system/files/Digital platforms inquiry - final report.pdf</vt:lpwstr>
      </vt:variant>
      <vt:variant>
        <vt:lpwstr/>
      </vt:variant>
      <vt:variant>
        <vt:i4>5701661</vt:i4>
      </vt:variant>
      <vt:variant>
        <vt:i4>111</vt:i4>
      </vt:variant>
      <vt:variant>
        <vt:i4>0</vt:i4>
      </vt:variant>
      <vt:variant>
        <vt:i4>5</vt:i4>
      </vt:variant>
      <vt:variant>
        <vt:lpwstr>https://www.regjeringen.no/contentassets/95cf7028fac3455d859305d0d72399f2/14-4781-notifikasjon-01-12-2015.pdf</vt:lpwstr>
      </vt:variant>
      <vt:variant>
        <vt:lpwstr/>
      </vt:variant>
      <vt:variant>
        <vt:i4>4063340</vt:i4>
      </vt:variant>
      <vt:variant>
        <vt:i4>108</vt:i4>
      </vt:variant>
      <vt:variant>
        <vt:i4>0</vt:i4>
      </vt:variant>
      <vt:variant>
        <vt:i4>5</vt:i4>
      </vt:variant>
      <vt:variant>
        <vt:lpwstr>https://www.accc.gov.au/system/files/ACCC commissioned report - Public funding of high-quality journalism - phase 1%2C Communications Chambers.PDF</vt:lpwstr>
      </vt:variant>
      <vt:variant>
        <vt:lpwstr/>
      </vt:variant>
      <vt:variant>
        <vt:i4>1638488</vt:i4>
      </vt:variant>
      <vt:variant>
        <vt:i4>105</vt:i4>
      </vt:variant>
      <vt:variant>
        <vt:i4>0</vt:i4>
      </vt:variant>
      <vt:variant>
        <vt:i4>5</vt:i4>
      </vt:variant>
      <vt:variant>
        <vt:lpwstr>https://www.avalara.com/vatlive/en/country-guides/europe/france/french-vat-rates.html</vt:lpwstr>
      </vt:variant>
      <vt:variant>
        <vt:lpwstr/>
      </vt:variant>
      <vt:variant>
        <vt:i4>3407932</vt:i4>
      </vt:variant>
      <vt:variant>
        <vt:i4>102</vt:i4>
      </vt:variant>
      <vt:variant>
        <vt:i4>0</vt:i4>
      </vt:variant>
      <vt:variant>
        <vt:i4>5</vt:i4>
      </vt:variant>
      <vt:variant>
        <vt:lpwstr>https://www.gov.uk/guidance/rates-of-vat-on-different-goods-and-services</vt:lpwstr>
      </vt:variant>
      <vt:variant>
        <vt:lpwstr>printing-postage-publications---books-magazines-and-newspapers</vt:lpwstr>
      </vt:variant>
      <vt:variant>
        <vt:i4>3604522</vt:i4>
      </vt:variant>
      <vt:variant>
        <vt:i4>99</vt:i4>
      </vt:variant>
      <vt:variant>
        <vt:i4>0</vt:i4>
      </vt:variant>
      <vt:variant>
        <vt:i4>5</vt:i4>
      </vt:variant>
      <vt:variant>
        <vt:lpwstr>https://www.gov.uk/government/publications/revenue-and-customs-brief-1-2020-vat-liability-of-digital-publications-upper-tribunal-in-news-corp-and-ireland-ltd/revenue-and-customs-brief-1-2020-vat-liability-of-digital-publications-upper-tribunal-in-news-corp-and-ireland-ltd</vt:lpwstr>
      </vt:variant>
      <vt:variant>
        <vt:lpwstr/>
      </vt:variant>
      <vt:variant>
        <vt:i4>786442</vt:i4>
      </vt:variant>
      <vt:variant>
        <vt:i4>96</vt:i4>
      </vt:variant>
      <vt:variant>
        <vt:i4>0</vt:i4>
      </vt:variant>
      <vt:variant>
        <vt:i4>5</vt:i4>
      </vt:variant>
      <vt:variant>
        <vt:lpwstr>https://www.gov.uk/tax-and-chancery-tribunal-decisions/news-corp-uk-and-ireland-ltd-v-the-commissioners-for-hm-revenue-and-customs-2019-ukut-0404-tcc</vt:lpwstr>
      </vt:variant>
      <vt:variant>
        <vt:lpwstr/>
      </vt:variant>
      <vt:variant>
        <vt:i4>2490416</vt:i4>
      </vt:variant>
      <vt:variant>
        <vt:i4>93</vt:i4>
      </vt:variant>
      <vt:variant>
        <vt:i4>0</vt:i4>
      </vt:variant>
      <vt:variant>
        <vt:i4>5</vt:i4>
      </vt:variant>
      <vt:variant>
        <vt:lpwstr>https://law.lis.virginia.gov/admincode/title23/agency10/chapter210/section1060/</vt:lpwstr>
      </vt:variant>
      <vt:variant>
        <vt:lpwstr/>
      </vt:variant>
      <vt:variant>
        <vt:i4>6684732</vt:i4>
      </vt:variant>
      <vt:variant>
        <vt:i4>90</vt:i4>
      </vt:variant>
      <vt:variant>
        <vt:i4>0</vt:i4>
      </vt:variant>
      <vt:variant>
        <vt:i4>5</vt:i4>
      </vt:variant>
      <vt:variant>
        <vt:lpwstr>https://www.salestaxhandbook.com/rhode-island/sales-tax-taxability/newspapers-and-magazines</vt:lpwstr>
      </vt:variant>
      <vt:variant>
        <vt:lpwstr/>
      </vt:variant>
      <vt:variant>
        <vt:i4>262159</vt:i4>
      </vt:variant>
      <vt:variant>
        <vt:i4>87</vt:i4>
      </vt:variant>
      <vt:variant>
        <vt:i4>0</vt:i4>
      </vt:variant>
      <vt:variant>
        <vt:i4>5</vt:i4>
      </vt:variant>
      <vt:variant>
        <vt:lpwstr>http://www.pacodeandbulletin.gov/Display/pabull?file=/secure/pabulletin/data/vol28/28-24/932.html</vt:lpwstr>
      </vt:variant>
      <vt:variant>
        <vt:lpwstr/>
      </vt:variant>
      <vt:variant>
        <vt:i4>3670063</vt:i4>
      </vt:variant>
      <vt:variant>
        <vt:i4>84</vt:i4>
      </vt:variant>
      <vt:variant>
        <vt:i4>0</vt:i4>
      </vt:variant>
      <vt:variant>
        <vt:i4>5</vt:i4>
      </vt:variant>
      <vt:variant>
        <vt:lpwstr>https://portal.ct.gov/DRS/Sales-Tax/Exemptions-from-Sales-and-Use-Taxes</vt:lpwstr>
      </vt:variant>
      <vt:variant>
        <vt:lpwstr/>
      </vt:variant>
      <vt:variant>
        <vt:i4>2555960</vt:i4>
      </vt:variant>
      <vt:variant>
        <vt:i4>81</vt:i4>
      </vt:variant>
      <vt:variant>
        <vt:i4>0</vt:i4>
      </vt:variant>
      <vt:variant>
        <vt:i4>5</vt:i4>
      </vt:variant>
      <vt:variant>
        <vt:lpwstr>https://www.legislation.gov.au/Details/C2017B00125/Explanatory Memorandum/Text</vt:lpwstr>
      </vt:variant>
      <vt:variant>
        <vt:lpwstr/>
      </vt:variant>
      <vt:variant>
        <vt:i4>6619210</vt:i4>
      </vt:variant>
      <vt:variant>
        <vt:i4>78</vt:i4>
      </vt:variant>
      <vt:variant>
        <vt:i4>0</vt:i4>
      </vt:variant>
      <vt:variant>
        <vt:i4>5</vt:i4>
      </vt:variant>
      <vt:variant>
        <vt:lpwstr>https://assets.publishing.service.gov.uk/government/uploads/system/uploads/attachment_data/file/779882/021919_DCMS_Cairncross_Review_.pdf</vt:lpwstr>
      </vt:variant>
      <vt:variant>
        <vt:lpwstr/>
      </vt:variant>
      <vt:variant>
        <vt:i4>7471145</vt:i4>
      </vt:variant>
      <vt:variant>
        <vt:i4>75</vt:i4>
      </vt:variant>
      <vt:variant>
        <vt:i4>0</vt:i4>
      </vt:variant>
      <vt:variant>
        <vt:i4>5</vt:i4>
      </vt:variant>
      <vt:variant>
        <vt:lpwstr>https://www.nytimes.com/2019/09/12/business/media/google-algorithm-original-reporting.html</vt:lpwstr>
      </vt:variant>
      <vt:variant>
        <vt:lpwstr/>
      </vt:variant>
      <vt:variant>
        <vt:i4>851988</vt:i4>
      </vt:variant>
      <vt:variant>
        <vt:i4>72</vt:i4>
      </vt:variant>
      <vt:variant>
        <vt:i4>0</vt:i4>
      </vt:variant>
      <vt:variant>
        <vt:i4>5</vt:i4>
      </vt:variant>
      <vt:variant>
        <vt:lpwstr>https://crtc.gc.ca/eng/archive/2016/2016-224.htm</vt:lpwstr>
      </vt:variant>
      <vt:variant>
        <vt:lpwstr/>
      </vt:variant>
      <vt:variant>
        <vt:i4>5570577</vt:i4>
      </vt:variant>
      <vt:variant>
        <vt:i4>69</vt:i4>
      </vt:variant>
      <vt:variant>
        <vt:i4>0</vt:i4>
      </vt:variant>
      <vt:variant>
        <vt:i4>5</vt:i4>
      </vt:variant>
      <vt:variant>
        <vt:lpwstr>.https:/www.ofcom.org.uk/tv-radio-and-on-demand/information-for-industry/radio-broadcasters/localness</vt:lpwstr>
      </vt:variant>
      <vt:variant>
        <vt:lpwstr/>
      </vt:variant>
      <vt:variant>
        <vt:i4>1900653</vt:i4>
      </vt:variant>
      <vt:variant>
        <vt:i4>66</vt:i4>
      </vt:variant>
      <vt:variant>
        <vt:i4>0</vt:i4>
      </vt:variant>
      <vt:variant>
        <vt:i4>5</vt:i4>
      </vt:variant>
      <vt:variant>
        <vt:lpwstr>https://www.ofcom.org.uk/__data/assets/pdf_file/0023/155921/Local-Television-Network-Variation-Requests.pdf</vt:lpwstr>
      </vt:variant>
      <vt:variant>
        <vt:lpwstr/>
      </vt:variant>
      <vt:variant>
        <vt:i4>7274581</vt:i4>
      </vt:variant>
      <vt:variant>
        <vt:i4>63</vt:i4>
      </vt:variant>
      <vt:variant>
        <vt:i4>0</vt:i4>
      </vt:variant>
      <vt:variant>
        <vt:i4>5</vt:i4>
      </vt:variant>
      <vt:variant>
        <vt:lpwstr>https://www.fcc.gov/sites/default/files/fcc_broadcast_ownership_rules.pdf</vt:lpwstr>
      </vt:variant>
      <vt:variant>
        <vt:lpwstr/>
      </vt:variant>
      <vt:variant>
        <vt:i4>8060935</vt:i4>
      </vt:variant>
      <vt:variant>
        <vt:i4>60</vt:i4>
      </vt:variant>
      <vt:variant>
        <vt:i4>0</vt:i4>
      </vt:variant>
      <vt:variant>
        <vt:i4>5</vt:i4>
      </vt:variant>
      <vt:variant>
        <vt:lpwstr>https://www.ofcom.org.uk/__data/assets/pdf_file/0030/127929/Media-ownership-rules-report-2018.pdf</vt:lpwstr>
      </vt:variant>
      <vt:variant>
        <vt:lpwstr/>
      </vt:variant>
      <vt:variant>
        <vt:i4>720915</vt:i4>
      </vt:variant>
      <vt:variant>
        <vt:i4>57</vt:i4>
      </vt:variant>
      <vt:variant>
        <vt:i4>0</vt:i4>
      </vt:variant>
      <vt:variant>
        <vt:i4>5</vt:i4>
      </vt:variant>
      <vt:variant>
        <vt:lpwstr>https://theconversation.com/starters-gun-goes-off-on-new-phase-of-media-concentration-as-nine-fairfax-lead-the-way-100592</vt:lpwstr>
      </vt:variant>
      <vt:variant>
        <vt:lpwstr/>
      </vt:variant>
      <vt:variant>
        <vt:i4>5505090</vt:i4>
      </vt:variant>
      <vt:variant>
        <vt:i4>54</vt:i4>
      </vt:variant>
      <vt:variant>
        <vt:i4>0</vt:i4>
      </vt:variant>
      <vt:variant>
        <vt:i4>5</vt:i4>
      </vt:variant>
      <vt:variant>
        <vt:lpwstr>https://docs.fcc.gov/public/attachments/DA-19-1303A1.pdf</vt:lpwstr>
      </vt:variant>
      <vt:variant>
        <vt:lpwstr/>
      </vt:variant>
      <vt:variant>
        <vt:i4>2228281</vt:i4>
      </vt:variant>
      <vt:variant>
        <vt:i4>51</vt:i4>
      </vt:variant>
      <vt:variant>
        <vt:i4>0</vt:i4>
      </vt:variant>
      <vt:variant>
        <vt:i4>5</vt:i4>
      </vt:variant>
      <vt:variant>
        <vt:lpwstr>https://www.fcc.gov/consumers/guides/fccs-review-broadcast-ownership-rules</vt:lpwstr>
      </vt:variant>
      <vt:variant>
        <vt:lpwstr/>
      </vt:variant>
      <vt:variant>
        <vt:i4>4915218</vt:i4>
      </vt:variant>
      <vt:variant>
        <vt:i4>48</vt:i4>
      </vt:variant>
      <vt:variant>
        <vt:i4>0</vt:i4>
      </vt:variant>
      <vt:variant>
        <vt:i4>5</vt:i4>
      </vt:variant>
      <vt:variant>
        <vt:lpwstr>https://www.communications.gov.au/what-we-do/television/media/updating-australias-media-laws</vt:lpwstr>
      </vt:variant>
      <vt:variant>
        <vt:lpwstr/>
      </vt:variant>
      <vt:variant>
        <vt:i4>8192060</vt:i4>
      </vt:variant>
      <vt:variant>
        <vt:i4>45</vt:i4>
      </vt:variant>
      <vt:variant>
        <vt:i4>0</vt:i4>
      </vt:variant>
      <vt:variant>
        <vt:i4>5</vt:i4>
      </vt:variant>
      <vt:variant>
        <vt:lpwstr>https://medialandscapes.org/country/norway/policies/regulatory-authorities</vt:lpwstr>
      </vt:variant>
      <vt:variant>
        <vt:lpwstr/>
      </vt:variant>
      <vt:variant>
        <vt:i4>2621483</vt:i4>
      </vt:variant>
      <vt:variant>
        <vt:i4>42</vt:i4>
      </vt:variant>
      <vt:variant>
        <vt:i4>0</vt:i4>
      </vt:variant>
      <vt:variant>
        <vt:i4>5</vt:i4>
      </vt:variant>
      <vt:variant>
        <vt:lpwstr>https://www.huffingtonpost.ca/nicholas-mizera/shrinking-media-ownership-canada_a_23403033/</vt:lpwstr>
      </vt:variant>
      <vt:variant>
        <vt:lpwstr/>
      </vt:variant>
      <vt:variant>
        <vt:i4>1966157</vt:i4>
      </vt:variant>
      <vt:variant>
        <vt:i4>39</vt:i4>
      </vt:variant>
      <vt:variant>
        <vt:i4>0</vt:i4>
      </vt:variant>
      <vt:variant>
        <vt:i4>5</vt:i4>
      </vt:variant>
      <vt:variant>
        <vt:lpwstr>https://www.ofcom.org.uk/consultations-and-statements/category-3/public-interest-test-sky-fox</vt:lpwstr>
      </vt:variant>
      <vt:variant>
        <vt:lpwstr/>
      </vt:variant>
      <vt:variant>
        <vt:i4>8060935</vt:i4>
      </vt:variant>
      <vt:variant>
        <vt:i4>36</vt:i4>
      </vt:variant>
      <vt:variant>
        <vt:i4>0</vt:i4>
      </vt:variant>
      <vt:variant>
        <vt:i4>5</vt:i4>
      </vt:variant>
      <vt:variant>
        <vt:lpwstr>https://www.ofcom.org.uk/__data/assets/pdf_file/0030/127929/Media-ownership-rules-report-2018.pdf</vt:lpwstr>
      </vt:variant>
      <vt:variant>
        <vt:lpwstr/>
      </vt:variant>
      <vt:variant>
        <vt:i4>131093</vt:i4>
      </vt:variant>
      <vt:variant>
        <vt:i4>33</vt:i4>
      </vt:variant>
      <vt:variant>
        <vt:i4>0</vt:i4>
      </vt:variant>
      <vt:variant>
        <vt:i4>5</vt:i4>
      </vt:variant>
      <vt:variant>
        <vt:lpwstr>https://www.acma.gov.au/register-foreign-owners-media-assets-form</vt:lpwstr>
      </vt:variant>
      <vt:variant>
        <vt:lpwstr/>
      </vt:variant>
      <vt:variant>
        <vt:i4>6160485</vt:i4>
      </vt:variant>
      <vt:variant>
        <vt:i4>30</vt:i4>
      </vt:variant>
      <vt:variant>
        <vt:i4>0</vt:i4>
      </vt:variant>
      <vt:variant>
        <vt:i4>5</vt:i4>
      </vt:variant>
      <vt:variant>
        <vt:lpwstr>https://firb.gov.au/sites/firb.gov.au/files/2018/12/1-January-2019-Policy_.pdf</vt:lpwstr>
      </vt:variant>
      <vt:variant>
        <vt:lpwstr/>
      </vt:variant>
      <vt:variant>
        <vt:i4>3801163</vt:i4>
      </vt:variant>
      <vt:variant>
        <vt:i4>27</vt:i4>
      </vt:variant>
      <vt:variant>
        <vt:i4>0</vt:i4>
      </vt:variant>
      <vt:variant>
        <vt:i4>5</vt:i4>
      </vt:variant>
      <vt:variant>
        <vt:lpwstr>https://www.researchgate.net/publication/328138371_Media_ownership_rules_in_Europe_a_focus_on_EU_Member_States'_legislation_on_foreign_ownership</vt:lpwstr>
      </vt:variant>
      <vt:variant>
        <vt:lpwstr/>
      </vt:variant>
      <vt:variant>
        <vt:i4>5374041</vt:i4>
      </vt:variant>
      <vt:variant>
        <vt:i4>24</vt:i4>
      </vt:variant>
      <vt:variant>
        <vt:i4>0</vt:i4>
      </vt:variant>
      <vt:variant>
        <vt:i4>5</vt:i4>
      </vt:variant>
      <vt:variant>
        <vt:lpwstr>https://crtc.gc.ca/eng/archive/2008/pb2008-4.htm</vt:lpwstr>
      </vt:variant>
      <vt:variant>
        <vt:lpwstr/>
      </vt:variant>
      <vt:variant>
        <vt:i4>8060935</vt:i4>
      </vt:variant>
      <vt:variant>
        <vt:i4>21</vt:i4>
      </vt:variant>
      <vt:variant>
        <vt:i4>0</vt:i4>
      </vt:variant>
      <vt:variant>
        <vt:i4>5</vt:i4>
      </vt:variant>
      <vt:variant>
        <vt:lpwstr>https://www.ofcom.org.uk/__data/assets/pdf_file/0030/127929/Media-ownership-rules-report-2018.pdf</vt:lpwstr>
      </vt:variant>
      <vt:variant>
        <vt:lpwstr/>
      </vt:variant>
      <vt:variant>
        <vt:i4>5832769</vt:i4>
      </vt:variant>
      <vt:variant>
        <vt:i4>18</vt:i4>
      </vt:variant>
      <vt:variant>
        <vt:i4>0</vt:i4>
      </vt:variant>
      <vt:variant>
        <vt:i4>5</vt:i4>
      </vt:variant>
      <vt:variant>
        <vt:lpwstr>https://www.accc.gov.au/publications/media-merger-guidelines-2017</vt:lpwstr>
      </vt:variant>
      <vt:variant>
        <vt:lpwstr/>
      </vt:variant>
      <vt:variant>
        <vt:i4>8192051</vt:i4>
      </vt:variant>
      <vt:variant>
        <vt:i4>15</vt:i4>
      </vt:variant>
      <vt:variant>
        <vt:i4>0</vt:i4>
      </vt:variant>
      <vt:variant>
        <vt:i4>5</vt:i4>
      </vt:variant>
      <vt:variant>
        <vt:lpwstr>https://www.acma.gov.au/media-control-rules</vt:lpwstr>
      </vt:variant>
      <vt:variant>
        <vt:lpwstr/>
      </vt:variant>
      <vt:variant>
        <vt:i4>2621482</vt:i4>
      </vt:variant>
      <vt:variant>
        <vt:i4>12</vt:i4>
      </vt:variant>
      <vt:variant>
        <vt:i4>0</vt:i4>
      </vt:variant>
      <vt:variant>
        <vt:i4>5</vt:i4>
      </vt:variant>
      <vt:variant>
        <vt:lpwstr>https://www.meaa.org/download/meaa-submission-to-public-interest-journalism-inquiry-170714/</vt:lpwstr>
      </vt:variant>
      <vt:variant>
        <vt:lpwstr/>
      </vt:variant>
      <vt:variant>
        <vt:i4>5242900</vt:i4>
      </vt:variant>
      <vt:variant>
        <vt:i4>9</vt:i4>
      </vt:variant>
      <vt:variant>
        <vt:i4>0</vt:i4>
      </vt:variant>
      <vt:variant>
        <vt:i4>5</vt:i4>
      </vt:variant>
      <vt:variant>
        <vt:lpwstr>https://www.pressgazette.co.uk/new-research-some-198-uk-local-newspapers-have-closed-since-2005/</vt:lpwstr>
      </vt:variant>
      <vt:variant>
        <vt:lpwstr/>
      </vt:variant>
      <vt:variant>
        <vt:i4>1900622</vt:i4>
      </vt:variant>
      <vt:variant>
        <vt:i4>6</vt:i4>
      </vt:variant>
      <vt:variant>
        <vt:i4>0</vt:i4>
      </vt:variant>
      <vt:variant>
        <vt:i4>5</vt:i4>
      </vt:variant>
      <vt:variant>
        <vt:lpwstr>http://ceur-ws.org/Vol-2323/SKI-Canada-2019-7-4-2.pdf</vt:lpwstr>
      </vt:variant>
      <vt:variant>
        <vt:lpwstr/>
      </vt:variant>
      <vt:variant>
        <vt:i4>3670097</vt:i4>
      </vt:variant>
      <vt:variant>
        <vt:i4>3</vt:i4>
      </vt:variant>
      <vt:variant>
        <vt:i4>0</vt:i4>
      </vt:variant>
      <vt:variant>
        <vt:i4>5</vt:i4>
      </vt:variant>
      <vt:variant>
        <vt:lpwstr>https://www.cislm.org/wp-content/uploads/2018/10/The-Expanding-News-Desert-10_14-Web.pdf</vt:lpwstr>
      </vt:variant>
      <vt:variant>
        <vt:lpwstr/>
      </vt:variant>
      <vt:variant>
        <vt:i4>1572869</vt:i4>
      </vt:variant>
      <vt:variant>
        <vt:i4>0</vt:i4>
      </vt:variant>
      <vt:variant>
        <vt:i4>0</vt:i4>
      </vt:variant>
      <vt:variant>
        <vt:i4>5</vt:i4>
      </vt:variant>
      <vt:variant>
        <vt:lpwstr>https://www.accc.gov.au/system/files/Digital platforms inquiry - final report.pdf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2020-12-09T00:41:00Z</dcterms:created>
  <dcterms:modified xsi:type="dcterms:W3CDTF">2020-12-09T02:49:00Z</dcterms:modified>
  <cp:category/>
</cp:coreProperties>
</file>