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E5F49C" w14:textId="3C763E13" w:rsidR="00A6709A" w:rsidRPr="00B53F89" w:rsidRDefault="00A6709A" w:rsidP="00A6709A">
      <w:pPr>
        <w:pStyle w:val="ACMAReportTitle"/>
      </w:pPr>
      <w:r w:rsidRPr="00B53F89">
        <w:t>Five-year spectrum outlook</w:t>
      </w:r>
    </w:p>
    <w:p w14:paraId="5FE5D78A" w14:textId="2E13A705" w:rsidR="00F06E14" w:rsidRPr="00B53F89" w:rsidRDefault="00A6709A" w:rsidP="00A51D1A">
      <w:pPr>
        <w:pStyle w:val="ACMAReportTitle"/>
      </w:pPr>
      <w:r w:rsidRPr="00B53F89">
        <w:t>20</w:t>
      </w:r>
      <w:r w:rsidR="00CF7A91">
        <w:t>20</w:t>
      </w:r>
      <w:r w:rsidRPr="00B53F89">
        <w:t>–2</w:t>
      </w:r>
      <w:r w:rsidR="00CF7A91">
        <w:t>4</w:t>
      </w:r>
    </w:p>
    <w:p w14:paraId="0F8AC54B" w14:textId="4793C3FE" w:rsidR="00F06E14" w:rsidRPr="00B53F89" w:rsidRDefault="00A6709A" w:rsidP="00F06E14">
      <w:pPr>
        <w:pStyle w:val="ACMAReportSubTitle"/>
      </w:pPr>
      <w:r w:rsidRPr="00B53F89">
        <w:t>The ACMA’s spectrum management work</w:t>
      </w:r>
      <w:r w:rsidR="007B0B47" w:rsidRPr="00B53F89">
        <w:t> </w:t>
      </w:r>
      <w:r w:rsidRPr="00B53F89">
        <w:t>progra</w:t>
      </w:r>
      <w:r w:rsidR="00883511" w:rsidRPr="00B53F89">
        <w:t>m</w:t>
      </w:r>
      <w:r w:rsidR="00332315">
        <w:t xml:space="preserve"> </w:t>
      </w:r>
    </w:p>
    <w:p w14:paraId="59BF80E5" w14:textId="6EBA8642" w:rsidR="00F06E14" w:rsidRPr="00B53F89" w:rsidRDefault="008F0CFA" w:rsidP="003428B2">
      <w:pPr>
        <w:pStyle w:val="ACMAReportDate"/>
        <w:spacing w:after="240"/>
      </w:pPr>
      <w:r w:rsidRPr="00141EBE">
        <w:t>September</w:t>
      </w:r>
      <w:r>
        <w:t xml:space="preserve"> </w:t>
      </w:r>
      <w:r w:rsidR="00CF7A91">
        <w:t>2020</w:t>
      </w:r>
    </w:p>
    <w:p w14:paraId="22C0C94E" w14:textId="77777777" w:rsidR="00C97736" w:rsidRPr="00B53F89" w:rsidRDefault="00D3165D" w:rsidP="00C7245A">
      <w:pPr>
        <w:rPr>
          <w:rFonts w:cs="Arial"/>
        </w:rPr>
        <w:sectPr w:rsidR="00C97736" w:rsidRPr="00B53F89" w:rsidSect="00E97880">
          <w:headerReference w:type="default" r:id="rId8"/>
          <w:footerReference w:type="default" r:id="rId9"/>
          <w:headerReference w:type="first" r:id="rId10"/>
          <w:pgSz w:w="11906" w:h="16838" w:code="9"/>
          <w:pgMar w:top="3924" w:right="1797" w:bottom="1440" w:left="1134" w:header="709" w:footer="454" w:gutter="0"/>
          <w:cols w:space="708"/>
          <w:docGrid w:linePitch="360"/>
        </w:sectPr>
      </w:pPr>
      <w:r w:rsidRPr="00B53F89">
        <w:rPr>
          <w:rFonts w:cs="Arial"/>
        </w:rPr>
        <w:tab/>
      </w:r>
    </w:p>
    <w:p w14:paraId="58F76F54" w14:textId="77777777" w:rsidR="0005011A" w:rsidRPr="00B53F89" w:rsidRDefault="0005011A" w:rsidP="00C7245A">
      <w:pPr>
        <w:pStyle w:val="ACMACorporateAddressHeader"/>
      </w:pPr>
      <w:r w:rsidRPr="00B53F89">
        <w:lastRenderedPageBreak/>
        <w:t>Canberra</w:t>
      </w:r>
      <w:r w:rsidR="00D3165D" w:rsidRPr="00B53F89">
        <w:tab/>
      </w:r>
    </w:p>
    <w:p w14:paraId="2776D9FC" w14:textId="77777777" w:rsidR="0005011A" w:rsidRPr="00B53F89" w:rsidRDefault="0005011A" w:rsidP="00FC07B9">
      <w:pPr>
        <w:pStyle w:val="ACMACorporateAddresses"/>
      </w:pPr>
      <w:r w:rsidRPr="00B53F89">
        <w:t xml:space="preserve">Red Building </w:t>
      </w:r>
      <w:r w:rsidRPr="00B53F89">
        <w:br/>
        <w:t>Benjamin Offices</w:t>
      </w:r>
      <w:r w:rsidRPr="00B53F89">
        <w:br/>
        <w:t xml:space="preserve">Chan Street </w:t>
      </w:r>
      <w:r w:rsidRPr="00B53F89">
        <w:br/>
        <w:t>Belconnen ACT</w:t>
      </w:r>
    </w:p>
    <w:p w14:paraId="159564AD" w14:textId="77777777" w:rsidR="0005011A" w:rsidRPr="00B53F89" w:rsidRDefault="0005011A" w:rsidP="00FC07B9">
      <w:pPr>
        <w:pStyle w:val="ACMACorporateAddresses"/>
      </w:pPr>
      <w:r w:rsidRPr="00B53F89">
        <w:t>PO Box 78</w:t>
      </w:r>
      <w:r w:rsidRPr="00B53F89">
        <w:br/>
        <w:t>Belconnen ACT 2616</w:t>
      </w:r>
    </w:p>
    <w:p w14:paraId="1F44094E" w14:textId="77777777" w:rsidR="00FE1823" w:rsidRPr="00B53F89" w:rsidRDefault="0005011A" w:rsidP="00FC07B9">
      <w:pPr>
        <w:pStyle w:val="ACMACorporateAddresses"/>
      </w:pPr>
      <w:r w:rsidRPr="00B53F89">
        <w:t>T</w:t>
      </w:r>
      <w:r w:rsidR="00537604" w:rsidRPr="00B53F89">
        <w:tab/>
      </w:r>
      <w:r w:rsidRPr="00B53F89">
        <w:t>+61 2 6219 5555</w:t>
      </w:r>
      <w:r w:rsidRPr="00B53F89">
        <w:br/>
        <w:t>F</w:t>
      </w:r>
      <w:r w:rsidR="00537604" w:rsidRPr="00B53F89">
        <w:tab/>
      </w:r>
      <w:r w:rsidRPr="00B53F89">
        <w:t>+61 2 6219 5353</w:t>
      </w:r>
    </w:p>
    <w:p w14:paraId="1025C19E" w14:textId="77777777" w:rsidR="0005011A" w:rsidRPr="00B53F89" w:rsidRDefault="0005011A" w:rsidP="00FC07B9">
      <w:pPr>
        <w:pStyle w:val="ACMACorporateAddressHeader"/>
      </w:pPr>
      <w:r w:rsidRPr="00B53F89">
        <w:t>Melbourne</w:t>
      </w:r>
    </w:p>
    <w:p w14:paraId="13817A6E" w14:textId="77777777" w:rsidR="0005011A" w:rsidRPr="00B53F89" w:rsidRDefault="0005011A" w:rsidP="00FC07B9">
      <w:pPr>
        <w:pStyle w:val="ACMACorporateAddresses"/>
      </w:pPr>
      <w:r w:rsidRPr="00B53F89">
        <w:t xml:space="preserve">Level 32 </w:t>
      </w:r>
      <w:r w:rsidRPr="00B53F89">
        <w:br/>
        <w:t>Melbourne Central Tower</w:t>
      </w:r>
      <w:r w:rsidRPr="00B53F89">
        <w:br/>
        <w:t xml:space="preserve">360 Elizabeth Street </w:t>
      </w:r>
      <w:r w:rsidR="008C10F4" w:rsidRPr="00B53F89">
        <w:br/>
      </w:r>
      <w:r w:rsidRPr="00B53F89">
        <w:t>Melbourne VIC</w:t>
      </w:r>
    </w:p>
    <w:p w14:paraId="694291FE" w14:textId="77777777" w:rsidR="0005011A" w:rsidRPr="00B53F89" w:rsidRDefault="0005011A" w:rsidP="00FC07B9">
      <w:pPr>
        <w:pStyle w:val="ACMACorporateAddresses"/>
      </w:pPr>
      <w:r w:rsidRPr="00B53F89">
        <w:t>PO Box 13112</w:t>
      </w:r>
      <w:r w:rsidRPr="00B53F89">
        <w:br/>
        <w:t xml:space="preserve">Law Courts </w:t>
      </w:r>
      <w:r w:rsidRPr="00B53F89">
        <w:br/>
        <w:t>Melbourne VIC 8010</w:t>
      </w:r>
    </w:p>
    <w:p w14:paraId="39E7BAC7" w14:textId="77777777" w:rsidR="0005011A" w:rsidRPr="00B53F89" w:rsidRDefault="0005011A" w:rsidP="00FC07B9">
      <w:pPr>
        <w:pStyle w:val="ACMACorporateAddresses"/>
      </w:pPr>
      <w:r w:rsidRPr="00B53F89">
        <w:t>T</w:t>
      </w:r>
      <w:r w:rsidR="00140318" w:rsidRPr="00B53F89">
        <w:tab/>
      </w:r>
      <w:r w:rsidRPr="00B53F89">
        <w:t>+61 3 9963 6800</w:t>
      </w:r>
      <w:r w:rsidRPr="00B53F89">
        <w:br/>
        <w:t>F</w:t>
      </w:r>
      <w:r w:rsidR="00140318" w:rsidRPr="00B53F89">
        <w:tab/>
      </w:r>
      <w:r w:rsidRPr="00B53F89">
        <w:t>+61 3 9963 6899</w:t>
      </w:r>
    </w:p>
    <w:p w14:paraId="09F547A7" w14:textId="77777777" w:rsidR="0005011A" w:rsidRPr="00B53F89" w:rsidRDefault="0005011A" w:rsidP="00FC07B9">
      <w:pPr>
        <w:pStyle w:val="ACMACorporateAddressHeader"/>
      </w:pPr>
      <w:r w:rsidRPr="00B53F89">
        <w:t>Sydney</w:t>
      </w:r>
    </w:p>
    <w:p w14:paraId="21CA7F9A" w14:textId="77777777" w:rsidR="0005011A" w:rsidRPr="00B53F89" w:rsidRDefault="0005011A" w:rsidP="00FC07B9">
      <w:pPr>
        <w:pStyle w:val="ACMACorporateAddresses"/>
      </w:pPr>
      <w:r w:rsidRPr="00B53F89">
        <w:t xml:space="preserve">Level 5 </w:t>
      </w:r>
      <w:r w:rsidRPr="00B53F89">
        <w:br/>
        <w:t>The Bay Centre</w:t>
      </w:r>
      <w:r w:rsidRPr="00B53F89">
        <w:br/>
        <w:t xml:space="preserve">65 Pirrama Road </w:t>
      </w:r>
      <w:r w:rsidRPr="00B53F89">
        <w:br/>
        <w:t>Pyrmont NSW</w:t>
      </w:r>
    </w:p>
    <w:p w14:paraId="708DF7AE" w14:textId="77777777" w:rsidR="0005011A" w:rsidRPr="00B53F89" w:rsidRDefault="0005011A" w:rsidP="00FC07B9">
      <w:pPr>
        <w:pStyle w:val="ACMACorporateAddresses"/>
      </w:pPr>
      <w:r w:rsidRPr="00B53F89">
        <w:t>PO Box Q500</w:t>
      </w:r>
      <w:r w:rsidRPr="00B53F89">
        <w:br/>
        <w:t xml:space="preserve">Queen Victoria Building </w:t>
      </w:r>
      <w:r w:rsidRPr="00B53F89">
        <w:br/>
        <w:t>NSW 1230</w:t>
      </w:r>
    </w:p>
    <w:p w14:paraId="1163CC05" w14:textId="77777777" w:rsidR="0005011A" w:rsidRPr="00B53F89" w:rsidRDefault="0005011A" w:rsidP="00FC07B9">
      <w:pPr>
        <w:pStyle w:val="ACMACorporateAddresses"/>
      </w:pPr>
      <w:r w:rsidRPr="00B53F89">
        <w:t>T</w:t>
      </w:r>
      <w:r w:rsidR="00140318" w:rsidRPr="00B53F89">
        <w:tab/>
      </w:r>
      <w:r w:rsidRPr="00B53F89">
        <w:t>+61 2 9334 7700</w:t>
      </w:r>
      <w:r w:rsidR="00140318" w:rsidRPr="00B53F89">
        <w:t xml:space="preserve"> or</w:t>
      </w:r>
      <w:r w:rsidRPr="00B53F89">
        <w:t xml:space="preserve"> 1800 226 667</w:t>
      </w:r>
      <w:r w:rsidRPr="00B53F89">
        <w:br/>
        <w:t>F</w:t>
      </w:r>
      <w:r w:rsidR="00140318" w:rsidRPr="00B53F89">
        <w:tab/>
      </w:r>
      <w:r w:rsidRPr="00B53F89">
        <w:t>+61 2 9334 7799</w:t>
      </w:r>
    </w:p>
    <w:p w14:paraId="3C968E65" w14:textId="77777777" w:rsidR="00140318" w:rsidRPr="00B53F89" w:rsidRDefault="00140318" w:rsidP="00FC07B9">
      <w:pPr>
        <w:pStyle w:val="ACMACopyrightHeader"/>
      </w:pPr>
      <w:r w:rsidRPr="00B53F89">
        <w:t>Copyright notice</w:t>
      </w:r>
    </w:p>
    <w:p w14:paraId="76E18378" w14:textId="77777777" w:rsidR="00140318" w:rsidRPr="00B53F89" w:rsidRDefault="00623FF9" w:rsidP="00623FF9">
      <w:pPr>
        <w:pStyle w:val="ACMACClogo"/>
      </w:pPr>
      <w:r w:rsidRPr="006A2F04">
        <w:rPr>
          <w:noProof/>
        </w:rPr>
        <w:drawing>
          <wp:inline distT="0" distB="0" distL="0" distR="0" wp14:anchorId="7214B564" wp14:editId="1F7FBAF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47D7713" w14:textId="77777777" w:rsidR="00A140B6" w:rsidRPr="006A2F04" w:rsidRDefault="004C08FF" w:rsidP="00A140B6">
      <w:pPr>
        <w:pStyle w:val="ACMACorporateAddresses"/>
        <w:rPr>
          <w:rStyle w:val="Hyperlink"/>
        </w:rPr>
      </w:pPr>
      <w:hyperlink r:id="rId13" w:history="1">
        <w:r w:rsidR="00A140B6" w:rsidRPr="00B53F89">
          <w:rPr>
            <w:rStyle w:val="Hyperlink"/>
          </w:rPr>
          <w:t>https://creativecommons.org/licenses/by/4.0//</w:t>
        </w:r>
      </w:hyperlink>
    </w:p>
    <w:p w14:paraId="1C4DDDB6" w14:textId="77777777" w:rsidR="00A140B6" w:rsidRPr="00B53F89" w:rsidRDefault="00A140B6" w:rsidP="00A140B6">
      <w:pPr>
        <w:pStyle w:val="ACMACorporateAddresses"/>
      </w:pPr>
      <w:r w:rsidRPr="00B53F89">
        <w:t xml:space="preserve">With the exception of coats of arms, logos, emblems, images, other third-party material or devices protected by a trademark, this content is made available under the terms of the Creative Commons Attribution 4.0 International (CC BY 4.0) licence. </w:t>
      </w:r>
    </w:p>
    <w:p w14:paraId="723F3F5E" w14:textId="793F1E8E" w:rsidR="00A140B6" w:rsidRPr="00B53F89" w:rsidRDefault="00A140B6" w:rsidP="00A140B6">
      <w:pPr>
        <w:pStyle w:val="ACMACorporateAddresses"/>
      </w:pPr>
      <w:r w:rsidRPr="00B53F89">
        <w:t>We request attribution as © Commonwealth of Australia (Australian Communications and Media Authority) 20</w:t>
      </w:r>
      <w:r w:rsidR="00D90F94">
        <w:t>20</w:t>
      </w:r>
      <w:r w:rsidRPr="00B53F89">
        <w:t>.</w:t>
      </w:r>
    </w:p>
    <w:p w14:paraId="7F6EF873" w14:textId="77777777" w:rsidR="00140318" w:rsidRPr="00B53F89" w:rsidRDefault="00140318" w:rsidP="00FC07B9">
      <w:pPr>
        <w:pStyle w:val="ACMACorporateAddresses"/>
      </w:pPr>
      <w:r w:rsidRPr="00B53F89">
        <w:t>All other rights are reserved.</w:t>
      </w:r>
    </w:p>
    <w:p w14:paraId="5F3E44FE" w14:textId="77777777" w:rsidR="00140318" w:rsidRPr="00B53F89" w:rsidRDefault="00140318" w:rsidP="00FC07B9">
      <w:pPr>
        <w:pStyle w:val="ACMACorporateAddresses"/>
      </w:pPr>
      <w:r w:rsidRPr="00B53F89">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2E9AFCB" w14:textId="77777777" w:rsidR="00140318" w:rsidRPr="00B53F89" w:rsidRDefault="00140318" w:rsidP="00FC07B9">
      <w:pPr>
        <w:pStyle w:val="ACMACorporateAddresses"/>
      </w:pPr>
      <w:r w:rsidRPr="00B53F89">
        <w:t>Written enquiries may be sent to:</w:t>
      </w:r>
    </w:p>
    <w:p w14:paraId="0A09F1B1" w14:textId="1B2E91F3" w:rsidR="00D16FE3" w:rsidRPr="00B53F89" w:rsidRDefault="00140318" w:rsidP="00D16FE3">
      <w:pPr>
        <w:pStyle w:val="ACMACorporateAddresses"/>
        <w:rPr>
          <w:rStyle w:val="Hyperlink"/>
        </w:rPr>
      </w:pPr>
      <w:r w:rsidRPr="006A2F04">
        <w:t xml:space="preserve">Manager, Editorial </w:t>
      </w:r>
      <w:r w:rsidR="00BD2EEB" w:rsidRPr="00B53F89">
        <w:t>Services</w:t>
      </w:r>
      <w:r w:rsidR="00623FF9" w:rsidRPr="00B53F89">
        <w:br/>
      </w:r>
      <w:r w:rsidRPr="00B53F89">
        <w:t>PO Box 13112</w:t>
      </w:r>
      <w:r w:rsidR="00623FF9" w:rsidRPr="00B53F89">
        <w:br/>
      </w:r>
      <w:r w:rsidRPr="00B53F89">
        <w:t>Law Courts</w:t>
      </w:r>
      <w:r w:rsidR="00623FF9" w:rsidRPr="00B53F89">
        <w:br/>
      </w:r>
      <w:r w:rsidRPr="00B53F89">
        <w:t>Melbourne VIC 8010</w:t>
      </w:r>
      <w:r w:rsidR="00623FF9" w:rsidRPr="00B53F89">
        <w:br/>
      </w:r>
      <w:r w:rsidRPr="00B53F89">
        <w:t xml:space="preserve">Email: </w:t>
      </w:r>
      <w:hyperlink r:id="rId14" w:history="1">
        <w:r w:rsidR="000A1400" w:rsidRPr="00B53F89">
          <w:rPr>
            <w:rStyle w:val="Hyperlink"/>
          </w:rPr>
          <w:t>info@acma.gov.au</w:t>
        </w:r>
      </w:hyperlink>
    </w:p>
    <w:p w14:paraId="3A89B8FE" w14:textId="77777777" w:rsidR="00D16FE3" w:rsidRPr="00B53F89" w:rsidRDefault="00D16FE3" w:rsidP="00D16FE3">
      <w:pPr>
        <w:pStyle w:val="ACMACorporateAddresses"/>
        <w:rPr>
          <w:rStyle w:val="Hyperlink"/>
        </w:rPr>
      </w:pPr>
    </w:p>
    <w:p w14:paraId="508AA9C3" w14:textId="77777777" w:rsidR="00D16FE3" w:rsidRPr="00B53F89" w:rsidRDefault="00D16FE3" w:rsidP="00D16FE3">
      <w:pPr>
        <w:pStyle w:val="ACMACorporateAddresses"/>
        <w:sectPr w:rsidR="00D16FE3" w:rsidRPr="00B53F89" w:rsidSect="00E97880">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B73716E" w14:textId="580ED68B" w:rsidR="000A262D" w:rsidRDefault="000A262D">
      <w:pPr>
        <w:pStyle w:val="TOC1"/>
        <w:rPr>
          <w:rFonts w:asciiTheme="minorHAnsi" w:eastAsiaTheme="minorEastAsia" w:hAnsiTheme="minorHAnsi" w:cstheme="minorBidi"/>
          <w:b w:val="0"/>
          <w:spacing w:val="0"/>
          <w:sz w:val="22"/>
          <w:szCs w:val="22"/>
        </w:rPr>
      </w:pPr>
      <w:r>
        <w:rPr>
          <w:rFonts w:cs="Arial"/>
          <w:b w:val="0"/>
          <w:sz w:val="26"/>
          <w:szCs w:val="26"/>
        </w:rPr>
        <w:lastRenderedPageBreak/>
        <w:fldChar w:fldCharType="begin"/>
      </w:r>
      <w:r>
        <w:rPr>
          <w:rFonts w:cs="Arial"/>
          <w:b w:val="0"/>
          <w:sz w:val="26"/>
          <w:szCs w:val="26"/>
        </w:rPr>
        <w:instrText xml:space="preserve"> TOC \o "1-3" \h \z \t "ACMA_ExecSummaryHeading,1" </w:instrText>
      </w:r>
      <w:r>
        <w:rPr>
          <w:rFonts w:cs="Arial"/>
          <w:b w:val="0"/>
          <w:sz w:val="26"/>
          <w:szCs w:val="26"/>
        </w:rPr>
        <w:fldChar w:fldCharType="separate"/>
      </w:r>
      <w:hyperlink w:anchor="_Toc51864283" w:history="1">
        <w:r w:rsidRPr="00781035">
          <w:rPr>
            <w:rStyle w:val="Hyperlink"/>
          </w:rPr>
          <w:t>Foreword</w:t>
        </w:r>
        <w:r>
          <w:rPr>
            <w:webHidden/>
          </w:rPr>
          <w:tab/>
        </w:r>
        <w:r>
          <w:rPr>
            <w:webHidden/>
          </w:rPr>
          <w:fldChar w:fldCharType="begin"/>
        </w:r>
        <w:r>
          <w:rPr>
            <w:webHidden/>
          </w:rPr>
          <w:instrText xml:space="preserve"> PAGEREF _Toc51864283 \h </w:instrText>
        </w:r>
        <w:r>
          <w:rPr>
            <w:webHidden/>
          </w:rPr>
        </w:r>
        <w:r>
          <w:rPr>
            <w:webHidden/>
          </w:rPr>
          <w:fldChar w:fldCharType="separate"/>
        </w:r>
        <w:r w:rsidR="004C08FF">
          <w:rPr>
            <w:webHidden/>
          </w:rPr>
          <w:t>1</w:t>
        </w:r>
        <w:r>
          <w:rPr>
            <w:webHidden/>
          </w:rPr>
          <w:fldChar w:fldCharType="end"/>
        </w:r>
      </w:hyperlink>
    </w:p>
    <w:p w14:paraId="16D3783B" w14:textId="68DF6BDD" w:rsidR="000A262D" w:rsidRDefault="004C08FF">
      <w:pPr>
        <w:pStyle w:val="TOC2"/>
        <w:rPr>
          <w:rFonts w:asciiTheme="minorHAnsi" w:eastAsiaTheme="minorEastAsia" w:hAnsiTheme="minorHAnsi" w:cstheme="minorBidi"/>
          <w:spacing w:val="0"/>
          <w:sz w:val="22"/>
          <w:szCs w:val="22"/>
        </w:rPr>
      </w:pPr>
      <w:hyperlink w:anchor="_Toc51864284" w:history="1">
        <w:r w:rsidR="000A262D" w:rsidRPr="00781035">
          <w:rPr>
            <w:rStyle w:val="Hyperlink"/>
          </w:rPr>
          <w:t>COVID-19—our response</w:t>
        </w:r>
        <w:r w:rsidR="000A262D">
          <w:rPr>
            <w:webHidden/>
          </w:rPr>
          <w:tab/>
        </w:r>
        <w:r w:rsidR="000A262D">
          <w:rPr>
            <w:webHidden/>
          </w:rPr>
          <w:fldChar w:fldCharType="begin"/>
        </w:r>
        <w:r w:rsidR="000A262D">
          <w:rPr>
            <w:webHidden/>
          </w:rPr>
          <w:instrText xml:space="preserve"> PAGEREF _Toc51864284 \h </w:instrText>
        </w:r>
        <w:r w:rsidR="000A262D">
          <w:rPr>
            <w:webHidden/>
          </w:rPr>
        </w:r>
        <w:r w:rsidR="000A262D">
          <w:rPr>
            <w:webHidden/>
          </w:rPr>
          <w:fldChar w:fldCharType="separate"/>
        </w:r>
        <w:r>
          <w:rPr>
            <w:webHidden/>
          </w:rPr>
          <w:t>3</w:t>
        </w:r>
        <w:r w:rsidR="000A262D">
          <w:rPr>
            <w:webHidden/>
          </w:rPr>
          <w:fldChar w:fldCharType="end"/>
        </w:r>
      </w:hyperlink>
    </w:p>
    <w:p w14:paraId="49B83F3B" w14:textId="3D5F574D" w:rsidR="000A262D" w:rsidRDefault="004C08FF">
      <w:pPr>
        <w:pStyle w:val="TOC2"/>
        <w:rPr>
          <w:rFonts w:asciiTheme="minorHAnsi" w:eastAsiaTheme="minorEastAsia" w:hAnsiTheme="minorHAnsi" w:cstheme="minorBidi"/>
          <w:spacing w:val="0"/>
          <w:sz w:val="22"/>
          <w:szCs w:val="22"/>
        </w:rPr>
      </w:pPr>
      <w:hyperlink w:anchor="_Toc51864285" w:history="1">
        <w:r w:rsidR="000A262D" w:rsidRPr="00781035">
          <w:rPr>
            <w:rStyle w:val="Hyperlink"/>
          </w:rPr>
          <w:t>Key to icons</w:t>
        </w:r>
        <w:r w:rsidR="000A262D">
          <w:rPr>
            <w:webHidden/>
          </w:rPr>
          <w:tab/>
        </w:r>
        <w:r w:rsidR="000A262D">
          <w:rPr>
            <w:webHidden/>
          </w:rPr>
          <w:fldChar w:fldCharType="begin"/>
        </w:r>
        <w:r w:rsidR="000A262D">
          <w:rPr>
            <w:webHidden/>
          </w:rPr>
          <w:instrText xml:space="preserve"> PAGEREF _Toc51864285 \h </w:instrText>
        </w:r>
        <w:r w:rsidR="000A262D">
          <w:rPr>
            <w:webHidden/>
          </w:rPr>
        </w:r>
        <w:r w:rsidR="000A262D">
          <w:rPr>
            <w:webHidden/>
          </w:rPr>
          <w:fldChar w:fldCharType="separate"/>
        </w:r>
        <w:r>
          <w:rPr>
            <w:webHidden/>
          </w:rPr>
          <w:t>4</w:t>
        </w:r>
        <w:r w:rsidR="000A262D">
          <w:rPr>
            <w:webHidden/>
          </w:rPr>
          <w:fldChar w:fldCharType="end"/>
        </w:r>
      </w:hyperlink>
    </w:p>
    <w:p w14:paraId="3C5EA56F" w14:textId="2D61949F" w:rsidR="000A262D" w:rsidRDefault="004C08FF">
      <w:pPr>
        <w:pStyle w:val="TOC1"/>
        <w:rPr>
          <w:rFonts w:asciiTheme="minorHAnsi" w:eastAsiaTheme="minorEastAsia" w:hAnsiTheme="minorHAnsi" w:cstheme="minorBidi"/>
          <w:b w:val="0"/>
          <w:spacing w:val="0"/>
          <w:sz w:val="22"/>
          <w:szCs w:val="22"/>
        </w:rPr>
      </w:pPr>
      <w:hyperlink w:anchor="_Toc51864286" w:history="1">
        <w:r w:rsidR="000A262D" w:rsidRPr="00781035">
          <w:rPr>
            <w:rStyle w:val="Hyperlink"/>
          </w:rPr>
          <w:t>At a glance—2020–21 work program</w:t>
        </w:r>
        <w:r w:rsidR="000A262D">
          <w:rPr>
            <w:webHidden/>
          </w:rPr>
          <w:tab/>
        </w:r>
        <w:r w:rsidR="000A262D">
          <w:rPr>
            <w:webHidden/>
          </w:rPr>
          <w:fldChar w:fldCharType="begin"/>
        </w:r>
        <w:r w:rsidR="000A262D">
          <w:rPr>
            <w:webHidden/>
          </w:rPr>
          <w:instrText xml:space="preserve"> PAGEREF _Toc51864286 \h </w:instrText>
        </w:r>
        <w:r w:rsidR="000A262D">
          <w:rPr>
            <w:webHidden/>
          </w:rPr>
        </w:r>
        <w:r w:rsidR="000A262D">
          <w:rPr>
            <w:webHidden/>
          </w:rPr>
          <w:fldChar w:fldCharType="separate"/>
        </w:r>
        <w:r>
          <w:rPr>
            <w:webHidden/>
          </w:rPr>
          <w:t>5</w:t>
        </w:r>
        <w:r w:rsidR="000A262D">
          <w:rPr>
            <w:webHidden/>
          </w:rPr>
          <w:fldChar w:fldCharType="end"/>
        </w:r>
      </w:hyperlink>
    </w:p>
    <w:p w14:paraId="15FD557D" w14:textId="56E21BEA" w:rsidR="000A262D" w:rsidRDefault="004C08FF">
      <w:pPr>
        <w:pStyle w:val="TOC2"/>
        <w:rPr>
          <w:rFonts w:asciiTheme="minorHAnsi" w:eastAsiaTheme="minorEastAsia" w:hAnsiTheme="minorHAnsi" w:cstheme="minorBidi"/>
          <w:spacing w:val="0"/>
          <w:sz w:val="22"/>
          <w:szCs w:val="22"/>
        </w:rPr>
      </w:pPr>
      <w:hyperlink w:anchor="_Toc51864287" w:history="1">
        <w:r w:rsidR="000A262D" w:rsidRPr="00781035">
          <w:rPr>
            <w:rStyle w:val="Hyperlink"/>
          </w:rPr>
          <w:t>FYSO 2019–23 progress report</w:t>
        </w:r>
        <w:r w:rsidR="000A262D">
          <w:rPr>
            <w:webHidden/>
          </w:rPr>
          <w:tab/>
        </w:r>
        <w:r w:rsidR="000A262D">
          <w:rPr>
            <w:webHidden/>
          </w:rPr>
          <w:fldChar w:fldCharType="begin"/>
        </w:r>
        <w:r w:rsidR="000A262D">
          <w:rPr>
            <w:webHidden/>
          </w:rPr>
          <w:instrText xml:space="preserve"> PAGEREF _Toc51864287 \h </w:instrText>
        </w:r>
        <w:r w:rsidR="000A262D">
          <w:rPr>
            <w:webHidden/>
          </w:rPr>
        </w:r>
        <w:r w:rsidR="000A262D">
          <w:rPr>
            <w:webHidden/>
          </w:rPr>
          <w:fldChar w:fldCharType="separate"/>
        </w:r>
        <w:r>
          <w:rPr>
            <w:webHidden/>
          </w:rPr>
          <w:t>13</w:t>
        </w:r>
        <w:r w:rsidR="000A262D">
          <w:rPr>
            <w:webHidden/>
          </w:rPr>
          <w:fldChar w:fldCharType="end"/>
        </w:r>
      </w:hyperlink>
    </w:p>
    <w:p w14:paraId="32C55ECC" w14:textId="4CC4DBB4" w:rsidR="000A262D" w:rsidRDefault="004C08FF">
      <w:pPr>
        <w:pStyle w:val="TOC1"/>
        <w:rPr>
          <w:rFonts w:asciiTheme="minorHAnsi" w:eastAsiaTheme="minorEastAsia" w:hAnsiTheme="minorHAnsi" w:cstheme="minorBidi"/>
          <w:b w:val="0"/>
          <w:spacing w:val="0"/>
          <w:sz w:val="22"/>
          <w:szCs w:val="22"/>
        </w:rPr>
      </w:pPr>
      <w:hyperlink w:anchor="_Toc51864288" w:history="1">
        <w:r w:rsidR="000A262D" w:rsidRPr="00781035">
          <w:rPr>
            <w:rStyle w:val="Hyperlink"/>
            <w:rFonts w:eastAsiaTheme="majorEastAsia"/>
          </w:rPr>
          <w:t>Part 1—Five-year spectrum outlook</w:t>
        </w:r>
        <w:r w:rsidR="000A262D">
          <w:rPr>
            <w:webHidden/>
          </w:rPr>
          <w:tab/>
        </w:r>
        <w:r w:rsidR="000A262D">
          <w:rPr>
            <w:webHidden/>
          </w:rPr>
          <w:fldChar w:fldCharType="begin"/>
        </w:r>
        <w:r w:rsidR="000A262D">
          <w:rPr>
            <w:webHidden/>
          </w:rPr>
          <w:instrText xml:space="preserve"> PAGEREF _Toc51864288 \h </w:instrText>
        </w:r>
        <w:r w:rsidR="000A262D">
          <w:rPr>
            <w:webHidden/>
          </w:rPr>
        </w:r>
        <w:r w:rsidR="000A262D">
          <w:rPr>
            <w:webHidden/>
          </w:rPr>
          <w:fldChar w:fldCharType="separate"/>
        </w:r>
        <w:r>
          <w:rPr>
            <w:webHidden/>
          </w:rPr>
          <w:t>14</w:t>
        </w:r>
        <w:r w:rsidR="000A262D">
          <w:rPr>
            <w:webHidden/>
          </w:rPr>
          <w:fldChar w:fldCharType="end"/>
        </w:r>
      </w:hyperlink>
    </w:p>
    <w:p w14:paraId="58D28F66" w14:textId="227DAF59" w:rsidR="000A262D" w:rsidRDefault="004C08FF">
      <w:pPr>
        <w:pStyle w:val="TOC2"/>
        <w:rPr>
          <w:rFonts w:asciiTheme="minorHAnsi" w:eastAsiaTheme="minorEastAsia" w:hAnsiTheme="minorHAnsi" w:cstheme="minorBidi"/>
          <w:spacing w:val="0"/>
          <w:sz w:val="22"/>
          <w:szCs w:val="22"/>
        </w:rPr>
      </w:pPr>
      <w:hyperlink w:anchor="_Toc51864289" w:history="1">
        <w:r w:rsidR="000A262D" w:rsidRPr="00781035">
          <w:rPr>
            <w:rStyle w:val="Hyperlink"/>
          </w:rPr>
          <w:t>Overview of current industry landscape</w:t>
        </w:r>
        <w:r w:rsidR="000A262D">
          <w:rPr>
            <w:webHidden/>
          </w:rPr>
          <w:tab/>
        </w:r>
        <w:r w:rsidR="000A262D">
          <w:rPr>
            <w:webHidden/>
          </w:rPr>
          <w:fldChar w:fldCharType="begin"/>
        </w:r>
        <w:r w:rsidR="000A262D">
          <w:rPr>
            <w:webHidden/>
          </w:rPr>
          <w:instrText xml:space="preserve"> PAGEREF _Toc51864289 \h </w:instrText>
        </w:r>
        <w:r w:rsidR="000A262D">
          <w:rPr>
            <w:webHidden/>
          </w:rPr>
        </w:r>
        <w:r w:rsidR="000A262D">
          <w:rPr>
            <w:webHidden/>
          </w:rPr>
          <w:fldChar w:fldCharType="separate"/>
        </w:r>
        <w:r>
          <w:rPr>
            <w:webHidden/>
          </w:rPr>
          <w:t>14</w:t>
        </w:r>
        <w:r w:rsidR="000A262D">
          <w:rPr>
            <w:webHidden/>
          </w:rPr>
          <w:fldChar w:fldCharType="end"/>
        </w:r>
      </w:hyperlink>
    </w:p>
    <w:p w14:paraId="20D42D59" w14:textId="2119D913" w:rsidR="000A262D" w:rsidRDefault="004C08FF">
      <w:pPr>
        <w:pStyle w:val="TOC2"/>
        <w:rPr>
          <w:rFonts w:asciiTheme="minorHAnsi" w:eastAsiaTheme="minorEastAsia" w:hAnsiTheme="minorHAnsi" w:cstheme="minorBidi"/>
          <w:spacing w:val="0"/>
          <w:sz w:val="22"/>
          <w:szCs w:val="22"/>
        </w:rPr>
      </w:pPr>
      <w:hyperlink w:anchor="_Toc51864290" w:history="1">
        <w:r w:rsidR="000A262D" w:rsidRPr="00781035">
          <w:rPr>
            <w:rStyle w:val="Hyperlink"/>
            <w:rFonts w:eastAsiaTheme="majorEastAsia"/>
          </w:rPr>
          <w:t>Spectrum uses</w:t>
        </w:r>
        <w:r w:rsidR="000A262D">
          <w:rPr>
            <w:webHidden/>
          </w:rPr>
          <w:tab/>
        </w:r>
        <w:r w:rsidR="000A262D">
          <w:rPr>
            <w:webHidden/>
          </w:rPr>
          <w:fldChar w:fldCharType="begin"/>
        </w:r>
        <w:r w:rsidR="000A262D">
          <w:rPr>
            <w:webHidden/>
          </w:rPr>
          <w:instrText xml:space="preserve"> PAGEREF _Toc51864290 \h </w:instrText>
        </w:r>
        <w:r w:rsidR="000A262D">
          <w:rPr>
            <w:webHidden/>
          </w:rPr>
        </w:r>
        <w:r w:rsidR="000A262D">
          <w:rPr>
            <w:webHidden/>
          </w:rPr>
          <w:fldChar w:fldCharType="separate"/>
        </w:r>
        <w:r>
          <w:rPr>
            <w:webHidden/>
          </w:rPr>
          <w:t>16</w:t>
        </w:r>
        <w:r w:rsidR="000A262D">
          <w:rPr>
            <w:webHidden/>
          </w:rPr>
          <w:fldChar w:fldCharType="end"/>
        </w:r>
      </w:hyperlink>
    </w:p>
    <w:p w14:paraId="06DC7B63" w14:textId="1BD1EF5A" w:rsidR="000A262D" w:rsidRDefault="004C08FF">
      <w:pPr>
        <w:pStyle w:val="TOC3"/>
        <w:rPr>
          <w:rFonts w:asciiTheme="minorHAnsi" w:eastAsiaTheme="minorEastAsia" w:hAnsiTheme="minorHAnsi" w:cstheme="minorBidi"/>
        </w:rPr>
      </w:pPr>
      <w:hyperlink w:anchor="_Toc51864291" w:history="1">
        <w:r w:rsidR="000A262D" w:rsidRPr="00781035">
          <w:rPr>
            <w:rStyle w:val="Hyperlink"/>
          </w:rPr>
          <w:t>Wireless (fixed and mobile) broadband, including 5G</w:t>
        </w:r>
        <w:r w:rsidR="000A262D">
          <w:rPr>
            <w:webHidden/>
          </w:rPr>
          <w:tab/>
        </w:r>
        <w:r w:rsidR="000A262D">
          <w:rPr>
            <w:webHidden/>
          </w:rPr>
          <w:fldChar w:fldCharType="begin"/>
        </w:r>
        <w:r w:rsidR="000A262D">
          <w:rPr>
            <w:webHidden/>
          </w:rPr>
          <w:instrText xml:space="preserve"> PAGEREF _Toc51864291 \h </w:instrText>
        </w:r>
        <w:r w:rsidR="000A262D">
          <w:rPr>
            <w:webHidden/>
          </w:rPr>
        </w:r>
        <w:r w:rsidR="000A262D">
          <w:rPr>
            <w:webHidden/>
          </w:rPr>
          <w:fldChar w:fldCharType="separate"/>
        </w:r>
        <w:r>
          <w:rPr>
            <w:webHidden/>
          </w:rPr>
          <w:t>16</w:t>
        </w:r>
        <w:r w:rsidR="000A262D">
          <w:rPr>
            <w:webHidden/>
          </w:rPr>
          <w:fldChar w:fldCharType="end"/>
        </w:r>
      </w:hyperlink>
    </w:p>
    <w:p w14:paraId="53764674" w14:textId="2466AA64" w:rsidR="000A262D" w:rsidRDefault="004C08FF">
      <w:pPr>
        <w:pStyle w:val="TOC3"/>
        <w:rPr>
          <w:rFonts w:asciiTheme="minorHAnsi" w:eastAsiaTheme="minorEastAsia" w:hAnsiTheme="minorHAnsi" w:cstheme="minorBidi"/>
        </w:rPr>
      </w:pPr>
      <w:hyperlink w:anchor="_Toc51864292" w:history="1">
        <w:r w:rsidR="000A262D" w:rsidRPr="00781035">
          <w:rPr>
            <w:rStyle w:val="Hyperlink"/>
          </w:rPr>
          <w:t>Private/industry vertical networks</w:t>
        </w:r>
        <w:r w:rsidR="000A262D">
          <w:rPr>
            <w:webHidden/>
          </w:rPr>
          <w:tab/>
        </w:r>
        <w:r w:rsidR="000A262D">
          <w:rPr>
            <w:webHidden/>
          </w:rPr>
          <w:fldChar w:fldCharType="begin"/>
        </w:r>
        <w:r w:rsidR="000A262D">
          <w:rPr>
            <w:webHidden/>
          </w:rPr>
          <w:instrText xml:space="preserve"> PAGEREF _Toc51864292 \h </w:instrText>
        </w:r>
        <w:r w:rsidR="000A262D">
          <w:rPr>
            <w:webHidden/>
          </w:rPr>
        </w:r>
        <w:r w:rsidR="000A262D">
          <w:rPr>
            <w:webHidden/>
          </w:rPr>
          <w:fldChar w:fldCharType="separate"/>
        </w:r>
        <w:r>
          <w:rPr>
            <w:webHidden/>
          </w:rPr>
          <w:t>19</w:t>
        </w:r>
        <w:r w:rsidR="000A262D">
          <w:rPr>
            <w:webHidden/>
          </w:rPr>
          <w:fldChar w:fldCharType="end"/>
        </w:r>
      </w:hyperlink>
    </w:p>
    <w:p w14:paraId="7B79A089" w14:textId="2231B4A6" w:rsidR="000A262D" w:rsidRDefault="004C08FF">
      <w:pPr>
        <w:pStyle w:val="TOC3"/>
        <w:rPr>
          <w:rFonts w:asciiTheme="minorHAnsi" w:eastAsiaTheme="minorEastAsia" w:hAnsiTheme="minorHAnsi" w:cstheme="minorBidi"/>
        </w:rPr>
      </w:pPr>
      <w:hyperlink w:anchor="_Toc51864293" w:history="1">
        <w:r w:rsidR="000A262D" w:rsidRPr="00781035">
          <w:rPr>
            <w:rStyle w:val="Hyperlink"/>
          </w:rPr>
          <w:t>Machine-to-machine communications and the Internet of Things</w:t>
        </w:r>
        <w:r w:rsidR="000A262D">
          <w:rPr>
            <w:webHidden/>
          </w:rPr>
          <w:tab/>
        </w:r>
        <w:r w:rsidR="000A262D">
          <w:rPr>
            <w:webHidden/>
          </w:rPr>
          <w:fldChar w:fldCharType="begin"/>
        </w:r>
        <w:r w:rsidR="000A262D">
          <w:rPr>
            <w:webHidden/>
          </w:rPr>
          <w:instrText xml:space="preserve"> PAGEREF _Toc51864293 \h </w:instrText>
        </w:r>
        <w:r w:rsidR="000A262D">
          <w:rPr>
            <w:webHidden/>
          </w:rPr>
        </w:r>
        <w:r w:rsidR="000A262D">
          <w:rPr>
            <w:webHidden/>
          </w:rPr>
          <w:fldChar w:fldCharType="separate"/>
        </w:r>
        <w:r>
          <w:rPr>
            <w:webHidden/>
          </w:rPr>
          <w:t>20</w:t>
        </w:r>
        <w:r w:rsidR="000A262D">
          <w:rPr>
            <w:webHidden/>
          </w:rPr>
          <w:fldChar w:fldCharType="end"/>
        </w:r>
      </w:hyperlink>
    </w:p>
    <w:p w14:paraId="0410A428" w14:textId="69861243" w:rsidR="000A262D" w:rsidRDefault="004C08FF">
      <w:pPr>
        <w:pStyle w:val="TOC3"/>
        <w:rPr>
          <w:rFonts w:asciiTheme="minorHAnsi" w:eastAsiaTheme="minorEastAsia" w:hAnsiTheme="minorHAnsi" w:cstheme="minorBidi"/>
        </w:rPr>
      </w:pPr>
      <w:hyperlink w:anchor="_Toc51864294" w:history="1">
        <w:r w:rsidR="000A262D" w:rsidRPr="00781035">
          <w:rPr>
            <w:rStyle w:val="Hyperlink"/>
          </w:rPr>
          <w:t>Broadcasting services</w:t>
        </w:r>
        <w:r w:rsidR="000A262D">
          <w:rPr>
            <w:webHidden/>
          </w:rPr>
          <w:tab/>
        </w:r>
        <w:r w:rsidR="000A262D">
          <w:rPr>
            <w:webHidden/>
          </w:rPr>
          <w:fldChar w:fldCharType="begin"/>
        </w:r>
        <w:r w:rsidR="000A262D">
          <w:rPr>
            <w:webHidden/>
          </w:rPr>
          <w:instrText xml:space="preserve"> PAGEREF _Toc51864294 \h </w:instrText>
        </w:r>
        <w:r w:rsidR="000A262D">
          <w:rPr>
            <w:webHidden/>
          </w:rPr>
        </w:r>
        <w:r w:rsidR="000A262D">
          <w:rPr>
            <w:webHidden/>
          </w:rPr>
          <w:fldChar w:fldCharType="separate"/>
        </w:r>
        <w:r>
          <w:rPr>
            <w:webHidden/>
          </w:rPr>
          <w:t>22</w:t>
        </w:r>
        <w:r w:rsidR="000A262D">
          <w:rPr>
            <w:webHidden/>
          </w:rPr>
          <w:fldChar w:fldCharType="end"/>
        </w:r>
      </w:hyperlink>
    </w:p>
    <w:p w14:paraId="0D7633BA" w14:textId="5A8126AC" w:rsidR="000A262D" w:rsidRDefault="004C08FF">
      <w:pPr>
        <w:pStyle w:val="TOC3"/>
        <w:rPr>
          <w:rFonts w:asciiTheme="minorHAnsi" w:eastAsiaTheme="minorEastAsia" w:hAnsiTheme="minorHAnsi" w:cstheme="minorBidi"/>
        </w:rPr>
      </w:pPr>
      <w:hyperlink w:anchor="_Toc51864295" w:history="1">
        <w:r w:rsidR="000A262D" w:rsidRPr="00781035">
          <w:rPr>
            <w:rStyle w:val="Hyperlink"/>
          </w:rPr>
          <w:t>Satellite communications</w:t>
        </w:r>
        <w:r w:rsidR="000A262D">
          <w:rPr>
            <w:webHidden/>
          </w:rPr>
          <w:tab/>
        </w:r>
        <w:r w:rsidR="000A262D">
          <w:rPr>
            <w:webHidden/>
          </w:rPr>
          <w:fldChar w:fldCharType="begin"/>
        </w:r>
        <w:r w:rsidR="000A262D">
          <w:rPr>
            <w:webHidden/>
          </w:rPr>
          <w:instrText xml:space="preserve"> PAGEREF _Toc51864295 \h </w:instrText>
        </w:r>
        <w:r w:rsidR="000A262D">
          <w:rPr>
            <w:webHidden/>
          </w:rPr>
        </w:r>
        <w:r w:rsidR="000A262D">
          <w:rPr>
            <w:webHidden/>
          </w:rPr>
          <w:fldChar w:fldCharType="separate"/>
        </w:r>
        <w:r>
          <w:rPr>
            <w:webHidden/>
          </w:rPr>
          <w:t>24</w:t>
        </w:r>
        <w:r w:rsidR="000A262D">
          <w:rPr>
            <w:webHidden/>
          </w:rPr>
          <w:fldChar w:fldCharType="end"/>
        </w:r>
      </w:hyperlink>
    </w:p>
    <w:p w14:paraId="0AAB2BF5" w14:textId="5C906E5B" w:rsidR="000A262D" w:rsidRDefault="004C08FF">
      <w:pPr>
        <w:pStyle w:val="TOC3"/>
        <w:rPr>
          <w:rFonts w:asciiTheme="minorHAnsi" w:eastAsiaTheme="minorEastAsia" w:hAnsiTheme="minorHAnsi" w:cstheme="minorBidi"/>
        </w:rPr>
      </w:pPr>
      <w:hyperlink w:anchor="_Toc51864296" w:history="1">
        <w:r w:rsidR="000A262D" w:rsidRPr="00781035">
          <w:rPr>
            <w:rStyle w:val="Hyperlink"/>
          </w:rPr>
          <w:t>Spectrum for government requirements</w:t>
        </w:r>
        <w:r w:rsidR="000A262D">
          <w:rPr>
            <w:webHidden/>
          </w:rPr>
          <w:tab/>
        </w:r>
        <w:r w:rsidR="000A262D">
          <w:rPr>
            <w:webHidden/>
          </w:rPr>
          <w:fldChar w:fldCharType="begin"/>
        </w:r>
        <w:r w:rsidR="000A262D">
          <w:rPr>
            <w:webHidden/>
          </w:rPr>
          <w:instrText xml:space="preserve"> PAGEREF _Toc51864296 \h </w:instrText>
        </w:r>
        <w:r w:rsidR="000A262D">
          <w:rPr>
            <w:webHidden/>
          </w:rPr>
        </w:r>
        <w:r w:rsidR="000A262D">
          <w:rPr>
            <w:webHidden/>
          </w:rPr>
          <w:fldChar w:fldCharType="separate"/>
        </w:r>
        <w:r>
          <w:rPr>
            <w:webHidden/>
          </w:rPr>
          <w:t>25</w:t>
        </w:r>
        <w:r w:rsidR="000A262D">
          <w:rPr>
            <w:webHidden/>
          </w:rPr>
          <w:fldChar w:fldCharType="end"/>
        </w:r>
      </w:hyperlink>
    </w:p>
    <w:p w14:paraId="63C2111F" w14:textId="295EC6E2" w:rsidR="000A262D" w:rsidRDefault="004C08FF">
      <w:pPr>
        <w:pStyle w:val="TOC3"/>
        <w:rPr>
          <w:rFonts w:asciiTheme="minorHAnsi" w:eastAsiaTheme="minorEastAsia" w:hAnsiTheme="minorHAnsi" w:cstheme="minorBidi"/>
        </w:rPr>
      </w:pPr>
      <w:hyperlink w:anchor="_Toc51864297" w:history="1">
        <w:r w:rsidR="000A262D" w:rsidRPr="00781035">
          <w:rPr>
            <w:rStyle w:val="Hyperlink"/>
          </w:rPr>
          <w:t>Spectrum sharing</w:t>
        </w:r>
        <w:r w:rsidR="000A262D">
          <w:rPr>
            <w:webHidden/>
          </w:rPr>
          <w:tab/>
        </w:r>
        <w:r w:rsidR="000A262D">
          <w:rPr>
            <w:webHidden/>
          </w:rPr>
          <w:fldChar w:fldCharType="begin"/>
        </w:r>
        <w:r w:rsidR="000A262D">
          <w:rPr>
            <w:webHidden/>
          </w:rPr>
          <w:instrText xml:space="preserve"> PAGEREF _Toc51864297 \h </w:instrText>
        </w:r>
        <w:r w:rsidR="000A262D">
          <w:rPr>
            <w:webHidden/>
          </w:rPr>
        </w:r>
        <w:r w:rsidR="000A262D">
          <w:rPr>
            <w:webHidden/>
          </w:rPr>
          <w:fldChar w:fldCharType="separate"/>
        </w:r>
        <w:r>
          <w:rPr>
            <w:webHidden/>
          </w:rPr>
          <w:t>27</w:t>
        </w:r>
        <w:r w:rsidR="000A262D">
          <w:rPr>
            <w:webHidden/>
          </w:rPr>
          <w:fldChar w:fldCharType="end"/>
        </w:r>
      </w:hyperlink>
    </w:p>
    <w:p w14:paraId="2717B82B" w14:textId="36949214" w:rsidR="000A262D" w:rsidRDefault="004C08FF">
      <w:pPr>
        <w:pStyle w:val="TOC3"/>
        <w:rPr>
          <w:rFonts w:asciiTheme="minorHAnsi" w:eastAsiaTheme="minorEastAsia" w:hAnsiTheme="minorHAnsi" w:cstheme="minorBidi"/>
        </w:rPr>
      </w:pPr>
      <w:hyperlink w:anchor="_Toc51864298" w:history="1">
        <w:r w:rsidR="000A262D" w:rsidRPr="00781035">
          <w:rPr>
            <w:rStyle w:val="Hyperlink"/>
          </w:rPr>
          <w:t>Class licensing and the spectrum commons</w:t>
        </w:r>
        <w:r w:rsidR="000A262D">
          <w:rPr>
            <w:webHidden/>
          </w:rPr>
          <w:tab/>
        </w:r>
        <w:r w:rsidR="000A262D">
          <w:rPr>
            <w:webHidden/>
          </w:rPr>
          <w:fldChar w:fldCharType="begin"/>
        </w:r>
        <w:r w:rsidR="000A262D">
          <w:rPr>
            <w:webHidden/>
          </w:rPr>
          <w:instrText xml:space="preserve"> PAGEREF _Toc51864298 \h </w:instrText>
        </w:r>
        <w:r w:rsidR="000A262D">
          <w:rPr>
            <w:webHidden/>
          </w:rPr>
        </w:r>
        <w:r w:rsidR="000A262D">
          <w:rPr>
            <w:webHidden/>
          </w:rPr>
          <w:fldChar w:fldCharType="separate"/>
        </w:r>
        <w:r>
          <w:rPr>
            <w:webHidden/>
          </w:rPr>
          <w:t>29</w:t>
        </w:r>
        <w:r w:rsidR="000A262D">
          <w:rPr>
            <w:webHidden/>
          </w:rPr>
          <w:fldChar w:fldCharType="end"/>
        </w:r>
      </w:hyperlink>
    </w:p>
    <w:p w14:paraId="5400FE4B" w14:textId="51777D19" w:rsidR="000A262D" w:rsidRDefault="004C08FF">
      <w:pPr>
        <w:pStyle w:val="TOC3"/>
        <w:rPr>
          <w:rFonts w:asciiTheme="minorHAnsi" w:eastAsiaTheme="minorEastAsia" w:hAnsiTheme="minorHAnsi" w:cstheme="minorBidi"/>
        </w:rPr>
      </w:pPr>
      <w:hyperlink w:anchor="_Toc51864299" w:history="1">
        <w:r w:rsidR="000A262D" w:rsidRPr="00781035">
          <w:rPr>
            <w:rStyle w:val="Hyperlink"/>
          </w:rPr>
          <w:t>Amateur radio</w:t>
        </w:r>
        <w:r w:rsidR="000A262D">
          <w:rPr>
            <w:webHidden/>
          </w:rPr>
          <w:tab/>
        </w:r>
        <w:r w:rsidR="000A262D">
          <w:rPr>
            <w:webHidden/>
          </w:rPr>
          <w:fldChar w:fldCharType="begin"/>
        </w:r>
        <w:r w:rsidR="000A262D">
          <w:rPr>
            <w:webHidden/>
          </w:rPr>
          <w:instrText xml:space="preserve"> PAGEREF _Toc51864299 \h </w:instrText>
        </w:r>
        <w:r w:rsidR="000A262D">
          <w:rPr>
            <w:webHidden/>
          </w:rPr>
        </w:r>
        <w:r w:rsidR="000A262D">
          <w:rPr>
            <w:webHidden/>
          </w:rPr>
          <w:fldChar w:fldCharType="separate"/>
        </w:r>
        <w:r>
          <w:rPr>
            <w:webHidden/>
          </w:rPr>
          <w:t>30</w:t>
        </w:r>
        <w:r w:rsidR="000A262D">
          <w:rPr>
            <w:webHidden/>
          </w:rPr>
          <w:fldChar w:fldCharType="end"/>
        </w:r>
      </w:hyperlink>
    </w:p>
    <w:p w14:paraId="452877AF" w14:textId="225A923B" w:rsidR="000A262D" w:rsidRDefault="004C08FF">
      <w:pPr>
        <w:pStyle w:val="TOC1"/>
        <w:rPr>
          <w:rFonts w:asciiTheme="minorHAnsi" w:eastAsiaTheme="minorEastAsia" w:hAnsiTheme="minorHAnsi" w:cstheme="minorBidi"/>
          <w:b w:val="0"/>
          <w:spacing w:val="0"/>
          <w:sz w:val="22"/>
          <w:szCs w:val="22"/>
        </w:rPr>
      </w:pPr>
      <w:hyperlink w:anchor="_Toc51864300" w:history="1">
        <w:r w:rsidR="000A262D" w:rsidRPr="00781035">
          <w:rPr>
            <w:rStyle w:val="Hyperlink"/>
            <w:rFonts w:eastAsiaTheme="majorEastAsia"/>
          </w:rPr>
          <w:t>Part 2—Proposed 2020–21 annual spectrum management work program</w:t>
        </w:r>
        <w:r w:rsidR="000A262D">
          <w:rPr>
            <w:webHidden/>
          </w:rPr>
          <w:tab/>
        </w:r>
        <w:r w:rsidR="000A262D">
          <w:rPr>
            <w:webHidden/>
          </w:rPr>
          <w:fldChar w:fldCharType="begin"/>
        </w:r>
        <w:r w:rsidR="000A262D">
          <w:rPr>
            <w:webHidden/>
          </w:rPr>
          <w:instrText xml:space="preserve"> PAGEREF _Toc51864300 \h </w:instrText>
        </w:r>
        <w:r w:rsidR="000A262D">
          <w:rPr>
            <w:webHidden/>
          </w:rPr>
        </w:r>
        <w:r w:rsidR="000A262D">
          <w:rPr>
            <w:webHidden/>
          </w:rPr>
          <w:fldChar w:fldCharType="separate"/>
        </w:r>
        <w:r>
          <w:rPr>
            <w:webHidden/>
          </w:rPr>
          <w:t>32</w:t>
        </w:r>
        <w:r w:rsidR="000A262D">
          <w:rPr>
            <w:webHidden/>
          </w:rPr>
          <w:fldChar w:fldCharType="end"/>
        </w:r>
      </w:hyperlink>
    </w:p>
    <w:p w14:paraId="3C8458C1" w14:textId="6B5E0288" w:rsidR="000A262D" w:rsidRDefault="004C08FF">
      <w:pPr>
        <w:pStyle w:val="TOC2"/>
        <w:rPr>
          <w:rFonts w:asciiTheme="minorHAnsi" w:eastAsiaTheme="minorEastAsia" w:hAnsiTheme="minorHAnsi" w:cstheme="minorBidi"/>
          <w:spacing w:val="0"/>
          <w:sz w:val="22"/>
          <w:szCs w:val="22"/>
        </w:rPr>
      </w:pPr>
      <w:hyperlink w:anchor="_Toc51864301" w:history="1">
        <w:r w:rsidR="000A262D" w:rsidRPr="00781035">
          <w:rPr>
            <w:rStyle w:val="Hyperlink"/>
          </w:rPr>
          <w:t>Priorities and resources</w:t>
        </w:r>
        <w:r w:rsidR="000A262D">
          <w:rPr>
            <w:webHidden/>
          </w:rPr>
          <w:tab/>
        </w:r>
        <w:r w:rsidR="000A262D">
          <w:rPr>
            <w:webHidden/>
          </w:rPr>
          <w:fldChar w:fldCharType="begin"/>
        </w:r>
        <w:r w:rsidR="000A262D">
          <w:rPr>
            <w:webHidden/>
          </w:rPr>
          <w:instrText xml:space="preserve"> PAGEREF _Toc51864301 \h </w:instrText>
        </w:r>
        <w:r w:rsidR="000A262D">
          <w:rPr>
            <w:webHidden/>
          </w:rPr>
        </w:r>
        <w:r w:rsidR="000A262D">
          <w:rPr>
            <w:webHidden/>
          </w:rPr>
          <w:fldChar w:fldCharType="separate"/>
        </w:r>
        <w:r>
          <w:rPr>
            <w:webHidden/>
          </w:rPr>
          <w:t>32</w:t>
        </w:r>
        <w:r w:rsidR="000A262D">
          <w:rPr>
            <w:webHidden/>
          </w:rPr>
          <w:fldChar w:fldCharType="end"/>
        </w:r>
      </w:hyperlink>
    </w:p>
    <w:p w14:paraId="3C4DB855" w14:textId="077E797A" w:rsidR="000A262D" w:rsidRDefault="004C08FF">
      <w:pPr>
        <w:pStyle w:val="TOC2"/>
        <w:rPr>
          <w:rFonts w:asciiTheme="minorHAnsi" w:eastAsiaTheme="minorEastAsia" w:hAnsiTheme="minorHAnsi" w:cstheme="minorBidi"/>
          <w:spacing w:val="0"/>
          <w:sz w:val="22"/>
          <w:szCs w:val="22"/>
        </w:rPr>
      </w:pPr>
      <w:hyperlink w:anchor="_Toc51864302" w:history="1">
        <w:r w:rsidR="000A262D" w:rsidRPr="00781035">
          <w:rPr>
            <w:rStyle w:val="Hyperlink"/>
          </w:rPr>
          <w:t>Planning</w:t>
        </w:r>
        <w:r w:rsidR="000A262D">
          <w:rPr>
            <w:webHidden/>
          </w:rPr>
          <w:tab/>
        </w:r>
        <w:r w:rsidR="000A262D">
          <w:rPr>
            <w:webHidden/>
          </w:rPr>
          <w:fldChar w:fldCharType="begin"/>
        </w:r>
        <w:r w:rsidR="000A262D">
          <w:rPr>
            <w:webHidden/>
          </w:rPr>
          <w:instrText xml:space="preserve"> PAGEREF _Toc51864302 \h </w:instrText>
        </w:r>
        <w:r w:rsidR="000A262D">
          <w:rPr>
            <w:webHidden/>
          </w:rPr>
        </w:r>
        <w:r w:rsidR="000A262D">
          <w:rPr>
            <w:webHidden/>
          </w:rPr>
          <w:fldChar w:fldCharType="separate"/>
        </w:r>
        <w:r>
          <w:rPr>
            <w:webHidden/>
          </w:rPr>
          <w:t>33</w:t>
        </w:r>
        <w:r w:rsidR="000A262D">
          <w:rPr>
            <w:webHidden/>
          </w:rPr>
          <w:fldChar w:fldCharType="end"/>
        </w:r>
      </w:hyperlink>
    </w:p>
    <w:p w14:paraId="0CA57504" w14:textId="1B1AEC44" w:rsidR="000A262D" w:rsidRDefault="004C08FF">
      <w:pPr>
        <w:pStyle w:val="TOC2"/>
        <w:rPr>
          <w:rFonts w:asciiTheme="minorHAnsi" w:eastAsiaTheme="minorEastAsia" w:hAnsiTheme="minorHAnsi" w:cstheme="minorBidi"/>
          <w:spacing w:val="0"/>
          <w:sz w:val="22"/>
          <w:szCs w:val="22"/>
        </w:rPr>
      </w:pPr>
      <w:hyperlink w:anchor="_Toc51864303" w:history="1">
        <w:r w:rsidR="000A262D" w:rsidRPr="00781035">
          <w:rPr>
            <w:rStyle w:val="Hyperlink"/>
          </w:rPr>
          <w:t>Implementing outcomes of WRC-19</w:t>
        </w:r>
        <w:r w:rsidR="000A262D">
          <w:rPr>
            <w:webHidden/>
          </w:rPr>
          <w:tab/>
        </w:r>
        <w:r w:rsidR="000A262D">
          <w:rPr>
            <w:webHidden/>
          </w:rPr>
          <w:fldChar w:fldCharType="begin"/>
        </w:r>
        <w:r w:rsidR="000A262D">
          <w:rPr>
            <w:webHidden/>
          </w:rPr>
          <w:instrText xml:space="preserve"> PAGEREF _Toc51864303 \h </w:instrText>
        </w:r>
        <w:r w:rsidR="000A262D">
          <w:rPr>
            <w:webHidden/>
          </w:rPr>
        </w:r>
        <w:r w:rsidR="000A262D">
          <w:rPr>
            <w:webHidden/>
          </w:rPr>
          <w:fldChar w:fldCharType="separate"/>
        </w:r>
        <w:r>
          <w:rPr>
            <w:webHidden/>
          </w:rPr>
          <w:t>34</w:t>
        </w:r>
        <w:r w:rsidR="000A262D">
          <w:rPr>
            <w:webHidden/>
          </w:rPr>
          <w:fldChar w:fldCharType="end"/>
        </w:r>
      </w:hyperlink>
    </w:p>
    <w:p w14:paraId="4286CFA7" w14:textId="5AE9721D" w:rsidR="000A262D" w:rsidRDefault="004C08FF">
      <w:pPr>
        <w:pStyle w:val="TOC2"/>
        <w:rPr>
          <w:rFonts w:asciiTheme="minorHAnsi" w:eastAsiaTheme="minorEastAsia" w:hAnsiTheme="minorHAnsi" w:cstheme="minorBidi"/>
          <w:spacing w:val="0"/>
          <w:sz w:val="22"/>
          <w:szCs w:val="22"/>
        </w:rPr>
      </w:pPr>
      <w:hyperlink w:anchor="_Toc51864304" w:history="1">
        <w:r w:rsidR="000A262D" w:rsidRPr="00781035">
          <w:rPr>
            <w:rStyle w:val="Hyperlink"/>
          </w:rPr>
          <w:t>Major band-planning activities</w:t>
        </w:r>
        <w:r w:rsidR="000A262D">
          <w:rPr>
            <w:webHidden/>
          </w:rPr>
          <w:tab/>
        </w:r>
        <w:r w:rsidR="000A262D">
          <w:rPr>
            <w:webHidden/>
          </w:rPr>
          <w:fldChar w:fldCharType="begin"/>
        </w:r>
        <w:r w:rsidR="000A262D">
          <w:rPr>
            <w:webHidden/>
          </w:rPr>
          <w:instrText xml:space="preserve"> PAGEREF _Toc51864304 \h </w:instrText>
        </w:r>
        <w:r w:rsidR="000A262D">
          <w:rPr>
            <w:webHidden/>
          </w:rPr>
        </w:r>
        <w:r w:rsidR="000A262D">
          <w:rPr>
            <w:webHidden/>
          </w:rPr>
          <w:fldChar w:fldCharType="separate"/>
        </w:r>
        <w:r>
          <w:rPr>
            <w:webHidden/>
          </w:rPr>
          <w:t>34</w:t>
        </w:r>
        <w:r w:rsidR="000A262D">
          <w:rPr>
            <w:webHidden/>
          </w:rPr>
          <w:fldChar w:fldCharType="end"/>
        </w:r>
      </w:hyperlink>
    </w:p>
    <w:p w14:paraId="48D91228" w14:textId="4DD96644" w:rsidR="000A262D" w:rsidRDefault="004C08FF">
      <w:pPr>
        <w:pStyle w:val="TOC2"/>
        <w:rPr>
          <w:rFonts w:asciiTheme="minorHAnsi" w:eastAsiaTheme="minorEastAsia" w:hAnsiTheme="minorHAnsi" w:cstheme="minorBidi"/>
          <w:spacing w:val="0"/>
          <w:sz w:val="22"/>
          <w:szCs w:val="22"/>
        </w:rPr>
      </w:pPr>
      <w:hyperlink w:anchor="_Toc51864305" w:history="1">
        <w:r w:rsidR="000A262D" w:rsidRPr="00781035">
          <w:rPr>
            <w:rStyle w:val="Hyperlink"/>
          </w:rPr>
          <w:t>Monitoring</w:t>
        </w:r>
        <w:r w:rsidR="000A262D">
          <w:rPr>
            <w:webHidden/>
          </w:rPr>
          <w:tab/>
        </w:r>
        <w:r w:rsidR="000A262D">
          <w:rPr>
            <w:webHidden/>
          </w:rPr>
          <w:fldChar w:fldCharType="begin"/>
        </w:r>
        <w:r w:rsidR="000A262D">
          <w:rPr>
            <w:webHidden/>
          </w:rPr>
          <w:instrText xml:space="preserve"> PAGEREF _Toc51864305 \h </w:instrText>
        </w:r>
        <w:r w:rsidR="000A262D">
          <w:rPr>
            <w:webHidden/>
          </w:rPr>
        </w:r>
        <w:r w:rsidR="000A262D">
          <w:rPr>
            <w:webHidden/>
          </w:rPr>
          <w:fldChar w:fldCharType="separate"/>
        </w:r>
        <w:r>
          <w:rPr>
            <w:webHidden/>
          </w:rPr>
          <w:t>35</w:t>
        </w:r>
        <w:r w:rsidR="000A262D">
          <w:rPr>
            <w:webHidden/>
          </w:rPr>
          <w:fldChar w:fldCharType="end"/>
        </w:r>
      </w:hyperlink>
    </w:p>
    <w:p w14:paraId="4A9A763A" w14:textId="171B4E0D" w:rsidR="000A262D" w:rsidRDefault="004C08FF">
      <w:pPr>
        <w:pStyle w:val="TOC3"/>
        <w:rPr>
          <w:rFonts w:asciiTheme="minorHAnsi" w:eastAsiaTheme="minorEastAsia" w:hAnsiTheme="minorHAnsi" w:cstheme="minorBidi"/>
        </w:rPr>
      </w:pPr>
      <w:hyperlink w:anchor="_Toc51864306" w:history="1">
        <w:r w:rsidR="000A262D" w:rsidRPr="00781035">
          <w:rPr>
            <w:rStyle w:val="Hyperlink"/>
          </w:rPr>
          <w:t>600 MHz (617–698 MHz)</w:t>
        </w:r>
        <w:r w:rsidR="000A262D">
          <w:rPr>
            <w:webHidden/>
          </w:rPr>
          <w:tab/>
        </w:r>
        <w:r w:rsidR="000A262D">
          <w:rPr>
            <w:webHidden/>
          </w:rPr>
          <w:fldChar w:fldCharType="begin"/>
        </w:r>
        <w:r w:rsidR="000A262D">
          <w:rPr>
            <w:webHidden/>
          </w:rPr>
          <w:instrText xml:space="preserve"> PAGEREF _Toc51864306 \h </w:instrText>
        </w:r>
        <w:r w:rsidR="000A262D">
          <w:rPr>
            <w:webHidden/>
          </w:rPr>
        </w:r>
        <w:r w:rsidR="000A262D">
          <w:rPr>
            <w:webHidden/>
          </w:rPr>
          <w:fldChar w:fldCharType="separate"/>
        </w:r>
        <w:r>
          <w:rPr>
            <w:webHidden/>
          </w:rPr>
          <w:t>36</w:t>
        </w:r>
        <w:r w:rsidR="000A262D">
          <w:rPr>
            <w:webHidden/>
          </w:rPr>
          <w:fldChar w:fldCharType="end"/>
        </w:r>
      </w:hyperlink>
    </w:p>
    <w:p w14:paraId="22B665EA" w14:textId="71E6A40A" w:rsidR="000A262D" w:rsidRDefault="004C08FF">
      <w:pPr>
        <w:pStyle w:val="TOC3"/>
        <w:rPr>
          <w:rFonts w:asciiTheme="minorHAnsi" w:eastAsiaTheme="minorEastAsia" w:hAnsiTheme="minorHAnsi" w:cstheme="minorBidi"/>
        </w:rPr>
      </w:pPr>
      <w:hyperlink w:anchor="_Toc51864307" w:history="1">
        <w:r w:rsidR="000A262D" w:rsidRPr="00781035">
          <w:rPr>
            <w:rStyle w:val="Hyperlink"/>
          </w:rPr>
          <w:t>3.3 GHz (3300–3400 MHz)</w:t>
        </w:r>
        <w:r w:rsidR="000A262D">
          <w:rPr>
            <w:webHidden/>
          </w:rPr>
          <w:tab/>
        </w:r>
        <w:r w:rsidR="000A262D">
          <w:rPr>
            <w:webHidden/>
          </w:rPr>
          <w:fldChar w:fldCharType="begin"/>
        </w:r>
        <w:r w:rsidR="000A262D">
          <w:rPr>
            <w:webHidden/>
          </w:rPr>
          <w:instrText xml:space="preserve"> PAGEREF _Toc51864307 \h </w:instrText>
        </w:r>
        <w:r w:rsidR="000A262D">
          <w:rPr>
            <w:webHidden/>
          </w:rPr>
        </w:r>
        <w:r w:rsidR="000A262D">
          <w:rPr>
            <w:webHidden/>
          </w:rPr>
          <w:fldChar w:fldCharType="separate"/>
        </w:r>
        <w:r>
          <w:rPr>
            <w:webHidden/>
          </w:rPr>
          <w:t>37</w:t>
        </w:r>
        <w:r w:rsidR="000A262D">
          <w:rPr>
            <w:webHidden/>
          </w:rPr>
          <w:fldChar w:fldCharType="end"/>
        </w:r>
      </w:hyperlink>
    </w:p>
    <w:p w14:paraId="4A70897D" w14:textId="5DAEDD41" w:rsidR="000A262D" w:rsidRDefault="004C08FF">
      <w:pPr>
        <w:pStyle w:val="TOC3"/>
        <w:rPr>
          <w:rFonts w:asciiTheme="minorHAnsi" w:eastAsiaTheme="minorEastAsia" w:hAnsiTheme="minorHAnsi" w:cstheme="minorBidi"/>
        </w:rPr>
      </w:pPr>
      <w:hyperlink w:anchor="_Toc51864308" w:history="1">
        <w:r w:rsidR="000A262D" w:rsidRPr="00781035">
          <w:rPr>
            <w:rStyle w:val="Hyperlink"/>
          </w:rPr>
          <w:t>4.5 GHz (4400–4500 MHz)</w:t>
        </w:r>
        <w:r w:rsidR="000A262D">
          <w:rPr>
            <w:webHidden/>
          </w:rPr>
          <w:tab/>
        </w:r>
        <w:r w:rsidR="000A262D">
          <w:rPr>
            <w:webHidden/>
          </w:rPr>
          <w:fldChar w:fldCharType="begin"/>
        </w:r>
        <w:r w:rsidR="000A262D">
          <w:rPr>
            <w:webHidden/>
          </w:rPr>
          <w:instrText xml:space="preserve"> PAGEREF _Toc51864308 \h </w:instrText>
        </w:r>
        <w:r w:rsidR="000A262D">
          <w:rPr>
            <w:webHidden/>
          </w:rPr>
        </w:r>
        <w:r w:rsidR="000A262D">
          <w:rPr>
            <w:webHidden/>
          </w:rPr>
          <w:fldChar w:fldCharType="separate"/>
        </w:r>
        <w:r>
          <w:rPr>
            <w:webHidden/>
          </w:rPr>
          <w:t>37</w:t>
        </w:r>
        <w:r w:rsidR="000A262D">
          <w:rPr>
            <w:webHidden/>
          </w:rPr>
          <w:fldChar w:fldCharType="end"/>
        </w:r>
      </w:hyperlink>
    </w:p>
    <w:p w14:paraId="5A576530" w14:textId="15790C70" w:rsidR="000A262D" w:rsidRDefault="004C08FF">
      <w:pPr>
        <w:pStyle w:val="TOC3"/>
        <w:rPr>
          <w:rFonts w:asciiTheme="minorHAnsi" w:eastAsiaTheme="minorEastAsia" w:hAnsiTheme="minorHAnsi" w:cstheme="minorBidi"/>
        </w:rPr>
      </w:pPr>
      <w:hyperlink w:anchor="_Toc51864309" w:history="1">
        <w:r w:rsidR="000A262D" w:rsidRPr="00781035">
          <w:rPr>
            <w:rStyle w:val="Hyperlink"/>
          </w:rPr>
          <w:t>4.8 GHz (4800–4990 MHz)</w:t>
        </w:r>
        <w:r w:rsidR="000A262D">
          <w:rPr>
            <w:webHidden/>
          </w:rPr>
          <w:tab/>
        </w:r>
        <w:r w:rsidR="000A262D">
          <w:rPr>
            <w:webHidden/>
          </w:rPr>
          <w:fldChar w:fldCharType="begin"/>
        </w:r>
        <w:r w:rsidR="000A262D">
          <w:rPr>
            <w:webHidden/>
          </w:rPr>
          <w:instrText xml:space="preserve"> PAGEREF _Toc51864309 \h </w:instrText>
        </w:r>
        <w:r w:rsidR="000A262D">
          <w:rPr>
            <w:webHidden/>
          </w:rPr>
        </w:r>
        <w:r w:rsidR="000A262D">
          <w:rPr>
            <w:webHidden/>
          </w:rPr>
          <w:fldChar w:fldCharType="separate"/>
        </w:r>
        <w:r>
          <w:rPr>
            <w:webHidden/>
          </w:rPr>
          <w:t>38</w:t>
        </w:r>
        <w:r w:rsidR="000A262D">
          <w:rPr>
            <w:webHidden/>
          </w:rPr>
          <w:fldChar w:fldCharType="end"/>
        </w:r>
      </w:hyperlink>
    </w:p>
    <w:p w14:paraId="65D1C80A" w14:textId="06F6F52A" w:rsidR="000A262D" w:rsidRDefault="004C08FF">
      <w:pPr>
        <w:pStyle w:val="TOC3"/>
        <w:rPr>
          <w:rFonts w:asciiTheme="minorHAnsi" w:eastAsiaTheme="minorEastAsia" w:hAnsiTheme="minorHAnsi" w:cstheme="minorBidi"/>
        </w:rPr>
      </w:pPr>
      <w:hyperlink w:anchor="_Toc51864310" w:history="1">
        <w:r w:rsidR="000A262D" w:rsidRPr="00781035">
          <w:rPr>
            <w:rStyle w:val="Hyperlink"/>
          </w:rPr>
          <w:t>13 GHz (12.75–13.25 GHz)</w:t>
        </w:r>
        <w:r w:rsidR="000A262D">
          <w:rPr>
            <w:webHidden/>
          </w:rPr>
          <w:tab/>
        </w:r>
        <w:r w:rsidR="000A262D">
          <w:rPr>
            <w:webHidden/>
          </w:rPr>
          <w:fldChar w:fldCharType="begin"/>
        </w:r>
        <w:r w:rsidR="000A262D">
          <w:rPr>
            <w:webHidden/>
          </w:rPr>
          <w:instrText xml:space="preserve"> PAGEREF _Toc51864310 \h </w:instrText>
        </w:r>
        <w:r w:rsidR="000A262D">
          <w:rPr>
            <w:webHidden/>
          </w:rPr>
        </w:r>
        <w:r w:rsidR="000A262D">
          <w:rPr>
            <w:webHidden/>
          </w:rPr>
          <w:fldChar w:fldCharType="separate"/>
        </w:r>
        <w:r>
          <w:rPr>
            <w:webHidden/>
          </w:rPr>
          <w:t>39</w:t>
        </w:r>
        <w:r w:rsidR="000A262D">
          <w:rPr>
            <w:webHidden/>
          </w:rPr>
          <w:fldChar w:fldCharType="end"/>
        </w:r>
      </w:hyperlink>
    </w:p>
    <w:p w14:paraId="3BF40D29" w14:textId="6B6510E9" w:rsidR="000A262D" w:rsidRDefault="004C08FF">
      <w:pPr>
        <w:pStyle w:val="TOC3"/>
        <w:rPr>
          <w:rFonts w:asciiTheme="minorHAnsi" w:eastAsiaTheme="minorEastAsia" w:hAnsiTheme="minorHAnsi" w:cstheme="minorBidi"/>
        </w:rPr>
      </w:pPr>
      <w:hyperlink w:anchor="_Toc51864311" w:history="1">
        <w:r w:rsidR="000A262D" w:rsidRPr="00781035">
          <w:rPr>
            <w:rStyle w:val="Hyperlink"/>
          </w:rPr>
          <w:t>40 GHz (37–43.5 GHz)</w:t>
        </w:r>
        <w:r w:rsidR="000A262D">
          <w:rPr>
            <w:webHidden/>
          </w:rPr>
          <w:tab/>
        </w:r>
        <w:r w:rsidR="000A262D">
          <w:rPr>
            <w:webHidden/>
          </w:rPr>
          <w:fldChar w:fldCharType="begin"/>
        </w:r>
        <w:r w:rsidR="000A262D">
          <w:rPr>
            <w:webHidden/>
          </w:rPr>
          <w:instrText xml:space="preserve"> PAGEREF _Toc51864311 \h </w:instrText>
        </w:r>
        <w:r w:rsidR="000A262D">
          <w:rPr>
            <w:webHidden/>
          </w:rPr>
        </w:r>
        <w:r w:rsidR="000A262D">
          <w:rPr>
            <w:webHidden/>
          </w:rPr>
          <w:fldChar w:fldCharType="separate"/>
        </w:r>
        <w:r>
          <w:rPr>
            <w:webHidden/>
          </w:rPr>
          <w:t>39</w:t>
        </w:r>
        <w:r w:rsidR="000A262D">
          <w:rPr>
            <w:webHidden/>
          </w:rPr>
          <w:fldChar w:fldCharType="end"/>
        </w:r>
      </w:hyperlink>
    </w:p>
    <w:p w14:paraId="1CA9BC75" w14:textId="70AE8C63" w:rsidR="000A262D" w:rsidRDefault="004C08FF">
      <w:pPr>
        <w:pStyle w:val="TOC3"/>
        <w:rPr>
          <w:rFonts w:asciiTheme="minorHAnsi" w:eastAsiaTheme="minorEastAsia" w:hAnsiTheme="minorHAnsi" w:cstheme="minorBidi"/>
        </w:rPr>
      </w:pPr>
      <w:hyperlink w:anchor="_Toc51864312" w:history="1">
        <w:r w:rsidR="000A262D" w:rsidRPr="00781035">
          <w:rPr>
            <w:rStyle w:val="Hyperlink"/>
          </w:rPr>
          <w:t>46 GHz (45.5–47 GHz)</w:t>
        </w:r>
        <w:r w:rsidR="000A262D">
          <w:rPr>
            <w:webHidden/>
          </w:rPr>
          <w:tab/>
        </w:r>
        <w:r w:rsidR="000A262D">
          <w:rPr>
            <w:webHidden/>
          </w:rPr>
          <w:fldChar w:fldCharType="begin"/>
        </w:r>
        <w:r w:rsidR="000A262D">
          <w:rPr>
            <w:webHidden/>
          </w:rPr>
          <w:instrText xml:space="preserve"> PAGEREF _Toc51864312 \h </w:instrText>
        </w:r>
        <w:r w:rsidR="000A262D">
          <w:rPr>
            <w:webHidden/>
          </w:rPr>
        </w:r>
        <w:r w:rsidR="000A262D">
          <w:rPr>
            <w:webHidden/>
          </w:rPr>
          <w:fldChar w:fldCharType="separate"/>
        </w:r>
        <w:r>
          <w:rPr>
            <w:webHidden/>
          </w:rPr>
          <w:t>40</w:t>
        </w:r>
        <w:r w:rsidR="000A262D">
          <w:rPr>
            <w:webHidden/>
          </w:rPr>
          <w:fldChar w:fldCharType="end"/>
        </w:r>
      </w:hyperlink>
    </w:p>
    <w:p w14:paraId="36AF90D2" w14:textId="53C4FD03" w:rsidR="000A262D" w:rsidRDefault="004C08FF">
      <w:pPr>
        <w:pStyle w:val="TOC3"/>
        <w:rPr>
          <w:rFonts w:asciiTheme="minorHAnsi" w:eastAsiaTheme="minorEastAsia" w:hAnsiTheme="minorHAnsi" w:cstheme="minorBidi"/>
        </w:rPr>
      </w:pPr>
      <w:hyperlink w:anchor="_Toc51864313" w:history="1">
        <w:r w:rsidR="000A262D" w:rsidRPr="00781035">
          <w:rPr>
            <w:rStyle w:val="Hyperlink"/>
          </w:rPr>
          <w:t>47 GHz (47.2–48.2 GHz)</w:t>
        </w:r>
        <w:r w:rsidR="000A262D">
          <w:rPr>
            <w:webHidden/>
          </w:rPr>
          <w:tab/>
        </w:r>
        <w:r w:rsidR="000A262D">
          <w:rPr>
            <w:webHidden/>
          </w:rPr>
          <w:fldChar w:fldCharType="begin"/>
        </w:r>
        <w:r w:rsidR="000A262D">
          <w:rPr>
            <w:webHidden/>
          </w:rPr>
          <w:instrText xml:space="preserve"> PAGEREF _Toc51864313 \h </w:instrText>
        </w:r>
        <w:r w:rsidR="000A262D">
          <w:rPr>
            <w:webHidden/>
          </w:rPr>
        </w:r>
        <w:r w:rsidR="000A262D">
          <w:rPr>
            <w:webHidden/>
          </w:rPr>
          <w:fldChar w:fldCharType="separate"/>
        </w:r>
        <w:r>
          <w:rPr>
            <w:webHidden/>
          </w:rPr>
          <w:t>40</w:t>
        </w:r>
        <w:r w:rsidR="000A262D">
          <w:rPr>
            <w:webHidden/>
          </w:rPr>
          <w:fldChar w:fldCharType="end"/>
        </w:r>
      </w:hyperlink>
    </w:p>
    <w:p w14:paraId="0853AA99" w14:textId="0E1068BA" w:rsidR="000A262D" w:rsidRDefault="004C08FF">
      <w:pPr>
        <w:pStyle w:val="TOC3"/>
        <w:rPr>
          <w:rFonts w:asciiTheme="minorHAnsi" w:eastAsiaTheme="minorEastAsia" w:hAnsiTheme="minorHAnsi" w:cstheme="minorBidi"/>
        </w:rPr>
      </w:pPr>
      <w:hyperlink w:anchor="_Toc51864314" w:history="1">
        <w:r w:rsidR="000A262D" w:rsidRPr="00781035">
          <w:rPr>
            <w:rStyle w:val="Hyperlink"/>
          </w:rPr>
          <w:t>Bands being studied under WRC-23 agenda item 1.2</w:t>
        </w:r>
        <w:r w:rsidR="000A262D">
          <w:rPr>
            <w:webHidden/>
          </w:rPr>
          <w:tab/>
        </w:r>
        <w:r w:rsidR="000A262D">
          <w:rPr>
            <w:webHidden/>
          </w:rPr>
          <w:fldChar w:fldCharType="begin"/>
        </w:r>
        <w:r w:rsidR="000A262D">
          <w:rPr>
            <w:webHidden/>
          </w:rPr>
          <w:instrText xml:space="preserve"> PAGEREF _Toc51864314 \h </w:instrText>
        </w:r>
        <w:r w:rsidR="000A262D">
          <w:rPr>
            <w:webHidden/>
          </w:rPr>
        </w:r>
        <w:r w:rsidR="000A262D">
          <w:rPr>
            <w:webHidden/>
          </w:rPr>
          <w:fldChar w:fldCharType="separate"/>
        </w:r>
        <w:r>
          <w:rPr>
            <w:webHidden/>
          </w:rPr>
          <w:t>41</w:t>
        </w:r>
        <w:r w:rsidR="000A262D">
          <w:rPr>
            <w:webHidden/>
          </w:rPr>
          <w:fldChar w:fldCharType="end"/>
        </w:r>
      </w:hyperlink>
    </w:p>
    <w:p w14:paraId="0CC46F0D" w14:textId="6C92962B" w:rsidR="000A262D" w:rsidRDefault="004C08FF">
      <w:pPr>
        <w:pStyle w:val="TOC3"/>
        <w:rPr>
          <w:rFonts w:asciiTheme="minorHAnsi" w:eastAsiaTheme="minorEastAsia" w:hAnsiTheme="minorHAnsi" w:cstheme="minorBidi"/>
        </w:rPr>
      </w:pPr>
      <w:hyperlink w:anchor="_Toc51864315" w:history="1">
        <w:r w:rsidR="000A262D" w:rsidRPr="00781035">
          <w:rPr>
            <w:rStyle w:val="Hyperlink"/>
          </w:rPr>
          <w:t>Bands being studied under WRC-23 agenda item 1.4</w:t>
        </w:r>
        <w:r w:rsidR="000A262D">
          <w:rPr>
            <w:webHidden/>
          </w:rPr>
          <w:tab/>
        </w:r>
        <w:r w:rsidR="000A262D">
          <w:rPr>
            <w:webHidden/>
          </w:rPr>
          <w:fldChar w:fldCharType="begin"/>
        </w:r>
        <w:r w:rsidR="000A262D">
          <w:rPr>
            <w:webHidden/>
          </w:rPr>
          <w:instrText xml:space="preserve"> PAGEREF _Toc51864315 \h </w:instrText>
        </w:r>
        <w:r w:rsidR="000A262D">
          <w:rPr>
            <w:webHidden/>
          </w:rPr>
        </w:r>
        <w:r w:rsidR="000A262D">
          <w:rPr>
            <w:webHidden/>
          </w:rPr>
          <w:fldChar w:fldCharType="separate"/>
        </w:r>
        <w:r>
          <w:rPr>
            <w:webHidden/>
          </w:rPr>
          <w:t>41</w:t>
        </w:r>
        <w:r w:rsidR="000A262D">
          <w:rPr>
            <w:webHidden/>
          </w:rPr>
          <w:fldChar w:fldCharType="end"/>
        </w:r>
      </w:hyperlink>
    </w:p>
    <w:p w14:paraId="66E4F36D" w14:textId="44F8F7DD" w:rsidR="000A262D" w:rsidRDefault="004C08FF">
      <w:pPr>
        <w:pStyle w:val="TOC2"/>
        <w:rPr>
          <w:rFonts w:asciiTheme="minorHAnsi" w:eastAsiaTheme="minorEastAsia" w:hAnsiTheme="minorHAnsi" w:cstheme="minorBidi"/>
          <w:spacing w:val="0"/>
          <w:sz w:val="22"/>
          <w:szCs w:val="22"/>
        </w:rPr>
      </w:pPr>
      <w:hyperlink w:anchor="_Toc51864316" w:history="1">
        <w:r w:rsidR="000A262D" w:rsidRPr="00781035">
          <w:rPr>
            <w:rStyle w:val="Hyperlink"/>
          </w:rPr>
          <w:t>Initial investigation</w:t>
        </w:r>
        <w:r w:rsidR="000A262D">
          <w:rPr>
            <w:webHidden/>
          </w:rPr>
          <w:tab/>
        </w:r>
        <w:r w:rsidR="000A262D">
          <w:rPr>
            <w:webHidden/>
          </w:rPr>
          <w:fldChar w:fldCharType="begin"/>
        </w:r>
        <w:r w:rsidR="000A262D">
          <w:rPr>
            <w:webHidden/>
          </w:rPr>
          <w:instrText xml:space="preserve"> PAGEREF _Toc51864316 \h </w:instrText>
        </w:r>
        <w:r w:rsidR="000A262D">
          <w:rPr>
            <w:webHidden/>
          </w:rPr>
        </w:r>
        <w:r w:rsidR="000A262D">
          <w:rPr>
            <w:webHidden/>
          </w:rPr>
          <w:fldChar w:fldCharType="separate"/>
        </w:r>
        <w:r>
          <w:rPr>
            <w:webHidden/>
          </w:rPr>
          <w:t>41</w:t>
        </w:r>
        <w:r w:rsidR="000A262D">
          <w:rPr>
            <w:webHidden/>
          </w:rPr>
          <w:fldChar w:fldCharType="end"/>
        </w:r>
      </w:hyperlink>
    </w:p>
    <w:p w14:paraId="785B9527" w14:textId="22A8F897" w:rsidR="000A262D" w:rsidRDefault="004C08FF">
      <w:pPr>
        <w:pStyle w:val="TOC3"/>
        <w:rPr>
          <w:rFonts w:asciiTheme="minorHAnsi" w:eastAsiaTheme="minorEastAsia" w:hAnsiTheme="minorHAnsi" w:cstheme="minorBidi"/>
        </w:rPr>
      </w:pPr>
      <w:hyperlink w:anchor="_Toc51864317" w:history="1">
        <w:r w:rsidR="000A262D" w:rsidRPr="00781035">
          <w:rPr>
            <w:rStyle w:val="Hyperlink"/>
          </w:rPr>
          <w:t>‘Extended MSS L-band’ (1518–1525 MHz and 1668–1675 MHz)</w:t>
        </w:r>
        <w:r w:rsidR="000A262D">
          <w:rPr>
            <w:webHidden/>
          </w:rPr>
          <w:tab/>
        </w:r>
        <w:r w:rsidR="000A262D">
          <w:rPr>
            <w:webHidden/>
          </w:rPr>
          <w:fldChar w:fldCharType="begin"/>
        </w:r>
        <w:r w:rsidR="000A262D">
          <w:rPr>
            <w:webHidden/>
          </w:rPr>
          <w:instrText xml:space="preserve"> PAGEREF _Toc51864317 \h </w:instrText>
        </w:r>
        <w:r w:rsidR="000A262D">
          <w:rPr>
            <w:webHidden/>
          </w:rPr>
        </w:r>
        <w:r w:rsidR="000A262D">
          <w:rPr>
            <w:webHidden/>
          </w:rPr>
          <w:fldChar w:fldCharType="separate"/>
        </w:r>
        <w:r>
          <w:rPr>
            <w:webHidden/>
          </w:rPr>
          <w:t>42</w:t>
        </w:r>
        <w:r w:rsidR="000A262D">
          <w:rPr>
            <w:webHidden/>
          </w:rPr>
          <w:fldChar w:fldCharType="end"/>
        </w:r>
      </w:hyperlink>
    </w:p>
    <w:p w14:paraId="6C760355" w14:textId="6C8A958B" w:rsidR="000A262D" w:rsidRDefault="004C08FF">
      <w:pPr>
        <w:pStyle w:val="TOC3"/>
        <w:rPr>
          <w:rFonts w:asciiTheme="minorHAnsi" w:eastAsiaTheme="minorEastAsia" w:hAnsiTheme="minorHAnsi" w:cstheme="minorBidi"/>
        </w:rPr>
      </w:pPr>
      <w:hyperlink w:anchor="_Toc51864318" w:history="1">
        <w:r w:rsidR="000A262D" w:rsidRPr="00781035">
          <w:rPr>
            <w:rStyle w:val="Hyperlink"/>
          </w:rPr>
          <w:t>1880–1920 MHz</w:t>
        </w:r>
        <w:r w:rsidR="000A262D">
          <w:rPr>
            <w:webHidden/>
          </w:rPr>
          <w:tab/>
        </w:r>
        <w:r w:rsidR="000A262D">
          <w:rPr>
            <w:webHidden/>
          </w:rPr>
          <w:fldChar w:fldCharType="begin"/>
        </w:r>
        <w:r w:rsidR="000A262D">
          <w:rPr>
            <w:webHidden/>
          </w:rPr>
          <w:instrText xml:space="preserve"> PAGEREF _Toc51864318 \h </w:instrText>
        </w:r>
        <w:r w:rsidR="000A262D">
          <w:rPr>
            <w:webHidden/>
          </w:rPr>
        </w:r>
        <w:r w:rsidR="000A262D">
          <w:rPr>
            <w:webHidden/>
          </w:rPr>
          <w:fldChar w:fldCharType="separate"/>
        </w:r>
        <w:r>
          <w:rPr>
            <w:webHidden/>
          </w:rPr>
          <w:t>42</w:t>
        </w:r>
        <w:r w:rsidR="000A262D">
          <w:rPr>
            <w:webHidden/>
          </w:rPr>
          <w:fldChar w:fldCharType="end"/>
        </w:r>
      </w:hyperlink>
    </w:p>
    <w:p w14:paraId="066AD1FD" w14:textId="393324DA" w:rsidR="000A262D" w:rsidRDefault="004C08FF">
      <w:pPr>
        <w:pStyle w:val="TOC3"/>
        <w:rPr>
          <w:rFonts w:asciiTheme="minorHAnsi" w:eastAsiaTheme="minorEastAsia" w:hAnsiTheme="minorHAnsi" w:cstheme="minorBidi"/>
        </w:rPr>
      </w:pPr>
      <w:hyperlink w:anchor="_Toc51864319" w:history="1">
        <w:r w:rsidR="000A262D" w:rsidRPr="00781035">
          <w:rPr>
            <w:rStyle w:val="Hyperlink"/>
          </w:rPr>
          <w:t>2300–2302 MHz</w:t>
        </w:r>
        <w:r w:rsidR="000A262D">
          <w:rPr>
            <w:webHidden/>
          </w:rPr>
          <w:tab/>
        </w:r>
        <w:r w:rsidR="000A262D">
          <w:rPr>
            <w:webHidden/>
          </w:rPr>
          <w:fldChar w:fldCharType="begin"/>
        </w:r>
        <w:r w:rsidR="000A262D">
          <w:rPr>
            <w:webHidden/>
          </w:rPr>
          <w:instrText xml:space="preserve"> PAGEREF _Toc51864319 \h </w:instrText>
        </w:r>
        <w:r w:rsidR="000A262D">
          <w:rPr>
            <w:webHidden/>
          </w:rPr>
        </w:r>
        <w:r w:rsidR="000A262D">
          <w:rPr>
            <w:webHidden/>
          </w:rPr>
          <w:fldChar w:fldCharType="separate"/>
        </w:r>
        <w:r>
          <w:rPr>
            <w:webHidden/>
          </w:rPr>
          <w:t>43</w:t>
        </w:r>
        <w:r w:rsidR="000A262D">
          <w:rPr>
            <w:webHidden/>
          </w:rPr>
          <w:fldChar w:fldCharType="end"/>
        </w:r>
      </w:hyperlink>
    </w:p>
    <w:p w14:paraId="4B067EFF" w14:textId="1C5DC2B7" w:rsidR="000A262D" w:rsidRDefault="004C08FF">
      <w:pPr>
        <w:pStyle w:val="TOC3"/>
        <w:rPr>
          <w:rFonts w:asciiTheme="minorHAnsi" w:eastAsiaTheme="minorEastAsia" w:hAnsiTheme="minorHAnsi" w:cstheme="minorBidi"/>
        </w:rPr>
      </w:pPr>
      <w:hyperlink w:anchor="_Toc51864320" w:history="1">
        <w:r w:rsidR="000A262D" w:rsidRPr="00781035">
          <w:rPr>
            <w:rStyle w:val="Hyperlink"/>
          </w:rPr>
          <w:t>6 GHz Radio Local Area Networks (RLANs)</w:t>
        </w:r>
        <w:r w:rsidR="000A262D">
          <w:rPr>
            <w:webHidden/>
          </w:rPr>
          <w:tab/>
        </w:r>
        <w:r w:rsidR="000A262D">
          <w:rPr>
            <w:webHidden/>
          </w:rPr>
          <w:fldChar w:fldCharType="begin"/>
        </w:r>
        <w:r w:rsidR="000A262D">
          <w:rPr>
            <w:webHidden/>
          </w:rPr>
          <w:instrText xml:space="preserve"> PAGEREF _Toc51864320 \h </w:instrText>
        </w:r>
        <w:r w:rsidR="000A262D">
          <w:rPr>
            <w:webHidden/>
          </w:rPr>
        </w:r>
        <w:r w:rsidR="000A262D">
          <w:rPr>
            <w:webHidden/>
          </w:rPr>
          <w:fldChar w:fldCharType="separate"/>
        </w:r>
        <w:r>
          <w:rPr>
            <w:webHidden/>
          </w:rPr>
          <w:t>43</w:t>
        </w:r>
        <w:r w:rsidR="000A262D">
          <w:rPr>
            <w:webHidden/>
          </w:rPr>
          <w:fldChar w:fldCharType="end"/>
        </w:r>
      </w:hyperlink>
    </w:p>
    <w:p w14:paraId="5342DD4B" w14:textId="44A9961D" w:rsidR="000A262D" w:rsidRDefault="004C08FF">
      <w:pPr>
        <w:pStyle w:val="TOC2"/>
        <w:rPr>
          <w:rFonts w:asciiTheme="minorHAnsi" w:eastAsiaTheme="minorEastAsia" w:hAnsiTheme="minorHAnsi" w:cstheme="minorBidi"/>
          <w:spacing w:val="0"/>
          <w:sz w:val="22"/>
          <w:szCs w:val="22"/>
        </w:rPr>
      </w:pPr>
      <w:hyperlink w:anchor="_Toc51864321" w:history="1">
        <w:r w:rsidR="000A262D" w:rsidRPr="00781035">
          <w:rPr>
            <w:rStyle w:val="Hyperlink"/>
          </w:rPr>
          <w:t>Preliminary replanning</w:t>
        </w:r>
        <w:r w:rsidR="000A262D">
          <w:rPr>
            <w:webHidden/>
          </w:rPr>
          <w:tab/>
        </w:r>
        <w:r w:rsidR="000A262D">
          <w:rPr>
            <w:webHidden/>
          </w:rPr>
          <w:fldChar w:fldCharType="begin"/>
        </w:r>
        <w:r w:rsidR="000A262D">
          <w:rPr>
            <w:webHidden/>
          </w:rPr>
          <w:instrText xml:space="preserve"> PAGEREF _Toc51864321 \h </w:instrText>
        </w:r>
        <w:r w:rsidR="000A262D">
          <w:rPr>
            <w:webHidden/>
          </w:rPr>
        </w:r>
        <w:r w:rsidR="000A262D">
          <w:rPr>
            <w:webHidden/>
          </w:rPr>
          <w:fldChar w:fldCharType="separate"/>
        </w:r>
        <w:r>
          <w:rPr>
            <w:webHidden/>
          </w:rPr>
          <w:t>44</w:t>
        </w:r>
        <w:r w:rsidR="000A262D">
          <w:rPr>
            <w:webHidden/>
          </w:rPr>
          <w:fldChar w:fldCharType="end"/>
        </w:r>
      </w:hyperlink>
    </w:p>
    <w:p w14:paraId="47306C39" w14:textId="07720D80" w:rsidR="000A262D" w:rsidRDefault="004C08FF">
      <w:pPr>
        <w:pStyle w:val="TOC3"/>
        <w:rPr>
          <w:rFonts w:asciiTheme="minorHAnsi" w:eastAsiaTheme="minorEastAsia" w:hAnsiTheme="minorHAnsi" w:cstheme="minorBidi"/>
        </w:rPr>
      </w:pPr>
      <w:hyperlink w:anchor="_Toc51864322" w:history="1">
        <w:r w:rsidR="000A262D" w:rsidRPr="00781035">
          <w:rPr>
            <w:rStyle w:val="Hyperlink"/>
          </w:rPr>
          <w:t>1.5 GHz (1427–1518 MHz)</w:t>
        </w:r>
        <w:r w:rsidR="000A262D">
          <w:rPr>
            <w:webHidden/>
          </w:rPr>
          <w:tab/>
        </w:r>
        <w:r w:rsidR="000A262D">
          <w:rPr>
            <w:webHidden/>
          </w:rPr>
          <w:fldChar w:fldCharType="begin"/>
        </w:r>
        <w:r w:rsidR="000A262D">
          <w:rPr>
            <w:webHidden/>
          </w:rPr>
          <w:instrText xml:space="preserve"> PAGEREF _Toc51864322 \h </w:instrText>
        </w:r>
        <w:r w:rsidR="000A262D">
          <w:rPr>
            <w:webHidden/>
          </w:rPr>
        </w:r>
        <w:r w:rsidR="000A262D">
          <w:rPr>
            <w:webHidden/>
          </w:rPr>
          <w:fldChar w:fldCharType="separate"/>
        </w:r>
        <w:r>
          <w:rPr>
            <w:webHidden/>
          </w:rPr>
          <w:t>44</w:t>
        </w:r>
        <w:r w:rsidR="000A262D">
          <w:rPr>
            <w:webHidden/>
          </w:rPr>
          <w:fldChar w:fldCharType="end"/>
        </w:r>
      </w:hyperlink>
    </w:p>
    <w:p w14:paraId="27B4A8B7" w14:textId="03C93260" w:rsidR="000A262D" w:rsidRDefault="004C08FF">
      <w:pPr>
        <w:pStyle w:val="TOC3"/>
        <w:rPr>
          <w:rFonts w:asciiTheme="minorHAnsi" w:eastAsiaTheme="minorEastAsia" w:hAnsiTheme="minorHAnsi" w:cstheme="minorBidi"/>
        </w:rPr>
      </w:pPr>
      <w:hyperlink w:anchor="_Toc51864323" w:history="1">
        <w:r w:rsidR="000A262D" w:rsidRPr="00781035">
          <w:rPr>
            <w:rStyle w:val="Hyperlink"/>
          </w:rPr>
          <w:t>2 GHz (1980–2010 MHz and 2170–2200 MHz)</w:t>
        </w:r>
        <w:r w:rsidR="000A262D">
          <w:rPr>
            <w:webHidden/>
          </w:rPr>
          <w:tab/>
        </w:r>
        <w:r w:rsidR="000A262D">
          <w:rPr>
            <w:webHidden/>
          </w:rPr>
          <w:fldChar w:fldCharType="begin"/>
        </w:r>
        <w:r w:rsidR="000A262D">
          <w:rPr>
            <w:webHidden/>
          </w:rPr>
          <w:instrText xml:space="preserve"> PAGEREF _Toc51864323 \h </w:instrText>
        </w:r>
        <w:r w:rsidR="000A262D">
          <w:rPr>
            <w:webHidden/>
          </w:rPr>
        </w:r>
        <w:r w:rsidR="000A262D">
          <w:rPr>
            <w:webHidden/>
          </w:rPr>
          <w:fldChar w:fldCharType="separate"/>
        </w:r>
        <w:r>
          <w:rPr>
            <w:webHidden/>
          </w:rPr>
          <w:t>45</w:t>
        </w:r>
        <w:r w:rsidR="000A262D">
          <w:rPr>
            <w:webHidden/>
          </w:rPr>
          <w:fldChar w:fldCharType="end"/>
        </w:r>
      </w:hyperlink>
    </w:p>
    <w:p w14:paraId="58B93E6F" w14:textId="0EBC6E4A" w:rsidR="000A262D" w:rsidRDefault="004C08FF">
      <w:pPr>
        <w:pStyle w:val="TOC3"/>
        <w:rPr>
          <w:rFonts w:asciiTheme="minorHAnsi" w:eastAsiaTheme="minorEastAsia" w:hAnsiTheme="minorHAnsi" w:cstheme="minorBidi"/>
        </w:rPr>
      </w:pPr>
      <w:hyperlink w:anchor="_Toc51864324" w:history="1">
        <w:r w:rsidR="000A262D" w:rsidRPr="00781035">
          <w:rPr>
            <w:rStyle w:val="Hyperlink"/>
          </w:rPr>
          <w:t>3700–4200 MHz</w:t>
        </w:r>
        <w:r w:rsidR="000A262D">
          <w:rPr>
            <w:webHidden/>
          </w:rPr>
          <w:tab/>
        </w:r>
        <w:r w:rsidR="000A262D">
          <w:rPr>
            <w:webHidden/>
          </w:rPr>
          <w:fldChar w:fldCharType="begin"/>
        </w:r>
        <w:r w:rsidR="000A262D">
          <w:rPr>
            <w:webHidden/>
          </w:rPr>
          <w:instrText xml:space="preserve"> PAGEREF _Toc51864324 \h </w:instrText>
        </w:r>
        <w:r w:rsidR="000A262D">
          <w:rPr>
            <w:webHidden/>
          </w:rPr>
        </w:r>
        <w:r w:rsidR="000A262D">
          <w:rPr>
            <w:webHidden/>
          </w:rPr>
          <w:fldChar w:fldCharType="separate"/>
        </w:r>
        <w:r>
          <w:rPr>
            <w:webHidden/>
          </w:rPr>
          <w:t>46</w:t>
        </w:r>
        <w:r w:rsidR="000A262D">
          <w:rPr>
            <w:webHidden/>
          </w:rPr>
          <w:fldChar w:fldCharType="end"/>
        </w:r>
      </w:hyperlink>
    </w:p>
    <w:p w14:paraId="559D0CE1" w14:textId="1656B7E3" w:rsidR="000A262D" w:rsidRDefault="004C08FF">
      <w:pPr>
        <w:pStyle w:val="TOC2"/>
        <w:rPr>
          <w:rFonts w:asciiTheme="minorHAnsi" w:eastAsiaTheme="minorEastAsia" w:hAnsiTheme="minorHAnsi" w:cstheme="minorBidi"/>
          <w:spacing w:val="0"/>
          <w:sz w:val="22"/>
          <w:szCs w:val="22"/>
        </w:rPr>
      </w:pPr>
      <w:hyperlink w:anchor="_Toc51864325" w:history="1">
        <w:r w:rsidR="000A262D" w:rsidRPr="00781035">
          <w:rPr>
            <w:rStyle w:val="Hyperlink"/>
          </w:rPr>
          <w:t>Implementation</w:t>
        </w:r>
        <w:r w:rsidR="000A262D">
          <w:rPr>
            <w:webHidden/>
          </w:rPr>
          <w:tab/>
        </w:r>
        <w:r w:rsidR="000A262D">
          <w:rPr>
            <w:webHidden/>
          </w:rPr>
          <w:fldChar w:fldCharType="begin"/>
        </w:r>
        <w:r w:rsidR="000A262D">
          <w:rPr>
            <w:webHidden/>
          </w:rPr>
          <w:instrText xml:space="preserve"> PAGEREF _Toc51864325 \h </w:instrText>
        </w:r>
        <w:r w:rsidR="000A262D">
          <w:rPr>
            <w:webHidden/>
          </w:rPr>
        </w:r>
        <w:r w:rsidR="000A262D">
          <w:rPr>
            <w:webHidden/>
          </w:rPr>
          <w:fldChar w:fldCharType="separate"/>
        </w:r>
        <w:r>
          <w:rPr>
            <w:webHidden/>
          </w:rPr>
          <w:t>47</w:t>
        </w:r>
        <w:r w:rsidR="000A262D">
          <w:rPr>
            <w:webHidden/>
          </w:rPr>
          <w:fldChar w:fldCharType="end"/>
        </w:r>
      </w:hyperlink>
    </w:p>
    <w:p w14:paraId="0503E471" w14:textId="5B6BAD67" w:rsidR="000A262D" w:rsidRDefault="004C08FF">
      <w:pPr>
        <w:pStyle w:val="TOC3"/>
        <w:rPr>
          <w:rFonts w:asciiTheme="minorHAnsi" w:eastAsiaTheme="minorEastAsia" w:hAnsiTheme="minorHAnsi" w:cstheme="minorBidi"/>
        </w:rPr>
      </w:pPr>
      <w:hyperlink w:anchor="_Toc51864326" w:history="1">
        <w:r w:rsidR="000A262D" w:rsidRPr="00781035">
          <w:rPr>
            <w:rStyle w:val="Hyperlink"/>
          </w:rPr>
          <w:t>850 MHz expansion band (809–824 MHz and 854–869 MHz)</w:t>
        </w:r>
        <w:r w:rsidR="000A262D">
          <w:rPr>
            <w:webHidden/>
          </w:rPr>
          <w:tab/>
        </w:r>
        <w:r w:rsidR="000A262D">
          <w:rPr>
            <w:webHidden/>
          </w:rPr>
          <w:fldChar w:fldCharType="begin"/>
        </w:r>
        <w:r w:rsidR="000A262D">
          <w:rPr>
            <w:webHidden/>
          </w:rPr>
          <w:instrText xml:space="preserve"> PAGEREF _Toc51864326 \h </w:instrText>
        </w:r>
        <w:r w:rsidR="000A262D">
          <w:rPr>
            <w:webHidden/>
          </w:rPr>
        </w:r>
        <w:r w:rsidR="000A262D">
          <w:rPr>
            <w:webHidden/>
          </w:rPr>
          <w:fldChar w:fldCharType="separate"/>
        </w:r>
        <w:r>
          <w:rPr>
            <w:webHidden/>
          </w:rPr>
          <w:t>47</w:t>
        </w:r>
        <w:r w:rsidR="000A262D">
          <w:rPr>
            <w:webHidden/>
          </w:rPr>
          <w:fldChar w:fldCharType="end"/>
        </w:r>
      </w:hyperlink>
    </w:p>
    <w:p w14:paraId="015F6838" w14:textId="39868522" w:rsidR="000A262D" w:rsidRDefault="004C08FF">
      <w:pPr>
        <w:pStyle w:val="TOC3"/>
        <w:rPr>
          <w:rFonts w:asciiTheme="minorHAnsi" w:eastAsiaTheme="minorEastAsia" w:hAnsiTheme="minorHAnsi" w:cstheme="minorBidi"/>
        </w:rPr>
      </w:pPr>
      <w:hyperlink w:anchor="_Toc51864327" w:history="1">
        <w:r w:rsidR="000A262D" w:rsidRPr="00781035">
          <w:rPr>
            <w:rStyle w:val="Hyperlink"/>
          </w:rPr>
          <w:t>900 MHz (890–915 MHz and 935–960 MHz)</w:t>
        </w:r>
        <w:r w:rsidR="000A262D">
          <w:rPr>
            <w:webHidden/>
          </w:rPr>
          <w:tab/>
        </w:r>
        <w:r w:rsidR="000A262D">
          <w:rPr>
            <w:webHidden/>
          </w:rPr>
          <w:fldChar w:fldCharType="begin"/>
        </w:r>
        <w:r w:rsidR="000A262D">
          <w:rPr>
            <w:webHidden/>
          </w:rPr>
          <w:instrText xml:space="preserve"> PAGEREF _Toc51864327 \h </w:instrText>
        </w:r>
        <w:r w:rsidR="000A262D">
          <w:rPr>
            <w:webHidden/>
          </w:rPr>
        </w:r>
        <w:r w:rsidR="000A262D">
          <w:rPr>
            <w:webHidden/>
          </w:rPr>
          <w:fldChar w:fldCharType="separate"/>
        </w:r>
        <w:r>
          <w:rPr>
            <w:webHidden/>
          </w:rPr>
          <w:t>48</w:t>
        </w:r>
        <w:r w:rsidR="000A262D">
          <w:rPr>
            <w:webHidden/>
          </w:rPr>
          <w:fldChar w:fldCharType="end"/>
        </w:r>
      </w:hyperlink>
    </w:p>
    <w:p w14:paraId="442DE36B" w14:textId="7466E4B1" w:rsidR="000A262D" w:rsidRDefault="004C08FF">
      <w:pPr>
        <w:pStyle w:val="TOC3"/>
        <w:rPr>
          <w:rFonts w:asciiTheme="minorHAnsi" w:eastAsiaTheme="minorEastAsia" w:hAnsiTheme="minorHAnsi" w:cstheme="minorBidi"/>
        </w:rPr>
      </w:pPr>
      <w:hyperlink w:anchor="_Toc51864328" w:history="1">
        <w:r w:rsidR="000A262D" w:rsidRPr="00781035">
          <w:rPr>
            <w:rStyle w:val="Hyperlink"/>
          </w:rPr>
          <w:t>1800 MHz (1710–1785 MHz and 1805–1880 MHz) in remote areas</w:t>
        </w:r>
        <w:r w:rsidR="000A262D">
          <w:rPr>
            <w:webHidden/>
          </w:rPr>
          <w:tab/>
        </w:r>
        <w:r w:rsidR="000A262D">
          <w:rPr>
            <w:webHidden/>
          </w:rPr>
          <w:fldChar w:fldCharType="begin"/>
        </w:r>
        <w:r w:rsidR="000A262D">
          <w:rPr>
            <w:webHidden/>
          </w:rPr>
          <w:instrText xml:space="preserve"> PAGEREF _Toc51864328 \h </w:instrText>
        </w:r>
        <w:r w:rsidR="000A262D">
          <w:rPr>
            <w:webHidden/>
          </w:rPr>
        </w:r>
        <w:r w:rsidR="000A262D">
          <w:rPr>
            <w:webHidden/>
          </w:rPr>
          <w:fldChar w:fldCharType="separate"/>
        </w:r>
        <w:r>
          <w:rPr>
            <w:webHidden/>
          </w:rPr>
          <w:t>48</w:t>
        </w:r>
        <w:r w:rsidR="000A262D">
          <w:rPr>
            <w:webHidden/>
          </w:rPr>
          <w:fldChar w:fldCharType="end"/>
        </w:r>
      </w:hyperlink>
    </w:p>
    <w:p w14:paraId="2F7A46C1" w14:textId="2494DFF1" w:rsidR="000A262D" w:rsidRDefault="004C08FF">
      <w:pPr>
        <w:pStyle w:val="TOC3"/>
        <w:rPr>
          <w:rFonts w:asciiTheme="minorHAnsi" w:eastAsiaTheme="minorEastAsia" w:hAnsiTheme="minorHAnsi" w:cstheme="minorBidi"/>
        </w:rPr>
      </w:pPr>
      <w:hyperlink w:anchor="_Toc51864329" w:history="1">
        <w:r w:rsidR="000A262D" w:rsidRPr="00781035">
          <w:rPr>
            <w:rStyle w:val="Hyperlink"/>
          </w:rPr>
          <w:t>3400–3575 MHz band</w:t>
        </w:r>
        <w:r w:rsidR="000A262D">
          <w:rPr>
            <w:webHidden/>
          </w:rPr>
          <w:tab/>
        </w:r>
        <w:r w:rsidR="000A262D">
          <w:rPr>
            <w:webHidden/>
          </w:rPr>
          <w:fldChar w:fldCharType="begin"/>
        </w:r>
        <w:r w:rsidR="000A262D">
          <w:rPr>
            <w:webHidden/>
          </w:rPr>
          <w:instrText xml:space="preserve"> PAGEREF _Toc51864329 \h </w:instrText>
        </w:r>
        <w:r w:rsidR="000A262D">
          <w:rPr>
            <w:webHidden/>
          </w:rPr>
        </w:r>
        <w:r w:rsidR="000A262D">
          <w:rPr>
            <w:webHidden/>
          </w:rPr>
          <w:fldChar w:fldCharType="separate"/>
        </w:r>
        <w:r>
          <w:rPr>
            <w:webHidden/>
          </w:rPr>
          <w:t>49</w:t>
        </w:r>
        <w:r w:rsidR="000A262D">
          <w:rPr>
            <w:webHidden/>
          </w:rPr>
          <w:fldChar w:fldCharType="end"/>
        </w:r>
      </w:hyperlink>
    </w:p>
    <w:p w14:paraId="00F938FA" w14:textId="697C4F97" w:rsidR="000A262D" w:rsidRDefault="004C08FF">
      <w:pPr>
        <w:pStyle w:val="TOC3"/>
        <w:rPr>
          <w:rFonts w:asciiTheme="minorHAnsi" w:eastAsiaTheme="minorEastAsia" w:hAnsiTheme="minorHAnsi" w:cstheme="minorBidi"/>
        </w:rPr>
      </w:pPr>
      <w:hyperlink w:anchor="_Toc51864330" w:history="1">
        <w:r w:rsidR="000A262D" w:rsidRPr="00781035">
          <w:rPr>
            <w:rStyle w:val="Hyperlink"/>
          </w:rPr>
          <w:t>5.6 GHz (5600–5650 MHz)</w:t>
        </w:r>
        <w:r w:rsidR="000A262D">
          <w:rPr>
            <w:webHidden/>
          </w:rPr>
          <w:tab/>
        </w:r>
        <w:r w:rsidR="000A262D">
          <w:rPr>
            <w:webHidden/>
          </w:rPr>
          <w:fldChar w:fldCharType="begin"/>
        </w:r>
        <w:r w:rsidR="000A262D">
          <w:rPr>
            <w:webHidden/>
          </w:rPr>
          <w:instrText xml:space="preserve"> PAGEREF _Toc51864330 \h </w:instrText>
        </w:r>
        <w:r w:rsidR="000A262D">
          <w:rPr>
            <w:webHidden/>
          </w:rPr>
        </w:r>
        <w:r w:rsidR="000A262D">
          <w:rPr>
            <w:webHidden/>
          </w:rPr>
          <w:fldChar w:fldCharType="separate"/>
        </w:r>
        <w:r>
          <w:rPr>
            <w:webHidden/>
          </w:rPr>
          <w:t>49</w:t>
        </w:r>
        <w:r w:rsidR="000A262D">
          <w:rPr>
            <w:webHidden/>
          </w:rPr>
          <w:fldChar w:fldCharType="end"/>
        </w:r>
      </w:hyperlink>
    </w:p>
    <w:p w14:paraId="740B80A5" w14:textId="41DF51B2" w:rsidR="000A262D" w:rsidRDefault="004C08FF">
      <w:pPr>
        <w:pStyle w:val="TOC3"/>
        <w:rPr>
          <w:rFonts w:asciiTheme="minorHAnsi" w:eastAsiaTheme="minorEastAsia" w:hAnsiTheme="minorHAnsi" w:cstheme="minorBidi"/>
        </w:rPr>
      </w:pPr>
      <w:hyperlink w:anchor="_Toc51864331" w:history="1">
        <w:r w:rsidR="000A262D" w:rsidRPr="00781035">
          <w:rPr>
            <w:rStyle w:val="Hyperlink"/>
          </w:rPr>
          <w:t>26 GHz (24.25–27.5 GHz)</w:t>
        </w:r>
        <w:r w:rsidR="000A262D">
          <w:rPr>
            <w:webHidden/>
          </w:rPr>
          <w:tab/>
        </w:r>
        <w:r w:rsidR="000A262D">
          <w:rPr>
            <w:webHidden/>
          </w:rPr>
          <w:fldChar w:fldCharType="begin"/>
        </w:r>
        <w:r w:rsidR="000A262D">
          <w:rPr>
            <w:webHidden/>
          </w:rPr>
          <w:instrText xml:space="preserve"> PAGEREF _Toc51864331 \h </w:instrText>
        </w:r>
        <w:r w:rsidR="000A262D">
          <w:rPr>
            <w:webHidden/>
          </w:rPr>
        </w:r>
        <w:r w:rsidR="000A262D">
          <w:rPr>
            <w:webHidden/>
          </w:rPr>
          <w:fldChar w:fldCharType="separate"/>
        </w:r>
        <w:r>
          <w:rPr>
            <w:webHidden/>
          </w:rPr>
          <w:t>50</w:t>
        </w:r>
        <w:r w:rsidR="000A262D">
          <w:rPr>
            <w:webHidden/>
          </w:rPr>
          <w:fldChar w:fldCharType="end"/>
        </w:r>
      </w:hyperlink>
    </w:p>
    <w:p w14:paraId="78533220" w14:textId="505D1F5A" w:rsidR="000A262D" w:rsidRDefault="004C08FF">
      <w:pPr>
        <w:pStyle w:val="TOC3"/>
        <w:rPr>
          <w:rFonts w:asciiTheme="minorHAnsi" w:eastAsiaTheme="minorEastAsia" w:hAnsiTheme="minorHAnsi" w:cstheme="minorBidi"/>
        </w:rPr>
      </w:pPr>
      <w:hyperlink w:anchor="_Toc51864332" w:history="1">
        <w:r w:rsidR="000A262D" w:rsidRPr="00781035">
          <w:rPr>
            <w:rStyle w:val="Hyperlink"/>
          </w:rPr>
          <w:t>28 GHz (27.5–29.5 GHz)</w:t>
        </w:r>
        <w:r w:rsidR="000A262D">
          <w:rPr>
            <w:webHidden/>
          </w:rPr>
          <w:tab/>
        </w:r>
        <w:r w:rsidR="000A262D">
          <w:rPr>
            <w:webHidden/>
          </w:rPr>
          <w:fldChar w:fldCharType="begin"/>
        </w:r>
        <w:r w:rsidR="000A262D">
          <w:rPr>
            <w:webHidden/>
          </w:rPr>
          <w:instrText xml:space="preserve"> PAGEREF _Toc51864332 \h </w:instrText>
        </w:r>
        <w:r w:rsidR="000A262D">
          <w:rPr>
            <w:webHidden/>
          </w:rPr>
        </w:r>
        <w:r w:rsidR="000A262D">
          <w:rPr>
            <w:webHidden/>
          </w:rPr>
          <w:fldChar w:fldCharType="separate"/>
        </w:r>
        <w:r>
          <w:rPr>
            <w:webHidden/>
          </w:rPr>
          <w:t>50</w:t>
        </w:r>
        <w:r w:rsidR="000A262D">
          <w:rPr>
            <w:webHidden/>
          </w:rPr>
          <w:fldChar w:fldCharType="end"/>
        </w:r>
      </w:hyperlink>
    </w:p>
    <w:p w14:paraId="2AB6E87E" w14:textId="4EBC1356" w:rsidR="000A262D" w:rsidRDefault="004C08FF">
      <w:pPr>
        <w:pStyle w:val="TOC1"/>
        <w:rPr>
          <w:rFonts w:asciiTheme="minorHAnsi" w:eastAsiaTheme="minorEastAsia" w:hAnsiTheme="minorHAnsi" w:cstheme="minorBidi"/>
          <w:b w:val="0"/>
          <w:spacing w:val="0"/>
          <w:sz w:val="22"/>
          <w:szCs w:val="22"/>
        </w:rPr>
      </w:pPr>
      <w:hyperlink w:anchor="_Toc51864333" w:history="1">
        <w:r w:rsidR="000A262D" w:rsidRPr="00781035">
          <w:rPr>
            <w:rStyle w:val="Hyperlink"/>
          </w:rPr>
          <w:t>Optimising established planning frameworks</w:t>
        </w:r>
        <w:r w:rsidR="000A262D">
          <w:rPr>
            <w:webHidden/>
          </w:rPr>
          <w:tab/>
        </w:r>
        <w:r w:rsidR="000A262D">
          <w:rPr>
            <w:webHidden/>
          </w:rPr>
          <w:fldChar w:fldCharType="begin"/>
        </w:r>
        <w:r w:rsidR="000A262D">
          <w:rPr>
            <w:webHidden/>
          </w:rPr>
          <w:instrText xml:space="preserve"> PAGEREF _Toc51864333 \h </w:instrText>
        </w:r>
        <w:r w:rsidR="000A262D">
          <w:rPr>
            <w:webHidden/>
          </w:rPr>
        </w:r>
        <w:r w:rsidR="000A262D">
          <w:rPr>
            <w:webHidden/>
          </w:rPr>
          <w:fldChar w:fldCharType="separate"/>
        </w:r>
        <w:r>
          <w:rPr>
            <w:webHidden/>
          </w:rPr>
          <w:t>52</w:t>
        </w:r>
        <w:r w:rsidR="000A262D">
          <w:rPr>
            <w:webHidden/>
          </w:rPr>
          <w:fldChar w:fldCharType="end"/>
        </w:r>
      </w:hyperlink>
    </w:p>
    <w:p w14:paraId="4601EEC8" w14:textId="18C925C8" w:rsidR="000A262D" w:rsidRDefault="004C08FF">
      <w:pPr>
        <w:pStyle w:val="TOC2"/>
        <w:rPr>
          <w:rFonts w:asciiTheme="minorHAnsi" w:eastAsiaTheme="minorEastAsia" w:hAnsiTheme="minorHAnsi" w:cstheme="minorBidi"/>
          <w:spacing w:val="0"/>
          <w:sz w:val="22"/>
          <w:szCs w:val="22"/>
        </w:rPr>
      </w:pPr>
      <w:hyperlink w:anchor="_Toc51864334" w:history="1">
        <w:r w:rsidR="000A262D" w:rsidRPr="00781035">
          <w:rPr>
            <w:rStyle w:val="Hyperlink"/>
          </w:rPr>
          <w:t>Spectrum management advice and considering out-of-policy requests</w:t>
        </w:r>
        <w:r w:rsidR="000A262D">
          <w:rPr>
            <w:webHidden/>
          </w:rPr>
          <w:tab/>
        </w:r>
        <w:r w:rsidR="000A262D">
          <w:rPr>
            <w:webHidden/>
          </w:rPr>
          <w:fldChar w:fldCharType="begin"/>
        </w:r>
        <w:r w:rsidR="000A262D">
          <w:rPr>
            <w:webHidden/>
          </w:rPr>
          <w:instrText xml:space="preserve"> PAGEREF _Toc51864334 \h </w:instrText>
        </w:r>
        <w:r w:rsidR="000A262D">
          <w:rPr>
            <w:webHidden/>
          </w:rPr>
        </w:r>
        <w:r w:rsidR="000A262D">
          <w:rPr>
            <w:webHidden/>
          </w:rPr>
          <w:fldChar w:fldCharType="separate"/>
        </w:r>
        <w:r>
          <w:rPr>
            <w:webHidden/>
          </w:rPr>
          <w:t>52</w:t>
        </w:r>
        <w:r w:rsidR="000A262D">
          <w:rPr>
            <w:webHidden/>
          </w:rPr>
          <w:fldChar w:fldCharType="end"/>
        </w:r>
      </w:hyperlink>
    </w:p>
    <w:p w14:paraId="533253A9" w14:textId="5A292AA4" w:rsidR="000A262D" w:rsidRDefault="004C08FF">
      <w:pPr>
        <w:pStyle w:val="TOC3"/>
        <w:rPr>
          <w:rFonts w:asciiTheme="minorHAnsi" w:eastAsiaTheme="minorEastAsia" w:hAnsiTheme="minorHAnsi" w:cstheme="minorBidi"/>
        </w:rPr>
      </w:pPr>
      <w:hyperlink w:anchor="_Toc51864335" w:history="1">
        <w:r w:rsidR="000A262D" w:rsidRPr="00781035">
          <w:rPr>
            <w:rStyle w:val="Hyperlink"/>
          </w:rPr>
          <w:t>Public protection and disaster relief (PPDR) in the 4.9 GHz band</w:t>
        </w:r>
        <w:r w:rsidR="000A262D">
          <w:rPr>
            <w:webHidden/>
          </w:rPr>
          <w:tab/>
        </w:r>
        <w:r w:rsidR="000A262D">
          <w:rPr>
            <w:webHidden/>
          </w:rPr>
          <w:fldChar w:fldCharType="begin"/>
        </w:r>
        <w:r w:rsidR="000A262D">
          <w:rPr>
            <w:webHidden/>
          </w:rPr>
          <w:instrText xml:space="preserve"> PAGEREF _Toc51864335 \h </w:instrText>
        </w:r>
        <w:r w:rsidR="000A262D">
          <w:rPr>
            <w:webHidden/>
          </w:rPr>
        </w:r>
        <w:r w:rsidR="000A262D">
          <w:rPr>
            <w:webHidden/>
          </w:rPr>
          <w:fldChar w:fldCharType="separate"/>
        </w:r>
        <w:r>
          <w:rPr>
            <w:webHidden/>
          </w:rPr>
          <w:t>52</w:t>
        </w:r>
        <w:r w:rsidR="000A262D">
          <w:rPr>
            <w:webHidden/>
          </w:rPr>
          <w:fldChar w:fldCharType="end"/>
        </w:r>
      </w:hyperlink>
    </w:p>
    <w:p w14:paraId="4CC04E8A" w14:textId="059E7DAA" w:rsidR="000A262D" w:rsidRDefault="004C08FF">
      <w:pPr>
        <w:pStyle w:val="TOC2"/>
        <w:rPr>
          <w:rFonts w:asciiTheme="minorHAnsi" w:eastAsiaTheme="minorEastAsia" w:hAnsiTheme="minorHAnsi" w:cstheme="minorBidi"/>
          <w:spacing w:val="0"/>
          <w:sz w:val="22"/>
          <w:szCs w:val="22"/>
        </w:rPr>
      </w:pPr>
      <w:hyperlink w:anchor="_Toc51864336" w:history="1">
        <w:r w:rsidR="000A262D" w:rsidRPr="00781035">
          <w:rPr>
            <w:rStyle w:val="Hyperlink"/>
          </w:rPr>
          <w:t>Broadcasting</w:t>
        </w:r>
        <w:r w:rsidR="000A262D">
          <w:rPr>
            <w:webHidden/>
          </w:rPr>
          <w:tab/>
        </w:r>
        <w:r w:rsidR="000A262D">
          <w:rPr>
            <w:webHidden/>
          </w:rPr>
          <w:fldChar w:fldCharType="begin"/>
        </w:r>
        <w:r w:rsidR="000A262D">
          <w:rPr>
            <w:webHidden/>
          </w:rPr>
          <w:instrText xml:space="preserve"> PAGEREF _Toc51864336 \h </w:instrText>
        </w:r>
        <w:r w:rsidR="000A262D">
          <w:rPr>
            <w:webHidden/>
          </w:rPr>
        </w:r>
        <w:r w:rsidR="000A262D">
          <w:rPr>
            <w:webHidden/>
          </w:rPr>
          <w:fldChar w:fldCharType="separate"/>
        </w:r>
        <w:r>
          <w:rPr>
            <w:webHidden/>
          </w:rPr>
          <w:t>52</w:t>
        </w:r>
        <w:r w:rsidR="000A262D">
          <w:rPr>
            <w:webHidden/>
          </w:rPr>
          <w:fldChar w:fldCharType="end"/>
        </w:r>
      </w:hyperlink>
    </w:p>
    <w:p w14:paraId="0891DD4D" w14:textId="715B0249" w:rsidR="000A262D" w:rsidRDefault="004C08FF">
      <w:pPr>
        <w:pStyle w:val="TOC3"/>
        <w:rPr>
          <w:rFonts w:asciiTheme="minorHAnsi" w:eastAsiaTheme="minorEastAsia" w:hAnsiTheme="minorHAnsi" w:cstheme="minorBidi"/>
        </w:rPr>
      </w:pPr>
      <w:hyperlink w:anchor="_Toc51864337" w:history="1">
        <w:r w:rsidR="000A262D" w:rsidRPr="00781035">
          <w:rPr>
            <w:rStyle w:val="Hyperlink"/>
          </w:rPr>
          <w:t>Recent developments</w:t>
        </w:r>
        <w:r w:rsidR="000A262D">
          <w:rPr>
            <w:webHidden/>
          </w:rPr>
          <w:tab/>
        </w:r>
        <w:r w:rsidR="000A262D">
          <w:rPr>
            <w:webHidden/>
          </w:rPr>
          <w:fldChar w:fldCharType="begin"/>
        </w:r>
        <w:r w:rsidR="000A262D">
          <w:rPr>
            <w:webHidden/>
          </w:rPr>
          <w:instrText xml:space="preserve"> PAGEREF _Toc51864337 \h </w:instrText>
        </w:r>
        <w:r w:rsidR="000A262D">
          <w:rPr>
            <w:webHidden/>
          </w:rPr>
        </w:r>
        <w:r w:rsidR="000A262D">
          <w:rPr>
            <w:webHidden/>
          </w:rPr>
          <w:fldChar w:fldCharType="separate"/>
        </w:r>
        <w:r>
          <w:rPr>
            <w:webHidden/>
          </w:rPr>
          <w:t>53</w:t>
        </w:r>
        <w:r w:rsidR="000A262D">
          <w:rPr>
            <w:webHidden/>
          </w:rPr>
          <w:fldChar w:fldCharType="end"/>
        </w:r>
      </w:hyperlink>
    </w:p>
    <w:p w14:paraId="5EE38C4B" w14:textId="3CA06570" w:rsidR="000A262D" w:rsidRDefault="004C08FF">
      <w:pPr>
        <w:pStyle w:val="TOC3"/>
        <w:rPr>
          <w:rFonts w:asciiTheme="minorHAnsi" w:eastAsiaTheme="minorEastAsia" w:hAnsiTheme="minorHAnsi" w:cstheme="minorBidi"/>
        </w:rPr>
      </w:pPr>
      <w:hyperlink w:anchor="_Toc51864338"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_Toc51864338 \h </w:instrText>
        </w:r>
        <w:r w:rsidR="000A262D">
          <w:rPr>
            <w:webHidden/>
          </w:rPr>
        </w:r>
        <w:r w:rsidR="000A262D">
          <w:rPr>
            <w:webHidden/>
          </w:rPr>
          <w:fldChar w:fldCharType="separate"/>
        </w:r>
        <w:r>
          <w:rPr>
            <w:webHidden/>
          </w:rPr>
          <w:t>54</w:t>
        </w:r>
        <w:r w:rsidR="000A262D">
          <w:rPr>
            <w:webHidden/>
          </w:rPr>
          <w:fldChar w:fldCharType="end"/>
        </w:r>
      </w:hyperlink>
    </w:p>
    <w:p w14:paraId="5A89F15C" w14:textId="1096AA05" w:rsidR="000A262D" w:rsidRDefault="004C08FF">
      <w:pPr>
        <w:pStyle w:val="TOC2"/>
        <w:rPr>
          <w:rFonts w:asciiTheme="minorHAnsi" w:eastAsiaTheme="minorEastAsia" w:hAnsiTheme="minorHAnsi" w:cstheme="minorBidi"/>
          <w:spacing w:val="0"/>
          <w:sz w:val="22"/>
          <w:szCs w:val="22"/>
        </w:rPr>
      </w:pPr>
      <w:hyperlink w:anchor="_Toc51864339" w:history="1">
        <w:r w:rsidR="000A262D" w:rsidRPr="00781035">
          <w:rPr>
            <w:rStyle w:val="Hyperlink"/>
          </w:rPr>
          <w:t>Satellite planning</w:t>
        </w:r>
        <w:r w:rsidR="000A262D">
          <w:rPr>
            <w:webHidden/>
          </w:rPr>
          <w:tab/>
        </w:r>
        <w:r w:rsidR="000A262D">
          <w:rPr>
            <w:webHidden/>
          </w:rPr>
          <w:fldChar w:fldCharType="begin"/>
        </w:r>
        <w:r w:rsidR="000A262D">
          <w:rPr>
            <w:webHidden/>
          </w:rPr>
          <w:instrText xml:space="preserve"> PAGEREF _Toc51864339 \h </w:instrText>
        </w:r>
        <w:r w:rsidR="000A262D">
          <w:rPr>
            <w:webHidden/>
          </w:rPr>
        </w:r>
        <w:r w:rsidR="000A262D">
          <w:rPr>
            <w:webHidden/>
          </w:rPr>
          <w:fldChar w:fldCharType="separate"/>
        </w:r>
        <w:r>
          <w:rPr>
            <w:webHidden/>
          </w:rPr>
          <w:t>54</w:t>
        </w:r>
        <w:r w:rsidR="000A262D">
          <w:rPr>
            <w:webHidden/>
          </w:rPr>
          <w:fldChar w:fldCharType="end"/>
        </w:r>
      </w:hyperlink>
    </w:p>
    <w:p w14:paraId="78FD47A3" w14:textId="24C25095" w:rsidR="000A262D" w:rsidRDefault="004C08FF">
      <w:pPr>
        <w:pStyle w:val="TOC3"/>
        <w:rPr>
          <w:rFonts w:asciiTheme="minorHAnsi" w:eastAsiaTheme="minorEastAsia" w:hAnsiTheme="minorHAnsi" w:cstheme="minorBidi"/>
        </w:rPr>
      </w:pPr>
      <w:hyperlink w:anchor="_Toc51864340" w:history="1">
        <w:r w:rsidR="000A262D" w:rsidRPr="00781035">
          <w:rPr>
            <w:rStyle w:val="Hyperlink"/>
          </w:rPr>
          <w:t>Recent developments</w:t>
        </w:r>
        <w:r w:rsidR="000A262D">
          <w:rPr>
            <w:webHidden/>
          </w:rPr>
          <w:tab/>
        </w:r>
        <w:r w:rsidR="000A262D">
          <w:rPr>
            <w:webHidden/>
          </w:rPr>
          <w:fldChar w:fldCharType="begin"/>
        </w:r>
        <w:r w:rsidR="000A262D">
          <w:rPr>
            <w:webHidden/>
          </w:rPr>
          <w:instrText xml:space="preserve"> PAGEREF _Toc51864340 \h </w:instrText>
        </w:r>
        <w:r w:rsidR="000A262D">
          <w:rPr>
            <w:webHidden/>
          </w:rPr>
        </w:r>
        <w:r w:rsidR="000A262D">
          <w:rPr>
            <w:webHidden/>
          </w:rPr>
          <w:fldChar w:fldCharType="separate"/>
        </w:r>
        <w:r>
          <w:rPr>
            <w:webHidden/>
          </w:rPr>
          <w:t>54</w:t>
        </w:r>
        <w:r w:rsidR="000A262D">
          <w:rPr>
            <w:webHidden/>
          </w:rPr>
          <w:fldChar w:fldCharType="end"/>
        </w:r>
      </w:hyperlink>
    </w:p>
    <w:p w14:paraId="27B223AA" w14:textId="63DE0F07" w:rsidR="000A262D" w:rsidRDefault="004C08FF">
      <w:pPr>
        <w:pStyle w:val="TOC3"/>
        <w:rPr>
          <w:rFonts w:asciiTheme="minorHAnsi" w:eastAsiaTheme="minorEastAsia" w:hAnsiTheme="minorHAnsi" w:cstheme="minorBidi"/>
        </w:rPr>
      </w:pPr>
      <w:hyperlink w:anchor="_Toc51864341"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_Toc51864341 \h </w:instrText>
        </w:r>
        <w:r w:rsidR="000A262D">
          <w:rPr>
            <w:webHidden/>
          </w:rPr>
        </w:r>
        <w:r w:rsidR="000A262D">
          <w:rPr>
            <w:webHidden/>
          </w:rPr>
          <w:fldChar w:fldCharType="separate"/>
        </w:r>
        <w:r>
          <w:rPr>
            <w:webHidden/>
          </w:rPr>
          <w:t>55</w:t>
        </w:r>
        <w:r w:rsidR="000A262D">
          <w:rPr>
            <w:webHidden/>
          </w:rPr>
          <w:fldChar w:fldCharType="end"/>
        </w:r>
      </w:hyperlink>
    </w:p>
    <w:p w14:paraId="780EF683" w14:textId="4843AC0C" w:rsidR="000A262D" w:rsidRDefault="004C08FF">
      <w:pPr>
        <w:pStyle w:val="TOC3"/>
        <w:rPr>
          <w:rFonts w:asciiTheme="minorHAnsi" w:eastAsiaTheme="minorEastAsia" w:hAnsiTheme="minorHAnsi" w:cstheme="minorBidi"/>
        </w:rPr>
      </w:pPr>
      <w:hyperlink w:anchor="_Toc51864342" w:history="1">
        <w:r w:rsidR="000A262D" w:rsidRPr="00781035">
          <w:rPr>
            <w:rStyle w:val="Hyperlink"/>
          </w:rPr>
          <w:t>Spectrum arrangements for ‘small satellites’</w:t>
        </w:r>
        <w:r w:rsidR="000A262D">
          <w:rPr>
            <w:webHidden/>
          </w:rPr>
          <w:tab/>
        </w:r>
        <w:r w:rsidR="000A262D">
          <w:rPr>
            <w:webHidden/>
          </w:rPr>
          <w:fldChar w:fldCharType="begin"/>
        </w:r>
        <w:r w:rsidR="000A262D">
          <w:rPr>
            <w:webHidden/>
          </w:rPr>
          <w:instrText xml:space="preserve"> PAGEREF _Toc51864342 \h </w:instrText>
        </w:r>
        <w:r w:rsidR="000A262D">
          <w:rPr>
            <w:webHidden/>
          </w:rPr>
        </w:r>
        <w:r w:rsidR="000A262D">
          <w:rPr>
            <w:webHidden/>
          </w:rPr>
          <w:fldChar w:fldCharType="separate"/>
        </w:r>
        <w:r>
          <w:rPr>
            <w:webHidden/>
          </w:rPr>
          <w:t>55</w:t>
        </w:r>
        <w:r w:rsidR="000A262D">
          <w:rPr>
            <w:webHidden/>
          </w:rPr>
          <w:fldChar w:fldCharType="end"/>
        </w:r>
      </w:hyperlink>
    </w:p>
    <w:p w14:paraId="711403E9" w14:textId="4ACB54F4" w:rsidR="000A262D" w:rsidRDefault="004C08FF">
      <w:pPr>
        <w:pStyle w:val="TOC3"/>
        <w:rPr>
          <w:rFonts w:asciiTheme="minorHAnsi" w:eastAsiaTheme="minorEastAsia" w:hAnsiTheme="minorHAnsi" w:cstheme="minorBidi"/>
        </w:rPr>
      </w:pPr>
      <w:hyperlink w:anchor="_Toc51864343" w:history="1">
        <w:r w:rsidR="000A262D" w:rsidRPr="00781035">
          <w:rPr>
            <w:rStyle w:val="Hyperlink"/>
          </w:rPr>
          <w:t xml:space="preserve">Updating regulatory arrangements for space-based </w:t>
        </w:r>
        <w:r w:rsidR="000A262D">
          <w:rPr>
            <w:rStyle w:val="Hyperlink"/>
          </w:rPr>
          <w:br/>
        </w:r>
        <w:r w:rsidR="000A262D" w:rsidRPr="00781035">
          <w:rPr>
            <w:rStyle w:val="Hyperlink"/>
          </w:rPr>
          <w:t>communications systems</w:t>
        </w:r>
        <w:r w:rsidR="000A262D">
          <w:rPr>
            <w:webHidden/>
          </w:rPr>
          <w:tab/>
        </w:r>
        <w:r w:rsidR="000A262D">
          <w:rPr>
            <w:webHidden/>
          </w:rPr>
          <w:fldChar w:fldCharType="begin"/>
        </w:r>
        <w:r w:rsidR="000A262D">
          <w:rPr>
            <w:webHidden/>
          </w:rPr>
          <w:instrText xml:space="preserve"> PAGEREF _Toc51864343 \h </w:instrText>
        </w:r>
        <w:r w:rsidR="000A262D">
          <w:rPr>
            <w:webHidden/>
          </w:rPr>
        </w:r>
        <w:r w:rsidR="000A262D">
          <w:rPr>
            <w:webHidden/>
          </w:rPr>
          <w:fldChar w:fldCharType="separate"/>
        </w:r>
        <w:r>
          <w:rPr>
            <w:webHidden/>
          </w:rPr>
          <w:t>56</w:t>
        </w:r>
        <w:r w:rsidR="000A262D">
          <w:rPr>
            <w:webHidden/>
          </w:rPr>
          <w:fldChar w:fldCharType="end"/>
        </w:r>
      </w:hyperlink>
    </w:p>
    <w:p w14:paraId="27E6F975" w14:textId="388538CC" w:rsidR="000A262D" w:rsidRDefault="004C08FF">
      <w:pPr>
        <w:pStyle w:val="TOC3"/>
        <w:rPr>
          <w:rFonts w:asciiTheme="minorHAnsi" w:eastAsiaTheme="minorEastAsia" w:hAnsiTheme="minorHAnsi" w:cstheme="minorBidi"/>
        </w:rPr>
      </w:pPr>
      <w:hyperlink w:anchor="_Toc51864344" w:history="1">
        <w:r w:rsidR="000A262D" w:rsidRPr="00781035">
          <w:rPr>
            <w:rStyle w:val="Hyperlink"/>
          </w:rPr>
          <w:t>Ongoing review of space licensing procedures</w:t>
        </w:r>
        <w:r w:rsidR="000A262D">
          <w:rPr>
            <w:webHidden/>
          </w:rPr>
          <w:tab/>
        </w:r>
        <w:r w:rsidR="000A262D">
          <w:rPr>
            <w:webHidden/>
          </w:rPr>
          <w:fldChar w:fldCharType="begin"/>
        </w:r>
        <w:r w:rsidR="000A262D">
          <w:rPr>
            <w:webHidden/>
          </w:rPr>
          <w:instrText xml:space="preserve"> PAGEREF _Toc51864344 \h </w:instrText>
        </w:r>
        <w:r w:rsidR="000A262D">
          <w:rPr>
            <w:webHidden/>
          </w:rPr>
        </w:r>
        <w:r w:rsidR="000A262D">
          <w:rPr>
            <w:webHidden/>
          </w:rPr>
          <w:fldChar w:fldCharType="separate"/>
        </w:r>
        <w:r>
          <w:rPr>
            <w:webHidden/>
          </w:rPr>
          <w:t>56</w:t>
        </w:r>
        <w:r w:rsidR="000A262D">
          <w:rPr>
            <w:webHidden/>
          </w:rPr>
          <w:fldChar w:fldCharType="end"/>
        </w:r>
      </w:hyperlink>
    </w:p>
    <w:p w14:paraId="62FCC210" w14:textId="59E15F33" w:rsidR="000A262D" w:rsidRDefault="004C08FF">
      <w:pPr>
        <w:pStyle w:val="TOC3"/>
        <w:rPr>
          <w:rFonts w:asciiTheme="minorHAnsi" w:eastAsiaTheme="minorEastAsia" w:hAnsiTheme="minorHAnsi" w:cstheme="minorBidi"/>
        </w:rPr>
      </w:pPr>
      <w:hyperlink w:anchor="_Toc51864345" w:history="1">
        <w:r w:rsidR="000A262D" w:rsidRPr="00781035">
          <w:rPr>
            <w:rStyle w:val="Hyperlink"/>
          </w:rPr>
          <w:t>Filing and coordination of Australian satellite systems</w:t>
        </w:r>
        <w:r w:rsidR="000A262D">
          <w:rPr>
            <w:webHidden/>
          </w:rPr>
          <w:tab/>
        </w:r>
        <w:r w:rsidR="000A262D">
          <w:rPr>
            <w:webHidden/>
          </w:rPr>
          <w:fldChar w:fldCharType="begin"/>
        </w:r>
        <w:r w:rsidR="000A262D">
          <w:rPr>
            <w:webHidden/>
          </w:rPr>
          <w:instrText xml:space="preserve"> PAGEREF _Toc51864345 \h </w:instrText>
        </w:r>
        <w:r w:rsidR="000A262D">
          <w:rPr>
            <w:webHidden/>
          </w:rPr>
        </w:r>
        <w:r w:rsidR="000A262D">
          <w:rPr>
            <w:webHidden/>
          </w:rPr>
          <w:fldChar w:fldCharType="separate"/>
        </w:r>
        <w:r>
          <w:rPr>
            <w:webHidden/>
          </w:rPr>
          <w:t>56</w:t>
        </w:r>
        <w:r w:rsidR="000A262D">
          <w:rPr>
            <w:webHidden/>
          </w:rPr>
          <w:fldChar w:fldCharType="end"/>
        </w:r>
      </w:hyperlink>
    </w:p>
    <w:p w14:paraId="15ADC15F" w14:textId="6AAEE060" w:rsidR="000A262D" w:rsidRDefault="004C08FF">
      <w:pPr>
        <w:pStyle w:val="TOC3"/>
        <w:rPr>
          <w:rFonts w:asciiTheme="minorHAnsi" w:eastAsiaTheme="minorEastAsia" w:hAnsiTheme="minorHAnsi" w:cstheme="minorBidi"/>
        </w:rPr>
      </w:pPr>
      <w:hyperlink w:anchor="_Toc51864346" w:history="1">
        <w:r w:rsidR="000A262D" w:rsidRPr="00781035">
          <w:rPr>
            <w:rStyle w:val="Hyperlink"/>
          </w:rPr>
          <w:t xml:space="preserve">Updating procedures for submission of Australian satellite networks </w:t>
        </w:r>
        <w:r w:rsidR="000A262D">
          <w:rPr>
            <w:rStyle w:val="Hyperlink"/>
          </w:rPr>
          <w:br/>
        </w:r>
        <w:r w:rsidR="000A262D" w:rsidRPr="00781035">
          <w:rPr>
            <w:rStyle w:val="Hyperlink"/>
          </w:rPr>
          <w:t>to the ITU</w:t>
        </w:r>
        <w:r w:rsidR="000A262D">
          <w:rPr>
            <w:webHidden/>
          </w:rPr>
          <w:tab/>
        </w:r>
        <w:r w:rsidR="000A262D">
          <w:rPr>
            <w:webHidden/>
          </w:rPr>
          <w:fldChar w:fldCharType="begin"/>
        </w:r>
        <w:r w:rsidR="000A262D">
          <w:rPr>
            <w:webHidden/>
          </w:rPr>
          <w:instrText xml:space="preserve"> PAGEREF _Toc51864346 \h </w:instrText>
        </w:r>
        <w:r w:rsidR="000A262D">
          <w:rPr>
            <w:webHidden/>
          </w:rPr>
        </w:r>
        <w:r w:rsidR="000A262D">
          <w:rPr>
            <w:webHidden/>
          </w:rPr>
          <w:fldChar w:fldCharType="separate"/>
        </w:r>
        <w:r>
          <w:rPr>
            <w:webHidden/>
          </w:rPr>
          <w:t>56</w:t>
        </w:r>
        <w:r w:rsidR="000A262D">
          <w:rPr>
            <w:webHidden/>
          </w:rPr>
          <w:fldChar w:fldCharType="end"/>
        </w:r>
      </w:hyperlink>
    </w:p>
    <w:p w14:paraId="45E02005" w14:textId="48464BF4" w:rsidR="000A262D" w:rsidRDefault="004C08FF">
      <w:pPr>
        <w:pStyle w:val="TOC2"/>
        <w:rPr>
          <w:rFonts w:asciiTheme="minorHAnsi" w:eastAsiaTheme="minorEastAsia" w:hAnsiTheme="minorHAnsi" w:cstheme="minorBidi"/>
          <w:spacing w:val="0"/>
          <w:sz w:val="22"/>
          <w:szCs w:val="22"/>
        </w:rPr>
      </w:pPr>
      <w:hyperlink w:anchor="_Toc51864347" w:history="1">
        <w:r w:rsidR="000A262D" w:rsidRPr="00781035">
          <w:rPr>
            <w:rStyle w:val="Hyperlink"/>
          </w:rPr>
          <w:t>Low interference potential devices</w:t>
        </w:r>
        <w:r w:rsidR="000A262D">
          <w:rPr>
            <w:webHidden/>
          </w:rPr>
          <w:tab/>
        </w:r>
        <w:r w:rsidR="000A262D">
          <w:rPr>
            <w:webHidden/>
          </w:rPr>
          <w:fldChar w:fldCharType="begin"/>
        </w:r>
        <w:r w:rsidR="000A262D">
          <w:rPr>
            <w:webHidden/>
          </w:rPr>
          <w:instrText xml:space="preserve"> PAGEREF _Toc51864347 \h </w:instrText>
        </w:r>
        <w:r w:rsidR="000A262D">
          <w:rPr>
            <w:webHidden/>
          </w:rPr>
        </w:r>
        <w:r w:rsidR="000A262D">
          <w:rPr>
            <w:webHidden/>
          </w:rPr>
          <w:fldChar w:fldCharType="separate"/>
        </w:r>
        <w:r>
          <w:rPr>
            <w:webHidden/>
          </w:rPr>
          <w:t>57</w:t>
        </w:r>
        <w:r w:rsidR="000A262D">
          <w:rPr>
            <w:webHidden/>
          </w:rPr>
          <w:fldChar w:fldCharType="end"/>
        </w:r>
      </w:hyperlink>
    </w:p>
    <w:p w14:paraId="423936BC" w14:textId="777C5623" w:rsidR="000A262D" w:rsidRDefault="004C08FF">
      <w:pPr>
        <w:pStyle w:val="TOC3"/>
        <w:rPr>
          <w:rFonts w:asciiTheme="minorHAnsi" w:eastAsiaTheme="minorEastAsia" w:hAnsiTheme="minorHAnsi" w:cstheme="minorBidi"/>
        </w:rPr>
      </w:pPr>
      <w:hyperlink w:anchor="_Toc51864348" w:history="1">
        <w:r w:rsidR="000A262D" w:rsidRPr="00781035">
          <w:rPr>
            <w:rStyle w:val="Hyperlink"/>
          </w:rPr>
          <w:t>Progress achieved</w:t>
        </w:r>
        <w:r w:rsidR="000A262D">
          <w:rPr>
            <w:webHidden/>
          </w:rPr>
          <w:tab/>
        </w:r>
        <w:r w:rsidR="000A262D">
          <w:rPr>
            <w:webHidden/>
          </w:rPr>
          <w:fldChar w:fldCharType="begin"/>
        </w:r>
        <w:r w:rsidR="000A262D">
          <w:rPr>
            <w:webHidden/>
          </w:rPr>
          <w:instrText xml:space="preserve"> PAGEREF _Toc51864348 \h </w:instrText>
        </w:r>
        <w:r w:rsidR="000A262D">
          <w:rPr>
            <w:webHidden/>
          </w:rPr>
        </w:r>
        <w:r w:rsidR="000A262D">
          <w:rPr>
            <w:webHidden/>
          </w:rPr>
          <w:fldChar w:fldCharType="separate"/>
        </w:r>
        <w:r>
          <w:rPr>
            <w:webHidden/>
          </w:rPr>
          <w:t>57</w:t>
        </w:r>
        <w:r w:rsidR="000A262D">
          <w:rPr>
            <w:webHidden/>
          </w:rPr>
          <w:fldChar w:fldCharType="end"/>
        </w:r>
      </w:hyperlink>
    </w:p>
    <w:p w14:paraId="27F598C0" w14:textId="17EB109E" w:rsidR="000A262D" w:rsidRDefault="004C08FF">
      <w:pPr>
        <w:pStyle w:val="TOC3"/>
        <w:rPr>
          <w:rFonts w:asciiTheme="minorHAnsi" w:eastAsiaTheme="minorEastAsia" w:hAnsiTheme="minorHAnsi" w:cstheme="minorBidi"/>
        </w:rPr>
      </w:pPr>
      <w:hyperlink w:anchor="_Toc51864349"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_Toc51864349 \h </w:instrText>
        </w:r>
        <w:r w:rsidR="000A262D">
          <w:rPr>
            <w:webHidden/>
          </w:rPr>
        </w:r>
        <w:r w:rsidR="000A262D">
          <w:rPr>
            <w:webHidden/>
          </w:rPr>
          <w:fldChar w:fldCharType="separate"/>
        </w:r>
        <w:r>
          <w:rPr>
            <w:webHidden/>
          </w:rPr>
          <w:t>57</w:t>
        </w:r>
        <w:r w:rsidR="000A262D">
          <w:rPr>
            <w:webHidden/>
          </w:rPr>
          <w:fldChar w:fldCharType="end"/>
        </w:r>
      </w:hyperlink>
    </w:p>
    <w:p w14:paraId="13F1B80C" w14:textId="36FBA2D8" w:rsidR="000A262D" w:rsidRDefault="004C08FF">
      <w:pPr>
        <w:pStyle w:val="TOC2"/>
        <w:rPr>
          <w:rFonts w:asciiTheme="minorHAnsi" w:eastAsiaTheme="minorEastAsia" w:hAnsiTheme="minorHAnsi" w:cstheme="minorBidi"/>
          <w:spacing w:val="0"/>
          <w:sz w:val="22"/>
          <w:szCs w:val="22"/>
        </w:rPr>
      </w:pPr>
      <w:hyperlink w:anchor="_Toc51864350" w:history="1">
        <w:r w:rsidR="000A262D" w:rsidRPr="00781035">
          <w:rPr>
            <w:rStyle w:val="Hyperlink"/>
          </w:rPr>
          <w:t>Intelligent Transport Systems</w:t>
        </w:r>
        <w:r w:rsidR="000A262D">
          <w:rPr>
            <w:webHidden/>
          </w:rPr>
          <w:tab/>
        </w:r>
        <w:r w:rsidR="000A262D">
          <w:rPr>
            <w:webHidden/>
          </w:rPr>
          <w:fldChar w:fldCharType="begin"/>
        </w:r>
        <w:r w:rsidR="000A262D">
          <w:rPr>
            <w:webHidden/>
          </w:rPr>
          <w:instrText xml:space="preserve"> PAGEREF _Toc51864350 \h </w:instrText>
        </w:r>
        <w:r w:rsidR="000A262D">
          <w:rPr>
            <w:webHidden/>
          </w:rPr>
        </w:r>
        <w:r w:rsidR="000A262D">
          <w:rPr>
            <w:webHidden/>
          </w:rPr>
          <w:fldChar w:fldCharType="separate"/>
        </w:r>
        <w:r>
          <w:rPr>
            <w:webHidden/>
          </w:rPr>
          <w:t>57</w:t>
        </w:r>
        <w:r w:rsidR="000A262D">
          <w:rPr>
            <w:webHidden/>
          </w:rPr>
          <w:fldChar w:fldCharType="end"/>
        </w:r>
      </w:hyperlink>
    </w:p>
    <w:p w14:paraId="3B2E63F9" w14:textId="55F4D167" w:rsidR="000A262D" w:rsidRDefault="004C08FF">
      <w:pPr>
        <w:pStyle w:val="TOC3"/>
        <w:rPr>
          <w:rFonts w:asciiTheme="minorHAnsi" w:eastAsiaTheme="minorEastAsia" w:hAnsiTheme="minorHAnsi" w:cstheme="minorBidi"/>
        </w:rPr>
      </w:pPr>
      <w:hyperlink w:anchor="_Toc51864351" w:history="1">
        <w:r w:rsidR="000A262D" w:rsidRPr="00781035">
          <w:rPr>
            <w:rStyle w:val="Hyperlink"/>
          </w:rPr>
          <w:t>Progress achieved</w:t>
        </w:r>
        <w:r w:rsidR="000A262D">
          <w:rPr>
            <w:webHidden/>
          </w:rPr>
          <w:tab/>
        </w:r>
        <w:r w:rsidR="000A262D">
          <w:rPr>
            <w:webHidden/>
          </w:rPr>
          <w:fldChar w:fldCharType="begin"/>
        </w:r>
        <w:r w:rsidR="000A262D">
          <w:rPr>
            <w:webHidden/>
          </w:rPr>
          <w:instrText xml:space="preserve"> PAGEREF _Toc51864351 \h </w:instrText>
        </w:r>
        <w:r w:rsidR="000A262D">
          <w:rPr>
            <w:webHidden/>
          </w:rPr>
        </w:r>
        <w:r w:rsidR="000A262D">
          <w:rPr>
            <w:webHidden/>
          </w:rPr>
          <w:fldChar w:fldCharType="separate"/>
        </w:r>
        <w:r>
          <w:rPr>
            <w:webHidden/>
          </w:rPr>
          <w:t>58</w:t>
        </w:r>
        <w:r w:rsidR="000A262D">
          <w:rPr>
            <w:webHidden/>
          </w:rPr>
          <w:fldChar w:fldCharType="end"/>
        </w:r>
      </w:hyperlink>
    </w:p>
    <w:p w14:paraId="7DBE2976" w14:textId="1926C2E2" w:rsidR="000A262D" w:rsidRDefault="004C08FF">
      <w:pPr>
        <w:pStyle w:val="TOC3"/>
        <w:rPr>
          <w:rFonts w:asciiTheme="minorHAnsi" w:eastAsiaTheme="minorEastAsia" w:hAnsiTheme="minorHAnsi" w:cstheme="minorBidi"/>
        </w:rPr>
      </w:pPr>
      <w:hyperlink w:anchor="_Toc51864352"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_Toc51864352 \h </w:instrText>
        </w:r>
        <w:r w:rsidR="000A262D">
          <w:rPr>
            <w:webHidden/>
          </w:rPr>
        </w:r>
        <w:r w:rsidR="000A262D">
          <w:rPr>
            <w:webHidden/>
          </w:rPr>
          <w:fldChar w:fldCharType="separate"/>
        </w:r>
        <w:r>
          <w:rPr>
            <w:webHidden/>
          </w:rPr>
          <w:t>58</w:t>
        </w:r>
        <w:r w:rsidR="000A262D">
          <w:rPr>
            <w:webHidden/>
          </w:rPr>
          <w:fldChar w:fldCharType="end"/>
        </w:r>
      </w:hyperlink>
    </w:p>
    <w:p w14:paraId="03498430" w14:textId="6835315E" w:rsidR="000A262D" w:rsidRDefault="004C08FF">
      <w:pPr>
        <w:pStyle w:val="TOC2"/>
        <w:rPr>
          <w:rFonts w:asciiTheme="minorHAnsi" w:eastAsiaTheme="minorEastAsia" w:hAnsiTheme="minorHAnsi" w:cstheme="minorBidi"/>
          <w:spacing w:val="0"/>
          <w:sz w:val="22"/>
          <w:szCs w:val="22"/>
        </w:rPr>
      </w:pPr>
      <w:hyperlink w:anchor="_Toc51864353" w:history="1">
        <w:r w:rsidR="000A262D" w:rsidRPr="00781035">
          <w:rPr>
            <w:rStyle w:val="Hyperlink"/>
          </w:rPr>
          <w:t>Amateur radio</w:t>
        </w:r>
        <w:r w:rsidR="000A262D">
          <w:rPr>
            <w:webHidden/>
          </w:rPr>
          <w:tab/>
        </w:r>
        <w:r w:rsidR="000A262D">
          <w:rPr>
            <w:webHidden/>
          </w:rPr>
          <w:fldChar w:fldCharType="begin"/>
        </w:r>
        <w:r w:rsidR="000A262D">
          <w:rPr>
            <w:webHidden/>
          </w:rPr>
          <w:instrText xml:space="preserve"> PAGEREF _Toc51864353 \h </w:instrText>
        </w:r>
        <w:r w:rsidR="000A262D">
          <w:rPr>
            <w:webHidden/>
          </w:rPr>
        </w:r>
        <w:r w:rsidR="000A262D">
          <w:rPr>
            <w:webHidden/>
          </w:rPr>
          <w:fldChar w:fldCharType="separate"/>
        </w:r>
        <w:r>
          <w:rPr>
            <w:webHidden/>
          </w:rPr>
          <w:t>58</w:t>
        </w:r>
        <w:r w:rsidR="000A262D">
          <w:rPr>
            <w:webHidden/>
          </w:rPr>
          <w:fldChar w:fldCharType="end"/>
        </w:r>
      </w:hyperlink>
    </w:p>
    <w:p w14:paraId="3660E3B4" w14:textId="7DAE2952" w:rsidR="000A262D" w:rsidRDefault="004C08FF">
      <w:pPr>
        <w:pStyle w:val="TOC3"/>
        <w:rPr>
          <w:rFonts w:asciiTheme="minorHAnsi" w:eastAsiaTheme="minorEastAsia" w:hAnsiTheme="minorHAnsi" w:cstheme="minorBidi"/>
        </w:rPr>
      </w:pPr>
      <w:hyperlink w:anchor="_Toc51864354"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_Toc51864354 \h </w:instrText>
        </w:r>
        <w:r w:rsidR="000A262D">
          <w:rPr>
            <w:webHidden/>
          </w:rPr>
        </w:r>
        <w:r w:rsidR="000A262D">
          <w:rPr>
            <w:webHidden/>
          </w:rPr>
          <w:fldChar w:fldCharType="separate"/>
        </w:r>
        <w:r>
          <w:rPr>
            <w:webHidden/>
          </w:rPr>
          <w:t>58</w:t>
        </w:r>
        <w:r w:rsidR="000A262D">
          <w:rPr>
            <w:webHidden/>
          </w:rPr>
          <w:fldChar w:fldCharType="end"/>
        </w:r>
      </w:hyperlink>
    </w:p>
    <w:p w14:paraId="3E0C480F" w14:textId="752C5F1D" w:rsidR="000A262D" w:rsidRDefault="004C08FF" w:rsidP="000A262D">
      <w:pPr>
        <w:pStyle w:val="TOC2"/>
        <w:ind w:left="0" w:firstLine="0"/>
        <w:rPr>
          <w:rFonts w:asciiTheme="minorHAnsi" w:eastAsiaTheme="minorEastAsia" w:hAnsiTheme="minorHAnsi" w:cstheme="minorBidi"/>
          <w:spacing w:val="0"/>
          <w:sz w:val="22"/>
          <w:szCs w:val="22"/>
        </w:rPr>
      </w:pPr>
      <w:hyperlink w:anchor="_Toc51864355" w:history="1">
        <w:r w:rsidR="000A262D" w:rsidRPr="00781035">
          <w:rPr>
            <w:rStyle w:val="Hyperlink"/>
          </w:rPr>
          <w:t>Ongoing review of spectrum planning, assignment and coordination</w:t>
        </w:r>
        <w:r w:rsidR="000A262D">
          <w:rPr>
            <w:rStyle w:val="Hyperlink"/>
          </w:rPr>
          <w:t> </w:t>
        </w:r>
        <w:r w:rsidR="000A262D" w:rsidRPr="00781035">
          <w:rPr>
            <w:rStyle w:val="Hyperlink"/>
          </w:rPr>
          <w:t>requirements</w:t>
        </w:r>
        <w:r w:rsidR="000A262D">
          <w:rPr>
            <w:webHidden/>
          </w:rPr>
          <w:tab/>
        </w:r>
        <w:r w:rsidR="000A262D">
          <w:rPr>
            <w:webHidden/>
          </w:rPr>
          <w:fldChar w:fldCharType="begin"/>
        </w:r>
        <w:r w:rsidR="000A262D">
          <w:rPr>
            <w:webHidden/>
          </w:rPr>
          <w:instrText xml:space="preserve"> PAGEREF _Toc51864355 \h </w:instrText>
        </w:r>
        <w:r w:rsidR="000A262D">
          <w:rPr>
            <w:webHidden/>
          </w:rPr>
        </w:r>
        <w:r w:rsidR="000A262D">
          <w:rPr>
            <w:webHidden/>
          </w:rPr>
          <w:fldChar w:fldCharType="separate"/>
        </w:r>
        <w:r>
          <w:rPr>
            <w:webHidden/>
          </w:rPr>
          <w:t>59</w:t>
        </w:r>
        <w:r w:rsidR="000A262D">
          <w:rPr>
            <w:webHidden/>
          </w:rPr>
          <w:fldChar w:fldCharType="end"/>
        </w:r>
      </w:hyperlink>
    </w:p>
    <w:p w14:paraId="783545DB" w14:textId="08067ACD" w:rsidR="000A262D" w:rsidRDefault="004C08FF">
      <w:pPr>
        <w:pStyle w:val="TOC3"/>
        <w:rPr>
          <w:rFonts w:asciiTheme="minorHAnsi" w:eastAsiaTheme="minorEastAsia" w:hAnsiTheme="minorHAnsi" w:cstheme="minorBidi"/>
        </w:rPr>
      </w:pPr>
      <w:hyperlink w:anchor="_Toc51864356" w:history="1">
        <w:r w:rsidR="000A262D" w:rsidRPr="00781035">
          <w:rPr>
            <w:rStyle w:val="Hyperlink"/>
          </w:rPr>
          <w:t>Progress achieved</w:t>
        </w:r>
        <w:r w:rsidR="000A262D">
          <w:rPr>
            <w:webHidden/>
          </w:rPr>
          <w:tab/>
        </w:r>
        <w:r w:rsidR="000A262D">
          <w:rPr>
            <w:webHidden/>
          </w:rPr>
          <w:fldChar w:fldCharType="begin"/>
        </w:r>
        <w:r w:rsidR="000A262D">
          <w:rPr>
            <w:webHidden/>
          </w:rPr>
          <w:instrText xml:space="preserve"> PAGEREF _Toc51864356 \h </w:instrText>
        </w:r>
        <w:r w:rsidR="000A262D">
          <w:rPr>
            <w:webHidden/>
          </w:rPr>
        </w:r>
        <w:r w:rsidR="000A262D">
          <w:rPr>
            <w:webHidden/>
          </w:rPr>
          <w:fldChar w:fldCharType="separate"/>
        </w:r>
        <w:r>
          <w:rPr>
            <w:webHidden/>
          </w:rPr>
          <w:t>59</w:t>
        </w:r>
        <w:r w:rsidR="000A262D">
          <w:rPr>
            <w:webHidden/>
          </w:rPr>
          <w:fldChar w:fldCharType="end"/>
        </w:r>
      </w:hyperlink>
    </w:p>
    <w:p w14:paraId="2EC5DDAB" w14:textId="3E5D2F12" w:rsidR="000A262D" w:rsidRDefault="004C08FF">
      <w:pPr>
        <w:pStyle w:val="TOC3"/>
        <w:rPr>
          <w:rFonts w:asciiTheme="minorHAnsi" w:eastAsiaTheme="minorEastAsia" w:hAnsiTheme="minorHAnsi" w:cstheme="minorBidi"/>
        </w:rPr>
      </w:pPr>
      <w:hyperlink w:anchor="_Toc51864357"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_Toc51864357 \h </w:instrText>
        </w:r>
        <w:r w:rsidR="000A262D">
          <w:rPr>
            <w:webHidden/>
          </w:rPr>
        </w:r>
        <w:r w:rsidR="000A262D">
          <w:rPr>
            <w:webHidden/>
          </w:rPr>
          <w:fldChar w:fldCharType="separate"/>
        </w:r>
        <w:r>
          <w:rPr>
            <w:webHidden/>
          </w:rPr>
          <w:t>59</w:t>
        </w:r>
        <w:r w:rsidR="000A262D">
          <w:rPr>
            <w:webHidden/>
          </w:rPr>
          <w:fldChar w:fldCharType="end"/>
        </w:r>
      </w:hyperlink>
    </w:p>
    <w:p w14:paraId="77D5AD61" w14:textId="0E4ECBE5" w:rsidR="000A262D" w:rsidRDefault="004C08FF">
      <w:pPr>
        <w:pStyle w:val="TOC2"/>
        <w:rPr>
          <w:rFonts w:asciiTheme="minorHAnsi" w:eastAsiaTheme="minorEastAsia" w:hAnsiTheme="minorHAnsi" w:cstheme="minorBidi"/>
          <w:spacing w:val="0"/>
          <w:sz w:val="22"/>
          <w:szCs w:val="22"/>
        </w:rPr>
      </w:pPr>
      <w:hyperlink w:anchor="_Toc51864358" w:history="1">
        <w:r w:rsidR="000A262D" w:rsidRPr="00781035">
          <w:rPr>
            <w:rStyle w:val="Hyperlink"/>
          </w:rPr>
          <w:t>Review of spectrum licence technical frameworks</w:t>
        </w:r>
        <w:r w:rsidR="000A262D">
          <w:rPr>
            <w:webHidden/>
          </w:rPr>
          <w:tab/>
        </w:r>
        <w:r w:rsidR="000A262D">
          <w:rPr>
            <w:webHidden/>
          </w:rPr>
          <w:fldChar w:fldCharType="begin"/>
        </w:r>
        <w:r w:rsidR="000A262D">
          <w:rPr>
            <w:webHidden/>
          </w:rPr>
          <w:instrText xml:space="preserve"> PAGEREF _Toc51864358 \h </w:instrText>
        </w:r>
        <w:r w:rsidR="000A262D">
          <w:rPr>
            <w:webHidden/>
          </w:rPr>
        </w:r>
        <w:r w:rsidR="000A262D">
          <w:rPr>
            <w:webHidden/>
          </w:rPr>
          <w:fldChar w:fldCharType="separate"/>
        </w:r>
        <w:r>
          <w:rPr>
            <w:webHidden/>
          </w:rPr>
          <w:t>60</w:t>
        </w:r>
        <w:r w:rsidR="000A262D">
          <w:rPr>
            <w:webHidden/>
          </w:rPr>
          <w:fldChar w:fldCharType="end"/>
        </w:r>
      </w:hyperlink>
    </w:p>
    <w:p w14:paraId="5B694E49" w14:textId="30B49289" w:rsidR="000A262D" w:rsidRDefault="004C08FF">
      <w:pPr>
        <w:pStyle w:val="TOC3"/>
        <w:rPr>
          <w:rFonts w:asciiTheme="minorHAnsi" w:eastAsiaTheme="minorEastAsia" w:hAnsiTheme="minorHAnsi" w:cstheme="minorBidi"/>
        </w:rPr>
      </w:pPr>
      <w:hyperlink w:anchor="_Toc51864359"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_Toc51864359 \h </w:instrText>
        </w:r>
        <w:r w:rsidR="000A262D">
          <w:rPr>
            <w:webHidden/>
          </w:rPr>
        </w:r>
        <w:r w:rsidR="000A262D">
          <w:rPr>
            <w:webHidden/>
          </w:rPr>
          <w:fldChar w:fldCharType="separate"/>
        </w:r>
        <w:r>
          <w:rPr>
            <w:webHidden/>
          </w:rPr>
          <w:t>60</w:t>
        </w:r>
        <w:r w:rsidR="000A262D">
          <w:rPr>
            <w:webHidden/>
          </w:rPr>
          <w:fldChar w:fldCharType="end"/>
        </w:r>
      </w:hyperlink>
    </w:p>
    <w:p w14:paraId="71ED1DA9" w14:textId="7B98C335" w:rsidR="000A262D" w:rsidRDefault="004C08FF">
      <w:pPr>
        <w:pStyle w:val="TOC2"/>
        <w:rPr>
          <w:rFonts w:asciiTheme="minorHAnsi" w:eastAsiaTheme="minorEastAsia" w:hAnsiTheme="minorHAnsi" w:cstheme="minorBidi"/>
          <w:spacing w:val="0"/>
          <w:sz w:val="22"/>
          <w:szCs w:val="22"/>
        </w:rPr>
      </w:pPr>
      <w:hyperlink w:anchor="_Toc51864360" w:history="1">
        <w:r w:rsidR="000A262D" w:rsidRPr="00781035">
          <w:rPr>
            <w:rStyle w:val="Hyperlink"/>
          </w:rPr>
          <w:t>Spectrum-sharing approaches</w:t>
        </w:r>
        <w:r w:rsidR="000A262D">
          <w:rPr>
            <w:webHidden/>
          </w:rPr>
          <w:tab/>
        </w:r>
        <w:r w:rsidR="000A262D">
          <w:rPr>
            <w:webHidden/>
          </w:rPr>
          <w:fldChar w:fldCharType="begin"/>
        </w:r>
        <w:r w:rsidR="000A262D">
          <w:rPr>
            <w:webHidden/>
          </w:rPr>
          <w:instrText xml:space="preserve"> PAGEREF _Toc51864360 \h </w:instrText>
        </w:r>
        <w:r w:rsidR="000A262D">
          <w:rPr>
            <w:webHidden/>
          </w:rPr>
        </w:r>
        <w:r w:rsidR="000A262D">
          <w:rPr>
            <w:webHidden/>
          </w:rPr>
          <w:fldChar w:fldCharType="separate"/>
        </w:r>
        <w:r>
          <w:rPr>
            <w:webHidden/>
          </w:rPr>
          <w:t>60</w:t>
        </w:r>
        <w:r w:rsidR="000A262D">
          <w:rPr>
            <w:webHidden/>
          </w:rPr>
          <w:fldChar w:fldCharType="end"/>
        </w:r>
      </w:hyperlink>
    </w:p>
    <w:p w14:paraId="3097BFC0" w14:textId="29C264DA" w:rsidR="000A262D" w:rsidRDefault="004C08FF">
      <w:pPr>
        <w:pStyle w:val="TOC3"/>
        <w:rPr>
          <w:rFonts w:asciiTheme="minorHAnsi" w:eastAsiaTheme="minorEastAsia" w:hAnsiTheme="minorHAnsi" w:cstheme="minorBidi"/>
        </w:rPr>
      </w:pPr>
      <w:hyperlink w:anchor="_Toc51864361" w:history="1">
        <w:r w:rsidR="000A262D" w:rsidRPr="00781035">
          <w:rPr>
            <w:rStyle w:val="Hyperlink"/>
          </w:rPr>
          <w:t>Progress achieved</w:t>
        </w:r>
        <w:r w:rsidR="000A262D">
          <w:rPr>
            <w:webHidden/>
          </w:rPr>
          <w:tab/>
        </w:r>
        <w:r w:rsidR="000A262D">
          <w:rPr>
            <w:webHidden/>
          </w:rPr>
          <w:fldChar w:fldCharType="begin"/>
        </w:r>
        <w:r w:rsidR="000A262D">
          <w:rPr>
            <w:webHidden/>
          </w:rPr>
          <w:instrText xml:space="preserve"> PAGEREF _Toc51864361 \h </w:instrText>
        </w:r>
        <w:r w:rsidR="000A262D">
          <w:rPr>
            <w:webHidden/>
          </w:rPr>
        </w:r>
        <w:r w:rsidR="000A262D">
          <w:rPr>
            <w:webHidden/>
          </w:rPr>
          <w:fldChar w:fldCharType="separate"/>
        </w:r>
        <w:r>
          <w:rPr>
            <w:webHidden/>
          </w:rPr>
          <w:t>60</w:t>
        </w:r>
        <w:r w:rsidR="000A262D">
          <w:rPr>
            <w:webHidden/>
          </w:rPr>
          <w:fldChar w:fldCharType="end"/>
        </w:r>
      </w:hyperlink>
    </w:p>
    <w:p w14:paraId="48A3FD32" w14:textId="63454D28" w:rsidR="000A262D" w:rsidRDefault="004C08FF">
      <w:pPr>
        <w:pStyle w:val="TOC3"/>
        <w:rPr>
          <w:rFonts w:asciiTheme="minorHAnsi" w:eastAsiaTheme="minorEastAsia" w:hAnsiTheme="minorHAnsi" w:cstheme="minorBidi"/>
        </w:rPr>
      </w:pPr>
      <w:hyperlink w:anchor="_Toc51864362"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_Toc51864362 \h </w:instrText>
        </w:r>
        <w:r w:rsidR="000A262D">
          <w:rPr>
            <w:webHidden/>
          </w:rPr>
        </w:r>
        <w:r w:rsidR="000A262D">
          <w:rPr>
            <w:webHidden/>
          </w:rPr>
          <w:fldChar w:fldCharType="separate"/>
        </w:r>
        <w:r>
          <w:rPr>
            <w:webHidden/>
          </w:rPr>
          <w:t>60</w:t>
        </w:r>
        <w:r w:rsidR="000A262D">
          <w:rPr>
            <w:webHidden/>
          </w:rPr>
          <w:fldChar w:fldCharType="end"/>
        </w:r>
      </w:hyperlink>
    </w:p>
    <w:p w14:paraId="563535D6" w14:textId="782F3E95" w:rsidR="000A262D" w:rsidRDefault="004C08FF">
      <w:pPr>
        <w:pStyle w:val="TOC2"/>
        <w:rPr>
          <w:rFonts w:asciiTheme="minorHAnsi" w:eastAsiaTheme="minorEastAsia" w:hAnsiTheme="minorHAnsi" w:cstheme="minorBidi"/>
          <w:spacing w:val="0"/>
          <w:sz w:val="22"/>
          <w:szCs w:val="22"/>
        </w:rPr>
      </w:pPr>
      <w:hyperlink w:anchor="_Toc51864363" w:history="1">
        <w:r w:rsidR="000A262D" w:rsidRPr="00781035">
          <w:rPr>
            <w:rStyle w:val="Hyperlink"/>
          </w:rPr>
          <w:t>Future band-planning priorities</w:t>
        </w:r>
        <w:r w:rsidR="000A262D">
          <w:rPr>
            <w:webHidden/>
          </w:rPr>
          <w:tab/>
        </w:r>
        <w:r w:rsidR="000A262D">
          <w:rPr>
            <w:webHidden/>
          </w:rPr>
          <w:fldChar w:fldCharType="begin"/>
        </w:r>
        <w:r w:rsidR="000A262D">
          <w:rPr>
            <w:webHidden/>
          </w:rPr>
          <w:instrText xml:space="preserve"> PAGEREF _Toc51864363 \h </w:instrText>
        </w:r>
        <w:r w:rsidR="000A262D">
          <w:rPr>
            <w:webHidden/>
          </w:rPr>
        </w:r>
        <w:r w:rsidR="000A262D">
          <w:rPr>
            <w:webHidden/>
          </w:rPr>
          <w:fldChar w:fldCharType="separate"/>
        </w:r>
        <w:r>
          <w:rPr>
            <w:webHidden/>
          </w:rPr>
          <w:t>60</w:t>
        </w:r>
        <w:r w:rsidR="000A262D">
          <w:rPr>
            <w:webHidden/>
          </w:rPr>
          <w:fldChar w:fldCharType="end"/>
        </w:r>
      </w:hyperlink>
    </w:p>
    <w:p w14:paraId="525F484E" w14:textId="1BAFECA2" w:rsidR="000A262D" w:rsidRDefault="004C08FF">
      <w:pPr>
        <w:pStyle w:val="TOC3"/>
        <w:rPr>
          <w:rFonts w:asciiTheme="minorHAnsi" w:eastAsiaTheme="minorEastAsia" w:hAnsiTheme="minorHAnsi" w:cstheme="minorBidi"/>
        </w:rPr>
      </w:pPr>
      <w:hyperlink w:anchor="_Toc51864364"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_Toc51864364 \h </w:instrText>
        </w:r>
        <w:r w:rsidR="000A262D">
          <w:rPr>
            <w:webHidden/>
          </w:rPr>
        </w:r>
        <w:r w:rsidR="000A262D">
          <w:rPr>
            <w:webHidden/>
          </w:rPr>
          <w:fldChar w:fldCharType="separate"/>
        </w:r>
        <w:r>
          <w:rPr>
            <w:webHidden/>
          </w:rPr>
          <w:t>61</w:t>
        </w:r>
        <w:r w:rsidR="000A262D">
          <w:rPr>
            <w:webHidden/>
          </w:rPr>
          <w:fldChar w:fldCharType="end"/>
        </w:r>
      </w:hyperlink>
    </w:p>
    <w:p w14:paraId="2C65B1F4" w14:textId="4FEB95DE" w:rsidR="000A262D" w:rsidRDefault="004C08FF">
      <w:pPr>
        <w:pStyle w:val="TOC1"/>
        <w:rPr>
          <w:rFonts w:asciiTheme="minorHAnsi" w:eastAsiaTheme="minorEastAsia" w:hAnsiTheme="minorHAnsi" w:cstheme="minorBidi"/>
          <w:b w:val="0"/>
          <w:spacing w:val="0"/>
          <w:sz w:val="22"/>
          <w:szCs w:val="22"/>
        </w:rPr>
      </w:pPr>
      <w:hyperlink w:anchor="_Toc51864365" w:history="1">
        <w:r w:rsidR="000A262D" w:rsidRPr="00781035">
          <w:rPr>
            <w:rStyle w:val="Hyperlink"/>
          </w:rPr>
          <w:t>Forward allocation work plan</w:t>
        </w:r>
        <w:r w:rsidR="000A262D">
          <w:rPr>
            <w:webHidden/>
          </w:rPr>
          <w:tab/>
        </w:r>
        <w:r w:rsidR="000A262D">
          <w:rPr>
            <w:webHidden/>
          </w:rPr>
          <w:fldChar w:fldCharType="begin"/>
        </w:r>
        <w:r w:rsidR="000A262D">
          <w:rPr>
            <w:webHidden/>
          </w:rPr>
          <w:instrText xml:space="preserve"> PAGEREF _Toc51864365 \h </w:instrText>
        </w:r>
        <w:r w:rsidR="000A262D">
          <w:rPr>
            <w:webHidden/>
          </w:rPr>
        </w:r>
        <w:r w:rsidR="000A262D">
          <w:rPr>
            <w:webHidden/>
          </w:rPr>
          <w:fldChar w:fldCharType="separate"/>
        </w:r>
        <w:r>
          <w:rPr>
            <w:webHidden/>
          </w:rPr>
          <w:t>62</w:t>
        </w:r>
        <w:r w:rsidR="000A262D">
          <w:rPr>
            <w:webHidden/>
          </w:rPr>
          <w:fldChar w:fldCharType="end"/>
        </w:r>
      </w:hyperlink>
    </w:p>
    <w:p w14:paraId="54689A68" w14:textId="4356531F" w:rsidR="000A262D" w:rsidRDefault="004C08FF">
      <w:pPr>
        <w:pStyle w:val="TOC2"/>
        <w:rPr>
          <w:rFonts w:asciiTheme="minorHAnsi" w:eastAsiaTheme="minorEastAsia" w:hAnsiTheme="minorHAnsi" w:cstheme="minorBidi"/>
          <w:spacing w:val="0"/>
          <w:sz w:val="22"/>
          <w:szCs w:val="22"/>
        </w:rPr>
      </w:pPr>
      <w:hyperlink w:anchor="_Toc51864366" w:history="1">
        <w:r w:rsidR="000A262D" w:rsidRPr="00781035">
          <w:rPr>
            <w:rStyle w:val="Hyperlink"/>
            <w:rFonts w:eastAsiaTheme="majorEastAsia"/>
          </w:rPr>
          <w:t>Purpose of the forward allocation work plan</w:t>
        </w:r>
        <w:r w:rsidR="000A262D">
          <w:rPr>
            <w:webHidden/>
          </w:rPr>
          <w:tab/>
        </w:r>
        <w:r w:rsidR="000A262D">
          <w:rPr>
            <w:webHidden/>
          </w:rPr>
          <w:fldChar w:fldCharType="begin"/>
        </w:r>
        <w:r w:rsidR="000A262D">
          <w:rPr>
            <w:webHidden/>
          </w:rPr>
          <w:instrText xml:space="preserve"> PAGEREF _Toc51864366 \h </w:instrText>
        </w:r>
        <w:r w:rsidR="000A262D">
          <w:rPr>
            <w:webHidden/>
          </w:rPr>
        </w:r>
        <w:r w:rsidR="000A262D">
          <w:rPr>
            <w:webHidden/>
          </w:rPr>
          <w:fldChar w:fldCharType="separate"/>
        </w:r>
        <w:r>
          <w:rPr>
            <w:webHidden/>
          </w:rPr>
          <w:t>62</w:t>
        </w:r>
        <w:r w:rsidR="000A262D">
          <w:rPr>
            <w:webHidden/>
          </w:rPr>
          <w:fldChar w:fldCharType="end"/>
        </w:r>
      </w:hyperlink>
    </w:p>
    <w:p w14:paraId="4BF86D89" w14:textId="7FF1D0CB" w:rsidR="000A262D" w:rsidRDefault="004C08FF">
      <w:pPr>
        <w:pStyle w:val="TOC2"/>
        <w:rPr>
          <w:rFonts w:asciiTheme="minorHAnsi" w:eastAsiaTheme="minorEastAsia" w:hAnsiTheme="minorHAnsi" w:cstheme="minorBidi"/>
          <w:spacing w:val="0"/>
          <w:sz w:val="22"/>
          <w:szCs w:val="22"/>
        </w:rPr>
      </w:pPr>
      <w:hyperlink w:anchor="_Toc51864367" w:history="1">
        <w:r w:rsidR="000A262D" w:rsidRPr="00781035">
          <w:rPr>
            <w:rStyle w:val="Hyperlink"/>
          </w:rPr>
          <w:t>What we are proposing</w:t>
        </w:r>
        <w:r w:rsidR="000A262D">
          <w:rPr>
            <w:webHidden/>
          </w:rPr>
          <w:tab/>
        </w:r>
        <w:r w:rsidR="000A262D">
          <w:rPr>
            <w:webHidden/>
          </w:rPr>
          <w:fldChar w:fldCharType="begin"/>
        </w:r>
        <w:r w:rsidR="000A262D">
          <w:rPr>
            <w:webHidden/>
          </w:rPr>
          <w:instrText xml:space="preserve"> PAGEREF _Toc51864367 \h </w:instrText>
        </w:r>
        <w:r w:rsidR="000A262D">
          <w:rPr>
            <w:webHidden/>
          </w:rPr>
        </w:r>
        <w:r w:rsidR="000A262D">
          <w:rPr>
            <w:webHidden/>
          </w:rPr>
          <w:fldChar w:fldCharType="separate"/>
        </w:r>
        <w:r>
          <w:rPr>
            <w:webHidden/>
          </w:rPr>
          <w:t>63</w:t>
        </w:r>
        <w:r w:rsidR="000A262D">
          <w:rPr>
            <w:webHidden/>
          </w:rPr>
          <w:fldChar w:fldCharType="end"/>
        </w:r>
      </w:hyperlink>
    </w:p>
    <w:p w14:paraId="148EEDE0" w14:textId="72EA5E31" w:rsidR="000A262D" w:rsidRDefault="004C08FF">
      <w:pPr>
        <w:pStyle w:val="TOC3"/>
        <w:rPr>
          <w:rFonts w:asciiTheme="minorHAnsi" w:eastAsiaTheme="minorEastAsia" w:hAnsiTheme="minorHAnsi" w:cstheme="minorBidi"/>
        </w:rPr>
      </w:pPr>
      <w:hyperlink w:anchor="_Toc51864368" w:history="1">
        <w:r w:rsidR="000A262D" w:rsidRPr="00781035">
          <w:rPr>
            <w:rStyle w:val="Hyperlink"/>
          </w:rPr>
          <w:t>26 GHz</w:t>
        </w:r>
        <w:r w:rsidR="000A262D">
          <w:rPr>
            <w:webHidden/>
          </w:rPr>
          <w:tab/>
        </w:r>
        <w:r w:rsidR="000A262D">
          <w:rPr>
            <w:webHidden/>
          </w:rPr>
          <w:fldChar w:fldCharType="begin"/>
        </w:r>
        <w:r w:rsidR="000A262D">
          <w:rPr>
            <w:webHidden/>
          </w:rPr>
          <w:instrText xml:space="preserve"> PAGEREF _Toc51864368 \h </w:instrText>
        </w:r>
        <w:r w:rsidR="000A262D">
          <w:rPr>
            <w:webHidden/>
          </w:rPr>
        </w:r>
        <w:r w:rsidR="000A262D">
          <w:rPr>
            <w:webHidden/>
          </w:rPr>
          <w:fldChar w:fldCharType="separate"/>
        </w:r>
        <w:r>
          <w:rPr>
            <w:webHidden/>
          </w:rPr>
          <w:t>64</w:t>
        </w:r>
        <w:r w:rsidR="000A262D">
          <w:rPr>
            <w:webHidden/>
          </w:rPr>
          <w:fldChar w:fldCharType="end"/>
        </w:r>
      </w:hyperlink>
    </w:p>
    <w:p w14:paraId="4A485A54" w14:textId="555D4D6F" w:rsidR="000A262D" w:rsidRDefault="004C08FF">
      <w:pPr>
        <w:pStyle w:val="TOC3"/>
        <w:rPr>
          <w:rFonts w:asciiTheme="minorHAnsi" w:eastAsiaTheme="minorEastAsia" w:hAnsiTheme="minorHAnsi" w:cstheme="minorBidi"/>
        </w:rPr>
      </w:pPr>
      <w:hyperlink w:anchor="_Toc51864369" w:history="1">
        <w:r w:rsidR="000A262D" w:rsidRPr="00781035">
          <w:rPr>
            <w:rStyle w:val="Hyperlink"/>
          </w:rPr>
          <w:t xml:space="preserve">28 </w:t>
        </w:r>
        <w:r w:rsidR="000A262D" w:rsidRPr="00781035">
          <w:rPr>
            <w:rStyle w:val="Hyperlink"/>
            <w:rFonts w:eastAsiaTheme="majorEastAsia"/>
          </w:rPr>
          <w:t>GHz</w:t>
        </w:r>
        <w:r w:rsidR="000A262D">
          <w:rPr>
            <w:webHidden/>
          </w:rPr>
          <w:tab/>
        </w:r>
        <w:r w:rsidR="000A262D">
          <w:rPr>
            <w:webHidden/>
          </w:rPr>
          <w:fldChar w:fldCharType="begin"/>
        </w:r>
        <w:r w:rsidR="000A262D">
          <w:rPr>
            <w:webHidden/>
          </w:rPr>
          <w:instrText xml:space="preserve"> PAGEREF _Toc51864369 \h </w:instrText>
        </w:r>
        <w:r w:rsidR="000A262D">
          <w:rPr>
            <w:webHidden/>
          </w:rPr>
        </w:r>
        <w:r w:rsidR="000A262D">
          <w:rPr>
            <w:webHidden/>
          </w:rPr>
          <w:fldChar w:fldCharType="separate"/>
        </w:r>
        <w:r>
          <w:rPr>
            <w:webHidden/>
          </w:rPr>
          <w:t>65</w:t>
        </w:r>
        <w:r w:rsidR="000A262D">
          <w:rPr>
            <w:webHidden/>
          </w:rPr>
          <w:fldChar w:fldCharType="end"/>
        </w:r>
      </w:hyperlink>
    </w:p>
    <w:p w14:paraId="54BE2BF2" w14:textId="0369B913" w:rsidR="000A262D" w:rsidRDefault="004C08FF">
      <w:pPr>
        <w:pStyle w:val="TOC3"/>
        <w:rPr>
          <w:rFonts w:asciiTheme="minorHAnsi" w:eastAsiaTheme="minorEastAsia" w:hAnsiTheme="minorHAnsi" w:cstheme="minorBidi"/>
        </w:rPr>
      </w:pPr>
      <w:hyperlink w:anchor="_Toc51864370" w:history="1">
        <w:r w:rsidR="000A262D" w:rsidRPr="00781035">
          <w:rPr>
            <w:rStyle w:val="Hyperlink"/>
          </w:rPr>
          <w:t>850 MHz expansion band</w:t>
        </w:r>
        <w:r w:rsidR="000A262D">
          <w:rPr>
            <w:webHidden/>
          </w:rPr>
          <w:tab/>
        </w:r>
        <w:r w:rsidR="000A262D">
          <w:rPr>
            <w:webHidden/>
          </w:rPr>
          <w:fldChar w:fldCharType="begin"/>
        </w:r>
        <w:r w:rsidR="000A262D">
          <w:rPr>
            <w:webHidden/>
          </w:rPr>
          <w:instrText xml:space="preserve"> PAGEREF _Toc51864370 \h </w:instrText>
        </w:r>
        <w:r w:rsidR="000A262D">
          <w:rPr>
            <w:webHidden/>
          </w:rPr>
        </w:r>
        <w:r w:rsidR="000A262D">
          <w:rPr>
            <w:webHidden/>
          </w:rPr>
          <w:fldChar w:fldCharType="separate"/>
        </w:r>
        <w:r>
          <w:rPr>
            <w:webHidden/>
          </w:rPr>
          <w:t>66</w:t>
        </w:r>
        <w:r w:rsidR="000A262D">
          <w:rPr>
            <w:webHidden/>
          </w:rPr>
          <w:fldChar w:fldCharType="end"/>
        </w:r>
      </w:hyperlink>
    </w:p>
    <w:p w14:paraId="1EA8BE2E" w14:textId="4242BF13" w:rsidR="000A262D" w:rsidRDefault="004C08FF">
      <w:pPr>
        <w:pStyle w:val="TOC3"/>
        <w:rPr>
          <w:rFonts w:asciiTheme="minorHAnsi" w:eastAsiaTheme="minorEastAsia" w:hAnsiTheme="minorHAnsi" w:cstheme="minorBidi"/>
        </w:rPr>
      </w:pPr>
      <w:hyperlink w:anchor="_Toc51864371" w:history="1">
        <w:r w:rsidR="000A262D" w:rsidRPr="00781035">
          <w:rPr>
            <w:rStyle w:val="Hyperlink"/>
          </w:rPr>
          <w:t>900 MHz</w:t>
        </w:r>
        <w:r w:rsidR="000A262D">
          <w:rPr>
            <w:webHidden/>
          </w:rPr>
          <w:tab/>
        </w:r>
        <w:r w:rsidR="000A262D">
          <w:rPr>
            <w:webHidden/>
          </w:rPr>
          <w:fldChar w:fldCharType="begin"/>
        </w:r>
        <w:r w:rsidR="000A262D">
          <w:rPr>
            <w:webHidden/>
          </w:rPr>
          <w:instrText xml:space="preserve"> PAGEREF _Toc51864371 \h </w:instrText>
        </w:r>
        <w:r w:rsidR="000A262D">
          <w:rPr>
            <w:webHidden/>
          </w:rPr>
        </w:r>
        <w:r w:rsidR="000A262D">
          <w:rPr>
            <w:webHidden/>
          </w:rPr>
          <w:fldChar w:fldCharType="separate"/>
        </w:r>
        <w:r>
          <w:rPr>
            <w:webHidden/>
          </w:rPr>
          <w:t>67</w:t>
        </w:r>
        <w:r w:rsidR="000A262D">
          <w:rPr>
            <w:webHidden/>
          </w:rPr>
          <w:fldChar w:fldCharType="end"/>
        </w:r>
      </w:hyperlink>
    </w:p>
    <w:p w14:paraId="4A94A754" w14:textId="0F80183F" w:rsidR="000A262D" w:rsidRDefault="004C08FF">
      <w:pPr>
        <w:pStyle w:val="TOC3"/>
        <w:rPr>
          <w:rFonts w:asciiTheme="minorHAnsi" w:eastAsiaTheme="minorEastAsia" w:hAnsiTheme="minorHAnsi" w:cstheme="minorBidi"/>
        </w:rPr>
      </w:pPr>
      <w:hyperlink w:anchor="_Toc51864372" w:history="1">
        <w:r w:rsidR="000A262D" w:rsidRPr="00781035">
          <w:rPr>
            <w:rStyle w:val="Hyperlink"/>
          </w:rPr>
          <w:t xml:space="preserve">3400–3575 </w:t>
        </w:r>
        <w:r w:rsidR="000A262D" w:rsidRPr="00781035">
          <w:rPr>
            <w:rStyle w:val="Hyperlink"/>
            <w:rFonts w:eastAsiaTheme="majorEastAsia"/>
          </w:rPr>
          <w:t>MHz</w:t>
        </w:r>
        <w:r w:rsidR="000A262D">
          <w:rPr>
            <w:webHidden/>
          </w:rPr>
          <w:tab/>
        </w:r>
        <w:r w:rsidR="000A262D">
          <w:rPr>
            <w:webHidden/>
          </w:rPr>
          <w:fldChar w:fldCharType="begin"/>
        </w:r>
        <w:r w:rsidR="000A262D">
          <w:rPr>
            <w:webHidden/>
          </w:rPr>
          <w:instrText xml:space="preserve"> PAGEREF _Toc51864372 \h </w:instrText>
        </w:r>
        <w:r w:rsidR="000A262D">
          <w:rPr>
            <w:webHidden/>
          </w:rPr>
        </w:r>
        <w:r w:rsidR="000A262D">
          <w:rPr>
            <w:webHidden/>
          </w:rPr>
          <w:fldChar w:fldCharType="separate"/>
        </w:r>
        <w:r>
          <w:rPr>
            <w:webHidden/>
          </w:rPr>
          <w:t>67</w:t>
        </w:r>
        <w:r w:rsidR="000A262D">
          <w:rPr>
            <w:webHidden/>
          </w:rPr>
          <w:fldChar w:fldCharType="end"/>
        </w:r>
      </w:hyperlink>
    </w:p>
    <w:p w14:paraId="43E41955" w14:textId="0D941DCA" w:rsidR="000A262D" w:rsidRDefault="004C08FF">
      <w:pPr>
        <w:pStyle w:val="TOC3"/>
        <w:rPr>
          <w:rFonts w:asciiTheme="minorHAnsi" w:eastAsiaTheme="minorEastAsia" w:hAnsiTheme="minorHAnsi" w:cstheme="minorBidi"/>
        </w:rPr>
      </w:pPr>
      <w:hyperlink w:anchor="_Toc51864373" w:history="1">
        <w:r w:rsidR="000A262D" w:rsidRPr="00781035">
          <w:rPr>
            <w:rStyle w:val="Hyperlink"/>
          </w:rPr>
          <w:t xml:space="preserve">3700–4200 </w:t>
        </w:r>
        <w:r w:rsidR="000A262D" w:rsidRPr="00781035">
          <w:rPr>
            <w:rStyle w:val="Hyperlink"/>
            <w:rFonts w:eastAsiaTheme="majorEastAsia"/>
          </w:rPr>
          <w:t>MHz</w:t>
        </w:r>
        <w:r w:rsidR="000A262D">
          <w:rPr>
            <w:webHidden/>
          </w:rPr>
          <w:tab/>
        </w:r>
        <w:r w:rsidR="000A262D">
          <w:rPr>
            <w:webHidden/>
          </w:rPr>
          <w:fldChar w:fldCharType="begin"/>
        </w:r>
        <w:r w:rsidR="000A262D">
          <w:rPr>
            <w:webHidden/>
          </w:rPr>
          <w:instrText xml:space="preserve"> PAGEREF _Toc51864373 \h </w:instrText>
        </w:r>
        <w:r w:rsidR="000A262D">
          <w:rPr>
            <w:webHidden/>
          </w:rPr>
        </w:r>
        <w:r w:rsidR="000A262D">
          <w:rPr>
            <w:webHidden/>
          </w:rPr>
          <w:fldChar w:fldCharType="separate"/>
        </w:r>
        <w:r>
          <w:rPr>
            <w:webHidden/>
          </w:rPr>
          <w:t>68</w:t>
        </w:r>
        <w:r w:rsidR="000A262D">
          <w:rPr>
            <w:webHidden/>
          </w:rPr>
          <w:fldChar w:fldCharType="end"/>
        </w:r>
      </w:hyperlink>
    </w:p>
    <w:p w14:paraId="20ACA739" w14:textId="78BF4005" w:rsidR="000A262D" w:rsidRDefault="004C08FF">
      <w:pPr>
        <w:pStyle w:val="TOC3"/>
        <w:rPr>
          <w:rFonts w:asciiTheme="minorHAnsi" w:eastAsiaTheme="minorEastAsia" w:hAnsiTheme="minorHAnsi" w:cstheme="minorBidi"/>
        </w:rPr>
      </w:pPr>
      <w:hyperlink w:anchor="_Toc51864374" w:history="1">
        <w:r w:rsidR="000A262D" w:rsidRPr="00781035">
          <w:rPr>
            <w:rStyle w:val="Hyperlink"/>
          </w:rPr>
          <w:t>1.5 GHz</w:t>
        </w:r>
        <w:r w:rsidR="000A262D">
          <w:rPr>
            <w:webHidden/>
          </w:rPr>
          <w:tab/>
        </w:r>
        <w:r w:rsidR="000A262D">
          <w:rPr>
            <w:webHidden/>
          </w:rPr>
          <w:fldChar w:fldCharType="begin"/>
        </w:r>
        <w:r w:rsidR="000A262D">
          <w:rPr>
            <w:webHidden/>
          </w:rPr>
          <w:instrText xml:space="preserve"> PAGEREF _Toc51864374 \h </w:instrText>
        </w:r>
        <w:r w:rsidR="000A262D">
          <w:rPr>
            <w:webHidden/>
          </w:rPr>
        </w:r>
        <w:r w:rsidR="000A262D">
          <w:rPr>
            <w:webHidden/>
          </w:rPr>
          <w:fldChar w:fldCharType="separate"/>
        </w:r>
        <w:r>
          <w:rPr>
            <w:webHidden/>
          </w:rPr>
          <w:t>68</w:t>
        </w:r>
        <w:r w:rsidR="000A262D">
          <w:rPr>
            <w:webHidden/>
          </w:rPr>
          <w:fldChar w:fldCharType="end"/>
        </w:r>
      </w:hyperlink>
    </w:p>
    <w:p w14:paraId="1A980B47" w14:textId="67D283F0" w:rsidR="000A262D" w:rsidRDefault="004C08FF">
      <w:pPr>
        <w:pStyle w:val="TOC3"/>
        <w:rPr>
          <w:rFonts w:asciiTheme="minorHAnsi" w:eastAsiaTheme="minorEastAsia" w:hAnsiTheme="minorHAnsi" w:cstheme="minorBidi"/>
        </w:rPr>
      </w:pPr>
      <w:hyperlink w:anchor="_Toc51864375" w:history="1">
        <w:r w:rsidR="000A262D" w:rsidRPr="00781035">
          <w:rPr>
            <w:rStyle w:val="Hyperlink"/>
          </w:rPr>
          <w:t>2 GHz</w:t>
        </w:r>
        <w:r w:rsidR="000A262D">
          <w:rPr>
            <w:webHidden/>
          </w:rPr>
          <w:tab/>
        </w:r>
        <w:r w:rsidR="000A262D">
          <w:rPr>
            <w:webHidden/>
          </w:rPr>
          <w:fldChar w:fldCharType="begin"/>
        </w:r>
        <w:r w:rsidR="000A262D">
          <w:rPr>
            <w:webHidden/>
          </w:rPr>
          <w:instrText xml:space="preserve"> PAGEREF _Toc51864375 \h </w:instrText>
        </w:r>
        <w:r w:rsidR="000A262D">
          <w:rPr>
            <w:webHidden/>
          </w:rPr>
        </w:r>
        <w:r w:rsidR="000A262D">
          <w:rPr>
            <w:webHidden/>
          </w:rPr>
          <w:fldChar w:fldCharType="separate"/>
        </w:r>
        <w:r>
          <w:rPr>
            <w:webHidden/>
          </w:rPr>
          <w:t>69</w:t>
        </w:r>
        <w:r w:rsidR="000A262D">
          <w:rPr>
            <w:webHidden/>
          </w:rPr>
          <w:fldChar w:fldCharType="end"/>
        </w:r>
      </w:hyperlink>
    </w:p>
    <w:p w14:paraId="55F566E7" w14:textId="2744C711" w:rsidR="000A262D" w:rsidRDefault="004C08FF" w:rsidP="00B35964">
      <w:pPr>
        <w:pStyle w:val="TOC2"/>
        <w:keepNext/>
        <w:keepLines/>
        <w:rPr>
          <w:rFonts w:asciiTheme="minorHAnsi" w:eastAsiaTheme="minorEastAsia" w:hAnsiTheme="minorHAnsi" w:cstheme="minorBidi"/>
          <w:spacing w:val="0"/>
          <w:sz w:val="22"/>
          <w:szCs w:val="22"/>
        </w:rPr>
      </w:pPr>
      <w:hyperlink w:anchor="_Toc51864376" w:history="1">
        <w:r w:rsidR="000A262D" w:rsidRPr="00781035">
          <w:rPr>
            <w:rStyle w:val="Hyperlink"/>
            <w:rFonts w:eastAsiaTheme="majorEastAsia"/>
          </w:rPr>
          <w:t>Allocation priorities and sequencing</w:t>
        </w:r>
        <w:r w:rsidR="000A262D">
          <w:rPr>
            <w:webHidden/>
          </w:rPr>
          <w:tab/>
        </w:r>
        <w:r w:rsidR="000A262D">
          <w:rPr>
            <w:webHidden/>
          </w:rPr>
          <w:fldChar w:fldCharType="begin"/>
        </w:r>
        <w:r w:rsidR="000A262D">
          <w:rPr>
            <w:webHidden/>
          </w:rPr>
          <w:instrText xml:space="preserve"> PAGEREF _Toc51864376 \h </w:instrText>
        </w:r>
        <w:r w:rsidR="000A262D">
          <w:rPr>
            <w:webHidden/>
          </w:rPr>
        </w:r>
        <w:r w:rsidR="000A262D">
          <w:rPr>
            <w:webHidden/>
          </w:rPr>
          <w:fldChar w:fldCharType="separate"/>
        </w:r>
        <w:r>
          <w:rPr>
            <w:webHidden/>
          </w:rPr>
          <w:t>69</w:t>
        </w:r>
        <w:r w:rsidR="000A262D">
          <w:rPr>
            <w:webHidden/>
          </w:rPr>
          <w:fldChar w:fldCharType="end"/>
        </w:r>
      </w:hyperlink>
    </w:p>
    <w:p w14:paraId="42798A07" w14:textId="2B4CB867" w:rsidR="000A262D" w:rsidRDefault="004C08FF" w:rsidP="00B35964">
      <w:pPr>
        <w:pStyle w:val="TOC3"/>
        <w:keepNext/>
        <w:keepLines/>
        <w:rPr>
          <w:rFonts w:asciiTheme="minorHAnsi" w:eastAsiaTheme="minorEastAsia" w:hAnsiTheme="minorHAnsi" w:cstheme="minorBidi"/>
        </w:rPr>
      </w:pPr>
      <w:hyperlink w:anchor="_Toc51864377" w:history="1">
        <w:r w:rsidR="000A262D" w:rsidRPr="00781035">
          <w:rPr>
            <w:rStyle w:val="Hyperlink"/>
          </w:rPr>
          <w:t>Timing considerations</w:t>
        </w:r>
        <w:r w:rsidR="000A262D">
          <w:rPr>
            <w:webHidden/>
          </w:rPr>
          <w:tab/>
        </w:r>
        <w:r w:rsidR="000A262D">
          <w:rPr>
            <w:webHidden/>
          </w:rPr>
          <w:fldChar w:fldCharType="begin"/>
        </w:r>
        <w:r w:rsidR="000A262D">
          <w:rPr>
            <w:webHidden/>
          </w:rPr>
          <w:instrText xml:space="preserve"> PAGEREF _Toc51864377 \h </w:instrText>
        </w:r>
        <w:r w:rsidR="000A262D">
          <w:rPr>
            <w:webHidden/>
          </w:rPr>
        </w:r>
        <w:r w:rsidR="000A262D">
          <w:rPr>
            <w:webHidden/>
          </w:rPr>
          <w:fldChar w:fldCharType="separate"/>
        </w:r>
        <w:r>
          <w:rPr>
            <w:webHidden/>
          </w:rPr>
          <w:t>69</w:t>
        </w:r>
        <w:r w:rsidR="000A262D">
          <w:rPr>
            <w:webHidden/>
          </w:rPr>
          <w:fldChar w:fldCharType="end"/>
        </w:r>
      </w:hyperlink>
    </w:p>
    <w:p w14:paraId="4BB10DC7" w14:textId="37243796" w:rsidR="000A262D" w:rsidRDefault="004C08FF">
      <w:pPr>
        <w:pStyle w:val="TOC1"/>
        <w:rPr>
          <w:rFonts w:asciiTheme="minorHAnsi" w:eastAsiaTheme="minorEastAsia" w:hAnsiTheme="minorHAnsi" w:cstheme="minorBidi"/>
          <w:b w:val="0"/>
          <w:spacing w:val="0"/>
          <w:sz w:val="22"/>
          <w:szCs w:val="22"/>
        </w:rPr>
      </w:pPr>
      <w:hyperlink w:anchor="_Toc51864378" w:history="1">
        <w:r w:rsidR="000A262D" w:rsidRPr="00781035">
          <w:rPr>
            <w:rStyle w:val="Hyperlink"/>
          </w:rPr>
          <w:t>Licensing and licensing systems</w:t>
        </w:r>
        <w:r w:rsidR="000A262D">
          <w:rPr>
            <w:webHidden/>
          </w:rPr>
          <w:tab/>
        </w:r>
        <w:r w:rsidR="000A262D">
          <w:rPr>
            <w:webHidden/>
          </w:rPr>
          <w:fldChar w:fldCharType="begin"/>
        </w:r>
        <w:r w:rsidR="000A262D">
          <w:rPr>
            <w:webHidden/>
          </w:rPr>
          <w:instrText xml:space="preserve"> PAGEREF _Toc51864378 \h </w:instrText>
        </w:r>
        <w:r w:rsidR="000A262D">
          <w:rPr>
            <w:webHidden/>
          </w:rPr>
        </w:r>
        <w:r w:rsidR="000A262D">
          <w:rPr>
            <w:webHidden/>
          </w:rPr>
          <w:fldChar w:fldCharType="separate"/>
        </w:r>
        <w:r>
          <w:rPr>
            <w:webHidden/>
          </w:rPr>
          <w:t>72</w:t>
        </w:r>
        <w:r w:rsidR="000A262D">
          <w:rPr>
            <w:webHidden/>
          </w:rPr>
          <w:fldChar w:fldCharType="end"/>
        </w:r>
      </w:hyperlink>
    </w:p>
    <w:p w14:paraId="626A5FF6" w14:textId="123BBE17" w:rsidR="000A262D" w:rsidRDefault="004C08FF">
      <w:pPr>
        <w:pStyle w:val="TOC2"/>
        <w:rPr>
          <w:rFonts w:asciiTheme="minorHAnsi" w:eastAsiaTheme="minorEastAsia" w:hAnsiTheme="minorHAnsi" w:cstheme="minorBidi"/>
          <w:spacing w:val="0"/>
          <w:sz w:val="22"/>
          <w:szCs w:val="22"/>
        </w:rPr>
      </w:pPr>
      <w:hyperlink w:anchor="_Toc51864379" w:history="1">
        <w:r w:rsidR="000A262D" w:rsidRPr="00781035">
          <w:rPr>
            <w:rStyle w:val="Hyperlink"/>
          </w:rPr>
          <w:t>Recent developments</w:t>
        </w:r>
        <w:r w:rsidR="000A262D">
          <w:rPr>
            <w:webHidden/>
          </w:rPr>
          <w:tab/>
        </w:r>
        <w:r w:rsidR="000A262D">
          <w:rPr>
            <w:webHidden/>
          </w:rPr>
          <w:fldChar w:fldCharType="begin"/>
        </w:r>
        <w:r w:rsidR="000A262D">
          <w:rPr>
            <w:webHidden/>
          </w:rPr>
          <w:instrText xml:space="preserve"> PAGEREF _Toc51864379 \h </w:instrText>
        </w:r>
        <w:r w:rsidR="000A262D">
          <w:rPr>
            <w:webHidden/>
          </w:rPr>
        </w:r>
        <w:r w:rsidR="000A262D">
          <w:rPr>
            <w:webHidden/>
          </w:rPr>
          <w:fldChar w:fldCharType="separate"/>
        </w:r>
        <w:r>
          <w:rPr>
            <w:webHidden/>
          </w:rPr>
          <w:t>72</w:t>
        </w:r>
        <w:r w:rsidR="000A262D">
          <w:rPr>
            <w:webHidden/>
          </w:rPr>
          <w:fldChar w:fldCharType="end"/>
        </w:r>
      </w:hyperlink>
    </w:p>
    <w:p w14:paraId="25F043F3" w14:textId="395B337C" w:rsidR="000A262D" w:rsidRDefault="004C08FF">
      <w:pPr>
        <w:pStyle w:val="TOC3"/>
        <w:rPr>
          <w:rFonts w:asciiTheme="minorHAnsi" w:eastAsiaTheme="minorEastAsia" w:hAnsiTheme="minorHAnsi" w:cstheme="minorBidi"/>
        </w:rPr>
      </w:pPr>
      <w:hyperlink w:anchor="_Toc51864380" w:history="1">
        <w:r w:rsidR="000A262D" w:rsidRPr="00781035">
          <w:rPr>
            <w:rStyle w:val="Hyperlink"/>
          </w:rPr>
          <w:t>Radiocommunications legislative reform</w:t>
        </w:r>
        <w:r w:rsidR="000A262D">
          <w:rPr>
            <w:webHidden/>
          </w:rPr>
          <w:tab/>
        </w:r>
        <w:r w:rsidR="000A262D">
          <w:rPr>
            <w:webHidden/>
          </w:rPr>
          <w:fldChar w:fldCharType="begin"/>
        </w:r>
        <w:r w:rsidR="000A262D">
          <w:rPr>
            <w:webHidden/>
          </w:rPr>
          <w:instrText xml:space="preserve"> PAGEREF _Toc51864380 \h </w:instrText>
        </w:r>
        <w:r w:rsidR="000A262D">
          <w:rPr>
            <w:webHidden/>
          </w:rPr>
        </w:r>
        <w:r w:rsidR="000A262D">
          <w:rPr>
            <w:webHidden/>
          </w:rPr>
          <w:fldChar w:fldCharType="separate"/>
        </w:r>
        <w:r>
          <w:rPr>
            <w:webHidden/>
          </w:rPr>
          <w:t>72</w:t>
        </w:r>
        <w:r w:rsidR="000A262D">
          <w:rPr>
            <w:webHidden/>
          </w:rPr>
          <w:fldChar w:fldCharType="end"/>
        </w:r>
      </w:hyperlink>
    </w:p>
    <w:p w14:paraId="0D6B841E" w14:textId="34FA3F60" w:rsidR="000A262D" w:rsidRDefault="004C08FF">
      <w:pPr>
        <w:pStyle w:val="TOC3"/>
        <w:rPr>
          <w:rFonts w:asciiTheme="minorHAnsi" w:eastAsiaTheme="minorEastAsia" w:hAnsiTheme="minorHAnsi" w:cstheme="minorBidi"/>
        </w:rPr>
      </w:pPr>
      <w:hyperlink w:anchor="_Toc51864381" w:history="1">
        <w:r w:rsidR="000A262D" w:rsidRPr="00781035">
          <w:rPr>
            <w:rStyle w:val="Hyperlink"/>
          </w:rPr>
          <w:t>Mobile phone jammers in prisons</w:t>
        </w:r>
        <w:r w:rsidR="000A262D">
          <w:rPr>
            <w:webHidden/>
          </w:rPr>
          <w:tab/>
        </w:r>
        <w:r w:rsidR="000A262D">
          <w:rPr>
            <w:webHidden/>
          </w:rPr>
          <w:fldChar w:fldCharType="begin"/>
        </w:r>
        <w:r w:rsidR="000A262D">
          <w:rPr>
            <w:webHidden/>
          </w:rPr>
          <w:instrText xml:space="preserve"> PAGEREF _Toc51864381 \h </w:instrText>
        </w:r>
        <w:r w:rsidR="000A262D">
          <w:rPr>
            <w:webHidden/>
          </w:rPr>
        </w:r>
        <w:r w:rsidR="000A262D">
          <w:rPr>
            <w:webHidden/>
          </w:rPr>
          <w:fldChar w:fldCharType="separate"/>
        </w:r>
        <w:r>
          <w:rPr>
            <w:webHidden/>
          </w:rPr>
          <w:t>73</w:t>
        </w:r>
        <w:r w:rsidR="000A262D">
          <w:rPr>
            <w:webHidden/>
          </w:rPr>
          <w:fldChar w:fldCharType="end"/>
        </w:r>
      </w:hyperlink>
    </w:p>
    <w:p w14:paraId="70B82745" w14:textId="22E4992C" w:rsidR="000A262D" w:rsidRDefault="004C08FF">
      <w:pPr>
        <w:pStyle w:val="TOC3"/>
        <w:rPr>
          <w:rFonts w:asciiTheme="minorHAnsi" w:eastAsiaTheme="minorEastAsia" w:hAnsiTheme="minorHAnsi" w:cstheme="minorBidi"/>
        </w:rPr>
      </w:pPr>
      <w:hyperlink w:anchor="_Toc51864382" w:history="1">
        <w:r w:rsidR="000A262D" w:rsidRPr="00781035">
          <w:rPr>
            <w:rStyle w:val="Hyperlink"/>
          </w:rPr>
          <w:t>Drone jamming exemption arrangements</w:t>
        </w:r>
        <w:r w:rsidR="000A262D">
          <w:rPr>
            <w:webHidden/>
          </w:rPr>
          <w:tab/>
        </w:r>
        <w:r w:rsidR="000A262D">
          <w:rPr>
            <w:webHidden/>
          </w:rPr>
          <w:fldChar w:fldCharType="begin"/>
        </w:r>
        <w:r w:rsidR="000A262D">
          <w:rPr>
            <w:webHidden/>
          </w:rPr>
          <w:instrText xml:space="preserve"> PAGEREF _Toc51864382 \h </w:instrText>
        </w:r>
        <w:r w:rsidR="000A262D">
          <w:rPr>
            <w:webHidden/>
          </w:rPr>
        </w:r>
        <w:r w:rsidR="000A262D">
          <w:rPr>
            <w:webHidden/>
          </w:rPr>
          <w:fldChar w:fldCharType="separate"/>
        </w:r>
        <w:r>
          <w:rPr>
            <w:webHidden/>
          </w:rPr>
          <w:t>73</w:t>
        </w:r>
        <w:r w:rsidR="000A262D">
          <w:rPr>
            <w:webHidden/>
          </w:rPr>
          <w:fldChar w:fldCharType="end"/>
        </w:r>
      </w:hyperlink>
    </w:p>
    <w:p w14:paraId="63C780FE" w14:textId="1F35CF0C" w:rsidR="000A262D" w:rsidRDefault="004C08FF">
      <w:pPr>
        <w:pStyle w:val="TOC3"/>
        <w:rPr>
          <w:rFonts w:asciiTheme="minorHAnsi" w:eastAsiaTheme="minorEastAsia" w:hAnsiTheme="minorHAnsi" w:cstheme="minorBidi"/>
        </w:rPr>
      </w:pPr>
      <w:hyperlink w:anchor="_Toc51864383" w:history="1">
        <w:r w:rsidR="000A262D" w:rsidRPr="00781035">
          <w:rPr>
            <w:rStyle w:val="Hyperlink"/>
          </w:rPr>
          <w:t>RNSS repeater trials</w:t>
        </w:r>
        <w:r w:rsidR="000A262D">
          <w:rPr>
            <w:webHidden/>
          </w:rPr>
          <w:tab/>
        </w:r>
        <w:r w:rsidR="000A262D">
          <w:rPr>
            <w:webHidden/>
          </w:rPr>
          <w:fldChar w:fldCharType="begin"/>
        </w:r>
        <w:r w:rsidR="000A262D">
          <w:rPr>
            <w:webHidden/>
          </w:rPr>
          <w:instrText xml:space="preserve"> PAGEREF _Toc51864383 \h </w:instrText>
        </w:r>
        <w:r w:rsidR="000A262D">
          <w:rPr>
            <w:webHidden/>
          </w:rPr>
        </w:r>
        <w:r w:rsidR="000A262D">
          <w:rPr>
            <w:webHidden/>
          </w:rPr>
          <w:fldChar w:fldCharType="separate"/>
        </w:r>
        <w:r>
          <w:rPr>
            <w:webHidden/>
          </w:rPr>
          <w:t>73</w:t>
        </w:r>
        <w:r w:rsidR="000A262D">
          <w:rPr>
            <w:webHidden/>
          </w:rPr>
          <w:fldChar w:fldCharType="end"/>
        </w:r>
      </w:hyperlink>
    </w:p>
    <w:p w14:paraId="77AC8515" w14:textId="46FC956F" w:rsidR="000A262D" w:rsidRDefault="004C08FF">
      <w:pPr>
        <w:pStyle w:val="TOC3"/>
        <w:rPr>
          <w:rFonts w:asciiTheme="minorHAnsi" w:eastAsiaTheme="minorEastAsia" w:hAnsiTheme="minorHAnsi" w:cstheme="minorBidi"/>
        </w:rPr>
      </w:pPr>
      <w:hyperlink w:anchor="_Toc51864384" w:history="1">
        <w:r w:rsidR="000A262D" w:rsidRPr="00781035">
          <w:rPr>
            <w:rStyle w:val="Hyperlink"/>
          </w:rPr>
          <w:t>Review of prohibition declarations and exemption determinations</w:t>
        </w:r>
        <w:r w:rsidR="000A262D">
          <w:rPr>
            <w:webHidden/>
          </w:rPr>
          <w:tab/>
        </w:r>
        <w:r w:rsidR="000A262D">
          <w:rPr>
            <w:webHidden/>
          </w:rPr>
          <w:fldChar w:fldCharType="begin"/>
        </w:r>
        <w:r w:rsidR="000A262D">
          <w:rPr>
            <w:webHidden/>
          </w:rPr>
          <w:instrText xml:space="preserve"> PAGEREF _Toc51864384 \h </w:instrText>
        </w:r>
        <w:r w:rsidR="000A262D">
          <w:rPr>
            <w:webHidden/>
          </w:rPr>
        </w:r>
        <w:r w:rsidR="000A262D">
          <w:rPr>
            <w:webHidden/>
          </w:rPr>
          <w:fldChar w:fldCharType="separate"/>
        </w:r>
        <w:r>
          <w:rPr>
            <w:webHidden/>
          </w:rPr>
          <w:t>73</w:t>
        </w:r>
        <w:r w:rsidR="000A262D">
          <w:rPr>
            <w:webHidden/>
          </w:rPr>
          <w:fldChar w:fldCharType="end"/>
        </w:r>
      </w:hyperlink>
    </w:p>
    <w:p w14:paraId="307A7DA7" w14:textId="6FA93277" w:rsidR="000A262D" w:rsidRDefault="004C08FF">
      <w:pPr>
        <w:pStyle w:val="TOC2"/>
        <w:rPr>
          <w:rFonts w:asciiTheme="minorHAnsi" w:eastAsiaTheme="minorEastAsia" w:hAnsiTheme="minorHAnsi" w:cstheme="minorBidi"/>
          <w:spacing w:val="0"/>
          <w:sz w:val="22"/>
          <w:szCs w:val="22"/>
        </w:rPr>
      </w:pPr>
      <w:hyperlink w:anchor="_Toc51864385"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_Toc51864385 \h </w:instrText>
        </w:r>
        <w:r w:rsidR="000A262D">
          <w:rPr>
            <w:webHidden/>
          </w:rPr>
        </w:r>
        <w:r w:rsidR="000A262D">
          <w:rPr>
            <w:webHidden/>
          </w:rPr>
          <w:fldChar w:fldCharType="separate"/>
        </w:r>
        <w:r>
          <w:rPr>
            <w:webHidden/>
          </w:rPr>
          <w:t>74</w:t>
        </w:r>
        <w:r w:rsidR="000A262D">
          <w:rPr>
            <w:webHidden/>
          </w:rPr>
          <w:fldChar w:fldCharType="end"/>
        </w:r>
      </w:hyperlink>
    </w:p>
    <w:p w14:paraId="66332F6E" w14:textId="4F3474E5" w:rsidR="000A262D" w:rsidRDefault="004C08FF">
      <w:pPr>
        <w:pStyle w:val="TOC3"/>
        <w:rPr>
          <w:rFonts w:asciiTheme="minorHAnsi" w:eastAsiaTheme="minorEastAsia" w:hAnsiTheme="minorHAnsi" w:cstheme="minorBidi"/>
        </w:rPr>
      </w:pPr>
      <w:hyperlink w:anchor="_Toc51864386" w:history="1">
        <w:r w:rsidR="000A262D" w:rsidRPr="00781035">
          <w:rPr>
            <w:rStyle w:val="Hyperlink"/>
          </w:rPr>
          <w:t>Amateur certificates of proficiency</w:t>
        </w:r>
        <w:r w:rsidR="000A262D">
          <w:rPr>
            <w:webHidden/>
          </w:rPr>
          <w:tab/>
        </w:r>
        <w:r w:rsidR="000A262D">
          <w:rPr>
            <w:webHidden/>
          </w:rPr>
          <w:fldChar w:fldCharType="begin"/>
        </w:r>
        <w:r w:rsidR="000A262D">
          <w:rPr>
            <w:webHidden/>
          </w:rPr>
          <w:instrText xml:space="preserve"> PAGEREF _Toc51864386 \h </w:instrText>
        </w:r>
        <w:r w:rsidR="000A262D">
          <w:rPr>
            <w:webHidden/>
          </w:rPr>
        </w:r>
        <w:r w:rsidR="000A262D">
          <w:rPr>
            <w:webHidden/>
          </w:rPr>
          <w:fldChar w:fldCharType="separate"/>
        </w:r>
        <w:r>
          <w:rPr>
            <w:webHidden/>
          </w:rPr>
          <w:t>74</w:t>
        </w:r>
        <w:r w:rsidR="000A262D">
          <w:rPr>
            <w:webHidden/>
          </w:rPr>
          <w:fldChar w:fldCharType="end"/>
        </w:r>
      </w:hyperlink>
    </w:p>
    <w:p w14:paraId="54AF7EE7" w14:textId="01D9E3E9" w:rsidR="000A262D" w:rsidRDefault="004C08FF">
      <w:pPr>
        <w:pStyle w:val="TOC3"/>
        <w:rPr>
          <w:rFonts w:asciiTheme="minorHAnsi" w:eastAsiaTheme="minorEastAsia" w:hAnsiTheme="minorHAnsi" w:cstheme="minorBidi"/>
        </w:rPr>
      </w:pPr>
      <w:hyperlink w:anchor="_Toc51864387" w:history="1">
        <w:r w:rsidR="000A262D" w:rsidRPr="00781035">
          <w:rPr>
            <w:rStyle w:val="Hyperlink"/>
          </w:rPr>
          <w:t>Enabling trials of mobile phone jammers in prisons</w:t>
        </w:r>
        <w:r w:rsidR="000A262D">
          <w:rPr>
            <w:webHidden/>
          </w:rPr>
          <w:tab/>
        </w:r>
        <w:r w:rsidR="000A262D">
          <w:rPr>
            <w:webHidden/>
          </w:rPr>
          <w:fldChar w:fldCharType="begin"/>
        </w:r>
        <w:r w:rsidR="000A262D">
          <w:rPr>
            <w:webHidden/>
          </w:rPr>
          <w:instrText xml:space="preserve"> PAGEREF _Toc51864387 \h </w:instrText>
        </w:r>
        <w:r w:rsidR="000A262D">
          <w:rPr>
            <w:webHidden/>
          </w:rPr>
        </w:r>
        <w:r w:rsidR="000A262D">
          <w:rPr>
            <w:webHidden/>
          </w:rPr>
          <w:fldChar w:fldCharType="separate"/>
        </w:r>
        <w:r>
          <w:rPr>
            <w:webHidden/>
          </w:rPr>
          <w:t>74</w:t>
        </w:r>
        <w:r w:rsidR="000A262D">
          <w:rPr>
            <w:webHidden/>
          </w:rPr>
          <w:fldChar w:fldCharType="end"/>
        </w:r>
      </w:hyperlink>
    </w:p>
    <w:p w14:paraId="6BA44BFE" w14:textId="795251CC" w:rsidR="000A262D" w:rsidRDefault="004C08FF">
      <w:pPr>
        <w:pStyle w:val="TOC3"/>
        <w:rPr>
          <w:rFonts w:asciiTheme="minorHAnsi" w:eastAsiaTheme="minorEastAsia" w:hAnsiTheme="minorHAnsi" w:cstheme="minorBidi"/>
        </w:rPr>
      </w:pPr>
      <w:hyperlink w:anchor="_Toc51864388" w:history="1">
        <w:r w:rsidR="000A262D" w:rsidRPr="00781035">
          <w:rPr>
            <w:rStyle w:val="Hyperlink"/>
          </w:rPr>
          <w:t>RNSS repeater trials and long-term licensing arrangements</w:t>
        </w:r>
        <w:r w:rsidR="000A262D">
          <w:rPr>
            <w:webHidden/>
          </w:rPr>
          <w:tab/>
        </w:r>
        <w:r w:rsidR="000A262D">
          <w:rPr>
            <w:webHidden/>
          </w:rPr>
          <w:fldChar w:fldCharType="begin"/>
        </w:r>
        <w:r w:rsidR="000A262D">
          <w:rPr>
            <w:webHidden/>
          </w:rPr>
          <w:instrText xml:space="preserve"> PAGEREF _Toc51864388 \h </w:instrText>
        </w:r>
        <w:r w:rsidR="000A262D">
          <w:rPr>
            <w:webHidden/>
          </w:rPr>
        </w:r>
        <w:r w:rsidR="000A262D">
          <w:rPr>
            <w:webHidden/>
          </w:rPr>
          <w:fldChar w:fldCharType="separate"/>
        </w:r>
        <w:r>
          <w:rPr>
            <w:webHidden/>
          </w:rPr>
          <w:t>74</w:t>
        </w:r>
        <w:r w:rsidR="000A262D">
          <w:rPr>
            <w:webHidden/>
          </w:rPr>
          <w:fldChar w:fldCharType="end"/>
        </w:r>
      </w:hyperlink>
    </w:p>
    <w:p w14:paraId="19043494" w14:textId="45672CB7" w:rsidR="000A262D" w:rsidRDefault="004C08FF">
      <w:pPr>
        <w:pStyle w:val="TOC3"/>
        <w:rPr>
          <w:rFonts w:asciiTheme="minorHAnsi" w:eastAsiaTheme="minorEastAsia" w:hAnsiTheme="minorHAnsi" w:cstheme="minorBidi"/>
        </w:rPr>
      </w:pPr>
      <w:hyperlink w:anchor="_Toc51864389" w:history="1">
        <w:r w:rsidR="000A262D" w:rsidRPr="00781035">
          <w:rPr>
            <w:rStyle w:val="Hyperlink"/>
          </w:rPr>
          <w:t>400 MHz band</w:t>
        </w:r>
        <w:r w:rsidR="000A262D">
          <w:rPr>
            <w:webHidden/>
          </w:rPr>
          <w:tab/>
        </w:r>
        <w:r w:rsidR="000A262D">
          <w:rPr>
            <w:webHidden/>
          </w:rPr>
          <w:fldChar w:fldCharType="begin"/>
        </w:r>
        <w:r w:rsidR="000A262D">
          <w:rPr>
            <w:webHidden/>
          </w:rPr>
          <w:instrText xml:space="preserve"> PAGEREF _Toc51864389 \h </w:instrText>
        </w:r>
        <w:r w:rsidR="000A262D">
          <w:rPr>
            <w:webHidden/>
          </w:rPr>
        </w:r>
        <w:r w:rsidR="000A262D">
          <w:rPr>
            <w:webHidden/>
          </w:rPr>
          <w:fldChar w:fldCharType="separate"/>
        </w:r>
        <w:r>
          <w:rPr>
            <w:webHidden/>
          </w:rPr>
          <w:t>74</w:t>
        </w:r>
        <w:r w:rsidR="000A262D">
          <w:rPr>
            <w:webHidden/>
          </w:rPr>
          <w:fldChar w:fldCharType="end"/>
        </w:r>
      </w:hyperlink>
    </w:p>
    <w:p w14:paraId="5161DB6B" w14:textId="10F36F05" w:rsidR="000A262D" w:rsidRDefault="004C08FF">
      <w:pPr>
        <w:pStyle w:val="TOC3"/>
        <w:rPr>
          <w:rFonts w:asciiTheme="minorHAnsi" w:eastAsiaTheme="minorEastAsia" w:hAnsiTheme="minorHAnsi" w:cstheme="minorBidi"/>
        </w:rPr>
      </w:pPr>
      <w:hyperlink w:anchor="_Toc51864390" w:history="1">
        <w:r w:rsidR="000A262D" w:rsidRPr="00781035">
          <w:rPr>
            <w:rStyle w:val="Hyperlink"/>
          </w:rPr>
          <w:t>Review of prohibition declarations and exemption determinations</w:t>
        </w:r>
        <w:r w:rsidR="000A262D">
          <w:rPr>
            <w:webHidden/>
          </w:rPr>
          <w:tab/>
        </w:r>
        <w:r w:rsidR="000A262D">
          <w:rPr>
            <w:webHidden/>
          </w:rPr>
          <w:fldChar w:fldCharType="begin"/>
        </w:r>
        <w:r w:rsidR="000A262D">
          <w:rPr>
            <w:webHidden/>
          </w:rPr>
          <w:instrText xml:space="preserve"> PAGEREF _Toc51864390 \h </w:instrText>
        </w:r>
        <w:r w:rsidR="000A262D">
          <w:rPr>
            <w:webHidden/>
          </w:rPr>
        </w:r>
        <w:r w:rsidR="000A262D">
          <w:rPr>
            <w:webHidden/>
          </w:rPr>
          <w:fldChar w:fldCharType="separate"/>
        </w:r>
        <w:r>
          <w:rPr>
            <w:webHidden/>
          </w:rPr>
          <w:t>75</w:t>
        </w:r>
        <w:r w:rsidR="000A262D">
          <w:rPr>
            <w:webHidden/>
          </w:rPr>
          <w:fldChar w:fldCharType="end"/>
        </w:r>
      </w:hyperlink>
    </w:p>
    <w:p w14:paraId="322B86EA" w14:textId="77FDB65A" w:rsidR="000A262D" w:rsidRDefault="004C08FF">
      <w:pPr>
        <w:pStyle w:val="TOC3"/>
        <w:rPr>
          <w:rFonts w:asciiTheme="minorHAnsi" w:eastAsiaTheme="minorEastAsia" w:hAnsiTheme="minorHAnsi" w:cstheme="minorBidi"/>
        </w:rPr>
      </w:pPr>
      <w:hyperlink w:anchor="_Toc51864391" w:history="1">
        <w:r w:rsidR="000A262D" w:rsidRPr="00781035">
          <w:rPr>
            <w:rStyle w:val="Hyperlink"/>
          </w:rPr>
          <w:t>Drone regulation</w:t>
        </w:r>
        <w:r w:rsidR="000A262D">
          <w:rPr>
            <w:webHidden/>
          </w:rPr>
          <w:tab/>
        </w:r>
        <w:r w:rsidR="000A262D">
          <w:rPr>
            <w:webHidden/>
          </w:rPr>
          <w:fldChar w:fldCharType="begin"/>
        </w:r>
        <w:r w:rsidR="000A262D">
          <w:rPr>
            <w:webHidden/>
          </w:rPr>
          <w:instrText xml:space="preserve"> PAGEREF _Toc51864391 \h </w:instrText>
        </w:r>
        <w:r w:rsidR="000A262D">
          <w:rPr>
            <w:webHidden/>
          </w:rPr>
        </w:r>
        <w:r w:rsidR="000A262D">
          <w:rPr>
            <w:webHidden/>
          </w:rPr>
          <w:fldChar w:fldCharType="separate"/>
        </w:r>
        <w:r>
          <w:rPr>
            <w:webHidden/>
          </w:rPr>
          <w:t>75</w:t>
        </w:r>
        <w:r w:rsidR="000A262D">
          <w:rPr>
            <w:webHidden/>
          </w:rPr>
          <w:fldChar w:fldCharType="end"/>
        </w:r>
      </w:hyperlink>
    </w:p>
    <w:p w14:paraId="4AE3A031" w14:textId="073A1C20" w:rsidR="000A262D" w:rsidRDefault="004C08FF">
      <w:pPr>
        <w:pStyle w:val="TOC3"/>
        <w:rPr>
          <w:rFonts w:asciiTheme="minorHAnsi" w:eastAsiaTheme="minorEastAsia" w:hAnsiTheme="minorHAnsi" w:cstheme="minorBidi"/>
        </w:rPr>
      </w:pPr>
      <w:hyperlink w:anchor="_Toc51864392" w:history="1">
        <w:r w:rsidR="000A262D" w:rsidRPr="00781035">
          <w:rPr>
            <w:rStyle w:val="Hyperlink"/>
          </w:rPr>
          <w:t>Area-wide apparatus licence</w:t>
        </w:r>
        <w:r w:rsidR="000A262D">
          <w:rPr>
            <w:webHidden/>
          </w:rPr>
          <w:tab/>
        </w:r>
        <w:r w:rsidR="000A262D">
          <w:rPr>
            <w:webHidden/>
          </w:rPr>
          <w:fldChar w:fldCharType="begin"/>
        </w:r>
        <w:r w:rsidR="000A262D">
          <w:rPr>
            <w:webHidden/>
          </w:rPr>
          <w:instrText xml:space="preserve"> PAGEREF _Toc51864392 \h </w:instrText>
        </w:r>
        <w:r w:rsidR="000A262D">
          <w:rPr>
            <w:webHidden/>
          </w:rPr>
        </w:r>
        <w:r w:rsidR="000A262D">
          <w:rPr>
            <w:webHidden/>
          </w:rPr>
          <w:fldChar w:fldCharType="separate"/>
        </w:r>
        <w:r>
          <w:rPr>
            <w:webHidden/>
          </w:rPr>
          <w:t>75</w:t>
        </w:r>
        <w:r w:rsidR="000A262D">
          <w:rPr>
            <w:webHidden/>
          </w:rPr>
          <w:fldChar w:fldCharType="end"/>
        </w:r>
      </w:hyperlink>
    </w:p>
    <w:p w14:paraId="198541D5" w14:textId="6FDD2FE1" w:rsidR="000A262D" w:rsidRDefault="004C08FF">
      <w:pPr>
        <w:pStyle w:val="TOC3"/>
        <w:rPr>
          <w:rFonts w:asciiTheme="minorHAnsi" w:eastAsiaTheme="minorEastAsia" w:hAnsiTheme="minorHAnsi" w:cstheme="minorBidi"/>
        </w:rPr>
      </w:pPr>
      <w:hyperlink w:anchor="_Toc51864393" w:history="1">
        <w:r w:rsidR="000A262D" w:rsidRPr="00781035">
          <w:rPr>
            <w:rStyle w:val="Hyperlink"/>
          </w:rPr>
          <w:t>Review of non-assigned amateur and outpost licensing arrangements</w:t>
        </w:r>
        <w:r w:rsidR="000A262D">
          <w:rPr>
            <w:webHidden/>
          </w:rPr>
          <w:tab/>
        </w:r>
        <w:r w:rsidR="000A262D">
          <w:rPr>
            <w:webHidden/>
          </w:rPr>
          <w:fldChar w:fldCharType="begin"/>
        </w:r>
        <w:r w:rsidR="000A262D">
          <w:rPr>
            <w:webHidden/>
          </w:rPr>
          <w:instrText xml:space="preserve"> PAGEREF _Toc51864393 \h </w:instrText>
        </w:r>
        <w:r w:rsidR="000A262D">
          <w:rPr>
            <w:webHidden/>
          </w:rPr>
        </w:r>
        <w:r w:rsidR="000A262D">
          <w:rPr>
            <w:webHidden/>
          </w:rPr>
          <w:fldChar w:fldCharType="separate"/>
        </w:r>
        <w:r>
          <w:rPr>
            <w:webHidden/>
          </w:rPr>
          <w:t>76</w:t>
        </w:r>
        <w:r w:rsidR="000A262D">
          <w:rPr>
            <w:webHidden/>
          </w:rPr>
          <w:fldChar w:fldCharType="end"/>
        </w:r>
      </w:hyperlink>
    </w:p>
    <w:p w14:paraId="283B4D8A" w14:textId="7582E019" w:rsidR="000A262D" w:rsidRDefault="004C08FF">
      <w:pPr>
        <w:pStyle w:val="TOC3"/>
        <w:rPr>
          <w:rFonts w:asciiTheme="minorHAnsi" w:eastAsiaTheme="minorEastAsia" w:hAnsiTheme="minorHAnsi" w:cstheme="minorBidi"/>
        </w:rPr>
      </w:pPr>
      <w:hyperlink w:anchor="_Toc51864394" w:history="1">
        <w:r w:rsidR="000A262D" w:rsidRPr="00781035">
          <w:rPr>
            <w:rStyle w:val="Hyperlink"/>
          </w:rPr>
          <w:t>Review of scientific assigned and non-assigned apparatus licensing arrangements</w:t>
        </w:r>
        <w:r w:rsidR="000A262D">
          <w:rPr>
            <w:webHidden/>
          </w:rPr>
          <w:tab/>
        </w:r>
        <w:r w:rsidR="000A262D">
          <w:rPr>
            <w:webHidden/>
          </w:rPr>
          <w:fldChar w:fldCharType="begin"/>
        </w:r>
        <w:r w:rsidR="000A262D">
          <w:rPr>
            <w:webHidden/>
          </w:rPr>
          <w:instrText xml:space="preserve"> PAGEREF _Toc51864394 \h </w:instrText>
        </w:r>
        <w:r w:rsidR="000A262D">
          <w:rPr>
            <w:webHidden/>
          </w:rPr>
        </w:r>
        <w:r w:rsidR="000A262D">
          <w:rPr>
            <w:webHidden/>
          </w:rPr>
          <w:fldChar w:fldCharType="separate"/>
        </w:r>
        <w:r>
          <w:rPr>
            <w:webHidden/>
          </w:rPr>
          <w:t>76</w:t>
        </w:r>
        <w:r w:rsidR="000A262D">
          <w:rPr>
            <w:webHidden/>
          </w:rPr>
          <w:fldChar w:fldCharType="end"/>
        </w:r>
      </w:hyperlink>
    </w:p>
    <w:p w14:paraId="061A73B7" w14:textId="5E137E06" w:rsidR="000A262D" w:rsidRDefault="004C08FF">
      <w:pPr>
        <w:pStyle w:val="TOC3"/>
        <w:rPr>
          <w:rFonts w:asciiTheme="minorHAnsi" w:eastAsiaTheme="minorEastAsia" w:hAnsiTheme="minorHAnsi" w:cstheme="minorBidi"/>
        </w:rPr>
      </w:pPr>
      <w:hyperlink w:anchor="_Toc51864395" w:history="1">
        <w:r w:rsidR="000A262D" w:rsidRPr="00781035">
          <w:rPr>
            <w:rStyle w:val="Hyperlink"/>
          </w:rPr>
          <w:t>Review of efficiency and effectiveness of accredited persons scheme</w:t>
        </w:r>
        <w:r w:rsidR="000A262D">
          <w:rPr>
            <w:webHidden/>
          </w:rPr>
          <w:tab/>
        </w:r>
        <w:r w:rsidR="000A262D">
          <w:rPr>
            <w:webHidden/>
          </w:rPr>
          <w:fldChar w:fldCharType="begin"/>
        </w:r>
        <w:r w:rsidR="000A262D">
          <w:rPr>
            <w:webHidden/>
          </w:rPr>
          <w:instrText xml:space="preserve"> PAGEREF _Toc51864395 \h </w:instrText>
        </w:r>
        <w:r w:rsidR="000A262D">
          <w:rPr>
            <w:webHidden/>
          </w:rPr>
        </w:r>
        <w:r w:rsidR="000A262D">
          <w:rPr>
            <w:webHidden/>
          </w:rPr>
          <w:fldChar w:fldCharType="separate"/>
        </w:r>
        <w:r>
          <w:rPr>
            <w:webHidden/>
          </w:rPr>
          <w:t>76</w:t>
        </w:r>
        <w:r w:rsidR="000A262D">
          <w:rPr>
            <w:webHidden/>
          </w:rPr>
          <w:fldChar w:fldCharType="end"/>
        </w:r>
      </w:hyperlink>
    </w:p>
    <w:p w14:paraId="3FD5D905" w14:textId="310B369E" w:rsidR="000A262D" w:rsidRDefault="004C08FF">
      <w:pPr>
        <w:pStyle w:val="TOC1"/>
        <w:rPr>
          <w:rFonts w:asciiTheme="minorHAnsi" w:eastAsiaTheme="minorEastAsia" w:hAnsiTheme="minorHAnsi" w:cstheme="minorBidi"/>
          <w:b w:val="0"/>
          <w:spacing w:val="0"/>
          <w:sz w:val="22"/>
          <w:szCs w:val="22"/>
        </w:rPr>
      </w:pPr>
      <w:hyperlink w:anchor="_Toc51864396" w:history="1">
        <w:r w:rsidR="000A262D" w:rsidRPr="00781035">
          <w:rPr>
            <w:rStyle w:val="Hyperlink"/>
          </w:rPr>
          <w:t>Pricing</w:t>
        </w:r>
        <w:r w:rsidR="000A262D">
          <w:rPr>
            <w:webHidden/>
          </w:rPr>
          <w:tab/>
        </w:r>
        <w:r w:rsidR="000A262D">
          <w:rPr>
            <w:webHidden/>
          </w:rPr>
          <w:fldChar w:fldCharType="begin"/>
        </w:r>
        <w:r w:rsidR="000A262D">
          <w:rPr>
            <w:webHidden/>
          </w:rPr>
          <w:instrText xml:space="preserve"> PAGEREF _Toc51864396 \h </w:instrText>
        </w:r>
        <w:r w:rsidR="000A262D">
          <w:rPr>
            <w:webHidden/>
          </w:rPr>
        </w:r>
        <w:r w:rsidR="000A262D">
          <w:rPr>
            <w:webHidden/>
          </w:rPr>
          <w:fldChar w:fldCharType="separate"/>
        </w:r>
        <w:r>
          <w:rPr>
            <w:webHidden/>
          </w:rPr>
          <w:t>77</w:t>
        </w:r>
        <w:r w:rsidR="000A262D">
          <w:rPr>
            <w:webHidden/>
          </w:rPr>
          <w:fldChar w:fldCharType="end"/>
        </w:r>
      </w:hyperlink>
    </w:p>
    <w:p w14:paraId="09F36EBC" w14:textId="0855A7C7" w:rsidR="000A262D" w:rsidRDefault="004C08FF">
      <w:pPr>
        <w:pStyle w:val="TOC2"/>
        <w:rPr>
          <w:rFonts w:asciiTheme="minorHAnsi" w:eastAsiaTheme="minorEastAsia" w:hAnsiTheme="minorHAnsi" w:cstheme="minorBidi"/>
          <w:spacing w:val="0"/>
          <w:sz w:val="22"/>
          <w:szCs w:val="22"/>
        </w:rPr>
      </w:pPr>
      <w:hyperlink w:anchor="_Toc51864397" w:history="1">
        <w:r w:rsidR="000A262D" w:rsidRPr="00781035">
          <w:rPr>
            <w:rStyle w:val="Hyperlink"/>
          </w:rPr>
          <w:t>Recent developments</w:t>
        </w:r>
        <w:r w:rsidR="000A262D">
          <w:rPr>
            <w:webHidden/>
          </w:rPr>
          <w:tab/>
        </w:r>
        <w:r w:rsidR="000A262D">
          <w:rPr>
            <w:webHidden/>
          </w:rPr>
          <w:fldChar w:fldCharType="begin"/>
        </w:r>
        <w:r w:rsidR="000A262D">
          <w:rPr>
            <w:webHidden/>
          </w:rPr>
          <w:instrText xml:space="preserve"> PAGEREF _Toc51864397 \h </w:instrText>
        </w:r>
        <w:r w:rsidR="000A262D">
          <w:rPr>
            <w:webHidden/>
          </w:rPr>
        </w:r>
        <w:r w:rsidR="000A262D">
          <w:rPr>
            <w:webHidden/>
          </w:rPr>
          <w:fldChar w:fldCharType="separate"/>
        </w:r>
        <w:r>
          <w:rPr>
            <w:webHidden/>
          </w:rPr>
          <w:t>77</w:t>
        </w:r>
        <w:r w:rsidR="000A262D">
          <w:rPr>
            <w:webHidden/>
          </w:rPr>
          <w:fldChar w:fldCharType="end"/>
        </w:r>
      </w:hyperlink>
    </w:p>
    <w:p w14:paraId="5AEBD493" w14:textId="2FCE805E" w:rsidR="000A262D" w:rsidRDefault="004C08FF">
      <w:pPr>
        <w:pStyle w:val="TOC3"/>
        <w:rPr>
          <w:rFonts w:asciiTheme="minorHAnsi" w:eastAsiaTheme="minorEastAsia" w:hAnsiTheme="minorHAnsi" w:cstheme="minorBidi"/>
        </w:rPr>
      </w:pPr>
      <w:hyperlink w:anchor="_Toc51864398" w:history="1">
        <w:r w:rsidR="000A262D" w:rsidRPr="00781035">
          <w:rPr>
            <w:rStyle w:val="Hyperlink"/>
          </w:rPr>
          <w:t>Apparatus licence taxes</w:t>
        </w:r>
        <w:r w:rsidR="000A262D">
          <w:rPr>
            <w:webHidden/>
          </w:rPr>
          <w:tab/>
        </w:r>
        <w:r w:rsidR="000A262D">
          <w:rPr>
            <w:webHidden/>
          </w:rPr>
          <w:fldChar w:fldCharType="begin"/>
        </w:r>
        <w:r w:rsidR="000A262D">
          <w:rPr>
            <w:webHidden/>
          </w:rPr>
          <w:instrText xml:space="preserve"> PAGEREF _Toc51864398 \h </w:instrText>
        </w:r>
        <w:r w:rsidR="000A262D">
          <w:rPr>
            <w:webHidden/>
          </w:rPr>
        </w:r>
        <w:r w:rsidR="000A262D">
          <w:rPr>
            <w:webHidden/>
          </w:rPr>
          <w:fldChar w:fldCharType="separate"/>
        </w:r>
        <w:r>
          <w:rPr>
            <w:webHidden/>
          </w:rPr>
          <w:t>77</w:t>
        </w:r>
        <w:r w:rsidR="000A262D">
          <w:rPr>
            <w:webHidden/>
          </w:rPr>
          <w:fldChar w:fldCharType="end"/>
        </w:r>
      </w:hyperlink>
    </w:p>
    <w:p w14:paraId="2446E0AC" w14:textId="3508758A" w:rsidR="000A262D" w:rsidRDefault="004C08FF">
      <w:pPr>
        <w:pStyle w:val="TOC3"/>
        <w:rPr>
          <w:rFonts w:asciiTheme="minorHAnsi" w:eastAsiaTheme="minorEastAsia" w:hAnsiTheme="minorHAnsi" w:cstheme="minorBidi"/>
        </w:rPr>
      </w:pPr>
      <w:hyperlink w:anchor="_Toc51864399" w:history="1">
        <w:r w:rsidR="000A262D" w:rsidRPr="00781035">
          <w:rPr>
            <w:rStyle w:val="Hyperlink"/>
          </w:rPr>
          <w:t>Commercial broadcasting taxes</w:t>
        </w:r>
        <w:r w:rsidR="000A262D">
          <w:rPr>
            <w:webHidden/>
          </w:rPr>
          <w:tab/>
        </w:r>
        <w:r w:rsidR="000A262D">
          <w:rPr>
            <w:webHidden/>
          </w:rPr>
          <w:fldChar w:fldCharType="begin"/>
        </w:r>
        <w:r w:rsidR="000A262D">
          <w:rPr>
            <w:webHidden/>
          </w:rPr>
          <w:instrText xml:space="preserve"> PAGEREF _Toc51864399 \h </w:instrText>
        </w:r>
        <w:r w:rsidR="000A262D">
          <w:rPr>
            <w:webHidden/>
          </w:rPr>
        </w:r>
        <w:r w:rsidR="000A262D">
          <w:rPr>
            <w:webHidden/>
          </w:rPr>
          <w:fldChar w:fldCharType="separate"/>
        </w:r>
        <w:r>
          <w:rPr>
            <w:webHidden/>
          </w:rPr>
          <w:t>77</w:t>
        </w:r>
        <w:r w:rsidR="000A262D">
          <w:rPr>
            <w:webHidden/>
          </w:rPr>
          <w:fldChar w:fldCharType="end"/>
        </w:r>
      </w:hyperlink>
    </w:p>
    <w:p w14:paraId="4E25F515" w14:textId="0D60562F" w:rsidR="000A262D" w:rsidRDefault="004C08FF">
      <w:pPr>
        <w:pStyle w:val="TOC2"/>
        <w:rPr>
          <w:rFonts w:asciiTheme="minorHAnsi" w:eastAsiaTheme="minorEastAsia" w:hAnsiTheme="minorHAnsi" w:cstheme="minorBidi"/>
          <w:spacing w:val="0"/>
          <w:sz w:val="22"/>
          <w:szCs w:val="22"/>
        </w:rPr>
      </w:pPr>
      <w:hyperlink w:anchor="_Toc51864400"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_Toc51864400 \h </w:instrText>
        </w:r>
        <w:r w:rsidR="000A262D">
          <w:rPr>
            <w:webHidden/>
          </w:rPr>
        </w:r>
        <w:r w:rsidR="000A262D">
          <w:rPr>
            <w:webHidden/>
          </w:rPr>
          <w:fldChar w:fldCharType="separate"/>
        </w:r>
        <w:r>
          <w:rPr>
            <w:webHidden/>
          </w:rPr>
          <w:t>77</w:t>
        </w:r>
        <w:r w:rsidR="000A262D">
          <w:rPr>
            <w:webHidden/>
          </w:rPr>
          <w:fldChar w:fldCharType="end"/>
        </w:r>
      </w:hyperlink>
    </w:p>
    <w:p w14:paraId="2138153A" w14:textId="3D8CB798" w:rsidR="000A262D" w:rsidRDefault="004C08FF">
      <w:pPr>
        <w:pStyle w:val="TOC3"/>
        <w:rPr>
          <w:rFonts w:asciiTheme="minorHAnsi" w:eastAsiaTheme="minorEastAsia" w:hAnsiTheme="minorHAnsi" w:cstheme="minorBidi"/>
        </w:rPr>
      </w:pPr>
      <w:hyperlink w:anchor="_Toc51864401" w:history="1">
        <w:r w:rsidR="000A262D" w:rsidRPr="00781035">
          <w:rPr>
            <w:rStyle w:val="Hyperlink"/>
          </w:rPr>
          <w:t>Implementation of the government’s Spectrum Pricing Review</w:t>
        </w:r>
        <w:r w:rsidR="000A262D">
          <w:rPr>
            <w:webHidden/>
          </w:rPr>
          <w:tab/>
        </w:r>
        <w:r w:rsidR="000A262D">
          <w:rPr>
            <w:webHidden/>
          </w:rPr>
          <w:fldChar w:fldCharType="begin"/>
        </w:r>
        <w:r w:rsidR="000A262D">
          <w:rPr>
            <w:webHidden/>
          </w:rPr>
          <w:instrText xml:space="preserve"> PAGEREF _Toc51864401 \h </w:instrText>
        </w:r>
        <w:r w:rsidR="000A262D">
          <w:rPr>
            <w:webHidden/>
          </w:rPr>
        </w:r>
        <w:r w:rsidR="000A262D">
          <w:rPr>
            <w:webHidden/>
          </w:rPr>
          <w:fldChar w:fldCharType="separate"/>
        </w:r>
        <w:r>
          <w:rPr>
            <w:webHidden/>
          </w:rPr>
          <w:t>77</w:t>
        </w:r>
        <w:r w:rsidR="000A262D">
          <w:rPr>
            <w:webHidden/>
          </w:rPr>
          <w:fldChar w:fldCharType="end"/>
        </w:r>
      </w:hyperlink>
    </w:p>
    <w:p w14:paraId="7F930970" w14:textId="5A2835AC" w:rsidR="000A262D" w:rsidRDefault="004C08FF">
      <w:pPr>
        <w:pStyle w:val="TOC3"/>
        <w:rPr>
          <w:rFonts w:asciiTheme="minorHAnsi" w:eastAsiaTheme="minorEastAsia" w:hAnsiTheme="minorHAnsi" w:cstheme="minorBidi"/>
        </w:rPr>
      </w:pPr>
      <w:hyperlink w:anchor="_Toc51864402" w:history="1">
        <w:r w:rsidR="000A262D" w:rsidRPr="00781035">
          <w:rPr>
            <w:rStyle w:val="Hyperlink"/>
          </w:rPr>
          <w:t>Commercial broadcasting taxes</w:t>
        </w:r>
        <w:r w:rsidR="000A262D">
          <w:rPr>
            <w:webHidden/>
          </w:rPr>
          <w:tab/>
        </w:r>
        <w:r w:rsidR="000A262D">
          <w:rPr>
            <w:webHidden/>
          </w:rPr>
          <w:fldChar w:fldCharType="begin"/>
        </w:r>
        <w:r w:rsidR="000A262D">
          <w:rPr>
            <w:webHidden/>
          </w:rPr>
          <w:instrText xml:space="preserve"> PAGEREF _Toc51864402 \h </w:instrText>
        </w:r>
        <w:r w:rsidR="000A262D">
          <w:rPr>
            <w:webHidden/>
          </w:rPr>
        </w:r>
        <w:r w:rsidR="000A262D">
          <w:rPr>
            <w:webHidden/>
          </w:rPr>
          <w:fldChar w:fldCharType="separate"/>
        </w:r>
        <w:r>
          <w:rPr>
            <w:webHidden/>
          </w:rPr>
          <w:t>78</w:t>
        </w:r>
        <w:r w:rsidR="000A262D">
          <w:rPr>
            <w:webHidden/>
          </w:rPr>
          <w:fldChar w:fldCharType="end"/>
        </w:r>
      </w:hyperlink>
    </w:p>
    <w:p w14:paraId="46DE16CE" w14:textId="7873290C" w:rsidR="000A262D" w:rsidRDefault="004C08FF">
      <w:pPr>
        <w:pStyle w:val="TOC3"/>
        <w:rPr>
          <w:rFonts w:asciiTheme="minorHAnsi" w:eastAsiaTheme="minorEastAsia" w:hAnsiTheme="minorHAnsi" w:cstheme="minorBidi"/>
        </w:rPr>
      </w:pPr>
      <w:hyperlink w:anchor="_Toc51864403" w:history="1">
        <w:r w:rsidR="000A262D" w:rsidRPr="00781035">
          <w:rPr>
            <w:rStyle w:val="Hyperlink"/>
          </w:rPr>
          <w:t>New EME levy arrangements.</w:t>
        </w:r>
        <w:r w:rsidR="000A262D">
          <w:rPr>
            <w:webHidden/>
          </w:rPr>
          <w:tab/>
        </w:r>
        <w:r w:rsidR="000A262D">
          <w:rPr>
            <w:webHidden/>
          </w:rPr>
          <w:fldChar w:fldCharType="begin"/>
        </w:r>
        <w:r w:rsidR="000A262D">
          <w:rPr>
            <w:webHidden/>
          </w:rPr>
          <w:instrText xml:space="preserve"> PAGEREF _Toc51864403 \h </w:instrText>
        </w:r>
        <w:r w:rsidR="000A262D">
          <w:rPr>
            <w:webHidden/>
          </w:rPr>
        </w:r>
        <w:r w:rsidR="000A262D">
          <w:rPr>
            <w:webHidden/>
          </w:rPr>
          <w:fldChar w:fldCharType="separate"/>
        </w:r>
        <w:r>
          <w:rPr>
            <w:webHidden/>
          </w:rPr>
          <w:t>78</w:t>
        </w:r>
        <w:r w:rsidR="000A262D">
          <w:rPr>
            <w:webHidden/>
          </w:rPr>
          <w:fldChar w:fldCharType="end"/>
        </w:r>
      </w:hyperlink>
    </w:p>
    <w:p w14:paraId="511DC642" w14:textId="37F4B0F5" w:rsidR="000A262D" w:rsidRDefault="004C08FF">
      <w:pPr>
        <w:pStyle w:val="TOC3"/>
        <w:rPr>
          <w:rFonts w:asciiTheme="minorHAnsi" w:eastAsiaTheme="minorEastAsia" w:hAnsiTheme="minorHAnsi" w:cstheme="minorBidi"/>
        </w:rPr>
      </w:pPr>
      <w:hyperlink w:anchor="_Toc51864404" w:history="1">
        <w:r w:rsidR="000A262D" w:rsidRPr="00781035">
          <w:rPr>
            <w:rStyle w:val="Hyperlink"/>
          </w:rPr>
          <w:t>Other pricing updates</w:t>
        </w:r>
        <w:r w:rsidR="000A262D">
          <w:rPr>
            <w:webHidden/>
          </w:rPr>
          <w:tab/>
        </w:r>
        <w:r w:rsidR="000A262D">
          <w:rPr>
            <w:webHidden/>
          </w:rPr>
          <w:fldChar w:fldCharType="begin"/>
        </w:r>
        <w:r w:rsidR="000A262D">
          <w:rPr>
            <w:webHidden/>
          </w:rPr>
          <w:instrText xml:space="preserve"> PAGEREF _Toc51864404 \h </w:instrText>
        </w:r>
        <w:r w:rsidR="000A262D">
          <w:rPr>
            <w:webHidden/>
          </w:rPr>
        </w:r>
        <w:r w:rsidR="000A262D">
          <w:rPr>
            <w:webHidden/>
          </w:rPr>
          <w:fldChar w:fldCharType="separate"/>
        </w:r>
        <w:r>
          <w:rPr>
            <w:webHidden/>
          </w:rPr>
          <w:t>78</w:t>
        </w:r>
        <w:r w:rsidR="000A262D">
          <w:rPr>
            <w:webHidden/>
          </w:rPr>
          <w:fldChar w:fldCharType="end"/>
        </w:r>
      </w:hyperlink>
    </w:p>
    <w:p w14:paraId="7E4BC19E" w14:textId="17892B03" w:rsidR="000A262D" w:rsidRDefault="004C08FF" w:rsidP="000A262D">
      <w:pPr>
        <w:pStyle w:val="TOC1"/>
        <w:keepNext/>
        <w:keepLines/>
        <w:rPr>
          <w:rFonts w:asciiTheme="minorHAnsi" w:eastAsiaTheme="minorEastAsia" w:hAnsiTheme="minorHAnsi" w:cstheme="minorBidi"/>
          <w:b w:val="0"/>
          <w:spacing w:val="0"/>
          <w:sz w:val="22"/>
          <w:szCs w:val="22"/>
        </w:rPr>
      </w:pPr>
      <w:hyperlink w:anchor="_Toc51864405" w:history="1">
        <w:r w:rsidR="000A262D" w:rsidRPr="00781035">
          <w:rPr>
            <w:rStyle w:val="Hyperlink"/>
          </w:rPr>
          <w:t>Compliance and enforcement</w:t>
        </w:r>
        <w:r w:rsidR="000A262D">
          <w:rPr>
            <w:webHidden/>
          </w:rPr>
          <w:tab/>
        </w:r>
        <w:r w:rsidR="000A262D">
          <w:rPr>
            <w:webHidden/>
          </w:rPr>
          <w:fldChar w:fldCharType="begin"/>
        </w:r>
        <w:r w:rsidR="000A262D">
          <w:rPr>
            <w:webHidden/>
          </w:rPr>
          <w:instrText xml:space="preserve"> PAGEREF _Toc51864405 \h </w:instrText>
        </w:r>
        <w:r w:rsidR="000A262D">
          <w:rPr>
            <w:webHidden/>
          </w:rPr>
        </w:r>
        <w:r w:rsidR="000A262D">
          <w:rPr>
            <w:webHidden/>
          </w:rPr>
          <w:fldChar w:fldCharType="separate"/>
        </w:r>
        <w:r>
          <w:rPr>
            <w:webHidden/>
          </w:rPr>
          <w:t>79</w:t>
        </w:r>
        <w:r w:rsidR="000A262D">
          <w:rPr>
            <w:webHidden/>
          </w:rPr>
          <w:fldChar w:fldCharType="end"/>
        </w:r>
      </w:hyperlink>
    </w:p>
    <w:p w14:paraId="3B4FBCF7" w14:textId="54321A6A" w:rsidR="000A262D" w:rsidRDefault="004C08FF" w:rsidP="000A262D">
      <w:pPr>
        <w:pStyle w:val="TOC2"/>
        <w:keepNext/>
        <w:keepLines/>
        <w:rPr>
          <w:rFonts w:asciiTheme="minorHAnsi" w:eastAsiaTheme="minorEastAsia" w:hAnsiTheme="minorHAnsi" w:cstheme="minorBidi"/>
          <w:spacing w:val="0"/>
          <w:sz w:val="22"/>
          <w:szCs w:val="22"/>
        </w:rPr>
      </w:pPr>
      <w:hyperlink w:anchor="_Toc51864406" w:history="1">
        <w:r w:rsidR="000A262D" w:rsidRPr="00781035">
          <w:rPr>
            <w:rStyle w:val="Hyperlink"/>
          </w:rPr>
          <w:t>Compliance priorities</w:t>
        </w:r>
        <w:r w:rsidR="000A262D">
          <w:rPr>
            <w:webHidden/>
          </w:rPr>
          <w:tab/>
        </w:r>
        <w:r w:rsidR="000A262D">
          <w:rPr>
            <w:webHidden/>
          </w:rPr>
          <w:fldChar w:fldCharType="begin"/>
        </w:r>
        <w:r w:rsidR="000A262D">
          <w:rPr>
            <w:webHidden/>
          </w:rPr>
          <w:instrText xml:space="preserve"> PAGEREF _Toc51864406 \h </w:instrText>
        </w:r>
        <w:r w:rsidR="000A262D">
          <w:rPr>
            <w:webHidden/>
          </w:rPr>
        </w:r>
        <w:r w:rsidR="000A262D">
          <w:rPr>
            <w:webHidden/>
          </w:rPr>
          <w:fldChar w:fldCharType="separate"/>
        </w:r>
        <w:r>
          <w:rPr>
            <w:webHidden/>
          </w:rPr>
          <w:t>79</w:t>
        </w:r>
        <w:r w:rsidR="000A262D">
          <w:rPr>
            <w:webHidden/>
          </w:rPr>
          <w:fldChar w:fldCharType="end"/>
        </w:r>
      </w:hyperlink>
    </w:p>
    <w:p w14:paraId="7D111F3A" w14:textId="603BA928" w:rsidR="000A262D" w:rsidRDefault="004C08FF" w:rsidP="000A262D">
      <w:pPr>
        <w:pStyle w:val="TOC2"/>
        <w:keepNext/>
        <w:keepLines/>
        <w:rPr>
          <w:rFonts w:asciiTheme="minorHAnsi" w:eastAsiaTheme="minorEastAsia" w:hAnsiTheme="minorHAnsi" w:cstheme="minorBidi"/>
          <w:spacing w:val="0"/>
          <w:sz w:val="22"/>
          <w:szCs w:val="22"/>
        </w:rPr>
      </w:pPr>
      <w:hyperlink w:anchor="_Toc51864407" w:history="1">
        <w:r w:rsidR="000A262D" w:rsidRPr="00781035">
          <w:rPr>
            <w:rStyle w:val="Hyperlink"/>
          </w:rPr>
          <w:t>Recent developments</w:t>
        </w:r>
        <w:r w:rsidR="000A262D">
          <w:rPr>
            <w:webHidden/>
          </w:rPr>
          <w:tab/>
        </w:r>
        <w:r w:rsidR="000A262D">
          <w:rPr>
            <w:webHidden/>
          </w:rPr>
          <w:fldChar w:fldCharType="begin"/>
        </w:r>
        <w:r w:rsidR="000A262D">
          <w:rPr>
            <w:webHidden/>
          </w:rPr>
          <w:instrText xml:space="preserve"> PAGEREF _Toc51864407 \h </w:instrText>
        </w:r>
        <w:r w:rsidR="000A262D">
          <w:rPr>
            <w:webHidden/>
          </w:rPr>
        </w:r>
        <w:r w:rsidR="000A262D">
          <w:rPr>
            <w:webHidden/>
          </w:rPr>
          <w:fldChar w:fldCharType="separate"/>
        </w:r>
        <w:r>
          <w:rPr>
            <w:webHidden/>
          </w:rPr>
          <w:t>79</w:t>
        </w:r>
        <w:r w:rsidR="000A262D">
          <w:rPr>
            <w:webHidden/>
          </w:rPr>
          <w:fldChar w:fldCharType="end"/>
        </w:r>
      </w:hyperlink>
    </w:p>
    <w:p w14:paraId="14E7E990" w14:textId="73CC7B5F" w:rsidR="000A262D" w:rsidRDefault="004C08FF" w:rsidP="000A262D">
      <w:pPr>
        <w:pStyle w:val="TOC3"/>
        <w:keepNext/>
        <w:keepLines/>
        <w:rPr>
          <w:rFonts w:asciiTheme="minorHAnsi" w:eastAsiaTheme="minorEastAsia" w:hAnsiTheme="minorHAnsi" w:cstheme="minorBidi"/>
        </w:rPr>
      </w:pPr>
      <w:hyperlink w:anchor="_Toc51864408" w:history="1">
        <w:r w:rsidR="000A262D" w:rsidRPr="00781035">
          <w:rPr>
            <w:rStyle w:val="Hyperlink"/>
          </w:rPr>
          <w:t>Audit of small cell base stations</w:t>
        </w:r>
        <w:r w:rsidR="000A262D">
          <w:rPr>
            <w:webHidden/>
          </w:rPr>
          <w:tab/>
        </w:r>
        <w:r w:rsidR="000A262D">
          <w:rPr>
            <w:webHidden/>
          </w:rPr>
          <w:fldChar w:fldCharType="begin"/>
        </w:r>
        <w:r w:rsidR="000A262D">
          <w:rPr>
            <w:webHidden/>
          </w:rPr>
          <w:instrText xml:space="preserve"> PAGEREF _Toc51864408 \h </w:instrText>
        </w:r>
        <w:r w:rsidR="000A262D">
          <w:rPr>
            <w:webHidden/>
          </w:rPr>
        </w:r>
        <w:r w:rsidR="000A262D">
          <w:rPr>
            <w:webHidden/>
          </w:rPr>
          <w:fldChar w:fldCharType="separate"/>
        </w:r>
        <w:r>
          <w:rPr>
            <w:webHidden/>
          </w:rPr>
          <w:t>79</w:t>
        </w:r>
        <w:r w:rsidR="000A262D">
          <w:rPr>
            <w:webHidden/>
          </w:rPr>
          <w:fldChar w:fldCharType="end"/>
        </w:r>
      </w:hyperlink>
    </w:p>
    <w:p w14:paraId="1FF7E599" w14:textId="7C422ACA" w:rsidR="000A262D" w:rsidRDefault="004C08FF" w:rsidP="000A262D">
      <w:pPr>
        <w:pStyle w:val="TOC3"/>
        <w:keepNext/>
        <w:keepLines/>
        <w:rPr>
          <w:rFonts w:asciiTheme="minorHAnsi" w:eastAsiaTheme="minorEastAsia" w:hAnsiTheme="minorHAnsi" w:cstheme="minorBidi"/>
        </w:rPr>
      </w:pPr>
      <w:hyperlink w:anchor="_Toc51864409" w:history="1">
        <w:r w:rsidR="000A262D" w:rsidRPr="00781035">
          <w:rPr>
            <w:rStyle w:val="Hyperlink"/>
          </w:rPr>
          <w:t>Licensing integrity</w:t>
        </w:r>
        <w:r w:rsidR="000A262D">
          <w:rPr>
            <w:webHidden/>
          </w:rPr>
          <w:tab/>
        </w:r>
        <w:r w:rsidR="000A262D">
          <w:rPr>
            <w:webHidden/>
          </w:rPr>
          <w:fldChar w:fldCharType="begin"/>
        </w:r>
        <w:r w:rsidR="000A262D">
          <w:rPr>
            <w:webHidden/>
          </w:rPr>
          <w:instrText xml:space="preserve"> PAGEREF _Toc51864409 \h </w:instrText>
        </w:r>
        <w:r w:rsidR="000A262D">
          <w:rPr>
            <w:webHidden/>
          </w:rPr>
        </w:r>
        <w:r w:rsidR="000A262D">
          <w:rPr>
            <w:webHidden/>
          </w:rPr>
          <w:fldChar w:fldCharType="separate"/>
        </w:r>
        <w:r>
          <w:rPr>
            <w:webHidden/>
          </w:rPr>
          <w:t>79</w:t>
        </w:r>
        <w:r w:rsidR="000A262D">
          <w:rPr>
            <w:webHidden/>
          </w:rPr>
          <w:fldChar w:fldCharType="end"/>
        </w:r>
      </w:hyperlink>
    </w:p>
    <w:p w14:paraId="042FDF79" w14:textId="5BD9EC5B" w:rsidR="000A262D" w:rsidRDefault="004C08FF" w:rsidP="000A262D">
      <w:pPr>
        <w:pStyle w:val="TOC3"/>
        <w:keepNext/>
        <w:keepLines/>
        <w:rPr>
          <w:rFonts w:asciiTheme="minorHAnsi" w:eastAsiaTheme="minorEastAsia" w:hAnsiTheme="minorHAnsi" w:cstheme="minorBidi"/>
        </w:rPr>
      </w:pPr>
      <w:hyperlink w:anchor="_Toc51864410" w:history="1">
        <w:r w:rsidR="000A262D" w:rsidRPr="00781035">
          <w:rPr>
            <w:rStyle w:val="Hyperlink"/>
          </w:rPr>
          <w:t>Solar inverter suppliers</w:t>
        </w:r>
        <w:r w:rsidR="000A262D">
          <w:rPr>
            <w:webHidden/>
          </w:rPr>
          <w:tab/>
        </w:r>
        <w:r w:rsidR="000A262D">
          <w:rPr>
            <w:webHidden/>
          </w:rPr>
          <w:fldChar w:fldCharType="begin"/>
        </w:r>
        <w:r w:rsidR="000A262D">
          <w:rPr>
            <w:webHidden/>
          </w:rPr>
          <w:instrText xml:space="preserve"> PAGEREF _Toc51864410 \h </w:instrText>
        </w:r>
        <w:r w:rsidR="000A262D">
          <w:rPr>
            <w:webHidden/>
          </w:rPr>
        </w:r>
        <w:r w:rsidR="000A262D">
          <w:rPr>
            <w:webHidden/>
          </w:rPr>
          <w:fldChar w:fldCharType="separate"/>
        </w:r>
        <w:r>
          <w:rPr>
            <w:webHidden/>
          </w:rPr>
          <w:t>80</w:t>
        </w:r>
        <w:r w:rsidR="000A262D">
          <w:rPr>
            <w:webHidden/>
          </w:rPr>
          <w:fldChar w:fldCharType="end"/>
        </w:r>
      </w:hyperlink>
    </w:p>
    <w:p w14:paraId="3B9CE3F9" w14:textId="5D2C3AA6" w:rsidR="000A262D" w:rsidRDefault="004C08FF" w:rsidP="000A262D">
      <w:pPr>
        <w:pStyle w:val="TOC2"/>
        <w:keepNext/>
        <w:keepLines/>
        <w:rPr>
          <w:rFonts w:asciiTheme="minorHAnsi" w:eastAsiaTheme="minorEastAsia" w:hAnsiTheme="minorHAnsi" w:cstheme="minorBidi"/>
          <w:spacing w:val="0"/>
          <w:sz w:val="22"/>
          <w:szCs w:val="22"/>
        </w:rPr>
      </w:pPr>
      <w:hyperlink w:anchor="_Toc51864411" w:history="1">
        <w:r w:rsidR="000A262D" w:rsidRPr="00781035">
          <w:rPr>
            <w:rStyle w:val="Hyperlink"/>
          </w:rPr>
          <w:t>Activities planned for 2020–21</w:t>
        </w:r>
        <w:r w:rsidR="000A262D">
          <w:rPr>
            <w:webHidden/>
          </w:rPr>
          <w:tab/>
        </w:r>
        <w:r w:rsidR="000A262D">
          <w:rPr>
            <w:webHidden/>
          </w:rPr>
          <w:fldChar w:fldCharType="begin"/>
        </w:r>
        <w:r w:rsidR="000A262D">
          <w:rPr>
            <w:webHidden/>
          </w:rPr>
          <w:instrText xml:space="preserve"> PAGEREF _Toc51864411 \h </w:instrText>
        </w:r>
        <w:r w:rsidR="000A262D">
          <w:rPr>
            <w:webHidden/>
          </w:rPr>
        </w:r>
        <w:r w:rsidR="000A262D">
          <w:rPr>
            <w:webHidden/>
          </w:rPr>
          <w:fldChar w:fldCharType="separate"/>
        </w:r>
        <w:r>
          <w:rPr>
            <w:webHidden/>
          </w:rPr>
          <w:t>80</w:t>
        </w:r>
        <w:r w:rsidR="000A262D">
          <w:rPr>
            <w:webHidden/>
          </w:rPr>
          <w:fldChar w:fldCharType="end"/>
        </w:r>
      </w:hyperlink>
    </w:p>
    <w:p w14:paraId="0CE29815" w14:textId="36D073B6" w:rsidR="000A262D" w:rsidRDefault="004C08FF" w:rsidP="000A262D">
      <w:pPr>
        <w:pStyle w:val="TOC3"/>
        <w:keepNext/>
        <w:keepLines/>
        <w:rPr>
          <w:rFonts w:asciiTheme="minorHAnsi" w:eastAsiaTheme="minorEastAsia" w:hAnsiTheme="minorHAnsi" w:cstheme="minorBidi"/>
        </w:rPr>
      </w:pPr>
      <w:hyperlink w:anchor="_Toc51864412" w:history="1">
        <w:r w:rsidR="000A262D" w:rsidRPr="00781035">
          <w:rPr>
            <w:rStyle w:val="Hyperlink"/>
          </w:rPr>
          <w:t>5G EME compliance</w:t>
        </w:r>
        <w:r w:rsidR="000A262D">
          <w:rPr>
            <w:webHidden/>
          </w:rPr>
          <w:tab/>
        </w:r>
        <w:r w:rsidR="000A262D">
          <w:rPr>
            <w:webHidden/>
          </w:rPr>
          <w:fldChar w:fldCharType="begin"/>
        </w:r>
        <w:r w:rsidR="000A262D">
          <w:rPr>
            <w:webHidden/>
          </w:rPr>
          <w:instrText xml:space="preserve"> PAGEREF _Toc51864412 \h </w:instrText>
        </w:r>
        <w:r w:rsidR="000A262D">
          <w:rPr>
            <w:webHidden/>
          </w:rPr>
        </w:r>
        <w:r w:rsidR="000A262D">
          <w:rPr>
            <w:webHidden/>
          </w:rPr>
          <w:fldChar w:fldCharType="separate"/>
        </w:r>
        <w:r>
          <w:rPr>
            <w:webHidden/>
          </w:rPr>
          <w:t>80</w:t>
        </w:r>
        <w:r w:rsidR="000A262D">
          <w:rPr>
            <w:webHidden/>
          </w:rPr>
          <w:fldChar w:fldCharType="end"/>
        </w:r>
      </w:hyperlink>
    </w:p>
    <w:p w14:paraId="6BF12230" w14:textId="72F15F28" w:rsidR="000A262D" w:rsidRDefault="004C08FF" w:rsidP="000A262D">
      <w:pPr>
        <w:pStyle w:val="TOC3"/>
        <w:keepNext/>
        <w:keepLines/>
        <w:rPr>
          <w:rFonts w:asciiTheme="minorHAnsi" w:eastAsiaTheme="minorEastAsia" w:hAnsiTheme="minorHAnsi" w:cstheme="minorBidi"/>
        </w:rPr>
      </w:pPr>
      <w:hyperlink w:anchor="_Toc51864413" w:history="1">
        <w:r w:rsidR="000A262D" w:rsidRPr="00781035">
          <w:rPr>
            <w:rStyle w:val="Hyperlink"/>
          </w:rPr>
          <w:t>Interference</w:t>
        </w:r>
        <w:r w:rsidR="000A262D">
          <w:rPr>
            <w:webHidden/>
          </w:rPr>
          <w:tab/>
        </w:r>
        <w:r w:rsidR="000A262D">
          <w:rPr>
            <w:webHidden/>
          </w:rPr>
          <w:fldChar w:fldCharType="begin"/>
        </w:r>
        <w:r w:rsidR="000A262D">
          <w:rPr>
            <w:webHidden/>
          </w:rPr>
          <w:instrText xml:space="preserve"> PAGEREF _Toc51864413 \h </w:instrText>
        </w:r>
        <w:r w:rsidR="000A262D">
          <w:rPr>
            <w:webHidden/>
          </w:rPr>
        </w:r>
        <w:r w:rsidR="000A262D">
          <w:rPr>
            <w:webHidden/>
          </w:rPr>
          <w:fldChar w:fldCharType="separate"/>
        </w:r>
        <w:r>
          <w:rPr>
            <w:webHidden/>
          </w:rPr>
          <w:t>80</w:t>
        </w:r>
        <w:r w:rsidR="000A262D">
          <w:rPr>
            <w:webHidden/>
          </w:rPr>
          <w:fldChar w:fldCharType="end"/>
        </w:r>
      </w:hyperlink>
    </w:p>
    <w:p w14:paraId="1CB96CFF" w14:textId="11F8EE8E" w:rsidR="000A262D" w:rsidRDefault="004C08FF" w:rsidP="000A262D">
      <w:pPr>
        <w:pStyle w:val="TOC1"/>
        <w:keepNext/>
        <w:keepLines/>
        <w:rPr>
          <w:rFonts w:asciiTheme="minorHAnsi" w:eastAsiaTheme="minorEastAsia" w:hAnsiTheme="minorHAnsi" w:cstheme="minorBidi"/>
          <w:b w:val="0"/>
          <w:spacing w:val="0"/>
          <w:sz w:val="22"/>
          <w:szCs w:val="22"/>
        </w:rPr>
      </w:pPr>
      <w:hyperlink w:anchor="_Toc51864414" w:history="1">
        <w:r w:rsidR="000A262D" w:rsidRPr="00781035">
          <w:rPr>
            <w:rStyle w:val="Hyperlink"/>
          </w:rPr>
          <w:t>International engagement</w:t>
        </w:r>
        <w:r w:rsidR="000A262D">
          <w:rPr>
            <w:webHidden/>
          </w:rPr>
          <w:tab/>
        </w:r>
        <w:r w:rsidR="000A262D">
          <w:rPr>
            <w:webHidden/>
          </w:rPr>
          <w:fldChar w:fldCharType="begin"/>
        </w:r>
        <w:r w:rsidR="000A262D">
          <w:rPr>
            <w:webHidden/>
          </w:rPr>
          <w:instrText xml:space="preserve"> PAGEREF _Toc51864414 \h </w:instrText>
        </w:r>
        <w:r w:rsidR="000A262D">
          <w:rPr>
            <w:webHidden/>
          </w:rPr>
        </w:r>
        <w:r w:rsidR="000A262D">
          <w:rPr>
            <w:webHidden/>
          </w:rPr>
          <w:fldChar w:fldCharType="separate"/>
        </w:r>
        <w:r>
          <w:rPr>
            <w:webHidden/>
          </w:rPr>
          <w:t>81</w:t>
        </w:r>
        <w:r w:rsidR="000A262D">
          <w:rPr>
            <w:webHidden/>
          </w:rPr>
          <w:fldChar w:fldCharType="end"/>
        </w:r>
      </w:hyperlink>
    </w:p>
    <w:p w14:paraId="1097394C" w14:textId="4644FACB" w:rsidR="000A262D" w:rsidRDefault="004C08FF" w:rsidP="000A262D">
      <w:pPr>
        <w:pStyle w:val="TOC2"/>
        <w:keepNext/>
        <w:keepLines/>
        <w:rPr>
          <w:rFonts w:asciiTheme="minorHAnsi" w:eastAsiaTheme="minorEastAsia" w:hAnsiTheme="minorHAnsi" w:cstheme="minorBidi"/>
          <w:spacing w:val="0"/>
          <w:sz w:val="22"/>
          <w:szCs w:val="22"/>
        </w:rPr>
      </w:pPr>
      <w:hyperlink w:anchor="_Toc51864415" w:history="1">
        <w:r w:rsidR="000A262D" w:rsidRPr="00781035">
          <w:rPr>
            <w:rStyle w:val="Hyperlink"/>
          </w:rPr>
          <w:t>International meetings 2019–20</w:t>
        </w:r>
        <w:r w:rsidR="000A262D">
          <w:rPr>
            <w:webHidden/>
          </w:rPr>
          <w:tab/>
        </w:r>
        <w:r w:rsidR="000A262D">
          <w:rPr>
            <w:webHidden/>
          </w:rPr>
          <w:fldChar w:fldCharType="begin"/>
        </w:r>
        <w:r w:rsidR="000A262D">
          <w:rPr>
            <w:webHidden/>
          </w:rPr>
          <w:instrText xml:space="preserve"> PAGEREF _Toc51864415 \h </w:instrText>
        </w:r>
        <w:r w:rsidR="000A262D">
          <w:rPr>
            <w:webHidden/>
          </w:rPr>
        </w:r>
        <w:r w:rsidR="000A262D">
          <w:rPr>
            <w:webHidden/>
          </w:rPr>
          <w:fldChar w:fldCharType="separate"/>
        </w:r>
        <w:r>
          <w:rPr>
            <w:webHidden/>
          </w:rPr>
          <w:t>81</w:t>
        </w:r>
        <w:r w:rsidR="000A262D">
          <w:rPr>
            <w:webHidden/>
          </w:rPr>
          <w:fldChar w:fldCharType="end"/>
        </w:r>
      </w:hyperlink>
    </w:p>
    <w:p w14:paraId="147DD71A" w14:textId="6E3FFE34" w:rsidR="000A262D" w:rsidRDefault="004C08FF" w:rsidP="000A262D">
      <w:pPr>
        <w:pStyle w:val="TOC2"/>
        <w:keepNext/>
        <w:keepLines/>
        <w:rPr>
          <w:rFonts w:asciiTheme="minorHAnsi" w:eastAsiaTheme="minorEastAsia" w:hAnsiTheme="minorHAnsi" w:cstheme="minorBidi"/>
          <w:spacing w:val="0"/>
          <w:sz w:val="22"/>
          <w:szCs w:val="22"/>
        </w:rPr>
      </w:pPr>
      <w:hyperlink w:anchor="_Toc51864416" w:history="1">
        <w:r w:rsidR="000A262D" w:rsidRPr="00781035">
          <w:rPr>
            <w:rStyle w:val="Hyperlink"/>
          </w:rPr>
          <w:t>New and ongoing activities planned for 2020–21</w:t>
        </w:r>
        <w:r w:rsidR="000A262D">
          <w:rPr>
            <w:webHidden/>
          </w:rPr>
          <w:tab/>
        </w:r>
        <w:r w:rsidR="000A262D">
          <w:rPr>
            <w:webHidden/>
          </w:rPr>
          <w:fldChar w:fldCharType="begin"/>
        </w:r>
        <w:r w:rsidR="000A262D">
          <w:rPr>
            <w:webHidden/>
          </w:rPr>
          <w:instrText xml:space="preserve"> PAGEREF _Toc51864416 \h </w:instrText>
        </w:r>
        <w:r w:rsidR="000A262D">
          <w:rPr>
            <w:webHidden/>
          </w:rPr>
        </w:r>
        <w:r w:rsidR="000A262D">
          <w:rPr>
            <w:webHidden/>
          </w:rPr>
          <w:fldChar w:fldCharType="separate"/>
        </w:r>
        <w:r>
          <w:rPr>
            <w:webHidden/>
          </w:rPr>
          <w:t>81</w:t>
        </w:r>
        <w:r w:rsidR="000A262D">
          <w:rPr>
            <w:webHidden/>
          </w:rPr>
          <w:fldChar w:fldCharType="end"/>
        </w:r>
      </w:hyperlink>
    </w:p>
    <w:p w14:paraId="3AB1C6A7" w14:textId="7F5E447B" w:rsidR="000A262D" w:rsidRDefault="004C08FF" w:rsidP="000A262D">
      <w:pPr>
        <w:pStyle w:val="TOC1"/>
        <w:keepNext/>
        <w:keepLines/>
        <w:rPr>
          <w:rFonts w:asciiTheme="minorHAnsi" w:eastAsiaTheme="minorEastAsia" w:hAnsiTheme="minorHAnsi" w:cstheme="minorBidi"/>
          <w:b w:val="0"/>
          <w:spacing w:val="0"/>
          <w:sz w:val="22"/>
          <w:szCs w:val="22"/>
        </w:rPr>
      </w:pPr>
      <w:hyperlink w:anchor="_Toc51864417" w:history="1">
        <w:r w:rsidR="000A262D" w:rsidRPr="00781035">
          <w:rPr>
            <w:rStyle w:val="Hyperlink"/>
          </w:rPr>
          <w:t>Appendix A—Sunsetting instruments</w:t>
        </w:r>
        <w:r w:rsidR="000A262D">
          <w:rPr>
            <w:webHidden/>
          </w:rPr>
          <w:tab/>
        </w:r>
        <w:r w:rsidR="000A262D">
          <w:rPr>
            <w:webHidden/>
          </w:rPr>
          <w:fldChar w:fldCharType="begin"/>
        </w:r>
        <w:r w:rsidR="000A262D">
          <w:rPr>
            <w:webHidden/>
          </w:rPr>
          <w:instrText xml:space="preserve"> PAGEREF _Toc51864417 \h </w:instrText>
        </w:r>
        <w:r w:rsidR="000A262D">
          <w:rPr>
            <w:webHidden/>
          </w:rPr>
        </w:r>
        <w:r w:rsidR="000A262D">
          <w:rPr>
            <w:webHidden/>
          </w:rPr>
          <w:fldChar w:fldCharType="separate"/>
        </w:r>
        <w:r>
          <w:rPr>
            <w:webHidden/>
          </w:rPr>
          <w:t>82</w:t>
        </w:r>
        <w:r w:rsidR="000A262D">
          <w:rPr>
            <w:webHidden/>
          </w:rPr>
          <w:fldChar w:fldCharType="end"/>
        </w:r>
      </w:hyperlink>
    </w:p>
    <w:p w14:paraId="41EC3D49" w14:textId="511ED613" w:rsidR="005A6EAB" w:rsidRPr="006A2F04" w:rsidRDefault="000A262D">
      <w:pPr>
        <w:rPr>
          <w:rFonts w:cs="Arial"/>
          <w:spacing w:val="-14"/>
          <w:sz w:val="28"/>
          <w:szCs w:val="26"/>
        </w:rPr>
        <w:sectPr w:rsidR="005A6EAB" w:rsidRPr="006A2F04" w:rsidSect="00E978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6"/>
          <w:szCs w:val="26"/>
        </w:rPr>
        <w:fldChar w:fldCharType="end"/>
      </w:r>
    </w:p>
    <w:p w14:paraId="1EF7E32D" w14:textId="618066AD" w:rsidR="009D6C71" w:rsidRPr="00B53F89" w:rsidRDefault="00835321" w:rsidP="00573D6D">
      <w:pPr>
        <w:pStyle w:val="ACMAExecSummaryHeading"/>
      </w:pPr>
      <w:bookmarkStart w:id="0" w:name="_Toc509581790"/>
      <w:bookmarkStart w:id="1" w:name="_Toc509585106"/>
      <w:bookmarkStart w:id="2" w:name="_Toc509585642"/>
      <w:bookmarkStart w:id="3" w:name="_Toc510104922"/>
      <w:bookmarkStart w:id="4" w:name="_Toc510105719"/>
      <w:bookmarkStart w:id="5" w:name="_Toc510795062"/>
      <w:bookmarkStart w:id="6" w:name="_Toc511716263"/>
      <w:bookmarkStart w:id="7" w:name="_Toc511719074"/>
      <w:bookmarkStart w:id="8" w:name="_Toc522794069"/>
      <w:bookmarkStart w:id="9" w:name="_Toc36207387"/>
      <w:bookmarkStart w:id="10" w:name="_Toc51846252"/>
      <w:bookmarkStart w:id="11" w:name="_Toc51864283"/>
      <w:bookmarkStart w:id="12" w:name="_Toc31892767"/>
      <w:r w:rsidRPr="00E87379">
        <w:lastRenderedPageBreak/>
        <w:t>Foreword</w:t>
      </w:r>
      <w:bookmarkEnd w:id="0"/>
      <w:bookmarkEnd w:id="1"/>
      <w:bookmarkEnd w:id="2"/>
      <w:bookmarkEnd w:id="3"/>
      <w:bookmarkEnd w:id="4"/>
      <w:bookmarkEnd w:id="5"/>
      <w:bookmarkEnd w:id="6"/>
      <w:bookmarkEnd w:id="7"/>
      <w:bookmarkEnd w:id="8"/>
      <w:bookmarkEnd w:id="9"/>
      <w:bookmarkEnd w:id="10"/>
      <w:bookmarkEnd w:id="11"/>
      <w:r w:rsidR="009D6C71" w:rsidRPr="00B53F89">
        <w:t xml:space="preserve"> </w:t>
      </w:r>
      <w:bookmarkEnd w:id="12"/>
    </w:p>
    <w:p w14:paraId="2C5C5199" w14:textId="5C8B51AD" w:rsidR="00E02187" w:rsidRPr="00B53F89" w:rsidRDefault="00F07402" w:rsidP="00BD5B28">
      <w:r w:rsidRPr="00B53F89">
        <w:t>Spectrum use</w:t>
      </w:r>
      <w:r w:rsidR="00BC79B9" w:rsidRPr="00B53F89">
        <w:t xml:space="preserve"> </w:t>
      </w:r>
      <w:r w:rsidRPr="00B53F89">
        <w:t>continue</w:t>
      </w:r>
      <w:r w:rsidR="00BC79B9" w:rsidRPr="00B53F89">
        <w:t>s</w:t>
      </w:r>
      <w:r w:rsidRPr="00B53F89">
        <w:t xml:space="preserve"> to evolve rapidly in Australia. The </w:t>
      </w:r>
      <w:r w:rsidR="00DE2074" w:rsidRPr="00B53F89">
        <w:t>Australian Communications and Media Authority (</w:t>
      </w:r>
      <w:r w:rsidRPr="00B53F89">
        <w:t>ACMA</w:t>
      </w:r>
      <w:r w:rsidR="00DE2074" w:rsidRPr="00B53F89">
        <w:t>)</w:t>
      </w:r>
      <w:r w:rsidRPr="00B53F89">
        <w:t xml:space="preserve"> is Australia’s spectrum manager and is responsible for ensuring radiofrequency spectrum is managed in a way that maximises the</w:t>
      </w:r>
      <w:r w:rsidR="00FE15F4" w:rsidRPr="00B53F89">
        <w:t xml:space="preserve"> </w:t>
      </w:r>
      <w:r w:rsidRPr="00B53F89">
        <w:t>overall public benefit</w:t>
      </w:r>
      <w:r w:rsidR="00A323F5" w:rsidRPr="00B53F89">
        <w:t xml:space="preserve"> </w:t>
      </w:r>
      <w:r w:rsidRPr="00B53F89">
        <w:t>derived</w:t>
      </w:r>
      <w:r w:rsidR="00003CFD" w:rsidRPr="00B53F89">
        <w:t xml:space="preserve"> from </w:t>
      </w:r>
      <w:r w:rsidR="00FF308E" w:rsidRPr="00B53F89">
        <w:t xml:space="preserve">its </w:t>
      </w:r>
      <w:r w:rsidR="00003CFD" w:rsidRPr="00B53F89">
        <w:t>us</w:t>
      </w:r>
      <w:r w:rsidR="00FF308E" w:rsidRPr="00B53F89">
        <w:t>e</w:t>
      </w:r>
      <w:r w:rsidRPr="00B53F89">
        <w:t>.</w:t>
      </w:r>
      <w:r w:rsidR="00EA7FD9" w:rsidRPr="00B53F89">
        <w:t xml:space="preserve"> </w:t>
      </w:r>
    </w:p>
    <w:p w14:paraId="53F0B42E" w14:textId="0F5D7C39" w:rsidR="005D37A7" w:rsidRDefault="005D37A7" w:rsidP="005D37A7">
      <w:r w:rsidRPr="00B53F89">
        <w:t xml:space="preserve">We are continually monitoring the environment to identify opportunities for improvements in spectrum management arrangements and </w:t>
      </w:r>
      <w:r w:rsidR="00F927E8" w:rsidRPr="00B53F89">
        <w:t>accommodat</w:t>
      </w:r>
      <w:r w:rsidR="00F927E8">
        <w:t>e</w:t>
      </w:r>
      <w:r w:rsidR="00F927E8" w:rsidRPr="00B53F89">
        <w:t xml:space="preserve"> </w:t>
      </w:r>
      <w:r w:rsidRPr="00B53F89">
        <w:t>new and changed uses of spectrum</w:t>
      </w:r>
      <w:r w:rsidR="0080282C">
        <w:t>,</w:t>
      </w:r>
      <w:r w:rsidRPr="00B53F89">
        <w:t xml:space="preserve"> while ensuring the continuation of existing uses that are of value to the community.</w:t>
      </w:r>
    </w:p>
    <w:p w14:paraId="7DBEA896" w14:textId="406EC1F4" w:rsidR="00F5589A" w:rsidRPr="00B53F89" w:rsidRDefault="005F51CD" w:rsidP="00F5589A">
      <w:r>
        <w:t>M</w:t>
      </w:r>
      <w:r w:rsidR="00F5589A" w:rsidRPr="00B53F89">
        <w:t>anaging spectrum efficiently and effectively for the benefit of all Australians is</w:t>
      </w:r>
      <w:r w:rsidR="00F5589A">
        <w:t xml:space="preserve"> </w:t>
      </w:r>
      <w:r w:rsidR="00F5589A" w:rsidRPr="00B53F89">
        <w:t xml:space="preserve">a key priority for the </w:t>
      </w:r>
      <w:r w:rsidR="00F5589A" w:rsidRPr="003C0831">
        <w:t>ACMA.</w:t>
      </w:r>
      <w:r w:rsidR="003C0831">
        <w:rPr>
          <w:rStyle w:val="FootnoteReference"/>
        </w:rPr>
        <w:footnoteReference w:id="2"/>
      </w:r>
      <w:r w:rsidR="00F5589A" w:rsidRPr="00B53F89">
        <w:t xml:space="preserve"> </w:t>
      </w:r>
      <w:r w:rsidR="00827223">
        <w:t>Input from</w:t>
      </w:r>
      <w:r>
        <w:t xml:space="preserve"> spectrum users </w:t>
      </w:r>
      <w:r w:rsidR="00FD4D91">
        <w:t>influences</w:t>
      </w:r>
      <w:r w:rsidR="00827223">
        <w:t xml:space="preserve"> our understanding</w:t>
      </w:r>
      <w:r>
        <w:t xml:space="preserve"> of </w:t>
      </w:r>
      <w:r w:rsidR="00827223">
        <w:t>how</w:t>
      </w:r>
      <w:r>
        <w:t xml:space="preserve"> technology developments, international harmonisation efforts and market changes influence demand for new and existing uses of spectrum</w:t>
      </w:r>
      <w:r w:rsidR="00827223">
        <w:t>. This,</w:t>
      </w:r>
      <w:r w:rsidR="0080282C">
        <w:t xml:space="preserve"> </w:t>
      </w:r>
      <w:r>
        <w:t>in turn</w:t>
      </w:r>
      <w:r w:rsidR="0080282C">
        <w:t>,</w:t>
      </w:r>
      <w:r>
        <w:t xml:space="preserve"> </w:t>
      </w:r>
      <w:r w:rsidR="0080282C">
        <w:t>informs our</w:t>
      </w:r>
      <w:r>
        <w:t xml:space="preserve"> priorities for planning and making spectrum available.</w:t>
      </w:r>
    </w:p>
    <w:p w14:paraId="2209CB7A" w14:textId="3DCDDA87" w:rsidR="001B07AF" w:rsidRDefault="00B91E6C" w:rsidP="00B91E6C">
      <w:r w:rsidRPr="00B53F89">
        <w:t xml:space="preserve">2019 </w:t>
      </w:r>
      <w:r>
        <w:t>was</w:t>
      </w:r>
      <w:r w:rsidRPr="00B53F89">
        <w:t xml:space="preserve"> a World Radiocommunication Conference (WRC) year. WRCs are scheduled every three to four years </w:t>
      </w:r>
      <w:r w:rsidR="00CD1463">
        <w:t xml:space="preserve">to update the treaty-level Radio Regulations </w:t>
      </w:r>
      <w:r w:rsidRPr="00B53F89">
        <w:t xml:space="preserve">and are the most important </w:t>
      </w:r>
      <w:r w:rsidR="00CD1463">
        <w:t xml:space="preserve">international </w:t>
      </w:r>
      <w:r w:rsidRPr="00B53F89">
        <w:t xml:space="preserve">forum for </w:t>
      </w:r>
      <w:r w:rsidR="00CD1463">
        <w:t>cooperation on the</w:t>
      </w:r>
      <w:r w:rsidR="00CD1463" w:rsidRPr="00B53F89">
        <w:t xml:space="preserve"> </w:t>
      </w:r>
      <w:r w:rsidRPr="00B53F89">
        <w:t xml:space="preserve">harmonisation of spectrum use. </w:t>
      </w:r>
      <w:r w:rsidR="004A18F4">
        <w:t>We have</w:t>
      </w:r>
      <w:r w:rsidR="001E40DD">
        <w:t xml:space="preserve"> commenced</w:t>
      </w:r>
      <w:r w:rsidR="001E40DD" w:rsidRPr="00B53F89">
        <w:t xml:space="preserve"> work on the identification and implementation of relevant outcomes </w:t>
      </w:r>
      <w:r w:rsidR="00CD1463">
        <w:t xml:space="preserve">from the 2019 WRC (WRC-19) </w:t>
      </w:r>
      <w:r w:rsidR="001E40DD" w:rsidRPr="00B53F89">
        <w:t>in our domestic planning arrangements—</w:t>
      </w:r>
      <w:r w:rsidR="001E40DD">
        <w:t>these will remain</w:t>
      </w:r>
      <w:r w:rsidR="001E40DD" w:rsidRPr="00B53F89">
        <w:t xml:space="preserve"> key priorities in </w:t>
      </w:r>
      <w:r w:rsidR="001E40DD">
        <w:t>2020</w:t>
      </w:r>
      <w:r w:rsidR="004A18F4">
        <w:t>–</w:t>
      </w:r>
      <w:r w:rsidR="001E40DD">
        <w:t>21</w:t>
      </w:r>
      <w:r w:rsidR="001E40DD" w:rsidRPr="00B53F89">
        <w:t>.</w:t>
      </w:r>
      <w:r w:rsidR="001E40DD">
        <w:t xml:space="preserve"> </w:t>
      </w:r>
    </w:p>
    <w:p w14:paraId="73F5778F" w14:textId="3716C0A4" w:rsidR="00B11010" w:rsidRDefault="00072C28" w:rsidP="00072C28">
      <w:pPr>
        <w:spacing w:line="240" w:lineRule="auto"/>
        <w:rPr>
          <w:szCs w:val="20"/>
        </w:rPr>
      </w:pPr>
      <w:r>
        <w:rPr>
          <w:szCs w:val="20"/>
        </w:rPr>
        <w:t>We are</w:t>
      </w:r>
      <w:r w:rsidRPr="00072C28">
        <w:rPr>
          <w:szCs w:val="20"/>
        </w:rPr>
        <w:t xml:space="preserve"> focusing on delivering and implementing </w:t>
      </w:r>
      <w:r>
        <w:rPr>
          <w:szCs w:val="20"/>
        </w:rPr>
        <w:t>the</w:t>
      </w:r>
      <w:r w:rsidRPr="00072C28">
        <w:rPr>
          <w:szCs w:val="20"/>
        </w:rPr>
        <w:t xml:space="preserve"> existing extensive work program</w:t>
      </w:r>
      <w:r>
        <w:rPr>
          <w:szCs w:val="20"/>
        </w:rPr>
        <w:t>,</w:t>
      </w:r>
      <w:r w:rsidRPr="00072C28">
        <w:rPr>
          <w:szCs w:val="20"/>
        </w:rPr>
        <w:t xml:space="preserve"> including implementing decisions in the 26 and 28 GHz bands (</w:t>
      </w:r>
      <w:r w:rsidRPr="0042120B">
        <w:rPr>
          <w:szCs w:val="20"/>
        </w:rPr>
        <w:t>discussed below)</w:t>
      </w:r>
      <w:r w:rsidRPr="00072C28">
        <w:rPr>
          <w:szCs w:val="20"/>
        </w:rPr>
        <w:t>, concluding the planning phase of reviews of the 2 GHz and 3.7</w:t>
      </w:r>
      <w:r w:rsidR="00F927E8">
        <w:rPr>
          <w:szCs w:val="20"/>
        </w:rPr>
        <w:t>–</w:t>
      </w:r>
      <w:r w:rsidRPr="00072C28">
        <w:rPr>
          <w:szCs w:val="20"/>
        </w:rPr>
        <w:t>4.2 GHz bands leading to implementation, the defragmentation of the 3.4 G</w:t>
      </w:r>
      <w:r>
        <w:rPr>
          <w:szCs w:val="20"/>
        </w:rPr>
        <w:t>H</w:t>
      </w:r>
      <w:r w:rsidRPr="00072C28">
        <w:rPr>
          <w:szCs w:val="20"/>
        </w:rPr>
        <w:t xml:space="preserve">z band and the review of spectrum licence technical frameworks to ensure they are well suited for new technologies. </w:t>
      </w:r>
    </w:p>
    <w:p w14:paraId="4C5EDA07" w14:textId="781DB2AE" w:rsidR="00A04D97" w:rsidRDefault="00072C28" w:rsidP="00072C28">
      <w:pPr>
        <w:spacing w:line="240" w:lineRule="auto"/>
        <w:rPr>
          <w:szCs w:val="20"/>
        </w:rPr>
      </w:pPr>
      <w:r w:rsidRPr="00072C28">
        <w:rPr>
          <w:szCs w:val="20"/>
        </w:rPr>
        <w:t xml:space="preserve">Informed by feedback to the draft </w:t>
      </w:r>
      <w:r w:rsidR="00B11010">
        <w:rPr>
          <w:szCs w:val="20"/>
        </w:rPr>
        <w:t>five-year spectrum outlook (</w:t>
      </w:r>
      <w:r w:rsidRPr="00072C28">
        <w:rPr>
          <w:szCs w:val="20"/>
        </w:rPr>
        <w:t>FYSO</w:t>
      </w:r>
      <w:r w:rsidR="00B11010">
        <w:rPr>
          <w:szCs w:val="20"/>
        </w:rPr>
        <w:t>)</w:t>
      </w:r>
      <w:r>
        <w:rPr>
          <w:szCs w:val="20"/>
        </w:rPr>
        <w:t>,</w:t>
      </w:r>
      <w:r w:rsidRPr="00072C28">
        <w:rPr>
          <w:szCs w:val="20"/>
        </w:rPr>
        <w:t xml:space="preserve"> </w:t>
      </w:r>
      <w:r>
        <w:rPr>
          <w:szCs w:val="20"/>
        </w:rPr>
        <w:t>we have also</w:t>
      </w:r>
      <w:r w:rsidRPr="00072C28">
        <w:rPr>
          <w:szCs w:val="20"/>
        </w:rPr>
        <w:t xml:space="preserve"> identified a</w:t>
      </w:r>
      <w:r w:rsidR="00C168DE">
        <w:rPr>
          <w:szCs w:val="20"/>
        </w:rPr>
        <w:t xml:space="preserve"> </w:t>
      </w:r>
      <w:r w:rsidRPr="00072C28">
        <w:rPr>
          <w:szCs w:val="20"/>
        </w:rPr>
        <w:t>number of new projects for commencement during 2020</w:t>
      </w:r>
      <w:r w:rsidR="00D8263D" w:rsidRPr="00D8263D">
        <w:rPr>
          <w:szCs w:val="20"/>
        </w:rPr>
        <w:t>–</w:t>
      </w:r>
      <w:r w:rsidRPr="00072C28">
        <w:rPr>
          <w:szCs w:val="20"/>
        </w:rPr>
        <w:t>21</w:t>
      </w:r>
      <w:r>
        <w:rPr>
          <w:szCs w:val="20"/>
        </w:rPr>
        <w:t>—</w:t>
      </w:r>
      <w:r w:rsidRPr="00072C28">
        <w:rPr>
          <w:szCs w:val="20"/>
        </w:rPr>
        <w:t>including investigating ‘</w:t>
      </w:r>
      <w:r>
        <w:rPr>
          <w:szCs w:val="20"/>
        </w:rPr>
        <w:t>wi-fi</w:t>
      </w:r>
      <w:r w:rsidRPr="00072C28">
        <w:rPr>
          <w:szCs w:val="20"/>
        </w:rPr>
        <w:t>’ development (such as in the 6 GHz band</w:t>
      </w:r>
      <w:r w:rsidR="00F466FE" w:rsidRPr="00072C28">
        <w:rPr>
          <w:szCs w:val="20"/>
        </w:rPr>
        <w:t>)</w:t>
      </w:r>
      <w:r w:rsidR="00F466FE">
        <w:rPr>
          <w:szCs w:val="20"/>
        </w:rPr>
        <w:t xml:space="preserve"> and</w:t>
      </w:r>
      <w:r w:rsidR="00F466FE" w:rsidRPr="00072C28">
        <w:rPr>
          <w:szCs w:val="20"/>
        </w:rPr>
        <w:t xml:space="preserve"> </w:t>
      </w:r>
      <w:r w:rsidRPr="00072C28">
        <w:rPr>
          <w:szCs w:val="20"/>
        </w:rPr>
        <w:t>the 1880</w:t>
      </w:r>
      <w:r w:rsidR="00BB2245">
        <w:rPr>
          <w:szCs w:val="20"/>
        </w:rPr>
        <w:t>–</w:t>
      </w:r>
      <w:r w:rsidRPr="00072C28">
        <w:rPr>
          <w:szCs w:val="20"/>
        </w:rPr>
        <w:t xml:space="preserve">1920 MHz band which may be a candidate for changes to support new technologies </w:t>
      </w:r>
      <w:r w:rsidR="008B426F">
        <w:rPr>
          <w:szCs w:val="20"/>
        </w:rPr>
        <w:t xml:space="preserve">and </w:t>
      </w:r>
      <w:r w:rsidRPr="00072C28">
        <w:rPr>
          <w:szCs w:val="20"/>
        </w:rPr>
        <w:t>possibl</w:t>
      </w:r>
      <w:r>
        <w:rPr>
          <w:szCs w:val="20"/>
        </w:rPr>
        <w:t>y</w:t>
      </w:r>
      <w:r w:rsidRPr="00072C28">
        <w:rPr>
          <w:szCs w:val="20"/>
        </w:rPr>
        <w:t xml:space="preserve"> useful for local area wireless broadband applications s</w:t>
      </w:r>
      <w:r>
        <w:rPr>
          <w:szCs w:val="20"/>
        </w:rPr>
        <w:t>u</w:t>
      </w:r>
      <w:r w:rsidRPr="00072C28">
        <w:rPr>
          <w:szCs w:val="20"/>
        </w:rPr>
        <w:t xml:space="preserve">ch as private networks. </w:t>
      </w:r>
    </w:p>
    <w:p w14:paraId="0ECD730A" w14:textId="51D69B2C" w:rsidR="000636B3" w:rsidRDefault="00F659F8" w:rsidP="00072C28">
      <w:pPr>
        <w:spacing w:line="240" w:lineRule="auto"/>
        <w:rPr>
          <w:szCs w:val="20"/>
        </w:rPr>
      </w:pPr>
      <w:r>
        <w:rPr>
          <w:szCs w:val="20"/>
        </w:rPr>
        <w:t>T</w:t>
      </w:r>
      <w:r w:rsidR="00A04D97">
        <w:rPr>
          <w:szCs w:val="20"/>
        </w:rPr>
        <w:t>he ACMA has decided not to p</w:t>
      </w:r>
      <w:r w:rsidR="00A60407">
        <w:rPr>
          <w:szCs w:val="20"/>
        </w:rPr>
        <w:t>u</w:t>
      </w:r>
      <w:r w:rsidR="00A04D97">
        <w:rPr>
          <w:szCs w:val="20"/>
        </w:rPr>
        <w:t>r</w:t>
      </w:r>
      <w:r w:rsidR="00A60407">
        <w:rPr>
          <w:szCs w:val="20"/>
        </w:rPr>
        <w:t>s</w:t>
      </w:r>
      <w:r w:rsidR="00A04D97">
        <w:rPr>
          <w:szCs w:val="20"/>
        </w:rPr>
        <w:t>ue reviews of the bands around 1.5 GHz (‘extended L band mobile satellite service</w:t>
      </w:r>
      <w:r w:rsidR="006719D2">
        <w:rPr>
          <w:szCs w:val="20"/>
        </w:rPr>
        <w:t>’</w:t>
      </w:r>
      <w:r w:rsidR="00A04D97">
        <w:rPr>
          <w:szCs w:val="20"/>
        </w:rPr>
        <w:t xml:space="preserve"> and 1.5 GHz of interest to wireless broadband) and the </w:t>
      </w:r>
      <w:r w:rsidR="00A04D97" w:rsidRPr="002B2659">
        <w:t>40, 46 and 47 GHz bands</w:t>
      </w:r>
      <w:r w:rsidR="00A04D97">
        <w:t xml:space="preserve"> in th</w:t>
      </w:r>
      <w:r>
        <w:t>e current year</w:t>
      </w:r>
      <w:r w:rsidR="00A04D97">
        <w:t xml:space="preserve">. While acknowledging some interest in investigating these bands </w:t>
      </w:r>
      <w:r w:rsidR="006719D2">
        <w:t xml:space="preserve">during </w:t>
      </w:r>
      <w:r w:rsidR="00A04D97">
        <w:t xml:space="preserve">this </w:t>
      </w:r>
      <w:r w:rsidR="006719D2">
        <w:t xml:space="preserve">FYSO </w:t>
      </w:r>
      <w:r w:rsidR="00A04D97">
        <w:t>period, on balance</w:t>
      </w:r>
      <w:r w:rsidR="00B11010">
        <w:t>,</w:t>
      </w:r>
      <w:r w:rsidR="00A04D97">
        <w:t xml:space="preserve"> the ACMA considered it prudent t</w:t>
      </w:r>
      <w:r w:rsidR="00A60407">
        <w:t>o</w:t>
      </w:r>
      <w:r w:rsidR="00A04D97">
        <w:t xml:space="preserve"> </w:t>
      </w:r>
      <w:r w:rsidR="00B11010">
        <w:t xml:space="preserve">prioritise </w:t>
      </w:r>
      <w:r w:rsidR="00A04D97">
        <w:t xml:space="preserve">the current new </w:t>
      </w:r>
      <w:r w:rsidR="00A60407">
        <w:t xml:space="preserve">activities. The ACMA will </w:t>
      </w:r>
      <w:r w:rsidR="006719D2">
        <w:t>further consider timing of these bands for the next FYS</w:t>
      </w:r>
      <w:r w:rsidR="008E32DB">
        <w:t>O</w:t>
      </w:r>
      <w:r w:rsidR="006719D2">
        <w:t xml:space="preserve"> period.</w:t>
      </w:r>
      <w:r w:rsidR="00A04D97">
        <w:t xml:space="preserve">  </w:t>
      </w:r>
    </w:p>
    <w:p w14:paraId="48735B79" w14:textId="270DF33E" w:rsidR="00EE7718" w:rsidRDefault="001E40DD" w:rsidP="00BD5B28">
      <w:r>
        <w:t xml:space="preserve">We are progressing the allocation of the 26 GHz and 28 GHz millimetre wave bands, </w:t>
      </w:r>
      <w:r w:rsidR="00ED7ADE">
        <w:t>via spectrum and apparatus licensing</w:t>
      </w:r>
      <w:r w:rsidR="004A18F4">
        <w:t>. C</w:t>
      </w:r>
      <w:r w:rsidR="00ED7ADE">
        <w:t xml:space="preserve">lass licensing </w:t>
      </w:r>
      <w:r w:rsidR="008A6B8A">
        <w:t xml:space="preserve">for satellite services </w:t>
      </w:r>
      <w:r w:rsidR="004A18F4">
        <w:t xml:space="preserve">is </w:t>
      </w:r>
      <w:r w:rsidR="00ED7ADE">
        <w:t>already available in parts of the 28 GHz band</w:t>
      </w:r>
      <w:r w:rsidR="004A18F4">
        <w:t>,</w:t>
      </w:r>
      <w:r w:rsidR="008A6B8A">
        <w:t xml:space="preserve"> </w:t>
      </w:r>
      <w:r w:rsidR="000028BD">
        <w:t xml:space="preserve">and </w:t>
      </w:r>
      <w:r w:rsidR="00404BA5">
        <w:t xml:space="preserve">class licensing </w:t>
      </w:r>
      <w:r w:rsidR="004A18F4">
        <w:t xml:space="preserve">for </w:t>
      </w:r>
      <w:r w:rsidR="00404BA5">
        <w:t xml:space="preserve">part of the 26 GHz </w:t>
      </w:r>
      <w:r w:rsidR="000028BD">
        <w:t xml:space="preserve">band </w:t>
      </w:r>
      <w:r w:rsidR="00404BA5">
        <w:t xml:space="preserve">for terrestrial uses </w:t>
      </w:r>
      <w:r w:rsidR="004A18F4">
        <w:t xml:space="preserve">is </w:t>
      </w:r>
      <w:r w:rsidR="00404BA5">
        <w:t>expected this year</w:t>
      </w:r>
      <w:r w:rsidR="00ED7ADE">
        <w:t xml:space="preserve">. Additional mid-band spectrum is expected to </w:t>
      </w:r>
      <w:r w:rsidR="00ED7ADE">
        <w:lastRenderedPageBreak/>
        <w:t>become available as a result of the work underway to restack and reconfigure the 3.4</w:t>
      </w:r>
      <w:r w:rsidR="004A18F4">
        <w:t>–</w:t>
      </w:r>
      <w:r w:rsidR="00ED7ADE">
        <w:t xml:space="preserve">3.5 GHz band. In low band spectrum, an allocation of the 850 MHz expansion band and 900 MHz band is </w:t>
      </w:r>
      <w:r w:rsidR="00213486">
        <w:t>anticipated</w:t>
      </w:r>
      <w:r w:rsidR="00ED7ADE">
        <w:t xml:space="preserve"> for late in 2021.</w:t>
      </w:r>
    </w:p>
    <w:p w14:paraId="6C92B1E7" w14:textId="7DE5BA5D" w:rsidR="00EE7718" w:rsidRDefault="00EE7718" w:rsidP="00EE7718">
      <w:pPr>
        <w:rPr>
          <w:lang w:val="en-GB"/>
        </w:rPr>
      </w:pPr>
      <w:bookmarkStart w:id="13" w:name="_Hlk37938375"/>
      <w:bookmarkStart w:id="14" w:name="_Hlk37938600"/>
      <w:r>
        <w:t>In the past year</w:t>
      </w:r>
      <w:r w:rsidR="004A18F4">
        <w:t>,</w:t>
      </w:r>
      <w:r>
        <w:t xml:space="preserve"> we have consulted with the radio</w:t>
      </w:r>
      <w:r w:rsidR="009F7B5D">
        <w:t xml:space="preserve"> broadcasting</w:t>
      </w:r>
      <w:r>
        <w:t xml:space="preserve"> industry about the </w:t>
      </w:r>
      <w:hyperlink r:id="rId24" w:history="1">
        <w:r w:rsidR="004A18F4">
          <w:rPr>
            <w:rStyle w:val="Hyperlink"/>
          </w:rPr>
          <w:t>f</w:t>
        </w:r>
        <w:r w:rsidRPr="00F25EBB">
          <w:rPr>
            <w:rStyle w:val="Hyperlink"/>
          </w:rPr>
          <w:t>uture delivery of radio</w:t>
        </w:r>
      </w:hyperlink>
      <w:r>
        <w:t xml:space="preserve"> in Australia. </w:t>
      </w:r>
      <w:r w:rsidRPr="00EE7718">
        <w:rPr>
          <w:lang w:val="en-GB"/>
        </w:rPr>
        <w:t>A key outcome of</w:t>
      </w:r>
      <w:r>
        <w:rPr>
          <w:lang w:val="en-GB"/>
        </w:rPr>
        <w:t xml:space="preserve"> our engagement with the radio industry is a </w:t>
      </w:r>
      <w:r w:rsidRPr="00EE7718">
        <w:rPr>
          <w:lang w:val="en-GB"/>
        </w:rPr>
        <w:t xml:space="preserve">new framework for </w:t>
      </w:r>
      <w:r w:rsidR="004A18F4">
        <w:rPr>
          <w:lang w:val="en-GB"/>
        </w:rPr>
        <w:t>our</w:t>
      </w:r>
      <w:r w:rsidRPr="00EE7718">
        <w:rPr>
          <w:lang w:val="en-GB"/>
        </w:rPr>
        <w:t xml:space="preserve"> priority-setting and decision-making</w:t>
      </w:r>
      <w:r w:rsidR="004A18F4">
        <w:rPr>
          <w:lang w:val="en-GB"/>
        </w:rPr>
        <w:t xml:space="preserve"> in </w:t>
      </w:r>
      <w:r w:rsidR="004A18F4" w:rsidRPr="00EE7718">
        <w:rPr>
          <w:lang w:val="en-GB"/>
        </w:rPr>
        <w:t>radio broadcast planning</w:t>
      </w:r>
      <w:r>
        <w:rPr>
          <w:lang w:val="en-GB"/>
        </w:rPr>
        <w:t xml:space="preserve">. </w:t>
      </w:r>
      <w:bookmarkEnd w:id="13"/>
      <w:r>
        <w:rPr>
          <w:lang w:val="en-GB"/>
        </w:rPr>
        <w:t xml:space="preserve">We have identified four </w:t>
      </w:r>
      <w:r w:rsidRPr="00EE7718">
        <w:rPr>
          <w:lang w:val="en-GB"/>
        </w:rPr>
        <w:t>radio broadcasting planning priorities</w:t>
      </w:r>
      <w:r>
        <w:rPr>
          <w:lang w:val="en-GB"/>
        </w:rPr>
        <w:t xml:space="preserve"> </w:t>
      </w:r>
      <w:r w:rsidR="00B11010">
        <w:rPr>
          <w:lang w:val="en-GB"/>
        </w:rPr>
        <w:t>for</w:t>
      </w:r>
      <w:r>
        <w:rPr>
          <w:lang w:val="en-GB"/>
        </w:rPr>
        <w:t xml:space="preserve"> AM</w:t>
      </w:r>
      <w:r w:rsidR="00BB23E5">
        <w:t>–</w:t>
      </w:r>
      <w:r>
        <w:rPr>
          <w:lang w:val="en-GB"/>
        </w:rPr>
        <w:t xml:space="preserve">FM conversions, coverage enhancements, digital radio channel planning and supporting trials of new radio broadcasting technologies. </w:t>
      </w:r>
      <w:r w:rsidR="004A18F4">
        <w:rPr>
          <w:lang w:val="en-GB"/>
        </w:rPr>
        <w:t>T</w:t>
      </w:r>
      <w:r>
        <w:rPr>
          <w:lang w:val="en-GB"/>
        </w:rPr>
        <w:t xml:space="preserve">his consultation on our annual work program </w:t>
      </w:r>
      <w:r w:rsidR="004A18F4">
        <w:rPr>
          <w:lang w:val="en-GB"/>
        </w:rPr>
        <w:t xml:space="preserve">will help </w:t>
      </w:r>
      <w:r>
        <w:rPr>
          <w:lang w:val="en-GB"/>
        </w:rPr>
        <w:t>inform the prioritisation of planning activities for the year.</w:t>
      </w:r>
    </w:p>
    <w:bookmarkEnd w:id="14"/>
    <w:p w14:paraId="1FDBAB49" w14:textId="677BA68E" w:rsidR="00AA2F83" w:rsidRDefault="004E1958" w:rsidP="00EC5C76">
      <w:r>
        <w:t>We are continuing work with a range of</w:t>
      </w:r>
      <w:r w:rsidR="00AA2F83">
        <w:t xml:space="preserve"> government spectrum users </w:t>
      </w:r>
      <w:r>
        <w:t xml:space="preserve">whose capability requirements </w:t>
      </w:r>
      <w:r w:rsidR="00AA2F83">
        <w:t xml:space="preserve">continue to evolve, as they access new technologies </w:t>
      </w:r>
      <w:r>
        <w:t>needed to</w:t>
      </w:r>
      <w:r w:rsidR="00AA2F83">
        <w:t xml:space="preserve"> support law enforcement, national </w:t>
      </w:r>
      <w:r w:rsidR="00AA2F83" w:rsidDel="006B1713">
        <w:t>interest</w:t>
      </w:r>
      <w:r w:rsidR="006B1713">
        <w:t>,</w:t>
      </w:r>
      <w:r w:rsidR="00AA2F83">
        <w:t xml:space="preserve"> and government service delivery activities.</w:t>
      </w:r>
    </w:p>
    <w:p w14:paraId="580B44C8" w14:textId="4EBC9AF2" w:rsidR="000F4C3F" w:rsidRDefault="00835321" w:rsidP="00EC5C76">
      <w:r w:rsidRPr="00B53F89">
        <w:t>The</w:t>
      </w:r>
      <w:r w:rsidR="00E14131" w:rsidRPr="00B53F89">
        <w:t xml:space="preserve"> </w:t>
      </w:r>
      <w:r w:rsidRPr="00B53F89">
        <w:t>ACMA has co</w:t>
      </w:r>
      <w:r w:rsidR="00B33B81" w:rsidRPr="00B53F89">
        <w:t xml:space="preserve">nsulted annually with industry about </w:t>
      </w:r>
      <w:r w:rsidRPr="00B53F89">
        <w:t xml:space="preserve">its spectrum management priorities through its FYSO since 2009. </w:t>
      </w:r>
      <w:r w:rsidR="000F4C3F">
        <w:t>Since 2018</w:t>
      </w:r>
      <w:r w:rsidR="00A140B6" w:rsidRPr="00B53F89">
        <w:t>,</w:t>
      </w:r>
      <w:r w:rsidR="003A06EE" w:rsidRPr="00B53F89">
        <w:t xml:space="preserve"> we </w:t>
      </w:r>
      <w:r w:rsidR="000F4C3F">
        <w:t>have</w:t>
      </w:r>
      <w:r w:rsidR="00EA7FD9" w:rsidRPr="00B53F89" w:rsidDel="000F4C3F">
        <w:t xml:space="preserve"> </w:t>
      </w:r>
      <w:r w:rsidR="000F4C3F" w:rsidRPr="00B53F89">
        <w:t>publish</w:t>
      </w:r>
      <w:r w:rsidR="000F4C3F">
        <w:t>ed</w:t>
      </w:r>
      <w:r w:rsidR="000F4C3F" w:rsidRPr="00B53F89">
        <w:t xml:space="preserve"> </w:t>
      </w:r>
      <w:r w:rsidR="00EA7FD9" w:rsidRPr="00B53F89">
        <w:t>a draft FYSO for consultation</w:t>
      </w:r>
      <w:r w:rsidR="00B11010">
        <w:t>,</w:t>
      </w:r>
      <w:r w:rsidR="00EA7FD9" w:rsidRPr="00B53F89">
        <w:t xml:space="preserve"> ahead of settling the final FYSO</w:t>
      </w:r>
      <w:r w:rsidR="00DE2074" w:rsidRPr="00B53F89">
        <w:t>.</w:t>
      </w:r>
      <w:r w:rsidR="00EA7FD9" w:rsidRPr="00B53F89">
        <w:t xml:space="preserve"> </w:t>
      </w:r>
    </w:p>
    <w:p w14:paraId="2AB7E6C5" w14:textId="2E0A1C29" w:rsidR="00630FE4" w:rsidRDefault="00772562" w:rsidP="00772562">
      <w:r w:rsidRPr="00B53F89">
        <w:t>A draft FYSO 20</w:t>
      </w:r>
      <w:r>
        <w:t>20</w:t>
      </w:r>
      <w:r w:rsidRPr="00B53F89">
        <w:t>–</w:t>
      </w:r>
      <w:r>
        <w:t>24</w:t>
      </w:r>
      <w:r w:rsidRPr="00B53F89">
        <w:t xml:space="preserve"> was published in April 20</w:t>
      </w:r>
      <w:r>
        <w:t>20</w:t>
      </w:r>
      <w:r w:rsidRPr="00B53F89">
        <w:t xml:space="preserve">. </w:t>
      </w:r>
      <w:r w:rsidR="00630FE4">
        <w:t>The</w:t>
      </w:r>
      <w:r w:rsidRPr="00B53F89">
        <w:t xml:space="preserve"> ACMA’s response to submissions is available in a separate document—</w:t>
      </w:r>
      <w:r w:rsidRPr="000C7609">
        <w:rPr>
          <w:i/>
          <w:iCs/>
        </w:rPr>
        <w:t>Addendum to FYSO 2020</w:t>
      </w:r>
      <w:r w:rsidR="00BB2245" w:rsidRPr="000C7609">
        <w:rPr>
          <w:i/>
          <w:iCs/>
        </w:rPr>
        <w:t>–</w:t>
      </w:r>
      <w:r w:rsidRPr="000C7609">
        <w:rPr>
          <w:i/>
          <w:iCs/>
        </w:rPr>
        <w:t>24—</w:t>
      </w:r>
      <w:r w:rsidR="007D3466" w:rsidRPr="007D3466">
        <w:t xml:space="preserve"> </w:t>
      </w:r>
      <w:r w:rsidR="007D3466" w:rsidRPr="007D3466">
        <w:rPr>
          <w:i/>
          <w:iCs/>
        </w:rPr>
        <w:t>Response to submissions to draft FYSO 2020–24</w:t>
      </w:r>
      <w:r w:rsidRPr="00B53F89">
        <w:t xml:space="preserve">. </w:t>
      </w:r>
    </w:p>
    <w:p w14:paraId="2CB9E68A" w14:textId="1B940264" w:rsidR="0019480C" w:rsidRDefault="00C75FC0" w:rsidP="00772562">
      <w:r w:rsidRPr="00C75FC0">
        <w:t xml:space="preserve">Since </w:t>
      </w:r>
      <w:r>
        <w:t xml:space="preserve">the draft FYSO </w:t>
      </w:r>
      <w:r w:rsidRPr="00C75FC0">
        <w:t xml:space="preserve">consultation closed, the Radiocommunications Legislation Amendment (Reform and Modernisation) Bill 2020 </w:t>
      </w:r>
      <w:r w:rsidR="00C951D7">
        <w:t xml:space="preserve">(the Bill) and accompanying tax-related bills were </w:t>
      </w:r>
      <w:r w:rsidRPr="00C75FC0">
        <w:t xml:space="preserve">introduced into </w:t>
      </w:r>
      <w:r w:rsidR="00C951D7">
        <w:t xml:space="preserve">the </w:t>
      </w:r>
      <w:r w:rsidRPr="00C75FC0">
        <w:t>Parliament</w:t>
      </w:r>
      <w:r w:rsidR="00C951D7">
        <w:t xml:space="preserve"> in August 2020</w:t>
      </w:r>
      <w:r w:rsidRPr="00C75FC0">
        <w:t xml:space="preserve">. </w:t>
      </w:r>
      <w:r w:rsidR="00C951D7">
        <w:t xml:space="preserve">The Bill gives effect to several of the recommendations in the Spectrum Review conducted in 2015. </w:t>
      </w:r>
      <w:r w:rsidRPr="00C75FC0">
        <w:t xml:space="preserve">While it is premature for the FYSO to provide a detailed implementation plan, we will provide updated guidance to industry about implementation </w:t>
      </w:r>
      <w:r w:rsidR="00C951D7">
        <w:t>subsequent to the passage of the</w:t>
      </w:r>
      <w:r w:rsidRPr="00C75FC0">
        <w:t xml:space="preserve"> legislative reform package </w:t>
      </w:r>
      <w:r w:rsidR="00C951D7">
        <w:t xml:space="preserve">through the </w:t>
      </w:r>
      <w:r w:rsidRPr="00C75FC0">
        <w:t>Parliament.</w:t>
      </w:r>
    </w:p>
    <w:p w14:paraId="71363F5E" w14:textId="43BDBF9F" w:rsidR="00772562" w:rsidRPr="00B53F89" w:rsidRDefault="00772562" w:rsidP="00772562">
      <w:r w:rsidRPr="00B53F89">
        <w:t>Where significant priority or other changes have been made</w:t>
      </w:r>
      <w:r w:rsidR="00630FE4">
        <w:t xml:space="preserve"> to the FYSO 2020</w:t>
      </w:r>
      <w:bookmarkStart w:id="15" w:name="_Hlk51584904"/>
      <w:r w:rsidR="00BB2245">
        <w:t>–</w:t>
      </w:r>
      <w:bookmarkEnd w:id="15"/>
      <w:r w:rsidR="00630FE4">
        <w:t>24 since the draft FYSO</w:t>
      </w:r>
      <w:r w:rsidRPr="00B53F89">
        <w:t xml:space="preserve">, </w:t>
      </w:r>
      <w:r w:rsidR="00B11010">
        <w:t>we have included</w:t>
      </w:r>
      <w:r w:rsidRPr="00B53F89">
        <w:t xml:space="preserve"> a ‘change’ symbol</w:t>
      </w:r>
      <w:r w:rsidR="00B11010">
        <w:t>:</w:t>
      </w:r>
      <w:r w:rsidRPr="00B53F89">
        <w:t xml:space="preserve"> </w:t>
      </w:r>
      <w:r w:rsidRPr="006A2F04">
        <w:rPr>
          <w:noProof/>
        </w:rPr>
        <w:drawing>
          <wp:inline distT="0" distB="0" distL="0" distR="0" wp14:anchorId="4929FD79" wp14:editId="133B21D3">
            <wp:extent cx="244475" cy="140335"/>
            <wp:effectExtent l="0" t="0" r="3175" b="0"/>
            <wp:docPr id="137" name="Picture 137"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B11010">
        <w:t>.</w:t>
      </w:r>
      <w:r w:rsidRPr="00B53F89">
        <w:t xml:space="preserve"> Where significant new material has been inserted, this is identified with a ‘new’ symbol</w:t>
      </w:r>
      <w:r w:rsidR="00B11010">
        <w:t>:</w:t>
      </w:r>
      <w:r w:rsidRPr="00B53F89">
        <w:t xml:space="preserve"> </w:t>
      </w:r>
      <w:r w:rsidRPr="006A2F04">
        <w:rPr>
          <w:noProof/>
        </w:rPr>
        <w:drawing>
          <wp:inline distT="0" distB="0" distL="0" distR="0" wp14:anchorId="422D4644" wp14:editId="5DED7971">
            <wp:extent cx="245110" cy="140970"/>
            <wp:effectExtent l="0" t="0" r="2540" b="0"/>
            <wp:docPr id="136" name="Picture 136" descr="A picture containing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7" name="Picture 7" descr="A picture containing clipart&#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rsidR="00B11010">
        <w:t>.</w:t>
      </w:r>
    </w:p>
    <w:p w14:paraId="54EA3F27" w14:textId="49F546FC" w:rsidR="00C75FC0" w:rsidRDefault="00C75FC0" w:rsidP="00513FDE">
      <w:pPr>
        <w:spacing w:after="80"/>
      </w:pPr>
      <w:r w:rsidRPr="00C75FC0">
        <w:t>In response to stakeholder feedback</w:t>
      </w:r>
      <w:r w:rsidR="000F4246">
        <w:t xml:space="preserve"> on the draft FYSO</w:t>
      </w:r>
      <w:r w:rsidRPr="00C75FC0">
        <w:t xml:space="preserve">, the main </w:t>
      </w:r>
      <w:r>
        <w:t>decisions</w:t>
      </w:r>
      <w:r w:rsidRPr="00C75FC0">
        <w:t xml:space="preserve"> incorporated into the</w:t>
      </w:r>
      <w:r w:rsidR="00312D07">
        <w:t xml:space="preserve"> </w:t>
      </w:r>
      <w:r w:rsidR="000F4246">
        <w:t>final</w:t>
      </w:r>
      <w:r w:rsidRPr="00C75FC0">
        <w:t xml:space="preserve"> FYSO 2020</w:t>
      </w:r>
      <w:r w:rsidR="00BB2245" w:rsidRPr="00BB2245">
        <w:t>–</w:t>
      </w:r>
      <w:r w:rsidRPr="00C75FC0">
        <w:t>24 are:</w:t>
      </w:r>
    </w:p>
    <w:p w14:paraId="0F79DF97" w14:textId="662C1441" w:rsidR="00C75FC0" w:rsidRPr="00C75FC0" w:rsidRDefault="00203D97" w:rsidP="00BC365A">
      <w:pPr>
        <w:pStyle w:val="Bulletlevel1"/>
        <w:rPr>
          <w:rStyle w:val="Hyperlink"/>
          <w:color w:val="auto"/>
          <w:u w:val="none"/>
        </w:rPr>
      </w:pPr>
      <w:r>
        <w:rPr>
          <w:rStyle w:val="Hyperlink"/>
          <w:color w:val="auto"/>
          <w:u w:val="none"/>
        </w:rPr>
        <w:t>acknowledging further</w:t>
      </w:r>
      <w:r w:rsidR="00C75FC0" w:rsidRPr="00C75FC0">
        <w:rPr>
          <w:rStyle w:val="Hyperlink"/>
          <w:color w:val="auto"/>
          <w:u w:val="none"/>
        </w:rPr>
        <w:t xml:space="preserve"> industry feedback on the impact of COVID-19 </w:t>
      </w:r>
    </w:p>
    <w:p w14:paraId="0DFF3951" w14:textId="4BCA0039" w:rsidR="00C75FC0" w:rsidRDefault="00B11010" w:rsidP="00BC365A">
      <w:pPr>
        <w:pStyle w:val="Bulletlevel1"/>
        <w:rPr>
          <w:rStyle w:val="Hyperlink"/>
          <w:color w:val="auto"/>
          <w:u w:val="none"/>
        </w:rPr>
      </w:pPr>
      <w:r w:rsidRPr="00C75FC0">
        <w:rPr>
          <w:rStyle w:val="Hyperlink"/>
          <w:color w:val="auto"/>
          <w:u w:val="none"/>
        </w:rPr>
        <w:t>clarif</w:t>
      </w:r>
      <w:r>
        <w:rPr>
          <w:rStyle w:val="Hyperlink"/>
          <w:color w:val="auto"/>
          <w:u w:val="none"/>
        </w:rPr>
        <w:t>ying</w:t>
      </w:r>
      <w:r w:rsidRPr="00C75FC0">
        <w:rPr>
          <w:rStyle w:val="Hyperlink"/>
          <w:color w:val="auto"/>
          <w:u w:val="none"/>
        </w:rPr>
        <w:t xml:space="preserve"> </w:t>
      </w:r>
      <w:r w:rsidR="00C75FC0" w:rsidRPr="00C75FC0">
        <w:rPr>
          <w:rStyle w:val="Hyperlink"/>
          <w:color w:val="auto"/>
          <w:u w:val="none"/>
        </w:rPr>
        <w:t>the purpose and meaning of the band</w:t>
      </w:r>
      <w:r w:rsidR="00EA305B">
        <w:rPr>
          <w:rStyle w:val="Hyperlink"/>
          <w:color w:val="auto"/>
          <w:u w:val="none"/>
        </w:rPr>
        <w:t>-</w:t>
      </w:r>
      <w:r w:rsidR="00C75FC0" w:rsidRPr="00C75FC0">
        <w:rPr>
          <w:rStyle w:val="Hyperlink"/>
          <w:color w:val="auto"/>
          <w:u w:val="none"/>
        </w:rPr>
        <w:t>planning stages outlined in the planning section, in particular, better explain</w:t>
      </w:r>
      <w:r w:rsidR="008B02A6">
        <w:rPr>
          <w:rStyle w:val="Hyperlink"/>
          <w:color w:val="auto"/>
          <w:u w:val="none"/>
        </w:rPr>
        <w:t>ing</w:t>
      </w:r>
      <w:r w:rsidR="00C75FC0" w:rsidRPr="00C75FC0">
        <w:rPr>
          <w:rStyle w:val="Hyperlink"/>
          <w:color w:val="auto"/>
          <w:u w:val="none"/>
        </w:rPr>
        <w:t xml:space="preserve"> the relationship between ‘major band</w:t>
      </w:r>
      <w:r w:rsidR="00B26CA1">
        <w:rPr>
          <w:rStyle w:val="Hyperlink"/>
          <w:color w:val="auto"/>
          <w:u w:val="none"/>
        </w:rPr>
        <w:t>-</w:t>
      </w:r>
      <w:r w:rsidR="00C75FC0" w:rsidRPr="00C75FC0">
        <w:rPr>
          <w:rStyle w:val="Hyperlink"/>
          <w:color w:val="auto"/>
          <w:u w:val="none"/>
        </w:rPr>
        <w:t>planning’ and the ‘optimising existing frameworks’ work programs</w:t>
      </w:r>
    </w:p>
    <w:p w14:paraId="2DE4FF6F" w14:textId="471A0263" w:rsidR="00C75FC0" w:rsidRDefault="008B02A6" w:rsidP="00BC365A">
      <w:pPr>
        <w:pStyle w:val="Bulletlevel1"/>
        <w:rPr>
          <w:rStyle w:val="Hyperlink"/>
          <w:color w:val="auto"/>
          <w:u w:val="none"/>
        </w:rPr>
      </w:pPr>
      <w:r w:rsidRPr="00C75FC0">
        <w:rPr>
          <w:rStyle w:val="Hyperlink"/>
          <w:color w:val="auto"/>
          <w:u w:val="none"/>
        </w:rPr>
        <w:t>confirm</w:t>
      </w:r>
      <w:r>
        <w:rPr>
          <w:rStyle w:val="Hyperlink"/>
          <w:color w:val="auto"/>
          <w:u w:val="none"/>
        </w:rPr>
        <w:t>ing</w:t>
      </w:r>
      <w:r w:rsidRPr="00C75FC0">
        <w:rPr>
          <w:rStyle w:val="Hyperlink"/>
          <w:color w:val="auto"/>
          <w:u w:val="none"/>
        </w:rPr>
        <w:t xml:space="preserve"> </w:t>
      </w:r>
      <w:r w:rsidR="00C75FC0" w:rsidRPr="00C75FC0">
        <w:rPr>
          <w:rStyle w:val="Hyperlink"/>
          <w:color w:val="auto"/>
          <w:u w:val="none"/>
        </w:rPr>
        <w:t>the prioritisation of the 26 GHz and 28 GHz allocations ahead of the timing of the 850/900 MHz allocation</w:t>
      </w:r>
    </w:p>
    <w:p w14:paraId="541C061C" w14:textId="13288BE2" w:rsidR="006A54A0" w:rsidRDefault="008B02A6" w:rsidP="00BC365A">
      <w:pPr>
        <w:pStyle w:val="Bulletlevel1"/>
        <w:rPr>
          <w:rStyle w:val="Hyperlink"/>
          <w:color w:val="auto"/>
          <w:u w:val="none"/>
        </w:rPr>
      </w:pPr>
      <w:r>
        <w:rPr>
          <w:rStyle w:val="Hyperlink"/>
          <w:color w:val="auto"/>
          <w:u w:val="none"/>
        </w:rPr>
        <w:t xml:space="preserve">deciding </w:t>
      </w:r>
      <w:r w:rsidR="006A54A0">
        <w:rPr>
          <w:rStyle w:val="Hyperlink"/>
          <w:color w:val="auto"/>
          <w:u w:val="none"/>
        </w:rPr>
        <w:t>not to progress work on the 1.5 GHz band and extended MSS L-band, or the 40, 46, 47 GHz bands in FY2020</w:t>
      </w:r>
      <w:r w:rsidR="00BB2245" w:rsidRPr="00BB2245">
        <w:rPr>
          <w:rStyle w:val="Hyperlink"/>
          <w:color w:val="auto"/>
          <w:u w:val="none"/>
        </w:rPr>
        <w:t>–</w:t>
      </w:r>
      <w:r w:rsidR="006A54A0">
        <w:rPr>
          <w:rStyle w:val="Hyperlink"/>
          <w:color w:val="auto"/>
          <w:u w:val="none"/>
        </w:rPr>
        <w:t>21</w:t>
      </w:r>
    </w:p>
    <w:p w14:paraId="53767DDD" w14:textId="7D1EE2A3" w:rsidR="00C75FC0" w:rsidRPr="00C75FC0" w:rsidRDefault="008B02A6" w:rsidP="00BC365A">
      <w:pPr>
        <w:pStyle w:val="Bulletlevel1"/>
        <w:rPr>
          <w:rStyle w:val="Hyperlink"/>
          <w:color w:val="auto"/>
          <w:u w:val="none"/>
        </w:rPr>
      </w:pPr>
      <w:r>
        <w:rPr>
          <w:rStyle w:val="Hyperlink"/>
          <w:color w:val="auto"/>
          <w:u w:val="none"/>
        </w:rPr>
        <w:t xml:space="preserve">changing the status of the </w:t>
      </w:r>
      <w:r w:rsidR="00C75FC0" w:rsidRPr="00C75FC0">
        <w:rPr>
          <w:rStyle w:val="Hyperlink"/>
          <w:color w:val="auto"/>
          <w:u w:val="none"/>
        </w:rPr>
        <w:t xml:space="preserve">1880–1900 MHz </w:t>
      </w:r>
      <w:r w:rsidRPr="00C75FC0">
        <w:rPr>
          <w:rStyle w:val="Hyperlink"/>
          <w:color w:val="auto"/>
          <w:u w:val="none"/>
        </w:rPr>
        <w:t>frequency range as a whole</w:t>
      </w:r>
      <w:r>
        <w:rPr>
          <w:rStyle w:val="Hyperlink"/>
          <w:color w:val="auto"/>
          <w:u w:val="none"/>
        </w:rPr>
        <w:t xml:space="preserve"> </w:t>
      </w:r>
      <w:r w:rsidR="00C75FC0" w:rsidRPr="00C75FC0">
        <w:rPr>
          <w:rStyle w:val="Hyperlink"/>
          <w:color w:val="auto"/>
          <w:u w:val="none"/>
        </w:rPr>
        <w:t xml:space="preserve">to </w:t>
      </w:r>
      <w:r>
        <w:rPr>
          <w:rStyle w:val="Hyperlink"/>
          <w:color w:val="auto"/>
          <w:u w:val="none"/>
        </w:rPr>
        <w:t>‘</w:t>
      </w:r>
      <w:r w:rsidR="00C75FC0" w:rsidRPr="00C75FC0">
        <w:rPr>
          <w:rStyle w:val="Hyperlink"/>
          <w:color w:val="auto"/>
          <w:u w:val="none"/>
        </w:rPr>
        <w:t>initial investigation</w:t>
      </w:r>
      <w:r>
        <w:rPr>
          <w:rStyle w:val="Hyperlink"/>
          <w:color w:val="auto"/>
          <w:u w:val="none"/>
        </w:rPr>
        <w:t>’,</w:t>
      </w:r>
      <w:r w:rsidR="00C75FC0" w:rsidRPr="00C75FC0">
        <w:rPr>
          <w:rStyle w:val="Hyperlink"/>
          <w:color w:val="auto"/>
          <w:u w:val="none"/>
        </w:rPr>
        <w:t xml:space="preserve"> with a discussion paper for release in Q2 2021</w:t>
      </w:r>
    </w:p>
    <w:p w14:paraId="03C77283" w14:textId="158B2689" w:rsidR="00C75FC0" w:rsidRPr="00C75FC0" w:rsidRDefault="008B02A6" w:rsidP="00BC365A">
      <w:pPr>
        <w:pStyle w:val="Bulletlevel1"/>
        <w:rPr>
          <w:rStyle w:val="Hyperlink"/>
          <w:color w:val="auto"/>
          <w:u w:val="none"/>
        </w:rPr>
      </w:pPr>
      <w:r w:rsidRPr="00C75FC0">
        <w:rPr>
          <w:rStyle w:val="Hyperlink"/>
          <w:color w:val="auto"/>
          <w:u w:val="none"/>
        </w:rPr>
        <w:t>includ</w:t>
      </w:r>
      <w:r>
        <w:rPr>
          <w:rStyle w:val="Hyperlink"/>
          <w:color w:val="auto"/>
          <w:u w:val="none"/>
        </w:rPr>
        <w:t>ing</w:t>
      </w:r>
      <w:r w:rsidRPr="00C75FC0">
        <w:rPr>
          <w:rStyle w:val="Hyperlink"/>
          <w:color w:val="auto"/>
          <w:u w:val="none"/>
        </w:rPr>
        <w:t xml:space="preserve"> </w:t>
      </w:r>
      <w:r w:rsidR="00C75FC0" w:rsidRPr="00C75FC0">
        <w:rPr>
          <w:rStyle w:val="Hyperlink"/>
          <w:color w:val="auto"/>
          <w:u w:val="none"/>
        </w:rPr>
        <w:t xml:space="preserve">a new item to review arrangements in the </w:t>
      </w:r>
      <w:r w:rsidR="00407266">
        <w:rPr>
          <w:rStyle w:val="Hyperlink"/>
          <w:color w:val="auto"/>
          <w:u w:val="none"/>
        </w:rPr>
        <w:t>Intelligent Transport Systems (</w:t>
      </w:r>
      <w:r w:rsidR="00C75FC0" w:rsidRPr="00C75FC0">
        <w:rPr>
          <w:rStyle w:val="Hyperlink"/>
          <w:color w:val="auto"/>
          <w:u w:val="none"/>
        </w:rPr>
        <w:t>ITS</w:t>
      </w:r>
      <w:r w:rsidR="00407266">
        <w:rPr>
          <w:rStyle w:val="Hyperlink"/>
          <w:color w:val="auto"/>
          <w:u w:val="none"/>
        </w:rPr>
        <w:t>)</w:t>
      </w:r>
      <w:r w:rsidR="00C75FC0" w:rsidRPr="00C75FC0">
        <w:rPr>
          <w:rStyle w:val="Hyperlink"/>
          <w:color w:val="auto"/>
          <w:u w:val="none"/>
        </w:rPr>
        <w:t xml:space="preserve"> class licence in the </w:t>
      </w:r>
      <w:r>
        <w:rPr>
          <w:rStyle w:val="Hyperlink"/>
          <w:color w:val="auto"/>
          <w:u w:val="none"/>
        </w:rPr>
        <w:t>‘</w:t>
      </w:r>
      <w:r w:rsidR="00C75FC0" w:rsidRPr="00C75FC0">
        <w:rPr>
          <w:rStyle w:val="Hyperlink"/>
          <w:color w:val="auto"/>
          <w:u w:val="none"/>
        </w:rPr>
        <w:t>optimising established planning frameworks</w:t>
      </w:r>
      <w:r>
        <w:rPr>
          <w:rStyle w:val="Hyperlink"/>
          <w:color w:val="auto"/>
          <w:u w:val="none"/>
        </w:rPr>
        <w:t>’</w:t>
      </w:r>
      <w:r w:rsidR="00C75FC0" w:rsidRPr="00C75FC0">
        <w:rPr>
          <w:rStyle w:val="Hyperlink"/>
          <w:color w:val="auto"/>
          <w:u w:val="none"/>
        </w:rPr>
        <w:t xml:space="preserve"> section to address suggestions raised by </w:t>
      </w:r>
      <w:r>
        <w:rPr>
          <w:rStyle w:val="Hyperlink"/>
          <w:color w:val="auto"/>
          <w:u w:val="none"/>
        </w:rPr>
        <w:t xml:space="preserve">the </w:t>
      </w:r>
      <w:r w:rsidR="00C75FC0" w:rsidRPr="00C75FC0">
        <w:rPr>
          <w:rStyle w:val="Hyperlink"/>
          <w:color w:val="auto"/>
          <w:u w:val="none"/>
        </w:rPr>
        <w:t xml:space="preserve">automotive manufacturing industry </w:t>
      </w:r>
    </w:p>
    <w:p w14:paraId="1580BC4C" w14:textId="1652098C" w:rsidR="00C75FC0" w:rsidRPr="00C75FC0" w:rsidRDefault="008B02A6" w:rsidP="00617B4B">
      <w:pPr>
        <w:pStyle w:val="Bulletlevel1"/>
        <w:keepNext/>
        <w:keepLines/>
        <w:rPr>
          <w:rStyle w:val="Hyperlink"/>
          <w:color w:val="auto"/>
          <w:u w:val="none"/>
        </w:rPr>
      </w:pPr>
      <w:r w:rsidRPr="00C75FC0">
        <w:rPr>
          <w:rStyle w:val="Hyperlink"/>
          <w:color w:val="auto"/>
          <w:u w:val="none"/>
        </w:rPr>
        <w:lastRenderedPageBreak/>
        <w:t>includ</w:t>
      </w:r>
      <w:r>
        <w:rPr>
          <w:rStyle w:val="Hyperlink"/>
          <w:color w:val="auto"/>
          <w:u w:val="none"/>
        </w:rPr>
        <w:t>ing</w:t>
      </w:r>
      <w:r w:rsidRPr="00C75FC0">
        <w:rPr>
          <w:rStyle w:val="Hyperlink"/>
          <w:color w:val="auto"/>
          <w:u w:val="none"/>
        </w:rPr>
        <w:t xml:space="preserve"> </w:t>
      </w:r>
      <w:r w:rsidR="00C75FC0" w:rsidRPr="00C75FC0">
        <w:rPr>
          <w:rStyle w:val="Hyperlink"/>
          <w:color w:val="auto"/>
          <w:u w:val="none"/>
        </w:rPr>
        <w:t>a new item to review 6 GHz for wi-fi/Low Impact Potential Devices (LIPD) and possible changes to existing 5 GHz LIPD uses</w:t>
      </w:r>
    </w:p>
    <w:p w14:paraId="06C465A3" w14:textId="292E4722" w:rsidR="00C75FC0" w:rsidRPr="00C75FC0" w:rsidRDefault="00F003FB" w:rsidP="00617B4B">
      <w:pPr>
        <w:pStyle w:val="Bulletlevel1last"/>
        <w:keepNext/>
        <w:keepLines/>
        <w:rPr>
          <w:rStyle w:val="Hyperlink"/>
          <w:color w:val="auto"/>
          <w:u w:val="none"/>
        </w:rPr>
      </w:pPr>
      <w:r>
        <w:rPr>
          <w:rStyle w:val="Hyperlink"/>
          <w:color w:val="auto"/>
          <w:u w:val="none"/>
        </w:rPr>
        <w:t>updating to reflect the</w:t>
      </w:r>
      <w:r w:rsidRPr="00C75FC0">
        <w:rPr>
          <w:rStyle w:val="Hyperlink"/>
          <w:color w:val="auto"/>
          <w:u w:val="none"/>
        </w:rPr>
        <w:t xml:space="preserve"> recent</w:t>
      </w:r>
      <w:r w:rsidR="00C75FC0" w:rsidRPr="00C75FC0">
        <w:rPr>
          <w:rStyle w:val="Hyperlink"/>
          <w:color w:val="auto"/>
          <w:u w:val="none"/>
        </w:rPr>
        <w:t xml:space="preserve"> ACMA spectrum</w:t>
      </w:r>
      <w:r w:rsidR="00FC3F81">
        <w:rPr>
          <w:rStyle w:val="Hyperlink"/>
          <w:color w:val="auto"/>
          <w:u w:val="none"/>
        </w:rPr>
        <w:t>-</w:t>
      </w:r>
      <w:r w:rsidR="00C75FC0" w:rsidRPr="00C75FC0">
        <w:rPr>
          <w:rStyle w:val="Hyperlink"/>
          <w:color w:val="auto"/>
          <w:u w:val="none"/>
        </w:rPr>
        <w:t>sharing decisions.</w:t>
      </w:r>
    </w:p>
    <w:p w14:paraId="0E9FFD78" w14:textId="39859635" w:rsidR="00E53A2F" w:rsidRPr="00B53F89" w:rsidRDefault="00E53A2F" w:rsidP="00513FDE">
      <w:pPr>
        <w:spacing w:after="80"/>
      </w:pPr>
      <w:r w:rsidRPr="00B53F89">
        <w:t xml:space="preserve">The FYSO is set out </w:t>
      </w:r>
      <w:r w:rsidR="0048575E">
        <w:t>as follows</w:t>
      </w:r>
      <w:r w:rsidRPr="00B53F89">
        <w:t>:</w:t>
      </w:r>
    </w:p>
    <w:p w14:paraId="3D7D81A5" w14:textId="10DBCE48" w:rsidR="00E53A2F" w:rsidRPr="00D40D18" w:rsidRDefault="000D5AAB" w:rsidP="00BC365A">
      <w:pPr>
        <w:pStyle w:val="Bulletlevel1"/>
      </w:pPr>
      <w:r w:rsidRPr="003B6D5F">
        <w:rPr>
          <w:rStyle w:val="Hyperlink"/>
          <w:color w:val="auto"/>
          <w:u w:val="none"/>
        </w:rPr>
        <w:t>At a glance</w:t>
      </w:r>
      <w:r w:rsidR="00DE2074" w:rsidRPr="00A01A2B">
        <w:t>—</w:t>
      </w:r>
      <w:r w:rsidR="001E67A0" w:rsidRPr="00D40D18">
        <w:t>summarises</w:t>
      </w:r>
      <w:r w:rsidR="00E53A2F" w:rsidRPr="00D40D18">
        <w:t xml:space="preserve"> the ACMA’s </w:t>
      </w:r>
      <w:r w:rsidR="00203D97">
        <w:t>annual work program</w:t>
      </w:r>
      <w:r w:rsidR="0048575E">
        <w:t xml:space="preserve"> </w:t>
      </w:r>
      <w:r w:rsidR="00E53A2F" w:rsidRPr="00D40D18">
        <w:t xml:space="preserve">for </w:t>
      </w:r>
      <w:r w:rsidR="000F4C3F" w:rsidRPr="00D40D18">
        <w:t>20</w:t>
      </w:r>
      <w:r w:rsidR="000F4C3F">
        <w:t>20</w:t>
      </w:r>
      <w:r w:rsidR="00E53A2F" w:rsidRPr="00D40D18">
        <w:t>–</w:t>
      </w:r>
      <w:r w:rsidR="000F4C3F" w:rsidRPr="00D40D18">
        <w:t>2</w:t>
      </w:r>
      <w:r w:rsidR="000F4C3F">
        <w:t>1</w:t>
      </w:r>
    </w:p>
    <w:p w14:paraId="51370FB7" w14:textId="7AD57F03" w:rsidR="00F63016" w:rsidRPr="008C44DD" w:rsidRDefault="000D5AAB" w:rsidP="00BC365A">
      <w:pPr>
        <w:pStyle w:val="Bulletlevel1"/>
      </w:pPr>
      <w:r w:rsidRPr="008C44DD">
        <w:rPr>
          <w:rStyle w:val="Hyperlink"/>
          <w:color w:val="auto"/>
          <w:u w:val="none"/>
        </w:rPr>
        <w:t>Part 1</w:t>
      </w:r>
      <w:r w:rsidR="00DE2074" w:rsidRPr="008C44DD">
        <w:t>—</w:t>
      </w:r>
      <w:r w:rsidR="00DB1B8C" w:rsidRPr="008C44DD">
        <w:t xml:space="preserve">provides an </w:t>
      </w:r>
      <w:r w:rsidR="00791A35" w:rsidRPr="008C44DD">
        <w:t>overview of the technology, market</w:t>
      </w:r>
      <w:r w:rsidR="00CA32F1">
        <w:t xml:space="preserve"> competition,</w:t>
      </w:r>
      <w:r w:rsidR="00791A35" w:rsidRPr="008C44DD">
        <w:t xml:space="preserve"> and policy drivers likely to shape the </w:t>
      </w:r>
      <w:r w:rsidR="00791A35" w:rsidRPr="008C44DD" w:rsidDel="006A2512">
        <w:t>demand</w:t>
      </w:r>
      <w:r w:rsidR="006A2512" w:rsidRPr="008C44DD">
        <w:t xml:space="preserve"> of</w:t>
      </w:r>
      <w:r w:rsidR="00791A35" w:rsidRPr="008C44DD" w:rsidDel="006A2512">
        <w:t xml:space="preserve"> </w:t>
      </w:r>
      <w:r w:rsidR="00791A35" w:rsidRPr="008C44DD">
        <w:t>spectrum over the next five years</w:t>
      </w:r>
      <w:r w:rsidR="00DB1B8C" w:rsidRPr="008C44DD">
        <w:t xml:space="preserve"> </w:t>
      </w:r>
    </w:p>
    <w:p w14:paraId="3C07E0FC" w14:textId="6035EB66" w:rsidR="008446E0" w:rsidRPr="00B53F89" w:rsidRDefault="000D5AAB" w:rsidP="00BC365A">
      <w:pPr>
        <w:pStyle w:val="Bulletlevel1last"/>
      </w:pPr>
      <w:r w:rsidRPr="00B53F89">
        <w:rPr>
          <w:rStyle w:val="Hyperlink"/>
          <w:color w:val="auto"/>
          <w:u w:val="none"/>
        </w:rPr>
        <w:t>Part 2</w:t>
      </w:r>
      <w:r w:rsidR="00DE2074" w:rsidRPr="00B53F89">
        <w:t>—</w:t>
      </w:r>
      <w:r w:rsidR="00DB1B8C" w:rsidRPr="00B53F89">
        <w:t xml:space="preserve">gives </w:t>
      </w:r>
      <w:r w:rsidR="00791A35" w:rsidRPr="00B53F89">
        <w:t xml:space="preserve">detailed information about the ACMA’s planned work priorities </w:t>
      </w:r>
      <w:r w:rsidR="00B74E7A" w:rsidRPr="00B53F89">
        <w:t xml:space="preserve">for </w:t>
      </w:r>
      <w:r w:rsidR="000F4C3F" w:rsidRPr="00B53F89">
        <w:t>20</w:t>
      </w:r>
      <w:r w:rsidR="000F4C3F">
        <w:t>20</w:t>
      </w:r>
      <w:r w:rsidR="00DE2074" w:rsidRPr="00B53F89">
        <w:t>–</w:t>
      </w:r>
      <w:r w:rsidR="000F4C3F" w:rsidRPr="00B53F89">
        <w:t>2</w:t>
      </w:r>
      <w:r w:rsidR="000F4C3F">
        <w:t>1</w:t>
      </w:r>
      <w:r w:rsidR="00791A35" w:rsidRPr="00B53F89">
        <w:t>.</w:t>
      </w:r>
    </w:p>
    <w:p w14:paraId="0F6FA4C5" w14:textId="44455F7D" w:rsidR="00BA2F81" w:rsidRPr="00B53F89" w:rsidRDefault="00BA2F81" w:rsidP="00BA2F81">
      <w:pPr>
        <w:pStyle w:val="Heading2"/>
      </w:pPr>
      <w:bookmarkStart w:id="16" w:name="_Toc36207388"/>
      <w:bookmarkStart w:id="17" w:name="_Toc51846253"/>
      <w:bookmarkStart w:id="18" w:name="_Toc51864284"/>
      <w:r>
        <w:t>COVID-19</w:t>
      </w:r>
      <w:r w:rsidR="006B1713">
        <w:t>—</w:t>
      </w:r>
      <w:r>
        <w:t>our response</w:t>
      </w:r>
      <w:bookmarkEnd w:id="16"/>
      <w:bookmarkEnd w:id="17"/>
      <w:bookmarkEnd w:id="18"/>
      <w:r>
        <w:t xml:space="preserve"> </w:t>
      </w:r>
    </w:p>
    <w:p w14:paraId="3C7985A0" w14:textId="0D0A5AF1" w:rsidR="009F7B5D" w:rsidRDefault="00C55690" w:rsidP="00822915">
      <w:pPr>
        <w:rPr>
          <w:lang w:val="en"/>
        </w:rPr>
      </w:pPr>
      <w:r w:rsidRPr="00C55690">
        <w:rPr>
          <w:lang w:val="en"/>
        </w:rPr>
        <w:t>The communications and media sectors are playing a critical role in enabling Australian consumers, businesses and governments to communicate during the COVID-19 pandemic.</w:t>
      </w:r>
      <w:r w:rsidR="00767163">
        <w:rPr>
          <w:lang w:val="en"/>
        </w:rPr>
        <w:t xml:space="preserve"> </w:t>
      </w:r>
      <w:r w:rsidR="009F7B5D">
        <w:rPr>
          <w:lang w:val="en"/>
        </w:rPr>
        <w:t>At a global level, the International Telecommunications Union (ITU) acknowledges the important role of information and communications technologies</w:t>
      </w:r>
      <w:r w:rsidR="006B1713">
        <w:rPr>
          <w:lang w:val="en"/>
        </w:rPr>
        <w:t>—</w:t>
      </w:r>
      <w:r w:rsidR="009F7B5D">
        <w:rPr>
          <w:lang w:val="en"/>
        </w:rPr>
        <w:t>of which spectrum is a key enabler</w:t>
      </w:r>
      <w:r w:rsidR="006B1713">
        <w:rPr>
          <w:lang w:val="en"/>
        </w:rPr>
        <w:t>—</w:t>
      </w:r>
      <w:r w:rsidR="009F7B5D">
        <w:rPr>
          <w:lang w:val="en"/>
        </w:rPr>
        <w:t>in helping to governments, businesses and individuals cope with the pandemic</w:t>
      </w:r>
      <w:r w:rsidR="00822915">
        <w:rPr>
          <w:lang w:val="en"/>
        </w:rPr>
        <w:t>.</w:t>
      </w:r>
      <w:r w:rsidR="00822915">
        <w:rPr>
          <w:rStyle w:val="FootnoteReference"/>
          <w:lang w:val="en"/>
        </w:rPr>
        <w:footnoteReference w:id="3"/>
      </w:r>
    </w:p>
    <w:p w14:paraId="1CEDEFA1" w14:textId="654940F1" w:rsidR="000636B3" w:rsidRDefault="000636B3" w:rsidP="00513FDE">
      <w:pPr>
        <w:rPr>
          <w:lang w:val="en"/>
        </w:rPr>
      </w:pPr>
      <w:r w:rsidRPr="00C226A2">
        <w:t xml:space="preserve">The clear message </w:t>
      </w:r>
      <w:r w:rsidR="008B02A6">
        <w:t xml:space="preserve">we </w:t>
      </w:r>
      <w:r w:rsidRPr="00C226A2">
        <w:t>received from spectrum users during the pandemic and now formalised in many submissions to our FYSO consultation, is that the ACMA should continue its spectrum planning and allocation work program. While views differ on the priority given to particular band</w:t>
      </w:r>
      <w:r w:rsidR="00B26CA1">
        <w:t>-</w:t>
      </w:r>
      <w:r w:rsidRPr="00C226A2">
        <w:t xml:space="preserve">planning and allocation arrangements, </w:t>
      </w:r>
      <w:r w:rsidR="008B02A6">
        <w:t>we are</w:t>
      </w:r>
      <w:r w:rsidR="009F7B5D">
        <w:rPr>
          <w:lang w:val="en"/>
        </w:rPr>
        <w:t xml:space="preserve"> keen to ensure that spectrum management arrangements continue to support the Australian communications and media sectors in their response during this period</w:t>
      </w:r>
      <w:r>
        <w:rPr>
          <w:lang w:val="en"/>
        </w:rPr>
        <w:t xml:space="preserve"> and </w:t>
      </w:r>
      <w:r w:rsidR="00A06D46">
        <w:rPr>
          <w:lang w:val="en"/>
        </w:rPr>
        <w:t xml:space="preserve">in </w:t>
      </w:r>
      <w:r>
        <w:rPr>
          <w:lang w:val="en"/>
        </w:rPr>
        <w:t>future communications requirements</w:t>
      </w:r>
    </w:p>
    <w:p w14:paraId="51D00622" w14:textId="2C60D9AA" w:rsidR="005D37A7" w:rsidRPr="00B53F89" w:rsidRDefault="00C55690" w:rsidP="00786538">
      <w:r>
        <w:rPr>
          <w:lang w:val="en"/>
        </w:rPr>
        <w:t xml:space="preserve">During </w:t>
      </w:r>
      <w:r w:rsidR="004F6836">
        <w:rPr>
          <w:lang w:val="en"/>
        </w:rPr>
        <w:t>the</w:t>
      </w:r>
      <w:r>
        <w:rPr>
          <w:lang w:val="en"/>
        </w:rPr>
        <w:t xml:space="preserve"> </w:t>
      </w:r>
      <w:r w:rsidR="00786538">
        <w:rPr>
          <w:lang w:val="en"/>
        </w:rPr>
        <w:t xml:space="preserve">ongoing </w:t>
      </w:r>
      <w:r>
        <w:rPr>
          <w:lang w:val="en"/>
        </w:rPr>
        <w:t xml:space="preserve">pandemic, </w:t>
      </w:r>
      <w:r w:rsidR="003C0831">
        <w:rPr>
          <w:lang w:val="en"/>
        </w:rPr>
        <w:t>we will continue to</w:t>
      </w:r>
      <w:r>
        <w:rPr>
          <w:lang w:val="en"/>
        </w:rPr>
        <w:t xml:space="preserve"> </w:t>
      </w:r>
      <w:r w:rsidR="003C0831">
        <w:rPr>
          <w:lang w:val="en"/>
        </w:rPr>
        <w:t xml:space="preserve">update our </w:t>
      </w:r>
      <w:hyperlink r:id="rId27" w:history="1">
        <w:r w:rsidRPr="00C55690">
          <w:rPr>
            <w:rStyle w:val="Hyperlink"/>
            <w:lang w:val="en"/>
          </w:rPr>
          <w:t>regulatory response</w:t>
        </w:r>
      </w:hyperlink>
      <w:r>
        <w:rPr>
          <w:lang w:val="en"/>
        </w:rPr>
        <w:t xml:space="preserve"> and keep spectrum users and the public informed of changes. </w:t>
      </w:r>
    </w:p>
    <w:p w14:paraId="2CC63494" w14:textId="365E0A01" w:rsidR="00F85852" w:rsidRPr="00B53F89" w:rsidRDefault="000A726A" w:rsidP="00C254B9">
      <w:pPr>
        <w:pStyle w:val="Heading2"/>
        <w:keepLines/>
        <w:spacing w:after="120"/>
      </w:pPr>
      <w:bookmarkStart w:id="19" w:name="_Toc31892768"/>
      <w:bookmarkStart w:id="20" w:name="_Toc36207389"/>
      <w:bookmarkStart w:id="21" w:name="_Toc51846254"/>
      <w:bookmarkStart w:id="22" w:name="_Toc51864285"/>
      <w:r w:rsidRPr="00B53F89">
        <w:lastRenderedPageBreak/>
        <w:t xml:space="preserve">Key to </w:t>
      </w:r>
      <w:r w:rsidRPr="00A7210B">
        <w:t>icons</w:t>
      </w:r>
      <w:bookmarkEnd w:id="19"/>
      <w:bookmarkEnd w:id="20"/>
      <w:bookmarkEnd w:id="21"/>
      <w:bookmarkEnd w:id="22"/>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7"/>
        <w:gridCol w:w="6844"/>
      </w:tblGrid>
      <w:tr w:rsidR="00B969FE" w:rsidRPr="00B53F89" w14:paraId="0D4D8538" w14:textId="77777777" w:rsidTr="00C254B9">
        <w:tc>
          <w:tcPr>
            <w:tcW w:w="817" w:type="dxa"/>
          </w:tcPr>
          <w:p w14:paraId="2F81BD48" w14:textId="0E0AFF16" w:rsidR="00B969FE" w:rsidRPr="00B53F89" w:rsidRDefault="00BC365A" w:rsidP="00573D6D">
            <w:pPr>
              <w:keepNext/>
              <w:keepLines/>
              <w:spacing w:after="80"/>
              <w:rPr>
                <w:b/>
              </w:rPr>
            </w:pPr>
            <w:bookmarkStart w:id="23" w:name="_Hlk16666443"/>
            <w:r>
              <w:rPr>
                <w:b/>
              </w:rPr>
              <w:t>I</w:t>
            </w:r>
            <w:r w:rsidR="00B969FE" w:rsidRPr="00B53F89">
              <w:rPr>
                <w:b/>
              </w:rPr>
              <w:t>con</w:t>
            </w:r>
          </w:p>
        </w:tc>
        <w:tc>
          <w:tcPr>
            <w:tcW w:w="6844" w:type="dxa"/>
          </w:tcPr>
          <w:p w14:paraId="1F474C79" w14:textId="085168E8" w:rsidR="00B969FE" w:rsidRPr="00B53F89" w:rsidRDefault="00B969FE" w:rsidP="00573D6D">
            <w:pPr>
              <w:keepNext/>
              <w:keepLines/>
              <w:spacing w:after="80"/>
              <w:rPr>
                <w:b/>
              </w:rPr>
            </w:pPr>
            <w:r w:rsidRPr="00B53F89">
              <w:rPr>
                <w:b/>
              </w:rPr>
              <w:t xml:space="preserve">Subject </w:t>
            </w:r>
            <w:r w:rsidR="000922AB">
              <w:rPr>
                <w:b/>
              </w:rPr>
              <w:t>a</w:t>
            </w:r>
            <w:r w:rsidRPr="00B53F89">
              <w:rPr>
                <w:b/>
              </w:rPr>
              <w:t>rea</w:t>
            </w:r>
          </w:p>
        </w:tc>
      </w:tr>
      <w:tr w:rsidR="00B969FE" w:rsidRPr="00B53F89" w14:paraId="327EE060" w14:textId="77777777" w:rsidTr="00C254B9">
        <w:tc>
          <w:tcPr>
            <w:tcW w:w="817" w:type="dxa"/>
            <w:vAlign w:val="center"/>
          </w:tcPr>
          <w:p w14:paraId="71FC5EDA" w14:textId="59382118" w:rsidR="00B969FE" w:rsidRPr="00B53F89" w:rsidRDefault="00B969FE" w:rsidP="00573D6D">
            <w:pPr>
              <w:keepNext/>
              <w:keepLines/>
              <w:spacing w:after="80"/>
            </w:pPr>
            <w:r w:rsidRPr="006A2F04">
              <w:rPr>
                <w:noProof/>
              </w:rPr>
              <w:drawing>
                <wp:inline distT="0" distB="0" distL="0" distR="0" wp14:anchorId="595A74A7" wp14:editId="7E3A09D3">
                  <wp:extent cx="342900" cy="361950"/>
                  <wp:effectExtent l="0" t="0" r="0" b="0"/>
                  <wp:docPr id="147" name="Picture 14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79CFC328" w14:textId="220FEA9B" w:rsidR="00B969FE" w:rsidRPr="00B53F89" w:rsidRDefault="00B969FE" w:rsidP="00573D6D">
            <w:pPr>
              <w:keepNext/>
              <w:keepLines/>
              <w:spacing w:after="80"/>
            </w:pPr>
            <w:r w:rsidRPr="00B53F89">
              <w:t>Wireless broadband</w:t>
            </w:r>
          </w:p>
        </w:tc>
      </w:tr>
      <w:tr w:rsidR="00B969FE" w:rsidRPr="00B53F89" w14:paraId="26312EF5" w14:textId="77777777" w:rsidTr="00C254B9">
        <w:tc>
          <w:tcPr>
            <w:tcW w:w="817" w:type="dxa"/>
            <w:vAlign w:val="center"/>
          </w:tcPr>
          <w:p w14:paraId="48728CAE" w14:textId="1EB8A059" w:rsidR="00B969FE" w:rsidRPr="00B53F89" w:rsidRDefault="00465725" w:rsidP="00573D6D">
            <w:pPr>
              <w:keepNext/>
              <w:keepLines/>
              <w:spacing w:after="80"/>
            </w:pPr>
            <w:r w:rsidRPr="006A2F04">
              <w:rPr>
                <w:noProof/>
              </w:rPr>
              <w:drawing>
                <wp:inline distT="0" distB="0" distL="0" distR="0" wp14:anchorId="2BEC4BE7" wp14:editId="2328A108">
                  <wp:extent cx="341630" cy="359410"/>
                  <wp:effectExtent l="0" t="0" r="1270" b="2540"/>
                  <wp:docPr id="104" name="Picture 104"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tc>
        <w:tc>
          <w:tcPr>
            <w:tcW w:w="6844" w:type="dxa"/>
            <w:vAlign w:val="center"/>
          </w:tcPr>
          <w:p w14:paraId="6D8BC5D3" w14:textId="4DF577C6" w:rsidR="00B969FE" w:rsidRPr="00B53F89" w:rsidRDefault="00B969FE" w:rsidP="00573D6D">
            <w:pPr>
              <w:keepNext/>
              <w:keepLines/>
              <w:spacing w:after="80"/>
            </w:pPr>
            <w:r w:rsidRPr="00B53F89">
              <w:t>Satellite</w:t>
            </w:r>
          </w:p>
        </w:tc>
      </w:tr>
      <w:tr w:rsidR="00B969FE" w:rsidRPr="00B53F89" w14:paraId="7EB9EA55" w14:textId="77777777" w:rsidTr="00C254B9">
        <w:tc>
          <w:tcPr>
            <w:tcW w:w="817" w:type="dxa"/>
            <w:vAlign w:val="center"/>
          </w:tcPr>
          <w:p w14:paraId="47E337DB" w14:textId="3D90E925" w:rsidR="00B969FE" w:rsidRPr="00B53F89" w:rsidRDefault="00B969FE" w:rsidP="00573D6D">
            <w:pPr>
              <w:keepNext/>
              <w:keepLines/>
              <w:spacing w:after="80"/>
            </w:pPr>
            <w:r w:rsidRPr="006A2F04">
              <w:rPr>
                <w:noProof/>
              </w:rPr>
              <w:drawing>
                <wp:inline distT="0" distB="0" distL="0" distR="0" wp14:anchorId="7B4D0615" wp14:editId="54EF4512">
                  <wp:extent cx="342900" cy="361950"/>
                  <wp:effectExtent l="0" t="0" r="0" b="0"/>
                  <wp:docPr id="149" name="Picture 149"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72E2B801" w14:textId="0C9BF4E2" w:rsidR="00B969FE" w:rsidRPr="00B53F89" w:rsidRDefault="00B969FE" w:rsidP="00573D6D">
            <w:pPr>
              <w:keepNext/>
              <w:keepLines/>
              <w:spacing w:after="80"/>
            </w:pPr>
            <w:r w:rsidRPr="00B53F89">
              <w:t>Class licensing</w:t>
            </w:r>
          </w:p>
        </w:tc>
      </w:tr>
      <w:tr w:rsidR="00B969FE" w:rsidRPr="00B53F89" w14:paraId="30002F73" w14:textId="77777777" w:rsidTr="00C254B9">
        <w:tc>
          <w:tcPr>
            <w:tcW w:w="817" w:type="dxa"/>
            <w:vAlign w:val="center"/>
          </w:tcPr>
          <w:p w14:paraId="3D5FB557" w14:textId="3666AE14" w:rsidR="00B969FE" w:rsidRPr="00B53F89" w:rsidRDefault="00B969FE" w:rsidP="00573D6D">
            <w:pPr>
              <w:keepNext/>
              <w:keepLines/>
              <w:spacing w:after="80"/>
            </w:pPr>
            <w:r w:rsidRPr="006A2F04">
              <w:rPr>
                <w:noProof/>
              </w:rPr>
              <w:drawing>
                <wp:inline distT="0" distB="0" distL="0" distR="0" wp14:anchorId="1C311088" wp14:editId="2153EE07">
                  <wp:extent cx="342900" cy="361950"/>
                  <wp:effectExtent l="0" t="0" r="0" b="0"/>
                  <wp:docPr id="150" name="Picture 150"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nternet of Things icon"/>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1BBCAB31" w14:textId="2ABCC0D4" w:rsidR="00B969FE" w:rsidRPr="00B53F89" w:rsidRDefault="00B969FE" w:rsidP="00573D6D">
            <w:pPr>
              <w:keepNext/>
              <w:keepLines/>
              <w:spacing w:after="80"/>
            </w:pPr>
            <w:r w:rsidRPr="00B53F89">
              <w:t>Internet of Things</w:t>
            </w:r>
          </w:p>
        </w:tc>
      </w:tr>
      <w:tr w:rsidR="00B969FE" w:rsidRPr="00B53F89" w14:paraId="774C24FA" w14:textId="77777777" w:rsidTr="00C254B9">
        <w:tc>
          <w:tcPr>
            <w:tcW w:w="817" w:type="dxa"/>
            <w:vAlign w:val="center"/>
          </w:tcPr>
          <w:p w14:paraId="12290E8B" w14:textId="2BF0B907" w:rsidR="00B969FE" w:rsidRPr="00B53F89" w:rsidRDefault="00B969FE" w:rsidP="00573D6D">
            <w:pPr>
              <w:keepNext/>
              <w:keepLines/>
              <w:spacing w:after="80"/>
            </w:pPr>
            <w:r w:rsidRPr="006A2F04">
              <w:rPr>
                <w:noProof/>
              </w:rPr>
              <w:drawing>
                <wp:inline distT="0" distB="0" distL="0" distR="0" wp14:anchorId="4CF71C48" wp14:editId="3F04CEB9">
                  <wp:extent cx="342900" cy="361950"/>
                  <wp:effectExtent l="0" t="0" r="0" b="0"/>
                  <wp:docPr id="151" name="Picture 151"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4C1FB413" w14:textId="1409AF57" w:rsidR="00B969FE" w:rsidRPr="00B53F89" w:rsidRDefault="00B969FE" w:rsidP="00573D6D">
            <w:pPr>
              <w:keepNext/>
              <w:keepLines/>
              <w:spacing w:after="80"/>
            </w:pPr>
            <w:r w:rsidRPr="00B53F89">
              <w:t xml:space="preserve">Radio and </w:t>
            </w:r>
            <w:r w:rsidR="00167099" w:rsidRPr="00B53F89">
              <w:t>television</w:t>
            </w:r>
            <w:r w:rsidRPr="00B53F89">
              <w:t xml:space="preserve"> broadcasting</w:t>
            </w:r>
          </w:p>
        </w:tc>
      </w:tr>
      <w:tr w:rsidR="00B969FE" w:rsidRPr="00B53F89" w14:paraId="35ABA3D6" w14:textId="77777777" w:rsidTr="00C254B9">
        <w:tc>
          <w:tcPr>
            <w:tcW w:w="817" w:type="dxa"/>
            <w:vAlign w:val="center"/>
          </w:tcPr>
          <w:p w14:paraId="3F337020" w14:textId="3421B70C" w:rsidR="00B969FE" w:rsidRPr="00B53F89" w:rsidRDefault="00B969FE" w:rsidP="00573D6D">
            <w:pPr>
              <w:keepNext/>
              <w:keepLines/>
              <w:spacing w:after="80"/>
            </w:pPr>
            <w:r w:rsidRPr="006A2F04">
              <w:rPr>
                <w:noProof/>
              </w:rPr>
              <w:drawing>
                <wp:inline distT="0" distB="0" distL="0" distR="0" wp14:anchorId="0C781B82" wp14:editId="76C3FD06">
                  <wp:extent cx="342900" cy="361950"/>
                  <wp:effectExtent l="0" t="0" r="0" b="0"/>
                  <wp:docPr id="152" name="Picture 152"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33614548" w14:textId="6670E99D" w:rsidR="00B969FE" w:rsidRPr="00B53F89" w:rsidRDefault="00B969FE" w:rsidP="00573D6D">
            <w:pPr>
              <w:keepNext/>
              <w:keepLines/>
              <w:spacing w:after="80"/>
            </w:pPr>
            <w:r w:rsidRPr="00B53F89">
              <w:t>Amateur radio</w:t>
            </w:r>
          </w:p>
        </w:tc>
      </w:tr>
      <w:tr w:rsidR="00B969FE" w:rsidRPr="00B53F89" w14:paraId="36D83E26" w14:textId="77777777" w:rsidTr="00C254B9">
        <w:tc>
          <w:tcPr>
            <w:tcW w:w="817" w:type="dxa"/>
            <w:vAlign w:val="center"/>
          </w:tcPr>
          <w:p w14:paraId="14B929ED" w14:textId="54859236" w:rsidR="00B969FE" w:rsidRPr="00B53F89" w:rsidRDefault="00B969FE" w:rsidP="00573D6D">
            <w:pPr>
              <w:keepNext/>
              <w:keepLines/>
              <w:spacing w:after="80"/>
            </w:pPr>
            <w:r w:rsidRPr="006A2F04">
              <w:rPr>
                <w:noProof/>
              </w:rPr>
              <w:drawing>
                <wp:inline distT="0" distB="0" distL="0" distR="0" wp14:anchorId="2346FA69" wp14:editId="75014AFC">
                  <wp:extent cx="342900" cy="361950"/>
                  <wp:effectExtent l="0" t="0" r="0" b="0"/>
                  <wp:docPr id="153" name="Picture 15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1E8A3321" w14:textId="3325D71C" w:rsidR="00B969FE" w:rsidRPr="00B53F89" w:rsidRDefault="00B969FE" w:rsidP="00573D6D">
            <w:pPr>
              <w:keepNext/>
              <w:keepLines/>
              <w:spacing w:after="80"/>
            </w:pPr>
            <w:r w:rsidRPr="00B53F89">
              <w:t>Point-to-multipoint</w:t>
            </w:r>
          </w:p>
        </w:tc>
      </w:tr>
      <w:tr w:rsidR="00B969FE" w:rsidRPr="00B53F89" w14:paraId="0F9201C8" w14:textId="77777777" w:rsidTr="00C254B9">
        <w:tc>
          <w:tcPr>
            <w:tcW w:w="817" w:type="dxa"/>
            <w:vAlign w:val="center"/>
          </w:tcPr>
          <w:p w14:paraId="20D50462" w14:textId="3A6FB58E" w:rsidR="00B969FE" w:rsidRPr="00B53F89" w:rsidRDefault="00B969FE" w:rsidP="00573D6D">
            <w:pPr>
              <w:keepNext/>
              <w:keepLines/>
              <w:spacing w:after="80"/>
            </w:pPr>
            <w:r w:rsidRPr="006A2F04">
              <w:rPr>
                <w:noProof/>
              </w:rPr>
              <w:drawing>
                <wp:inline distT="0" distB="0" distL="0" distR="0" wp14:anchorId="6A94CDD1" wp14:editId="69A8C4D5">
                  <wp:extent cx="342900" cy="361950"/>
                  <wp:effectExtent l="0" t="0" r="0" b="0"/>
                  <wp:docPr id="154" name="Picture 154"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2715EF81" w14:textId="3677AD55" w:rsidR="00B969FE" w:rsidRPr="00B53F89" w:rsidRDefault="00B969FE" w:rsidP="00573D6D">
            <w:pPr>
              <w:keepNext/>
              <w:keepLines/>
              <w:spacing w:after="80"/>
            </w:pPr>
            <w:r w:rsidRPr="00B53F89">
              <w:t>Point-to-point</w:t>
            </w:r>
          </w:p>
        </w:tc>
      </w:tr>
      <w:tr w:rsidR="00B969FE" w:rsidRPr="00B53F89" w14:paraId="10043479" w14:textId="77777777" w:rsidTr="00C254B9">
        <w:tc>
          <w:tcPr>
            <w:tcW w:w="817" w:type="dxa"/>
            <w:vAlign w:val="center"/>
          </w:tcPr>
          <w:p w14:paraId="6F5B07EE" w14:textId="263103DB" w:rsidR="00B969FE" w:rsidRPr="00B53F89" w:rsidRDefault="00B969FE" w:rsidP="00573D6D">
            <w:pPr>
              <w:keepNext/>
              <w:keepLines/>
              <w:spacing w:after="80"/>
            </w:pPr>
            <w:r w:rsidRPr="006A2F04">
              <w:rPr>
                <w:noProof/>
              </w:rPr>
              <w:drawing>
                <wp:inline distT="0" distB="0" distL="0" distR="0" wp14:anchorId="416DBA02" wp14:editId="2985A336">
                  <wp:extent cx="342900" cy="361950"/>
                  <wp:effectExtent l="0" t="0" r="0" b="0"/>
                  <wp:docPr id="155" name="Picture 155"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124C3119" w14:textId="54D3AE43" w:rsidR="00B969FE" w:rsidRPr="00B53F89" w:rsidRDefault="00B969FE" w:rsidP="00573D6D">
            <w:pPr>
              <w:keepNext/>
              <w:keepLines/>
              <w:spacing w:after="80"/>
            </w:pPr>
            <w:r w:rsidRPr="00B53F89">
              <w:t>Defence</w:t>
            </w:r>
          </w:p>
        </w:tc>
      </w:tr>
      <w:tr w:rsidR="00B969FE" w:rsidRPr="00B53F89" w14:paraId="26A8D363" w14:textId="77777777" w:rsidTr="00C254B9">
        <w:tc>
          <w:tcPr>
            <w:tcW w:w="817" w:type="dxa"/>
            <w:vAlign w:val="center"/>
          </w:tcPr>
          <w:p w14:paraId="0C5DB5C4" w14:textId="5AAE2AF7" w:rsidR="00B969FE" w:rsidRPr="00B53F89" w:rsidRDefault="00B969FE" w:rsidP="00573D6D">
            <w:pPr>
              <w:keepNext/>
              <w:keepLines/>
              <w:spacing w:after="80"/>
            </w:pPr>
            <w:r w:rsidRPr="006A2F04">
              <w:rPr>
                <w:noProof/>
              </w:rPr>
              <w:drawing>
                <wp:inline distT="0" distB="0" distL="0" distR="0" wp14:anchorId="66B32AA8" wp14:editId="02786293">
                  <wp:extent cx="342900" cy="361950"/>
                  <wp:effectExtent l="0" t="0" r="0" b="0"/>
                  <wp:docPr id="156" name="Picture 156"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0212CF56" w14:textId="2999F044" w:rsidR="00B969FE" w:rsidRPr="00B53F89" w:rsidRDefault="00B969FE" w:rsidP="00573D6D">
            <w:pPr>
              <w:keepNext/>
              <w:keepLines/>
              <w:spacing w:after="80"/>
            </w:pPr>
            <w:r w:rsidRPr="00B53F89">
              <w:t>Aviation</w:t>
            </w:r>
          </w:p>
        </w:tc>
      </w:tr>
      <w:tr w:rsidR="00B969FE" w:rsidRPr="00B53F89" w14:paraId="049FCEA7" w14:textId="77777777" w:rsidTr="00C254B9">
        <w:tc>
          <w:tcPr>
            <w:tcW w:w="817" w:type="dxa"/>
            <w:vAlign w:val="center"/>
          </w:tcPr>
          <w:p w14:paraId="35C238D6" w14:textId="6354B80B" w:rsidR="00B969FE" w:rsidRPr="00B53F89" w:rsidRDefault="00B969FE" w:rsidP="00573D6D">
            <w:pPr>
              <w:keepNext/>
              <w:keepLines/>
              <w:spacing w:after="80"/>
            </w:pPr>
            <w:r w:rsidRPr="006A2F04">
              <w:rPr>
                <w:noProof/>
              </w:rPr>
              <w:drawing>
                <wp:inline distT="0" distB="0" distL="0" distR="0" wp14:anchorId="44257BCD" wp14:editId="6D0B4056">
                  <wp:extent cx="342900" cy="361950"/>
                  <wp:effectExtent l="0" t="0" r="0" b="0"/>
                  <wp:docPr id="157" name="Picture 157" descr="Maritim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Maritime ic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770B393D" w14:textId="144D4FCF" w:rsidR="00B969FE" w:rsidRPr="00B53F89" w:rsidRDefault="00B969FE" w:rsidP="00573D6D">
            <w:pPr>
              <w:keepNext/>
              <w:keepLines/>
              <w:spacing w:after="80"/>
            </w:pPr>
            <w:r w:rsidRPr="00B53F89">
              <w:t>Maritime</w:t>
            </w:r>
          </w:p>
        </w:tc>
      </w:tr>
      <w:tr w:rsidR="00B969FE" w:rsidRPr="00B53F89" w14:paraId="7B23556C" w14:textId="77777777" w:rsidTr="00C254B9">
        <w:tc>
          <w:tcPr>
            <w:tcW w:w="817" w:type="dxa"/>
            <w:vAlign w:val="center"/>
          </w:tcPr>
          <w:p w14:paraId="01C788F4" w14:textId="2EBB037C" w:rsidR="00B969FE" w:rsidRPr="00B53F89" w:rsidRDefault="00B969FE" w:rsidP="00573D6D">
            <w:pPr>
              <w:keepNext/>
              <w:keepLines/>
              <w:spacing w:after="80"/>
            </w:pPr>
            <w:r w:rsidRPr="006A2F04">
              <w:rPr>
                <w:noProof/>
              </w:rPr>
              <w:drawing>
                <wp:inline distT="0" distB="0" distL="0" distR="0" wp14:anchorId="5781655E" wp14:editId="1A1A9F44">
                  <wp:extent cx="342900" cy="361950"/>
                  <wp:effectExtent l="0" t="0" r="0" b="0"/>
                  <wp:docPr id="158" name="Picture 15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5EDDB987" w14:textId="2490556B" w:rsidR="00B969FE" w:rsidRPr="00B53F89" w:rsidRDefault="00B969FE" w:rsidP="00573D6D">
            <w:pPr>
              <w:keepNext/>
              <w:keepLines/>
              <w:spacing w:after="80"/>
            </w:pPr>
            <w:r w:rsidRPr="00B53F89">
              <w:t>International interests and engagement</w:t>
            </w:r>
          </w:p>
        </w:tc>
      </w:tr>
      <w:tr w:rsidR="00B969FE" w:rsidRPr="00B53F89" w14:paraId="0738588C" w14:textId="77777777" w:rsidTr="00C254B9">
        <w:tc>
          <w:tcPr>
            <w:tcW w:w="817" w:type="dxa"/>
            <w:vAlign w:val="center"/>
          </w:tcPr>
          <w:p w14:paraId="1590F7DD" w14:textId="0194C948" w:rsidR="00B969FE" w:rsidRPr="00B53F89" w:rsidRDefault="00B969FE" w:rsidP="00573D6D">
            <w:pPr>
              <w:keepNext/>
              <w:keepLines/>
              <w:spacing w:after="80"/>
            </w:pPr>
            <w:r w:rsidRPr="006A2F04">
              <w:rPr>
                <w:noProof/>
              </w:rPr>
              <w:drawing>
                <wp:inline distT="0" distB="0" distL="0" distR="0" wp14:anchorId="43FA7A77" wp14:editId="7B39009E">
                  <wp:extent cx="342900" cy="361950"/>
                  <wp:effectExtent l="0" t="0" r="0" b="0"/>
                  <wp:docPr id="159" name="Picture 159"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Pricing icon"/>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844" w:type="dxa"/>
            <w:vAlign w:val="center"/>
          </w:tcPr>
          <w:p w14:paraId="758194DA" w14:textId="3B5C9068" w:rsidR="00B969FE" w:rsidRPr="00B53F89" w:rsidRDefault="00B969FE" w:rsidP="00573D6D">
            <w:pPr>
              <w:keepNext/>
              <w:keepLines/>
              <w:spacing w:after="80"/>
            </w:pPr>
            <w:r w:rsidRPr="00B53F89">
              <w:t>Pricing</w:t>
            </w:r>
          </w:p>
        </w:tc>
      </w:tr>
    </w:tbl>
    <w:p w14:paraId="56DB20B3" w14:textId="77777777" w:rsidR="001E15E1" w:rsidRDefault="001E15E1" w:rsidP="00494D12">
      <w:bookmarkStart w:id="24" w:name="_Toc348105635"/>
      <w:bookmarkStart w:id="25" w:name="_Toc442879668"/>
      <w:bookmarkStart w:id="26" w:name="_Toc510795063"/>
      <w:bookmarkStart w:id="27" w:name="_Toc511716264"/>
      <w:bookmarkStart w:id="28" w:name="_Toc511719075"/>
      <w:bookmarkStart w:id="29" w:name="_Toc522794072"/>
      <w:bookmarkEnd w:id="23"/>
    </w:p>
    <w:p w14:paraId="7104F9B8" w14:textId="07F55F08" w:rsidR="009116B7" w:rsidRPr="00B53F89" w:rsidRDefault="003F692F" w:rsidP="00DE694D">
      <w:pPr>
        <w:pStyle w:val="Heading1"/>
      </w:pPr>
      <w:bookmarkStart w:id="30" w:name="_Toc31892770"/>
      <w:bookmarkStart w:id="31" w:name="_Toc36207391"/>
      <w:bookmarkStart w:id="32" w:name="_Toc51846255"/>
      <w:bookmarkStart w:id="33" w:name="_Toc51864286"/>
      <w:r w:rsidRPr="00B53F89">
        <w:lastRenderedPageBreak/>
        <w:t>At a glance</w:t>
      </w:r>
      <w:r w:rsidR="001801F4" w:rsidRPr="00B53F89">
        <w:t>—</w:t>
      </w:r>
      <w:r w:rsidR="00B35964">
        <w:br/>
      </w:r>
      <w:r w:rsidR="00D02159" w:rsidRPr="00B53F89">
        <w:t>20</w:t>
      </w:r>
      <w:r w:rsidR="00CF7A91">
        <w:t>20</w:t>
      </w:r>
      <w:r w:rsidR="001801F4" w:rsidRPr="00B53F89">
        <w:t>–</w:t>
      </w:r>
      <w:r w:rsidR="00D02159" w:rsidRPr="00B53F89">
        <w:t>2</w:t>
      </w:r>
      <w:r w:rsidR="00CF7A91">
        <w:t>1</w:t>
      </w:r>
      <w:r w:rsidR="009116B7" w:rsidRPr="00B53F89">
        <w:t xml:space="preserve"> </w:t>
      </w:r>
      <w:r w:rsidR="001801F4" w:rsidRPr="00B53F89">
        <w:t>w</w:t>
      </w:r>
      <w:r w:rsidR="009116B7" w:rsidRPr="00B53F89">
        <w:t>ork program</w:t>
      </w:r>
      <w:bookmarkEnd w:id="24"/>
      <w:bookmarkEnd w:id="25"/>
      <w:bookmarkEnd w:id="26"/>
      <w:bookmarkEnd w:id="27"/>
      <w:bookmarkEnd w:id="28"/>
      <w:bookmarkEnd w:id="29"/>
      <w:bookmarkEnd w:id="30"/>
      <w:bookmarkEnd w:id="31"/>
      <w:bookmarkEnd w:id="32"/>
      <w:bookmarkEnd w:id="33"/>
    </w:p>
    <w:p w14:paraId="5790FCEF" w14:textId="6CE4D9DD" w:rsidR="00CA32F1" w:rsidRPr="00B53F89" w:rsidRDefault="00A57D79" w:rsidP="0042120B">
      <w:pPr>
        <w:pStyle w:val="Paragraphbeforelist"/>
      </w:pPr>
      <w:r w:rsidRPr="00B53F89">
        <w:t xml:space="preserve">The tables below provide a summary of </w:t>
      </w:r>
      <w:r w:rsidR="00A7210B">
        <w:t>our</w:t>
      </w:r>
      <w:r w:rsidRPr="00B53F89">
        <w:t xml:space="preserve"> key </w:t>
      </w:r>
      <w:r w:rsidR="00B80555" w:rsidRPr="00B53F89">
        <w:t xml:space="preserve">spectrum management </w:t>
      </w:r>
      <w:r w:rsidRPr="00B53F89">
        <w:t xml:space="preserve">activities for </w:t>
      </w:r>
      <w:r w:rsidR="003A53AD" w:rsidRPr="00B53F89">
        <w:t xml:space="preserve">the </w:t>
      </w:r>
      <w:r w:rsidR="007B0284" w:rsidRPr="00B53F89">
        <w:t>20</w:t>
      </w:r>
      <w:r w:rsidR="007B0284">
        <w:t>20</w:t>
      </w:r>
      <w:r w:rsidR="00AE2ABA" w:rsidRPr="00B53F89">
        <w:t>–</w:t>
      </w:r>
      <w:r w:rsidR="007B0284" w:rsidRPr="00B53F89">
        <w:t>2</w:t>
      </w:r>
      <w:r w:rsidR="007B0284">
        <w:t>1</w:t>
      </w:r>
      <w:r w:rsidR="007B0284" w:rsidRPr="00B53F89">
        <w:t xml:space="preserve"> </w:t>
      </w:r>
      <w:r w:rsidR="003A53AD" w:rsidRPr="00B53F89">
        <w:t>financial year</w:t>
      </w:r>
      <w:r w:rsidRPr="00B53F89">
        <w:t xml:space="preserve">. </w:t>
      </w:r>
      <w:r w:rsidR="00CA32F1">
        <w:t>Although the FYSO is prepared on a financial year basis, for ease of interpretation</w:t>
      </w:r>
      <w:r w:rsidR="009C042B">
        <w:t>,</w:t>
      </w:r>
      <w:r w:rsidR="00CA32F1">
        <w:t xml:space="preserve"> references to quarter</w:t>
      </w:r>
      <w:r w:rsidR="009C042B">
        <w:t>s</w:t>
      </w:r>
      <w:r w:rsidR="00CA32F1">
        <w:t xml:space="preserve"> are calendar year quarters:</w:t>
      </w:r>
    </w:p>
    <w:p w14:paraId="405725BA" w14:textId="740EAB32" w:rsidR="00CA32F1" w:rsidRPr="00B53F89" w:rsidRDefault="00CA32F1" w:rsidP="0042120B">
      <w:pPr>
        <w:pStyle w:val="Bulletlevel1"/>
      </w:pPr>
      <w:r w:rsidRPr="00B53F89">
        <w:t>quarter 1 (Q1): 1 January</w:t>
      </w:r>
      <w:r w:rsidR="008B02A6">
        <w:t xml:space="preserve"> </w:t>
      </w:r>
      <w:r w:rsidRPr="00B53F89">
        <w:t>–</w:t>
      </w:r>
      <w:r w:rsidR="008B02A6">
        <w:t xml:space="preserve"> </w:t>
      </w:r>
      <w:r w:rsidRPr="00B53F89">
        <w:t xml:space="preserve">31 March </w:t>
      </w:r>
    </w:p>
    <w:p w14:paraId="6A4F2E14" w14:textId="42C9443D" w:rsidR="00CA32F1" w:rsidRPr="00B53F89" w:rsidRDefault="00CA32F1" w:rsidP="0042120B">
      <w:pPr>
        <w:pStyle w:val="Bulletlevel1"/>
      </w:pPr>
      <w:r w:rsidRPr="00B53F89">
        <w:t>quarter 2 (Q2): 1 April</w:t>
      </w:r>
      <w:r w:rsidR="008B02A6">
        <w:t xml:space="preserve"> </w:t>
      </w:r>
      <w:r w:rsidRPr="00B53F89">
        <w:t>–</w:t>
      </w:r>
      <w:r w:rsidR="008B02A6">
        <w:t xml:space="preserve"> </w:t>
      </w:r>
      <w:r w:rsidRPr="00B53F89">
        <w:t xml:space="preserve">30 June </w:t>
      </w:r>
    </w:p>
    <w:p w14:paraId="7AA7A97A" w14:textId="17FA18C9" w:rsidR="00CA32F1" w:rsidRPr="00B53F89" w:rsidRDefault="00CA32F1" w:rsidP="0042120B">
      <w:pPr>
        <w:pStyle w:val="Bulletlevel1"/>
      </w:pPr>
      <w:r w:rsidRPr="00B53F89">
        <w:t>quarter 3 (Q3): 1 July</w:t>
      </w:r>
      <w:r w:rsidR="008B02A6">
        <w:t xml:space="preserve"> </w:t>
      </w:r>
      <w:r w:rsidRPr="00B53F89">
        <w:t>–</w:t>
      </w:r>
      <w:r w:rsidR="008B02A6">
        <w:t xml:space="preserve"> </w:t>
      </w:r>
      <w:r w:rsidRPr="00B53F89">
        <w:t>30 September</w:t>
      </w:r>
    </w:p>
    <w:p w14:paraId="0D1DA2F6" w14:textId="7C4449A9" w:rsidR="00CA32F1" w:rsidRDefault="00CA32F1" w:rsidP="0042120B">
      <w:pPr>
        <w:pStyle w:val="Bulletlevel1last"/>
      </w:pPr>
      <w:r w:rsidRPr="00B53F89">
        <w:t>quarter 4 (Q4): 1 October</w:t>
      </w:r>
      <w:r w:rsidR="008B02A6">
        <w:t xml:space="preserve"> </w:t>
      </w:r>
      <w:r w:rsidRPr="00B53F89">
        <w:t>–</w:t>
      </w:r>
      <w:r w:rsidR="008B02A6">
        <w:t xml:space="preserve"> </w:t>
      </w:r>
      <w:r w:rsidRPr="00B53F89">
        <w:t>31 December.</w:t>
      </w:r>
    </w:p>
    <w:p w14:paraId="6DEAC7A9" w14:textId="615D18F6" w:rsidR="00A57D79" w:rsidRPr="00B53F89" w:rsidRDefault="00B80555" w:rsidP="0042120B">
      <w:pPr>
        <w:pStyle w:val="Paragraphbeforelist"/>
      </w:pPr>
      <w:r w:rsidRPr="00B53F89">
        <w:t xml:space="preserve">The ‘proposed timelines’ column </w:t>
      </w:r>
      <w:r w:rsidR="009C042B">
        <w:t>has</w:t>
      </w:r>
      <w:r w:rsidR="00A57D79" w:rsidRPr="00B53F89">
        <w:t>:</w:t>
      </w:r>
    </w:p>
    <w:p w14:paraId="3EDC4439" w14:textId="32B1D3D4" w:rsidR="00A57D79" w:rsidRPr="00B53F89" w:rsidRDefault="00A57D79" w:rsidP="0042120B">
      <w:pPr>
        <w:pStyle w:val="Bulletlevel1"/>
      </w:pPr>
      <w:r w:rsidRPr="00A01A2B">
        <w:t>t</w:t>
      </w:r>
      <w:r w:rsidR="007D4950" w:rsidRPr="00EF1004">
        <w:t>iming</w:t>
      </w:r>
      <w:r w:rsidR="001A3F7F" w:rsidRPr="00B53F89">
        <w:t xml:space="preserve"> for </w:t>
      </w:r>
      <w:r w:rsidR="009116B7" w:rsidRPr="00B53F89">
        <w:t xml:space="preserve">activities </w:t>
      </w:r>
      <w:r w:rsidR="00B80555" w:rsidRPr="00B53F89">
        <w:t>(</w:t>
      </w:r>
      <w:r w:rsidRPr="00B53F89">
        <w:t>these</w:t>
      </w:r>
      <w:r w:rsidR="007D4950" w:rsidRPr="00B53F89">
        <w:t xml:space="preserve"> may be affected by </w:t>
      </w:r>
      <w:r w:rsidR="001A3F7F" w:rsidRPr="00B53F89">
        <w:t xml:space="preserve">the </w:t>
      </w:r>
      <w:r w:rsidR="007D4950" w:rsidRPr="00B53F89">
        <w:t>progression o</w:t>
      </w:r>
      <w:r w:rsidR="001A3F7F" w:rsidRPr="00B53F89">
        <w:t>f</w:t>
      </w:r>
      <w:r w:rsidR="007D4950" w:rsidRPr="00B53F89">
        <w:t xml:space="preserve"> other projects</w:t>
      </w:r>
      <w:r w:rsidR="00B80555" w:rsidRPr="00B53F89">
        <w:t>)</w:t>
      </w:r>
    </w:p>
    <w:p w14:paraId="24FEF1DF" w14:textId="4B938C21" w:rsidR="00A57D79" w:rsidRPr="00B53F89" w:rsidRDefault="00701F67" w:rsidP="0042120B">
      <w:pPr>
        <w:pStyle w:val="Bulletlevel1last"/>
      </w:pPr>
      <w:r>
        <w:t xml:space="preserve">details of </w:t>
      </w:r>
      <w:r w:rsidR="001A3F7F" w:rsidRPr="00B53F89">
        <w:t>o</w:t>
      </w:r>
      <w:r w:rsidR="009116B7" w:rsidRPr="00B53F89">
        <w:t>pportunities for consultation and engagement</w:t>
      </w:r>
      <w:r w:rsidR="009354DF" w:rsidRPr="00B53F89">
        <w:t>.</w:t>
      </w:r>
      <w:r w:rsidR="00593DA0">
        <w:t xml:space="preserve"> A summary </w:t>
      </w:r>
      <w:r w:rsidR="007E1448">
        <w:t>of</w:t>
      </w:r>
      <w:r w:rsidR="00593DA0">
        <w:t xml:space="preserve"> our planned spectrum consultations for 2020</w:t>
      </w:r>
      <w:r>
        <w:t>–</w:t>
      </w:r>
      <w:r w:rsidR="00593DA0">
        <w:t xml:space="preserve">21 is at </w:t>
      </w:r>
      <w:r w:rsidR="00593DA0" w:rsidRPr="00676612">
        <w:t xml:space="preserve">Table </w:t>
      </w:r>
      <w:r w:rsidR="00676612" w:rsidRPr="00676612">
        <w:t>8</w:t>
      </w:r>
      <w:r w:rsidR="009D60A9" w:rsidRPr="009D60A9">
        <w:t>.</w:t>
      </w:r>
      <w:r w:rsidR="00593DA0">
        <w:t xml:space="preserve"> </w:t>
      </w:r>
    </w:p>
    <w:p w14:paraId="4A33AE4B" w14:textId="3712B0C9" w:rsidR="00276ECF" w:rsidRPr="00454323" w:rsidRDefault="00E059A6" w:rsidP="00513FDE">
      <w:pPr>
        <w:pStyle w:val="ACMATableHeader"/>
      </w:pPr>
      <w:bookmarkStart w:id="34" w:name="_Toc26877562"/>
      <w:r w:rsidRPr="002E5E12">
        <w:t>Planning</w:t>
      </w:r>
      <w:r w:rsidRPr="0099510B">
        <w:t>—major band</w:t>
      </w:r>
      <w:r w:rsidR="00EA305B">
        <w:t>-</w:t>
      </w:r>
      <w:r w:rsidRPr="0099510B">
        <w:t>planning activities</w:t>
      </w:r>
      <w:r w:rsidR="00617B4B">
        <w:t xml:space="preserve"> </w:t>
      </w:r>
      <w:r w:rsidR="008B02A6" w:rsidRPr="006A2F04">
        <w:rPr>
          <w:noProof/>
        </w:rPr>
        <w:drawing>
          <wp:inline distT="0" distB="0" distL="0" distR="0" wp14:anchorId="200034D9" wp14:editId="42F831D0">
            <wp:extent cx="244475" cy="140335"/>
            <wp:effectExtent l="0" t="0" r="3175" b="0"/>
            <wp:docPr id="48" name="Picture 48"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1819"/>
        <w:gridCol w:w="2638"/>
        <w:gridCol w:w="3204"/>
      </w:tblGrid>
      <w:tr w:rsidR="00276ECF" w:rsidRPr="004804C7" w14:paraId="568FE7F0" w14:textId="77777777" w:rsidTr="002A31A0">
        <w:trPr>
          <w:cantSplit/>
          <w:trHeight w:val="293"/>
          <w:tblHeader/>
        </w:trPr>
        <w:tc>
          <w:tcPr>
            <w:tcW w:w="1187" w:type="pct"/>
            <w:shd w:val="clear" w:color="auto" w:fill="404040"/>
          </w:tcPr>
          <w:p w14:paraId="3BB2457C" w14:textId="77777777" w:rsidR="00276ECF" w:rsidRPr="004804C7" w:rsidRDefault="00276ECF" w:rsidP="004234AE">
            <w:pPr>
              <w:spacing w:after="0"/>
              <w:rPr>
                <w:b/>
                <w:color w:val="FFFFFF"/>
              </w:rPr>
            </w:pPr>
            <w:r w:rsidRPr="004804C7">
              <w:rPr>
                <w:b/>
                <w:color w:val="FFFFFF"/>
              </w:rPr>
              <w:t>Planning stage</w:t>
            </w:r>
          </w:p>
        </w:tc>
        <w:tc>
          <w:tcPr>
            <w:tcW w:w="1722" w:type="pct"/>
            <w:shd w:val="clear" w:color="auto" w:fill="404040"/>
          </w:tcPr>
          <w:p w14:paraId="41206AC2" w14:textId="77777777" w:rsidR="00276ECF" w:rsidRPr="004804C7" w:rsidRDefault="00276ECF" w:rsidP="004234AE">
            <w:pPr>
              <w:spacing w:after="0"/>
              <w:rPr>
                <w:b/>
                <w:color w:val="FFFFFF"/>
              </w:rPr>
            </w:pPr>
            <w:r w:rsidRPr="004804C7">
              <w:rPr>
                <w:b/>
                <w:color w:val="FFFFFF"/>
              </w:rPr>
              <w:t>Project priorities</w:t>
            </w:r>
          </w:p>
        </w:tc>
        <w:tc>
          <w:tcPr>
            <w:tcW w:w="2091" w:type="pct"/>
            <w:shd w:val="clear" w:color="auto" w:fill="404040"/>
          </w:tcPr>
          <w:p w14:paraId="13AC5D9C" w14:textId="77777777" w:rsidR="00276ECF" w:rsidRPr="004804C7" w:rsidRDefault="00276ECF" w:rsidP="004234AE">
            <w:pPr>
              <w:spacing w:after="0"/>
              <w:rPr>
                <w:b/>
                <w:color w:val="FFFFFF"/>
              </w:rPr>
            </w:pPr>
            <w:r w:rsidRPr="004804C7">
              <w:rPr>
                <w:b/>
                <w:color w:val="FFFFFF"/>
              </w:rPr>
              <w:t>Proposed timelines</w:t>
            </w:r>
          </w:p>
        </w:tc>
      </w:tr>
      <w:tr w:rsidR="00276ECF" w:rsidRPr="004804C7" w14:paraId="4DE1A4F0" w14:textId="77777777" w:rsidTr="0042120B">
        <w:trPr>
          <w:trHeight w:val="3917"/>
        </w:trPr>
        <w:tc>
          <w:tcPr>
            <w:tcW w:w="1187" w:type="pct"/>
            <w:shd w:val="clear" w:color="auto" w:fill="auto"/>
          </w:tcPr>
          <w:p w14:paraId="69C1B9DA" w14:textId="77777777" w:rsidR="00276ECF" w:rsidRPr="00513FDE" w:rsidRDefault="00276ECF" w:rsidP="00276ECF">
            <w:pPr>
              <w:spacing w:before="100" w:beforeAutospacing="1" w:after="100" w:afterAutospacing="1"/>
              <w:contextualSpacing/>
              <w:mirrorIndents/>
              <w:rPr>
                <w:rFonts w:cs="Arial"/>
                <w:b/>
                <w:bCs/>
                <w:szCs w:val="20"/>
              </w:rPr>
            </w:pPr>
            <w:r w:rsidRPr="00513FDE">
              <w:rPr>
                <w:rFonts w:cs="Arial"/>
                <w:b/>
                <w:bCs/>
                <w:szCs w:val="20"/>
              </w:rPr>
              <w:t>Monitoring</w:t>
            </w:r>
          </w:p>
        </w:tc>
        <w:tc>
          <w:tcPr>
            <w:tcW w:w="1722" w:type="pct"/>
            <w:shd w:val="clear" w:color="auto" w:fill="auto"/>
          </w:tcPr>
          <w:p w14:paraId="4803CDF7" w14:textId="77777777" w:rsidR="00276ECF" w:rsidRPr="004804C7" w:rsidRDefault="00276ECF" w:rsidP="0042120B">
            <w:pPr>
              <w:pStyle w:val="Paragraph"/>
              <w:spacing w:after="120"/>
            </w:pPr>
            <w:r w:rsidRPr="004804C7">
              <w:t>600 MHz (617–698 MHz)</w:t>
            </w:r>
          </w:p>
          <w:p w14:paraId="2FFB49DC" w14:textId="77777777" w:rsidR="00276ECF" w:rsidRPr="004804C7" w:rsidRDefault="00276ECF" w:rsidP="0042120B">
            <w:pPr>
              <w:pStyle w:val="Paragraph"/>
              <w:spacing w:after="120"/>
            </w:pPr>
            <w:r w:rsidRPr="004804C7">
              <w:t>3.3 GHz (3300–3400 MHz)</w:t>
            </w:r>
          </w:p>
          <w:p w14:paraId="564D3BB6" w14:textId="77777777" w:rsidR="00276ECF" w:rsidRPr="004804C7" w:rsidRDefault="00276ECF" w:rsidP="0042120B">
            <w:pPr>
              <w:pStyle w:val="Paragraph"/>
              <w:spacing w:after="120"/>
            </w:pPr>
            <w:r w:rsidRPr="004804C7">
              <w:t>4.5 GHz (4400–4500 MHz)</w:t>
            </w:r>
          </w:p>
          <w:p w14:paraId="772E5A04" w14:textId="77777777" w:rsidR="001B081A" w:rsidRDefault="00276ECF" w:rsidP="0042120B">
            <w:pPr>
              <w:pStyle w:val="Paragraph"/>
              <w:spacing w:after="120"/>
            </w:pPr>
            <w:r w:rsidRPr="004804C7">
              <w:t>4.8 GHz (4800–4990 MHz)</w:t>
            </w:r>
          </w:p>
          <w:p w14:paraId="6CC6E252" w14:textId="77777777" w:rsidR="003960C1" w:rsidRDefault="001B081A" w:rsidP="0042120B">
            <w:pPr>
              <w:pStyle w:val="Paragraph"/>
              <w:spacing w:after="120"/>
            </w:pPr>
            <w:r>
              <w:t>13 GHz</w:t>
            </w:r>
            <w:r w:rsidR="00276ECF" w:rsidRPr="004804C7">
              <w:t xml:space="preserve"> </w:t>
            </w:r>
            <w:r w:rsidR="00932E7D">
              <w:t>(12.75–13.25 GHz)</w:t>
            </w:r>
            <w:r w:rsidR="00DB68CE">
              <w:t xml:space="preserve"> </w:t>
            </w:r>
          </w:p>
          <w:p w14:paraId="3ACD5073" w14:textId="43D5666B" w:rsidR="00276ECF" w:rsidRPr="003730E3" w:rsidRDefault="00092298" w:rsidP="0042120B">
            <w:pPr>
              <w:pStyle w:val="Paragraph"/>
              <w:spacing w:after="120"/>
            </w:pPr>
            <w:r>
              <w:t>40 GHz (</w:t>
            </w:r>
            <w:r w:rsidR="00276ECF" w:rsidRPr="003730E3">
              <w:t>37</w:t>
            </w:r>
            <w:r w:rsidR="00701F67" w:rsidRPr="004804C7">
              <w:t>–</w:t>
            </w:r>
            <w:r w:rsidR="00276ECF" w:rsidRPr="003730E3">
              <w:t>43.5 GHz</w:t>
            </w:r>
            <w:r>
              <w:t>)</w:t>
            </w:r>
            <w:r w:rsidR="00276ECF" w:rsidRPr="003730E3">
              <w:t xml:space="preserve"> </w:t>
            </w:r>
          </w:p>
          <w:p w14:paraId="71942C35" w14:textId="3950AC03" w:rsidR="00276ECF" w:rsidRPr="003730E3" w:rsidRDefault="00092298" w:rsidP="0042120B">
            <w:pPr>
              <w:pStyle w:val="Paragraph"/>
              <w:spacing w:after="120"/>
            </w:pPr>
            <w:r>
              <w:t>46 GHz (</w:t>
            </w:r>
            <w:r w:rsidR="00276ECF" w:rsidRPr="003730E3">
              <w:t>45.5</w:t>
            </w:r>
            <w:r w:rsidR="00701F67" w:rsidRPr="004804C7">
              <w:t>–</w:t>
            </w:r>
            <w:r w:rsidR="00276ECF" w:rsidRPr="003730E3">
              <w:t>47 GHz</w:t>
            </w:r>
            <w:r>
              <w:t>)</w:t>
            </w:r>
            <w:r w:rsidR="00276ECF" w:rsidRPr="003730E3">
              <w:t xml:space="preserve"> </w:t>
            </w:r>
          </w:p>
          <w:p w14:paraId="5C70E4B0" w14:textId="66E3C45B" w:rsidR="00276ECF" w:rsidRPr="004804C7" w:rsidRDefault="004B3D09" w:rsidP="0042120B">
            <w:pPr>
              <w:pStyle w:val="Paragraph"/>
              <w:spacing w:after="120"/>
            </w:pPr>
            <w:r>
              <w:t>47 GHz (</w:t>
            </w:r>
            <w:r w:rsidR="00276ECF" w:rsidRPr="003730E3">
              <w:t>47.2</w:t>
            </w:r>
            <w:r w:rsidR="00701F67" w:rsidRPr="004804C7">
              <w:t>–</w:t>
            </w:r>
            <w:r w:rsidR="00276ECF" w:rsidRPr="003730E3">
              <w:t>48.2 GHz</w:t>
            </w:r>
            <w:r>
              <w:t>)</w:t>
            </w:r>
            <w:r w:rsidR="00276ECF" w:rsidRPr="003730E3">
              <w:t xml:space="preserve"> </w:t>
            </w:r>
          </w:p>
          <w:p w14:paraId="56F0B945" w14:textId="77777777" w:rsidR="00276ECF" w:rsidRDefault="00276ECF" w:rsidP="0042120B">
            <w:pPr>
              <w:pStyle w:val="Paragraph"/>
              <w:spacing w:after="120"/>
            </w:pPr>
            <w:r w:rsidRPr="004804C7">
              <w:t>Bands being studied under WRC-</w:t>
            </w:r>
            <w:r>
              <w:t>23</w:t>
            </w:r>
            <w:r w:rsidRPr="004804C7">
              <w:t xml:space="preserve"> agenda item 1.</w:t>
            </w:r>
            <w:r>
              <w:t>2</w:t>
            </w:r>
          </w:p>
          <w:p w14:paraId="6C007317" w14:textId="34B02999" w:rsidR="00A13454" w:rsidRPr="004804C7" w:rsidRDefault="00276ECF" w:rsidP="0042120B">
            <w:pPr>
              <w:pStyle w:val="Paragraph"/>
              <w:spacing w:after="0"/>
            </w:pPr>
            <w:r w:rsidRPr="00BD49AC">
              <w:t xml:space="preserve">Bands </w:t>
            </w:r>
            <w:r>
              <w:t xml:space="preserve">being </w:t>
            </w:r>
            <w:r w:rsidRPr="00BD49AC">
              <w:t>studied under WRC-23 agenda item 1.4</w:t>
            </w:r>
          </w:p>
        </w:tc>
        <w:tc>
          <w:tcPr>
            <w:tcW w:w="2091" w:type="pct"/>
            <w:shd w:val="clear" w:color="auto" w:fill="auto"/>
          </w:tcPr>
          <w:p w14:paraId="684C3031" w14:textId="448C2FB4" w:rsidR="00A13454" w:rsidRPr="004804C7" w:rsidRDefault="00276ECF" w:rsidP="00276ECF">
            <w:pPr>
              <w:spacing w:before="100" w:beforeAutospacing="1" w:after="100" w:afterAutospacing="1"/>
              <w:contextualSpacing/>
              <w:mirrorIndents/>
              <w:rPr>
                <w:rFonts w:cs="Arial"/>
                <w:szCs w:val="20"/>
              </w:rPr>
            </w:pPr>
            <w:r w:rsidRPr="004804C7">
              <w:t>Continue to monitor domestic and international developments in these bands to identify usage trends</w:t>
            </w:r>
          </w:p>
        </w:tc>
      </w:tr>
      <w:tr w:rsidR="00594A62" w:rsidRPr="004804C7" w14:paraId="2E4FF817" w14:textId="77777777" w:rsidTr="0010018E">
        <w:trPr>
          <w:trHeight w:val="424"/>
        </w:trPr>
        <w:tc>
          <w:tcPr>
            <w:tcW w:w="1187" w:type="pct"/>
            <w:vMerge w:val="restart"/>
            <w:shd w:val="clear" w:color="auto" w:fill="F2F2F2" w:themeFill="background1" w:themeFillShade="F2"/>
          </w:tcPr>
          <w:p w14:paraId="5FECA761" w14:textId="69675CAC" w:rsidR="00594A62" w:rsidRDefault="00594A62" w:rsidP="00A46CC0">
            <w:pPr>
              <w:spacing w:before="100" w:beforeAutospacing="1" w:after="100" w:afterAutospacing="1"/>
              <w:contextualSpacing/>
              <w:mirrorIndents/>
              <w:rPr>
                <w:rFonts w:cs="Arial"/>
                <w:b/>
                <w:bCs/>
                <w:szCs w:val="20"/>
              </w:rPr>
            </w:pPr>
            <w:r>
              <w:rPr>
                <w:rFonts w:cs="Arial"/>
                <w:b/>
                <w:bCs/>
                <w:szCs w:val="20"/>
              </w:rPr>
              <w:t>Initial investigation</w:t>
            </w:r>
          </w:p>
        </w:tc>
        <w:tc>
          <w:tcPr>
            <w:tcW w:w="1722" w:type="pct"/>
            <w:shd w:val="clear" w:color="auto" w:fill="F2F2F2" w:themeFill="background1" w:themeFillShade="F2"/>
          </w:tcPr>
          <w:p w14:paraId="14DE2874" w14:textId="3A4557B6" w:rsidR="00594A62" w:rsidRDefault="00594A62" w:rsidP="00A46CC0">
            <w:pPr>
              <w:spacing w:after="0"/>
              <w:mirrorIndents/>
              <w:rPr>
                <w:noProof/>
              </w:rPr>
            </w:pPr>
            <w:r>
              <w:rPr>
                <w:rFonts w:cs="Arial"/>
                <w:szCs w:val="20"/>
              </w:rPr>
              <w:t>‘</w:t>
            </w:r>
            <w:r w:rsidRPr="001B081A">
              <w:rPr>
                <w:rFonts w:cs="Arial"/>
                <w:szCs w:val="20"/>
              </w:rPr>
              <w:t>Extended MSS L-band’ (1518–1525 MHz and 1668–1675 MHz)</w:t>
            </w:r>
          </w:p>
        </w:tc>
        <w:tc>
          <w:tcPr>
            <w:tcW w:w="2091" w:type="pct"/>
            <w:shd w:val="clear" w:color="auto" w:fill="F2F2F2" w:themeFill="background1" w:themeFillShade="F2"/>
          </w:tcPr>
          <w:p w14:paraId="29C2B96B" w14:textId="6314EB7B" w:rsidR="00594A62" w:rsidRDefault="00E330F9" w:rsidP="00A46CC0">
            <w:pPr>
              <w:spacing w:after="0" w:line="240" w:lineRule="auto"/>
            </w:pPr>
            <w:r>
              <w:rPr>
                <w:noProof/>
              </w:rPr>
              <w:drawing>
                <wp:inline distT="0" distB="0" distL="0" distR="0" wp14:anchorId="554EA23A" wp14:editId="12C41A0C">
                  <wp:extent cx="243840" cy="140335"/>
                  <wp:effectExtent l="0" t="0" r="3810" b="0"/>
                  <wp:docPr id="255" name="Picture 2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Picture 255">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594A62">
              <w:t>Not scheduled for 2020</w:t>
            </w:r>
            <w:r w:rsidR="008B02A6" w:rsidRPr="001B081A">
              <w:rPr>
                <w:rFonts w:cs="Arial"/>
                <w:szCs w:val="20"/>
              </w:rPr>
              <w:t>–</w:t>
            </w:r>
            <w:r w:rsidR="00594A62">
              <w:t xml:space="preserve">21. </w:t>
            </w:r>
            <w:r w:rsidR="00594A62">
              <w:rPr>
                <w:rFonts w:cs="Arial"/>
                <w:szCs w:val="20"/>
              </w:rPr>
              <w:t xml:space="preserve">Likely </w:t>
            </w:r>
            <w:r w:rsidR="00594A62" w:rsidRPr="00787FBE">
              <w:rPr>
                <w:rFonts w:cs="Arial"/>
                <w:szCs w:val="20"/>
              </w:rPr>
              <w:t xml:space="preserve">simultaneous review of the extended </w:t>
            </w:r>
            <w:r w:rsidR="00594A62" w:rsidRPr="00C14DAE">
              <w:t>MSS</w:t>
            </w:r>
            <w:r w:rsidR="00594A62" w:rsidRPr="00787FBE">
              <w:rPr>
                <w:rFonts w:cs="Arial"/>
                <w:szCs w:val="20"/>
              </w:rPr>
              <w:t xml:space="preserve"> L-band and the 1.5 GHz bands</w:t>
            </w:r>
          </w:p>
        </w:tc>
      </w:tr>
      <w:tr w:rsidR="00594A62" w:rsidRPr="004804C7" w14:paraId="13392670" w14:textId="77777777" w:rsidTr="00447F93">
        <w:trPr>
          <w:trHeight w:val="208"/>
        </w:trPr>
        <w:tc>
          <w:tcPr>
            <w:tcW w:w="1187" w:type="pct"/>
            <w:vMerge/>
            <w:shd w:val="clear" w:color="auto" w:fill="F2F2F2" w:themeFill="background1" w:themeFillShade="F2"/>
          </w:tcPr>
          <w:p w14:paraId="556AA698" w14:textId="0D691DD7" w:rsidR="00594A62" w:rsidRPr="00513FDE" w:rsidRDefault="00594A62" w:rsidP="00A46CC0">
            <w:pPr>
              <w:spacing w:before="100" w:beforeAutospacing="1" w:after="100" w:afterAutospacing="1"/>
              <w:contextualSpacing/>
              <w:mirrorIndents/>
              <w:rPr>
                <w:rFonts w:cs="Arial"/>
                <w:b/>
                <w:bCs/>
                <w:szCs w:val="20"/>
              </w:rPr>
            </w:pPr>
          </w:p>
        </w:tc>
        <w:tc>
          <w:tcPr>
            <w:tcW w:w="1722" w:type="pct"/>
            <w:shd w:val="clear" w:color="auto" w:fill="F2F2F2" w:themeFill="background1" w:themeFillShade="F2"/>
          </w:tcPr>
          <w:p w14:paraId="7785EF34" w14:textId="1A1F1727" w:rsidR="00594A62" w:rsidRDefault="00594A62" w:rsidP="00A46CC0">
            <w:pPr>
              <w:spacing w:after="0"/>
              <w:mirrorIndents/>
              <w:rPr>
                <w:rFonts w:cs="Arial"/>
                <w:szCs w:val="20"/>
              </w:rPr>
            </w:pPr>
            <w:r>
              <w:rPr>
                <w:noProof/>
              </w:rPr>
              <w:drawing>
                <wp:inline distT="0" distB="0" distL="0" distR="0" wp14:anchorId="35C7F734" wp14:editId="082808C4">
                  <wp:extent cx="243840" cy="140335"/>
                  <wp:effectExtent l="0" t="0" r="3810" b="0"/>
                  <wp:docPr id="236" name="Picture 2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Picture 236">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Pr>
                <w:rFonts w:cs="Arial"/>
                <w:szCs w:val="20"/>
              </w:rPr>
              <w:t xml:space="preserve">  </w:t>
            </w:r>
            <w:r w:rsidRPr="004804C7">
              <w:rPr>
                <w:rFonts w:cs="Arial"/>
                <w:szCs w:val="20"/>
              </w:rPr>
              <w:t>1</w:t>
            </w:r>
            <w:r>
              <w:rPr>
                <w:rFonts w:cs="Arial"/>
                <w:szCs w:val="20"/>
              </w:rPr>
              <w:t>880</w:t>
            </w:r>
            <w:r w:rsidRPr="004804C7">
              <w:rPr>
                <w:rFonts w:cs="Arial"/>
                <w:szCs w:val="20"/>
              </w:rPr>
              <w:t>–1920 MHz</w:t>
            </w:r>
          </w:p>
        </w:tc>
        <w:tc>
          <w:tcPr>
            <w:tcW w:w="2091" w:type="pct"/>
            <w:shd w:val="clear" w:color="auto" w:fill="F2F2F2" w:themeFill="background1" w:themeFillShade="F2"/>
          </w:tcPr>
          <w:p w14:paraId="6836A3DC" w14:textId="1649CA99" w:rsidR="00594A62" w:rsidRDefault="00594A62" w:rsidP="00A46CC0">
            <w:pPr>
              <w:spacing w:after="0" w:line="240" w:lineRule="auto"/>
            </w:pPr>
            <w:r>
              <w:t>Q2 2021: Discussion paper</w:t>
            </w:r>
          </w:p>
        </w:tc>
      </w:tr>
      <w:tr w:rsidR="00594A62" w:rsidRPr="004804C7" w14:paraId="520BCE92" w14:textId="77777777" w:rsidTr="00447F93">
        <w:trPr>
          <w:trHeight w:val="302"/>
        </w:trPr>
        <w:tc>
          <w:tcPr>
            <w:tcW w:w="1187" w:type="pct"/>
            <w:vMerge/>
            <w:shd w:val="clear" w:color="auto" w:fill="F2F2F2" w:themeFill="background1" w:themeFillShade="F2"/>
          </w:tcPr>
          <w:p w14:paraId="065B714D" w14:textId="77777777" w:rsidR="00594A62" w:rsidRPr="004804C7" w:rsidRDefault="00594A62" w:rsidP="00276ECF">
            <w:pPr>
              <w:spacing w:before="100" w:beforeAutospacing="1" w:after="100" w:afterAutospacing="1"/>
              <w:contextualSpacing/>
              <w:mirrorIndents/>
              <w:rPr>
                <w:rFonts w:cs="Arial"/>
                <w:szCs w:val="20"/>
              </w:rPr>
            </w:pPr>
          </w:p>
        </w:tc>
        <w:tc>
          <w:tcPr>
            <w:tcW w:w="1722" w:type="pct"/>
            <w:shd w:val="clear" w:color="auto" w:fill="F2F2F2" w:themeFill="background1" w:themeFillShade="F2"/>
          </w:tcPr>
          <w:p w14:paraId="7D1648CC" w14:textId="66801D0E" w:rsidR="00594A62" w:rsidRDefault="00594A62" w:rsidP="00A06D46">
            <w:pPr>
              <w:spacing w:after="0"/>
              <w:mirrorIndents/>
              <w:rPr>
                <w:rFonts w:cs="Arial"/>
                <w:szCs w:val="20"/>
              </w:rPr>
            </w:pPr>
            <w:r>
              <w:rPr>
                <w:rFonts w:cs="Arial"/>
                <w:szCs w:val="20"/>
              </w:rPr>
              <w:t>2300</w:t>
            </w:r>
            <w:r w:rsidRPr="004804C7">
              <w:rPr>
                <w:rFonts w:cs="Arial"/>
                <w:szCs w:val="20"/>
              </w:rPr>
              <w:t>–</w:t>
            </w:r>
            <w:r>
              <w:rPr>
                <w:rFonts w:cs="Arial"/>
                <w:szCs w:val="20"/>
              </w:rPr>
              <w:t>2302 MHz</w:t>
            </w:r>
          </w:p>
        </w:tc>
        <w:tc>
          <w:tcPr>
            <w:tcW w:w="2091" w:type="pct"/>
            <w:shd w:val="clear" w:color="auto" w:fill="F2F2F2" w:themeFill="background1" w:themeFillShade="F2"/>
          </w:tcPr>
          <w:p w14:paraId="5AF3B24B" w14:textId="7A3C3E66" w:rsidR="00594A62" w:rsidRPr="00397054" w:rsidDel="008C4798" w:rsidRDefault="00594A62" w:rsidP="00C14DAE">
            <w:pPr>
              <w:spacing w:after="0" w:line="240" w:lineRule="auto"/>
            </w:pPr>
            <w:r>
              <w:rPr>
                <w:noProof/>
              </w:rPr>
              <w:drawing>
                <wp:inline distT="0" distB="0" distL="0" distR="0" wp14:anchorId="0BFF74E5" wp14:editId="02E508D8">
                  <wp:extent cx="243840" cy="140335"/>
                  <wp:effectExtent l="0" t="0" r="3810" b="0"/>
                  <wp:docPr id="240" name="Picture 2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Picture 240">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Not scheduled for 2020</w:t>
            </w:r>
            <w:r w:rsidR="008B02A6" w:rsidRPr="001B081A">
              <w:rPr>
                <w:rFonts w:cs="Arial"/>
                <w:szCs w:val="20"/>
              </w:rPr>
              <w:t>–</w:t>
            </w:r>
            <w:r>
              <w:t>21</w:t>
            </w:r>
          </w:p>
        </w:tc>
      </w:tr>
      <w:tr w:rsidR="00594A62" w:rsidRPr="004804C7" w14:paraId="04F1B234" w14:textId="77777777" w:rsidTr="00C254B9">
        <w:trPr>
          <w:trHeight w:val="122"/>
        </w:trPr>
        <w:tc>
          <w:tcPr>
            <w:tcW w:w="1187" w:type="pct"/>
            <w:vMerge/>
            <w:shd w:val="clear" w:color="auto" w:fill="F2F2F2" w:themeFill="background1" w:themeFillShade="F2"/>
          </w:tcPr>
          <w:p w14:paraId="16052F42" w14:textId="77777777" w:rsidR="00594A62" w:rsidRPr="004804C7" w:rsidRDefault="00594A62" w:rsidP="00276ECF">
            <w:pPr>
              <w:spacing w:before="100" w:beforeAutospacing="1" w:after="100" w:afterAutospacing="1"/>
              <w:contextualSpacing/>
              <w:mirrorIndents/>
              <w:rPr>
                <w:rFonts w:cs="Arial"/>
                <w:szCs w:val="20"/>
              </w:rPr>
            </w:pPr>
          </w:p>
        </w:tc>
        <w:tc>
          <w:tcPr>
            <w:tcW w:w="1722" w:type="pct"/>
            <w:shd w:val="clear" w:color="auto" w:fill="F2F2F2" w:themeFill="background1" w:themeFillShade="F2"/>
          </w:tcPr>
          <w:p w14:paraId="5FF2A20F" w14:textId="3AE17B1F" w:rsidR="00594A62" w:rsidRDefault="00594A62" w:rsidP="00701F67">
            <w:pPr>
              <w:spacing w:after="0"/>
              <w:mirrorIndents/>
              <w:rPr>
                <w:rFonts w:cs="Arial"/>
                <w:szCs w:val="20"/>
              </w:rPr>
            </w:pPr>
            <w:r>
              <w:rPr>
                <w:noProof/>
              </w:rPr>
              <w:drawing>
                <wp:inline distT="0" distB="0" distL="0" distR="0" wp14:anchorId="2F4A2A60" wp14:editId="2790FE71">
                  <wp:extent cx="243840" cy="140335"/>
                  <wp:effectExtent l="0" t="0" r="3810" b="0"/>
                  <wp:docPr id="253" name="Picture 25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Picture 253">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Pr>
                <w:rFonts w:cs="Arial"/>
                <w:szCs w:val="20"/>
              </w:rPr>
              <w:t xml:space="preserve">  6 GHz </w:t>
            </w:r>
            <w:r w:rsidR="004C6780">
              <w:rPr>
                <w:rFonts w:cs="Arial"/>
                <w:szCs w:val="20"/>
              </w:rPr>
              <w:t>(</w:t>
            </w:r>
            <w:r w:rsidR="004C6780" w:rsidRPr="004C6780">
              <w:rPr>
                <w:rFonts w:cs="Arial"/>
                <w:szCs w:val="20"/>
              </w:rPr>
              <w:t>Radio Local Area Networks (RLANs)</w:t>
            </w:r>
            <w:r w:rsidR="004C6780">
              <w:rPr>
                <w:rFonts w:cs="Arial"/>
                <w:szCs w:val="20"/>
              </w:rPr>
              <w:t>)</w:t>
            </w:r>
          </w:p>
        </w:tc>
        <w:tc>
          <w:tcPr>
            <w:tcW w:w="2091" w:type="pct"/>
            <w:shd w:val="clear" w:color="auto" w:fill="F2F2F2" w:themeFill="background1" w:themeFillShade="F2"/>
          </w:tcPr>
          <w:p w14:paraId="7A40044B" w14:textId="426CED37" w:rsidR="00594A62" w:rsidRPr="004804C7" w:rsidRDefault="008B02A6" w:rsidP="00C14DAE">
            <w:pPr>
              <w:spacing w:after="0" w:line="240" w:lineRule="auto"/>
              <w:rPr>
                <w:rFonts w:cs="Arial"/>
                <w:szCs w:val="20"/>
              </w:rPr>
            </w:pPr>
            <w:r>
              <w:t xml:space="preserve">Q4 2020: </w:t>
            </w:r>
            <w:r w:rsidR="00594A62">
              <w:t xml:space="preserve">Discussion paper </w:t>
            </w:r>
          </w:p>
        </w:tc>
      </w:tr>
      <w:tr w:rsidR="00276ECF" w:rsidRPr="004804C7" w14:paraId="46063E0F" w14:textId="77777777" w:rsidTr="002A31A0">
        <w:trPr>
          <w:trHeight w:val="374"/>
        </w:trPr>
        <w:tc>
          <w:tcPr>
            <w:tcW w:w="1187" w:type="pct"/>
            <w:vMerge w:val="restart"/>
            <w:shd w:val="clear" w:color="auto" w:fill="auto"/>
          </w:tcPr>
          <w:p w14:paraId="6CD08F5F" w14:textId="199C61D2" w:rsidR="00276ECF" w:rsidRPr="00513FDE" w:rsidRDefault="00276ECF" w:rsidP="00294DB6">
            <w:pPr>
              <w:keepNext/>
              <w:keepLines/>
              <w:spacing w:before="100" w:beforeAutospacing="1" w:after="100" w:afterAutospacing="1"/>
              <w:contextualSpacing/>
              <w:mirrorIndents/>
              <w:rPr>
                <w:rFonts w:cs="Arial"/>
                <w:b/>
                <w:bCs/>
                <w:szCs w:val="20"/>
              </w:rPr>
            </w:pPr>
            <w:r w:rsidRPr="00513FDE">
              <w:rPr>
                <w:rFonts w:cs="Arial"/>
                <w:b/>
                <w:bCs/>
                <w:szCs w:val="20"/>
              </w:rPr>
              <w:lastRenderedPageBreak/>
              <w:t>Preliminary replanning</w:t>
            </w:r>
          </w:p>
        </w:tc>
        <w:tc>
          <w:tcPr>
            <w:tcW w:w="1722" w:type="pct"/>
            <w:shd w:val="clear" w:color="auto" w:fill="auto"/>
          </w:tcPr>
          <w:p w14:paraId="18191604" w14:textId="7D0E381F" w:rsidR="00276ECF" w:rsidRPr="004804C7" w:rsidRDefault="00103E2B" w:rsidP="00294DB6">
            <w:pPr>
              <w:keepNext/>
              <w:keepLines/>
              <w:spacing w:after="0" w:line="240" w:lineRule="auto"/>
            </w:pPr>
            <w:r>
              <w:t>1.5 GHz</w:t>
            </w:r>
            <w:r w:rsidR="003525AB">
              <w:t xml:space="preserve"> (1427–1518 MHz)</w:t>
            </w:r>
          </w:p>
        </w:tc>
        <w:tc>
          <w:tcPr>
            <w:tcW w:w="2091" w:type="pct"/>
            <w:shd w:val="clear" w:color="auto" w:fill="auto"/>
          </w:tcPr>
          <w:p w14:paraId="156E5D84" w14:textId="34185DC0" w:rsidR="00276ECF" w:rsidRPr="004804C7" w:rsidRDefault="00BB3D2D" w:rsidP="00294DB6">
            <w:pPr>
              <w:keepNext/>
              <w:keepLines/>
              <w:spacing w:after="0" w:line="240" w:lineRule="auto"/>
            </w:pPr>
            <w:r>
              <w:rPr>
                <w:noProof/>
              </w:rPr>
              <w:drawing>
                <wp:inline distT="0" distB="0" distL="0" distR="0" wp14:anchorId="0FEA37D8" wp14:editId="007E02D5">
                  <wp:extent cx="243840" cy="140335"/>
                  <wp:effectExtent l="0" t="0" r="3810" b="0"/>
                  <wp:docPr id="254" name="Picture 2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Picture 254">
                            <a:extLst>
                              <a:ext uri="{C183D7F6-B498-43B3-948B-1728B52AA6E4}">
                                <adec:decorative xmlns:adec="http://schemas.microsoft.com/office/drawing/2017/decorative" val="1"/>
                              </a:ext>
                            </a:extLst>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1145AF">
              <w:t>Not scheduled for 2020</w:t>
            </w:r>
            <w:r w:rsidR="008B02A6" w:rsidRPr="004804C7">
              <w:rPr>
                <w:rFonts w:cs="Arial"/>
                <w:szCs w:val="20"/>
              </w:rPr>
              <w:t>–</w:t>
            </w:r>
            <w:r w:rsidR="001145AF">
              <w:t>21</w:t>
            </w:r>
            <w:r w:rsidR="008C4798">
              <w:t xml:space="preserve">. </w:t>
            </w:r>
            <w:r w:rsidR="008C4798">
              <w:rPr>
                <w:rFonts w:cs="Arial"/>
                <w:szCs w:val="20"/>
              </w:rPr>
              <w:t xml:space="preserve">Likely </w:t>
            </w:r>
            <w:r w:rsidR="008C4798" w:rsidRPr="00787FBE">
              <w:rPr>
                <w:rFonts w:cs="Arial"/>
                <w:szCs w:val="20"/>
              </w:rPr>
              <w:t xml:space="preserve">simultaneous review </w:t>
            </w:r>
            <w:r w:rsidR="008C4798">
              <w:rPr>
                <w:rFonts w:cs="Arial"/>
                <w:szCs w:val="20"/>
              </w:rPr>
              <w:t>with</w:t>
            </w:r>
            <w:r w:rsidR="008C4798" w:rsidRPr="00787FBE">
              <w:rPr>
                <w:rFonts w:cs="Arial"/>
                <w:szCs w:val="20"/>
              </w:rPr>
              <w:t xml:space="preserve"> the extended </w:t>
            </w:r>
            <w:r w:rsidR="008C4798" w:rsidRPr="00C14DAE">
              <w:t>MSS</w:t>
            </w:r>
            <w:r w:rsidR="008C4798" w:rsidRPr="00787FBE">
              <w:rPr>
                <w:rFonts w:cs="Arial"/>
                <w:szCs w:val="20"/>
              </w:rPr>
              <w:t xml:space="preserve"> L-band and the 1.5 GHz bands</w:t>
            </w:r>
          </w:p>
        </w:tc>
      </w:tr>
      <w:tr w:rsidR="00276ECF" w:rsidRPr="004804C7" w14:paraId="3252EC24" w14:textId="77777777" w:rsidTr="002A31A0">
        <w:trPr>
          <w:trHeight w:val="353"/>
        </w:trPr>
        <w:tc>
          <w:tcPr>
            <w:tcW w:w="1187" w:type="pct"/>
            <w:vMerge/>
            <w:shd w:val="clear" w:color="auto" w:fill="auto"/>
          </w:tcPr>
          <w:p w14:paraId="7887AC9F" w14:textId="77777777" w:rsidR="00276ECF" w:rsidRPr="00513FDE" w:rsidRDefault="00276ECF" w:rsidP="00294DB6">
            <w:pPr>
              <w:keepNext/>
              <w:keepLines/>
              <w:spacing w:before="100" w:beforeAutospacing="1" w:after="100" w:afterAutospacing="1"/>
              <w:contextualSpacing/>
              <w:mirrorIndents/>
              <w:rPr>
                <w:rFonts w:cs="Arial"/>
                <w:b/>
                <w:bCs/>
                <w:szCs w:val="20"/>
              </w:rPr>
            </w:pPr>
          </w:p>
        </w:tc>
        <w:tc>
          <w:tcPr>
            <w:tcW w:w="1722" w:type="pct"/>
            <w:shd w:val="clear" w:color="auto" w:fill="auto"/>
          </w:tcPr>
          <w:p w14:paraId="07F6548A" w14:textId="3F6FC1F4" w:rsidR="00276ECF" w:rsidRPr="004804C7" w:rsidRDefault="00F419EC" w:rsidP="00294DB6">
            <w:pPr>
              <w:keepNext/>
              <w:keepLines/>
              <w:spacing w:after="0" w:line="240" w:lineRule="auto"/>
            </w:pPr>
            <w:r w:rsidRPr="004804C7">
              <w:rPr>
                <w:rFonts w:cs="Arial"/>
                <w:szCs w:val="20"/>
              </w:rPr>
              <w:t>2 GHz (1980–2010 MHz and 2170–2200 MHz)</w:t>
            </w:r>
          </w:p>
        </w:tc>
        <w:tc>
          <w:tcPr>
            <w:tcW w:w="2091" w:type="pct"/>
            <w:shd w:val="clear" w:color="auto" w:fill="auto"/>
          </w:tcPr>
          <w:p w14:paraId="67A1C573" w14:textId="71D16008" w:rsidR="00163BE3" w:rsidRPr="00294DB6" w:rsidRDefault="004C08FF" w:rsidP="00294DB6">
            <w:pPr>
              <w:keepNext/>
              <w:keepLines/>
              <w:spacing w:after="120" w:line="240" w:lineRule="auto"/>
            </w:pPr>
            <w:r>
              <w:pict w14:anchorId="314073A4">
                <v:shape id="_x0000_i1029" type="#_x0000_t75" alt="Image says changed" style="width:19.5pt;height:11.25pt;visibility:visible;mso-wrap-style:square;mso-position-horizontal:absolute">
                  <v:imagedata r:id="rId44" o:title=""/>
                </v:shape>
              </w:pict>
            </w:r>
            <w:r w:rsidR="00294DB6">
              <w:t xml:space="preserve"> </w:t>
            </w:r>
            <w:r w:rsidR="00163BE3" w:rsidRPr="00294DB6">
              <w:t>Q</w:t>
            </w:r>
            <w:r w:rsidR="00407266" w:rsidRPr="00294DB6">
              <w:t>4</w:t>
            </w:r>
            <w:r w:rsidR="00F419EC" w:rsidRPr="00294DB6">
              <w:t xml:space="preserve"> 2020: Options </w:t>
            </w:r>
            <w:r w:rsidR="00163BE3" w:rsidRPr="00294DB6">
              <w:t>paper</w:t>
            </w:r>
          </w:p>
          <w:p w14:paraId="1015E084" w14:textId="6786BF31" w:rsidR="00276ECF" w:rsidRPr="00294DB6" w:rsidRDefault="008F0CFA" w:rsidP="00294DB6">
            <w:pPr>
              <w:keepNext/>
              <w:keepLines/>
              <w:spacing w:after="0" w:line="240" w:lineRule="auto"/>
            </w:pPr>
            <w:r w:rsidRPr="00294DB6">
              <w:t>Q</w:t>
            </w:r>
            <w:r w:rsidR="00EC4E71" w:rsidRPr="00294DB6">
              <w:t>4</w:t>
            </w:r>
            <w:r w:rsidR="00F419EC" w:rsidRPr="00294DB6">
              <w:t xml:space="preserve"> 2020: </w:t>
            </w:r>
            <w:r w:rsidR="00EC4E71" w:rsidRPr="00294DB6">
              <w:t xml:space="preserve">Planning decision </w:t>
            </w:r>
            <w:r w:rsidR="00701F67" w:rsidRPr="00294DB6">
              <w:t>p</w:t>
            </w:r>
            <w:r w:rsidR="00F419EC" w:rsidRPr="00294DB6">
              <w:t>aper</w:t>
            </w:r>
          </w:p>
        </w:tc>
      </w:tr>
      <w:tr w:rsidR="00F419EC" w:rsidRPr="004804C7" w14:paraId="6010E13A" w14:textId="77777777" w:rsidTr="002A31A0">
        <w:trPr>
          <w:trHeight w:val="353"/>
        </w:trPr>
        <w:tc>
          <w:tcPr>
            <w:tcW w:w="1187" w:type="pct"/>
            <w:vMerge/>
            <w:shd w:val="clear" w:color="auto" w:fill="auto"/>
          </w:tcPr>
          <w:p w14:paraId="542D97BE" w14:textId="77777777" w:rsidR="00F419EC" w:rsidRPr="00513FDE" w:rsidRDefault="00F419EC" w:rsidP="00294DB6">
            <w:pPr>
              <w:keepNext/>
              <w:keepLines/>
              <w:spacing w:before="100" w:beforeAutospacing="1" w:after="100" w:afterAutospacing="1"/>
              <w:contextualSpacing/>
              <w:mirrorIndents/>
              <w:rPr>
                <w:rFonts w:cs="Arial"/>
                <w:b/>
                <w:bCs/>
                <w:szCs w:val="20"/>
              </w:rPr>
            </w:pPr>
          </w:p>
        </w:tc>
        <w:tc>
          <w:tcPr>
            <w:tcW w:w="1722" w:type="pct"/>
            <w:shd w:val="clear" w:color="auto" w:fill="auto"/>
          </w:tcPr>
          <w:p w14:paraId="742323BF" w14:textId="4314203E" w:rsidR="00F419EC" w:rsidRPr="004804C7" w:rsidRDefault="00F419EC" w:rsidP="00294DB6">
            <w:pPr>
              <w:keepNext/>
              <w:keepLines/>
              <w:spacing w:after="0" w:line="240" w:lineRule="auto"/>
              <w:rPr>
                <w:rFonts w:cs="Arial"/>
                <w:szCs w:val="20"/>
              </w:rPr>
            </w:pPr>
            <w:r w:rsidRPr="004804C7">
              <w:rPr>
                <w:rFonts w:cs="Arial"/>
                <w:szCs w:val="20"/>
              </w:rPr>
              <w:t>3700–4200 MHz</w:t>
            </w:r>
          </w:p>
        </w:tc>
        <w:tc>
          <w:tcPr>
            <w:tcW w:w="2091" w:type="pct"/>
            <w:shd w:val="clear" w:color="auto" w:fill="auto"/>
          </w:tcPr>
          <w:p w14:paraId="64F7737B" w14:textId="7361572A" w:rsidR="00F419EC" w:rsidRPr="00103E2B" w:rsidRDefault="00822819" w:rsidP="00294DB6">
            <w:pPr>
              <w:keepNext/>
              <w:keepLines/>
              <w:spacing w:after="120" w:line="240" w:lineRule="auto"/>
            </w:pPr>
            <w:r>
              <w:rPr>
                <w:noProof/>
              </w:rPr>
              <w:drawing>
                <wp:inline distT="0" distB="0" distL="0" distR="0" wp14:anchorId="17E5F7BC" wp14:editId="7D3F5E52">
                  <wp:extent cx="243840" cy="140335"/>
                  <wp:effectExtent l="0" t="0" r="3810" b="0"/>
                  <wp:docPr id="286" name="Picture 28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Picture 286">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8F0CFA">
              <w:t>Q</w:t>
            </w:r>
            <w:r w:rsidR="00407266">
              <w:t>4</w:t>
            </w:r>
            <w:r w:rsidR="00F419EC" w:rsidRPr="00FC330D">
              <w:t xml:space="preserve"> 2020:</w:t>
            </w:r>
            <w:r w:rsidR="00F419EC" w:rsidRPr="00103E2B">
              <w:t xml:space="preserve"> Options </w:t>
            </w:r>
            <w:r w:rsidR="00701F67">
              <w:t>p</w:t>
            </w:r>
            <w:r w:rsidR="00F419EC" w:rsidRPr="00103E2B">
              <w:t>aper</w:t>
            </w:r>
          </w:p>
          <w:p w14:paraId="031F3A6C" w14:textId="724A589D" w:rsidR="00F419EC" w:rsidRPr="00FC330D" w:rsidRDefault="00F419EC" w:rsidP="00294DB6">
            <w:pPr>
              <w:keepNext/>
              <w:keepLines/>
              <w:spacing w:after="0" w:line="240" w:lineRule="auto"/>
            </w:pPr>
            <w:r w:rsidRPr="00103E2B">
              <w:t>Q4 2020:</w:t>
            </w:r>
            <w:r w:rsidRPr="004804C7">
              <w:t xml:space="preserve"> </w:t>
            </w:r>
            <w:r>
              <w:t xml:space="preserve">Planning </w:t>
            </w:r>
            <w:r w:rsidR="1FB00A4B">
              <w:t xml:space="preserve">outcomes </w:t>
            </w:r>
            <w:r>
              <w:t>paper</w:t>
            </w:r>
          </w:p>
        </w:tc>
      </w:tr>
      <w:tr w:rsidR="002A31A0" w:rsidRPr="004804C7" w14:paraId="5B68A8D5" w14:textId="77777777" w:rsidTr="0010018E">
        <w:trPr>
          <w:trHeight w:val="981"/>
        </w:trPr>
        <w:tc>
          <w:tcPr>
            <w:tcW w:w="1187" w:type="pct"/>
            <w:vMerge w:val="restart"/>
            <w:shd w:val="clear" w:color="auto" w:fill="F2F2F2" w:themeFill="background1" w:themeFillShade="F2"/>
          </w:tcPr>
          <w:p w14:paraId="711109EB" w14:textId="1CA5E252" w:rsidR="002A31A0" w:rsidRPr="00513FDE" w:rsidRDefault="00BA4C87" w:rsidP="002A31A0">
            <w:pPr>
              <w:spacing w:before="100" w:beforeAutospacing="1" w:after="100" w:afterAutospacing="1"/>
              <w:contextualSpacing/>
              <w:mirrorIndents/>
              <w:rPr>
                <w:rFonts w:cs="Arial"/>
                <w:b/>
                <w:bCs/>
                <w:szCs w:val="20"/>
              </w:rPr>
            </w:pPr>
            <w:r>
              <w:rPr>
                <w:rFonts w:cs="Arial"/>
                <w:b/>
                <w:bCs/>
                <w:szCs w:val="20"/>
              </w:rPr>
              <w:t>Implementation</w:t>
            </w:r>
          </w:p>
        </w:tc>
        <w:tc>
          <w:tcPr>
            <w:tcW w:w="1722" w:type="pct"/>
            <w:shd w:val="clear" w:color="auto" w:fill="F2F2F2" w:themeFill="background1" w:themeFillShade="F2"/>
          </w:tcPr>
          <w:p w14:paraId="35B68232" w14:textId="77777777" w:rsidR="002A31A0" w:rsidRPr="004804C7" w:rsidRDefault="002A31A0" w:rsidP="002A31A0">
            <w:pPr>
              <w:spacing w:after="0" w:line="240" w:lineRule="auto"/>
            </w:pPr>
            <w:r w:rsidRPr="004804C7">
              <w:t>850 MHz expansion band (809–824 MHz and 854–869 MHz)</w:t>
            </w:r>
          </w:p>
        </w:tc>
        <w:tc>
          <w:tcPr>
            <w:tcW w:w="2091" w:type="pct"/>
            <w:shd w:val="clear" w:color="auto" w:fill="F2F2F2" w:themeFill="background1" w:themeFillShade="F2"/>
          </w:tcPr>
          <w:p w14:paraId="35AD7B87" w14:textId="6350E160" w:rsidR="002A31A0" w:rsidRPr="004804C7" w:rsidRDefault="002A31A0" w:rsidP="002A31A0">
            <w:pPr>
              <w:spacing w:after="0" w:line="240" w:lineRule="auto"/>
            </w:pPr>
            <w:r w:rsidRPr="004804C7">
              <w:t xml:space="preserve">Band is being cleared progressively. </w:t>
            </w:r>
            <w:r w:rsidR="00A7210B">
              <w:t>We</w:t>
            </w:r>
            <w:r w:rsidRPr="004804C7">
              <w:t xml:space="preserve"> continue to consider options for optimising its use. Allocation timeframes are tied to those of the 900 MHz band </w:t>
            </w:r>
          </w:p>
        </w:tc>
      </w:tr>
      <w:tr w:rsidR="002A31A0" w:rsidRPr="004804C7" w14:paraId="2C1C7401" w14:textId="77777777" w:rsidTr="00CF0ABA">
        <w:trPr>
          <w:trHeight w:val="565"/>
        </w:trPr>
        <w:tc>
          <w:tcPr>
            <w:tcW w:w="1187" w:type="pct"/>
            <w:vMerge/>
            <w:shd w:val="clear" w:color="auto" w:fill="F2F2F2" w:themeFill="background1" w:themeFillShade="F2"/>
          </w:tcPr>
          <w:p w14:paraId="5921D575" w14:textId="77777777" w:rsidR="002A31A0" w:rsidRPr="004804C7" w:rsidRDefault="002A31A0" w:rsidP="002A31A0">
            <w:pPr>
              <w:spacing w:before="100" w:beforeAutospacing="1" w:after="100" w:afterAutospacing="1"/>
              <w:contextualSpacing/>
              <w:mirrorIndents/>
              <w:rPr>
                <w:rFonts w:cs="Arial"/>
                <w:szCs w:val="20"/>
              </w:rPr>
            </w:pPr>
            <w:bookmarkStart w:id="35" w:name="_Hlk34118877"/>
          </w:p>
        </w:tc>
        <w:tc>
          <w:tcPr>
            <w:tcW w:w="1722" w:type="pct"/>
            <w:shd w:val="clear" w:color="auto" w:fill="F2F2F2" w:themeFill="background1" w:themeFillShade="F2"/>
          </w:tcPr>
          <w:p w14:paraId="0206E0CB" w14:textId="766F1E0F" w:rsidR="002A31A0" w:rsidRPr="004804C7" w:rsidRDefault="002A31A0" w:rsidP="002A31A0">
            <w:pPr>
              <w:spacing w:after="0" w:line="240" w:lineRule="auto"/>
            </w:pPr>
            <w:r w:rsidRPr="008841D0">
              <w:t>900 MHz (890–915 MHz and 935–960 MHz)</w:t>
            </w:r>
          </w:p>
        </w:tc>
        <w:tc>
          <w:tcPr>
            <w:tcW w:w="2091" w:type="pct"/>
            <w:shd w:val="clear" w:color="auto" w:fill="F2F2F2" w:themeFill="background1" w:themeFillShade="F2"/>
          </w:tcPr>
          <w:p w14:paraId="5CEA85D0" w14:textId="2E772633" w:rsidR="002A31A0" w:rsidRPr="004804C7" w:rsidRDefault="002A31A0" w:rsidP="002A31A0">
            <w:pPr>
              <w:spacing w:after="0" w:line="240" w:lineRule="auto"/>
            </w:pPr>
            <w:r w:rsidRPr="00752AA8">
              <w:t>Allocation timeframes are tied to those of the 850 MHz expansion band</w:t>
            </w:r>
          </w:p>
        </w:tc>
      </w:tr>
      <w:bookmarkEnd w:id="35"/>
      <w:tr w:rsidR="002A31A0" w:rsidRPr="004804C7" w14:paraId="614AC6CA" w14:textId="77777777" w:rsidTr="00CF0ABA">
        <w:trPr>
          <w:trHeight w:val="549"/>
        </w:trPr>
        <w:tc>
          <w:tcPr>
            <w:tcW w:w="1187" w:type="pct"/>
            <w:vMerge/>
            <w:shd w:val="clear" w:color="auto" w:fill="F2F2F2" w:themeFill="background1" w:themeFillShade="F2"/>
          </w:tcPr>
          <w:p w14:paraId="5A9B0302" w14:textId="77777777" w:rsidR="002A31A0" w:rsidRPr="004804C7" w:rsidRDefault="002A31A0" w:rsidP="002A31A0">
            <w:pPr>
              <w:spacing w:before="100" w:beforeAutospacing="1" w:after="100" w:afterAutospacing="1"/>
              <w:contextualSpacing/>
              <w:mirrorIndents/>
              <w:rPr>
                <w:rFonts w:cs="Arial"/>
                <w:szCs w:val="20"/>
              </w:rPr>
            </w:pPr>
          </w:p>
        </w:tc>
        <w:tc>
          <w:tcPr>
            <w:tcW w:w="1722" w:type="pct"/>
            <w:shd w:val="clear" w:color="auto" w:fill="F2F2F2" w:themeFill="background1" w:themeFillShade="F2"/>
          </w:tcPr>
          <w:p w14:paraId="07CF49DC" w14:textId="53C92CBF" w:rsidR="002A31A0" w:rsidRPr="004804C7" w:rsidRDefault="002A31A0" w:rsidP="002A31A0">
            <w:pPr>
              <w:spacing w:after="0" w:line="240" w:lineRule="auto"/>
            </w:pPr>
            <w:r w:rsidRPr="0066605D">
              <w:t>1800 MHz (1710–1785 MHz and1805–1880 MHz) in remote areas</w:t>
            </w:r>
          </w:p>
        </w:tc>
        <w:tc>
          <w:tcPr>
            <w:tcW w:w="2091" w:type="pct"/>
            <w:shd w:val="clear" w:color="auto" w:fill="F2F2F2" w:themeFill="background1" w:themeFillShade="F2"/>
          </w:tcPr>
          <w:p w14:paraId="36512024" w14:textId="67B411C7" w:rsidR="002A31A0" w:rsidRPr="004804C7" w:rsidRDefault="002F6FB0" w:rsidP="002A31A0">
            <w:pPr>
              <w:spacing w:after="0" w:line="240" w:lineRule="auto"/>
            </w:pPr>
            <w:bookmarkStart w:id="36" w:name="_Hlk34664496"/>
            <w:r>
              <w:rPr>
                <w:noProof/>
              </w:rPr>
              <w:drawing>
                <wp:inline distT="0" distB="0" distL="0" distR="0" wp14:anchorId="1C0F3B5D" wp14:editId="031271CB">
                  <wp:extent cx="243840" cy="140335"/>
                  <wp:effectExtent l="0" t="0" r="3810" b="0"/>
                  <wp:docPr id="34" name="Picture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756DF6">
              <w:t>Q4</w:t>
            </w:r>
            <w:r w:rsidR="00345F69">
              <w:t xml:space="preserve"> 2020: Discussion paper</w:t>
            </w:r>
            <w:bookmarkEnd w:id="36"/>
          </w:p>
        </w:tc>
      </w:tr>
      <w:tr w:rsidR="002A31A0" w:rsidRPr="004804C7" w14:paraId="32B5F4BD" w14:textId="77777777" w:rsidTr="0010018E">
        <w:trPr>
          <w:trHeight w:val="735"/>
        </w:trPr>
        <w:tc>
          <w:tcPr>
            <w:tcW w:w="1187" w:type="pct"/>
            <w:vMerge/>
            <w:shd w:val="clear" w:color="auto" w:fill="F2F2F2" w:themeFill="background1" w:themeFillShade="F2"/>
          </w:tcPr>
          <w:p w14:paraId="0CB918B0" w14:textId="77777777" w:rsidR="002A31A0" w:rsidRPr="004804C7" w:rsidRDefault="002A31A0" w:rsidP="002A31A0">
            <w:pPr>
              <w:spacing w:before="100" w:beforeAutospacing="1" w:after="100" w:afterAutospacing="1"/>
              <w:contextualSpacing/>
              <w:mirrorIndents/>
              <w:rPr>
                <w:rFonts w:cs="Arial"/>
                <w:szCs w:val="20"/>
              </w:rPr>
            </w:pPr>
          </w:p>
        </w:tc>
        <w:tc>
          <w:tcPr>
            <w:tcW w:w="1722" w:type="pct"/>
            <w:shd w:val="clear" w:color="auto" w:fill="F2F2F2" w:themeFill="background1" w:themeFillShade="F2"/>
          </w:tcPr>
          <w:p w14:paraId="4834A169" w14:textId="679839A8" w:rsidR="002A31A0" w:rsidRDefault="002A31A0" w:rsidP="002A31A0">
            <w:pPr>
              <w:spacing w:after="0" w:line="240" w:lineRule="auto"/>
            </w:pPr>
            <w:bookmarkStart w:id="37" w:name="_Hlk34215575"/>
            <w:r w:rsidRPr="0066605D">
              <w:t>3400–3575 MHz</w:t>
            </w:r>
          </w:p>
          <w:bookmarkEnd w:id="37"/>
          <w:p w14:paraId="33F4E198" w14:textId="7FBE7252" w:rsidR="002A31A0" w:rsidRPr="004804C7" w:rsidRDefault="002A31A0" w:rsidP="002A31A0">
            <w:pPr>
              <w:spacing w:after="0" w:line="240" w:lineRule="auto"/>
            </w:pPr>
          </w:p>
        </w:tc>
        <w:tc>
          <w:tcPr>
            <w:tcW w:w="2091" w:type="pct"/>
            <w:shd w:val="clear" w:color="auto" w:fill="F2F2F2" w:themeFill="background1" w:themeFillShade="F2"/>
          </w:tcPr>
          <w:p w14:paraId="3F35A48C" w14:textId="6C09EFE6" w:rsidR="00FC46BF" w:rsidRDefault="002A31A0" w:rsidP="00513FDE">
            <w:pPr>
              <w:pStyle w:val="TableBody"/>
              <w:spacing w:after="120"/>
            </w:pPr>
            <w:r>
              <w:t>Q3</w:t>
            </w:r>
            <w:r w:rsidR="00701F67">
              <w:t>–</w:t>
            </w:r>
            <w:r>
              <w:t xml:space="preserve">4 2020: Finalise restack of incumbent services </w:t>
            </w:r>
          </w:p>
          <w:p w14:paraId="13C22534" w14:textId="25D157CF" w:rsidR="00FC46BF" w:rsidRDefault="00C81143" w:rsidP="00513FDE">
            <w:pPr>
              <w:pStyle w:val="TableBody"/>
              <w:spacing w:before="60" w:after="120"/>
            </w:pPr>
            <w:bookmarkStart w:id="38" w:name="_Hlk34215472"/>
            <w:bookmarkStart w:id="39" w:name="_Hlk50026779"/>
            <w:r>
              <w:rPr>
                <w:noProof/>
              </w:rPr>
              <w:drawing>
                <wp:inline distT="0" distB="0" distL="0" distR="0" wp14:anchorId="5781AAB0" wp14:editId="75A43D74">
                  <wp:extent cx="243840" cy="140335"/>
                  <wp:effectExtent l="0" t="0" r="3810" b="0"/>
                  <wp:docPr id="52" name="Picture 5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a:extLst>
                              <a:ext uri="{C183D7F6-B498-43B3-948B-1728B52AA6E4}">
                                <adec:decorative xmlns:adec="http://schemas.microsoft.com/office/drawing/2017/decorative" val="1"/>
                              </a:ext>
                            </a:extLst>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2A31A0">
              <w:t>Q</w:t>
            </w:r>
            <w:r w:rsidR="00345F69">
              <w:t>4</w:t>
            </w:r>
            <w:r w:rsidR="002A31A0">
              <w:t xml:space="preserve"> 2020</w:t>
            </w:r>
            <w:r w:rsidR="008B02A6">
              <w:t xml:space="preserve"> </w:t>
            </w:r>
            <w:r w:rsidR="008B02A6" w:rsidRPr="0066605D">
              <w:t>–</w:t>
            </w:r>
            <w:r w:rsidR="008B02A6">
              <w:t xml:space="preserve"> </w:t>
            </w:r>
            <w:r w:rsidR="002A65D9">
              <w:t>Q1 2021</w:t>
            </w:r>
            <w:r w:rsidR="002A31A0">
              <w:t xml:space="preserve">: Consultation on </w:t>
            </w:r>
            <w:r w:rsidR="002A65D9">
              <w:t>variation to 3.</w:t>
            </w:r>
            <w:r w:rsidR="008B02A6">
              <w:t>4 </w:t>
            </w:r>
            <w:r w:rsidR="002A65D9">
              <w:t>GHz technical framework to support urban excision and PMP apparatus licensing</w:t>
            </w:r>
            <w:bookmarkEnd w:id="38"/>
          </w:p>
          <w:bookmarkEnd w:id="39"/>
          <w:p w14:paraId="027918A8" w14:textId="52666C8C" w:rsidR="002A31A0" w:rsidRDefault="002A31A0" w:rsidP="002A31A0">
            <w:pPr>
              <w:pStyle w:val="TableBody"/>
              <w:spacing w:before="60"/>
            </w:pPr>
            <w:r>
              <w:t>Q4 2020</w:t>
            </w:r>
            <w:r w:rsidR="00701F67">
              <w:t xml:space="preserve"> – </w:t>
            </w:r>
            <w:r>
              <w:t>Q2 2021:</w:t>
            </w:r>
          </w:p>
          <w:p w14:paraId="547F4CE6" w14:textId="6337ADF8" w:rsidR="002A31A0" w:rsidRPr="004804C7" w:rsidRDefault="00B50B67" w:rsidP="002A31A0">
            <w:pPr>
              <w:spacing w:after="0" w:line="240" w:lineRule="auto"/>
            </w:pPr>
            <w:r>
              <w:t>If</w:t>
            </w:r>
            <w:r w:rsidR="002A31A0">
              <w:t xml:space="preserve"> the Minister </w:t>
            </w:r>
            <w:r w:rsidR="00AC7EF0">
              <w:t>decides</w:t>
            </w:r>
            <w:r>
              <w:t xml:space="preserve"> to designate spectrum</w:t>
            </w:r>
            <w:r w:rsidR="002A31A0">
              <w:t>, conduct activities to convert NBN Co’s apparatus licences to spectrum licences</w:t>
            </w:r>
          </w:p>
        </w:tc>
      </w:tr>
      <w:tr w:rsidR="002A31A0" w:rsidRPr="004804C7" w14:paraId="02389ADE" w14:textId="77777777" w:rsidTr="003960C1">
        <w:trPr>
          <w:trHeight w:val="498"/>
        </w:trPr>
        <w:tc>
          <w:tcPr>
            <w:tcW w:w="1187" w:type="pct"/>
            <w:vMerge/>
            <w:shd w:val="clear" w:color="auto" w:fill="F2F2F2" w:themeFill="background1" w:themeFillShade="F2"/>
          </w:tcPr>
          <w:p w14:paraId="097AC0B1" w14:textId="77777777" w:rsidR="002A31A0" w:rsidRPr="004804C7" w:rsidRDefault="002A31A0" w:rsidP="002A31A0">
            <w:pPr>
              <w:spacing w:before="100" w:beforeAutospacing="1" w:after="100" w:afterAutospacing="1"/>
              <w:contextualSpacing/>
              <w:mirrorIndents/>
              <w:rPr>
                <w:rFonts w:cs="Arial"/>
                <w:szCs w:val="20"/>
              </w:rPr>
            </w:pPr>
          </w:p>
        </w:tc>
        <w:tc>
          <w:tcPr>
            <w:tcW w:w="1722" w:type="pct"/>
            <w:shd w:val="clear" w:color="auto" w:fill="F2F2F2" w:themeFill="background1" w:themeFillShade="F2"/>
          </w:tcPr>
          <w:p w14:paraId="1EA77A72" w14:textId="281725E5" w:rsidR="002A31A0" w:rsidRPr="0066605D" w:rsidRDefault="002A31A0" w:rsidP="002A31A0">
            <w:pPr>
              <w:spacing w:after="0" w:line="240" w:lineRule="auto"/>
            </w:pPr>
            <w:r>
              <w:t>5.6 GHz</w:t>
            </w:r>
            <w:r w:rsidR="00556861">
              <w:t xml:space="preserve"> (5600–5650 MHz)</w:t>
            </w:r>
          </w:p>
        </w:tc>
        <w:tc>
          <w:tcPr>
            <w:tcW w:w="2091" w:type="pct"/>
            <w:shd w:val="clear" w:color="auto" w:fill="F2F2F2" w:themeFill="background1" w:themeFillShade="F2"/>
          </w:tcPr>
          <w:p w14:paraId="6C227D94" w14:textId="0AE7EC90" w:rsidR="00345F69" w:rsidRPr="004804C7" w:rsidRDefault="002F6FB0" w:rsidP="002A31A0">
            <w:pPr>
              <w:spacing w:after="0" w:line="240" w:lineRule="auto"/>
            </w:pPr>
            <w:r>
              <w:rPr>
                <w:noProof/>
              </w:rPr>
              <w:drawing>
                <wp:inline distT="0" distB="0" distL="0" distR="0" wp14:anchorId="396BE226" wp14:editId="38D67AA3">
                  <wp:extent cx="243840" cy="140335"/>
                  <wp:effectExtent l="0" t="0" r="3810" b="0"/>
                  <wp:docPr id="277" name="Picture 27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Picture 277">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345F69">
              <w:t>Q4 2020: Announce outcomes of public consultation</w:t>
            </w:r>
          </w:p>
        </w:tc>
      </w:tr>
      <w:tr w:rsidR="002A31A0" w:rsidRPr="004804C7" w14:paraId="0905438A" w14:textId="77777777" w:rsidTr="0010018E">
        <w:trPr>
          <w:trHeight w:val="735"/>
        </w:trPr>
        <w:tc>
          <w:tcPr>
            <w:tcW w:w="1187" w:type="pct"/>
            <w:vMerge/>
            <w:shd w:val="clear" w:color="auto" w:fill="F2F2F2" w:themeFill="background1" w:themeFillShade="F2"/>
          </w:tcPr>
          <w:p w14:paraId="5099F31D" w14:textId="77777777" w:rsidR="002A31A0" w:rsidRPr="004804C7" w:rsidRDefault="002A31A0" w:rsidP="002A31A0">
            <w:pPr>
              <w:spacing w:before="100" w:beforeAutospacing="1" w:after="100" w:afterAutospacing="1"/>
              <w:contextualSpacing/>
              <w:mirrorIndents/>
              <w:rPr>
                <w:rFonts w:cs="Arial"/>
                <w:szCs w:val="20"/>
              </w:rPr>
            </w:pPr>
          </w:p>
        </w:tc>
        <w:tc>
          <w:tcPr>
            <w:tcW w:w="1722" w:type="pct"/>
            <w:shd w:val="clear" w:color="auto" w:fill="F2F2F2" w:themeFill="background1" w:themeFillShade="F2"/>
          </w:tcPr>
          <w:p w14:paraId="3F68B9E2" w14:textId="737715E4" w:rsidR="002A31A0" w:rsidRPr="0066605D" w:rsidRDefault="002A31A0" w:rsidP="002A31A0">
            <w:pPr>
              <w:spacing w:after="0" w:line="240" w:lineRule="auto"/>
            </w:pPr>
            <w:r w:rsidRPr="004804C7">
              <w:t>26 GHz (24.25–27.5 GHz)</w:t>
            </w:r>
          </w:p>
        </w:tc>
        <w:tc>
          <w:tcPr>
            <w:tcW w:w="2091" w:type="pct"/>
            <w:shd w:val="clear" w:color="auto" w:fill="F2F2F2" w:themeFill="background1" w:themeFillShade="F2"/>
          </w:tcPr>
          <w:p w14:paraId="62EA0123" w14:textId="22373975" w:rsidR="00B313F3" w:rsidRDefault="004C08FF" w:rsidP="004F7116">
            <w:pPr>
              <w:pStyle w:val="TableBody"/>
              <w:spacing w:after="120"/>
            </w:pPr>
            <w:r>
              <w:pict w14:anchorId="19F3720A">
                <v:shape id="_x0000_i1030" type="#_x0000_t75" alt="Image says changed" style="width:20.25pt;height:11.25pt;visibility:visible;mso-wrap-style:square;mso-position-horizontal:absolute">
                  <v:imagedata r:id="rId44" o:title=""/>
                </v:shape>
              </w:pict>
            </w:r>
            <w:r w:rsidR="002F6FB0">
              <w:t xml:space="preserve">  </w:t>
            </w:r>
            <w:r w:rsidR="005D44BC">
              <w:t>Q3 2020: Consultation</w:t>
            </w:r>
          </w:p>
          <w:p w14:paraId="2FAFDEDB" w14:textId="087AE847" w:rsidR="002A31A0" w:rsidRDefault="002A31A0" w:rsidP="002A31A0">
            <w:pPr>
              <w:pStyle w:val="TableBody"/>
              <w:spacing w:before="60"/>
            </w:pPr>
            <w:r>
              <w:t>Q4</w:t>
            </w:r>
            <w:r w:rsidR="0066082F">
              <w:t xml:space="preserve"> 2020</w:t>
            </w:r>
            <w:r>
              <w:t xml:space="preserve">: </w:t>
            </w:r>
            <w:r w:rsidR="00745CC0">
              <w:t>F</w:t>
            </w:r>
            <w:r>
              <w:t>inalise licensing arrangements for services in this band</w:t>
            </w:r>
          </w:p>
        </w:tc>
      </w:tr>
      <w:tr w:rsidR="002A31A0" w:rsidRPr="004804C7" w14:paraId="46F029B5" w14:textId="77777777" w:rsidTr="0010018E">
        <w:trPr>
          <w:trHeight w:val="735"/>
        </w:trPr>
        <w:tc>
          <w:tcPr>
            <w:tcW w:w="1187" w:type="pct"/>
            <w:vMerge/>
            <w:shd w:val="clear" w:color="auto" w:fill="F2F2F2" w:themeFill="background1" w:themeFillShade="F2"/>
          </w:tcPr>
          <w:p w14:paraId="29FCBFA7" w14:textId="77777777" w:rsidR="002A31A0" w:rsidRPr="004804C7" w:rsidRDefault="002A31A0" w:rsidP="002A31A0">
            <w:pPr>
              <w:spacing w:before="100" w:beforeAutospacing="1" w:after="100" w:afterAutospacing="1"/>
              <w:contextualSpacing/>
              <w:mirrorIndents/>
              <w:rPr>
                <w:rFonts w:cs="Arial"/>
                <w:szCs w:val="20"/>
              </w:rPr>
            </w:pPr>
          </w:p>
        </w:tc>
        <w:tc>
          <w:tcPr>
            <w:tcW w:w="1722" w:type="pct"/>
            <w:shd w:val="clear" w:color="auto" w:fill="F2F2F2" w:themeFill="background1" w:themeFillShade="F2"/>
          </w:tcPr>
          <w:p w14:paraId="60513E2F" w14:textId="49644650" w:rsidR="002A31A0" w:rsidRPr="004804C7" w:rsidRDefault="002A31A0" w:rsidP="002A31A0">
            <w:pPr>
              <w:spacing w:after="0" w:line="240" w:lineRule="auto"/>
            </w:pPr>
            <w:r w:rsidRPr="0066605D">
              <w:t>28 GHz (27.5–29.5 GHz)</w:t>
            </w:r>
          </w:p>
        </w:tc>
        <w:tc>
          <w:tcPr>
            <w:tcW w:w="2091" w:type="pct"/>
            <w:shd w:val="clear" w:color="auto" w:fill="F2F2F2" w:themeFill="background1" w:themeFillShade="F2"/>
          </w:tcPr>
          <w:p w14:paraId="79397BDC" w14:textId="44D18F57" w:rsidR="002D19D2" w:rsidRDefault="004C08FF" w:rsidP="004F7116">
            <w:pPr>
              <w:spacing w:after="120" w:line="240" w:lineRule="auto"/>
            </w:pPr>
            <w:r>
              <w:pict w14:anchorId="3BB509A9">
                <v:shape id="_x0000_i1031" type="#_x0000_t75" alt="Image says changed" style="width:20.25pt;height:11.25pt;visibility:visible;mso-wrap-style:square;mso-position-horizontal:absolute">
                  <v:imagedata r:id="rId44" o:title=""/>
                </v:shape>
              </w:pict>
            </w:r>
            <w:r w:rsidR="002F6FB0">
              <w:t xml:space="preserve">  </w:t>
            </w:r>
            <w:r w:rsidR="005D44BC">
              <w:t>Q3 2020: Consultation</w:t>
            </w:r>
          </w:p>
          <w:p w14:paraId="27CB8D15" w14:textId="68F9B4C1" w:rsidR="002A31A0" w:rsidRPr="004804C7" w:rsidRDefault="002A31A0" w:rsidP="002A31A0">
            <w:pPr>
              <w:spacing w:after="0" w:line="240" w:lineRule="auto"/>
            </w:pPr>
            <w:r w:rsidRPr="0066605D">
              <w:t>Q</w:t>
            </w:r>
            <w:r>
              <w:t>4</w:t>
            </w:r>
            <w:r w:rsidRPr="0066605D">
              <w:t xml:space="preserve"> 2020: </w:t>
            </w:r>
            <w:r w:rsidR="00745CC0">
              <w:t>F</w:t>
            </w:r>
            <w:r w:rsidRPr="0066605D">
              <w:t>inalise licensing arrangements for services in this band</w:t>
            </w:r>
          </w:p>
        </w:tc>
      </w:tr>
    </w:tbl>
    <w:p w14:paraId="7F79FEA1" w14:textId="4ABC21E1" w:rsidR="00276ECF" w:rsidRPr="00276ECF" w:rsidRDefault="00276ECF" w:rsidP="00AD4192">
      <w:pPr>
        <w:pStyle w:val="ACMATableHeader"/>
        <w:keepNext/>
        <w:keepLines/>
        <w:rPr>
          <w:b w:val="0"/>
        </w:rPr>
      </w:pPr>
      <w:r w:rsidRPr="002E5E12">
        <w:lastRenderedPageBreak/>
        <w:t>Planning</w:t>
      </w:r>
      <w:r w:rsidRPr="0099510B">
        <w:t>—optimising established planning frameworks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1698"/>
        <w:gridCol w:w="4089"/>
        <w:gridCol w:w="1874"/>
      </w:tblGrid>
      <w:tr w:rsidR="00276ECF" w:rsidRPr="004804C7" w14:paraId="74D0976D" w14:textId="77777777" w:rsidTr="00A7210B">
        <w:trPr>
          <w:cantSplit/>
          <w:trHeight w:val="349"/>
          <w:tblHeader/>
        </w:trPr>
        <w:tc>
          <w:tcPr>
            <w:tcW w:w="1108" w:type="pct"/>
            <w:shd w:val="clear" w:color="auto" w:fill="404040"/>
          </w:tcPr>
          <w:p w14:paraId="062A5E01" w14:textId="77777777" w:rsidR="00276ECF" w:rsidRPr="00745CC0" w:rsidRDefault="00276ECF" w:rsidP="00AD4192">
            <w:pPr>
              <w:keepNext/>
              <w:keepLines/>
              <w:spacing w:after="0"/>
              <w:rPr>
                <w:b/>
                <w:color w:val="FFFFFF"/>
              </w:rPr>
            </w:pPr>
            <w:r w:rsidRPr="00745CC0">
              <w:rPr>
                <w:b/>
                <w:color w:val="FFFFFF"/>
              </w:rPr>
              <w:t>Planning area</w:t>
            </w:r>
          </w:p>
        </w:tc>
        <w:tc>
          <w:tcPr>
            <w:tcW w:w="2669" w:type="pct"/>
            <w:shd w:val="clear" w:color="auto" w:fill="404040"/>
          </w:tcPr>
          <w:p w14:paraId="2264F50D" w14:textId="77777777" w:rsidR="00276ECF" w:rsidRPr="004804C7" w:rsidRDefault="00276ECF" w:rsidP="00AD4192">
            <w:pPr>
              <w:keepNext/>
              <w:keepLines/>
              <w:spacing w:after="0"/>
              <w:rPr>
                <w:b/>
                <w:color w:val="FFFFFF"/>
              </w:rPr>
            </w:pPr>
            <w:r w:rsidRPr="004804C7">
              <w:rPr>
                <w:b/>
                <w:color w:val="FFFFFF"/>
              </w:rPr>
              <w:t>Project priorities</w:t>
            </w:r>
          </w:p>
        </w:tc>
        <w:tc>
          <w:tcPr>
            <w:tcW w:w="1223" w:type="pct"/>
            <w:shd w:val="clear" w:color="auto" w:fill="404040"/>
          </w:tcPr>
          <w:p w14:paraId="1619BF67" w14:textId="77777777" w:rsidR="00276ECF" w:rsidRPr="004804C7" w:rsidRDefault="00276ECF" w:rsidP="00AD4192">
            <w:pPr>
              <w:keepNext/>
              <w:keepLines/>
              <w:spacing w:after="0"/>
              <w:rPr>
                <w:b/>
                <w:color w:val="FFFFFF"/>
              </w:rPr>
            </w:pPr>
            <w:r w:rsidRPr="004804C7">
              <w:rPr>
                <w:b/>
                <w:color w:val="FFFFFF"/>
              </w:rPr>
              <w:t>Proposed timelines</w:t>
            </w:r>
          </w:p>
        </w:tc>
      </w:tr>
      <w:tr w:rsidR="00F503D3" w:rsidRPr="004804C7" w14:paraId="18FEF527" w14:textId="77777777" w:rsidTr="00617B4B">
        <w:trPr>
          <w:cantSplit/>
          <w:trHeight w:val="664"/>
        </w:trPr>
        <w:tc>
          <w:tcPr>
            <w:tcW w:w="1108" w:type="pct"/>
            <w:vMerge w:val="restart"/>
            <w:shd w:val="clear" w:color="auto" w:fill="auto"/>
          </w:tcPr>
          <w:p w14:paraId="5E8C5FDB" w14:textId="4739DCF5" w:rsidR="00F503D3" w:rsidRPr="007E72B9" w:rsidRDefault="00F503D3" w:rsidP="00AD4192">
            <w:pPr>
              <w:keepNext/>
              <w:keepLines/>
              <w:spacing w:after="0" w:line="240" w:lineRule="auto"/>
            </w:pPr>
            <w:r w:rsidRPr="007E72B9">
              <w:t>Broadcasting</w:t>
            </w:r>
          </w:p>
        </w:tc>
        <w:tc>
          <w:tcPr>
            <w:tcW w:w="2669" w:type="pct"/>
            <w:shd w:val="clear" w:color="auto" w:fill="auto"/>
          </w:tcPr>
          <w:p w14:paraId="4A46367D" w14:textId="4500A156" w:rsidR="00F503D3" w:rsidRPr="004804C7" w:rsidRDefault="00F503D3" w:rsidP="00AD4192">
            <w:pPr>
              <w:keepNext/>
              <w:keepLines/>
              <w:spacing w:after="0" w:line="240" w:lineRule="auto"/>
            </w:pPr>
            <w:bookmarkStart w:id="40" w:name="_Hlk34215651"/>
            <w:r w:rsidRPr="0066605D">
              <w:t xml:space="preserve">Develop and consult on proposals for </w:t>
            </w:r>
            <w:r w:rsidR="00965D44">
              <w:t>licence area plan (</w:t>
            </w:r>
            <w:r w:rsidRPr="009A62E1">
              <w:t>L</w:t>
            </w:r>
            <w:r w:rsidRPr="00D20965">
              <w:t>AP</w:t>
            </w:r>
            <w:r w:rsidR="00965D44">
              <w:t>)</w:t>
            </w:r>
            <w:r>
              <w:t xml:space="preserve"> </w:t>
            </w:r>
            <w:r w:rsidRPr="0066605D">
              <w:t>variations in Brisbane</w:t>
            </w:r>
            <w:bookmarkEnd w:id="40"/>
          </w:p>
        </w:tc>
        <w:tc>
          <w:tcPr>
            <w:tcW w:w="1223" w:type="pct"/>
            <w:shd w:val="clear" w:color="auto" w:fill="auto"/>
          </w:tcPr>
          <w:p w14:paraId="02A542C3" w14:textId="5395775E" w:rsidR="00F503D3" w:rsidRPr="004804C7" w:rsidRDefault="00947927" w:rsidP="00AD4192">
            <w:pPr>
              <w:keepNext/>
              <w:keepLines/>
              <w:spacing w:after="0" w:line="240" w:lineRule="auto"/>
            </w:pPr>
            <w:bookmarkStart w:id="41" w:name="_Hlk34215661"/>
            <w:r>
              <w:rPr>
                <w:noProof/>
              </w:rPr>
              <w:drawing>
                <wp:inline distT="0" distB="0" distL="0" distR="0" wp14:anchorId="7ED107D3" wp14:editId="172B9490">
                  <wp:extent cx="243840" cy="140335"/>
                  <wp:effectExtent l="0" t="0" r="3810" b="0"/>
                  <wp:docPr id="280" name="Picture 28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Picture 280">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F503D3" w:rsidRPr="0066605D">
              <w:t>Q</w:t>
            </w:r>
            <w:r w:rsidR="00B41A26">
              <w:t>4</w:t>
            </w:r>
            <w:r w:rsidR="00F503D3" w:rsidRPr="0066605D">
              <w:t xml:space="preserve"> 2020: </w:t>
            </w:r>
            <w:r w:rsidR="00745CC0">
              <w:t>C</w:t>
            </w:r>
            <w:r w:rsidR="00F503D3" w:rsidRPr="0066605D">
              <w:t>onsult</w:t>
            </w:r>
            <w:bookmarkEnd w:id="41"/>
          </w:p>
        </w:tc>
      </w:tr>
      <w:tr w:rsidR="00F503D3" w:rsidRPr="004804C7" w14:paraId="230714C2" w14:textId="77777777" w:rsidTr="00617B4B">
        <w:trPr>
          <w:cantSplit/>
          <w:trHeight w:val="368"/>
        </w:trPr>
        <w:tc>
          <w:tcPr>
            <w:tcW w:w="1108" w:type="pct"/>
            <w:vMerge/>
            <w:shd w:val="clear" w:color="auto" w:fill="auto"/>
          </w:tcPr>
          <w:p w14:paraId="55239394" w14:textId="77777777" w:rsidR="00F503D3" w:rsidRPr="004804C7" w:rsidRDefault="00F503D3" w:rsidP="00F503D3">
            <w:pPr>
              <w:spacing w:after="0" w:line="240" w:lineRule="auto"/>
            </w:pPr>
          </w:p>
        </w:tc>
        <w:tc>
          <w:tcPr>
            <w:tcW w:w="2669" w:type="pct"/>
            <w:shd w:val="clear" w:color="auto" w:fill="auto"/>
          </w:tcPr>
          <w:p w14:paraId="50E1684F" w14:textId="270657EE" w:rsidR="00F503D3" w:rsidRPr="0066605D" w:rsidRDefault="00F503D3" w:rsidP="00F503D3">
            <w:pPr>
              <w:spacing w:after="0" w:line="240" w:lineRule="auto"/>
            </w:pPr>
            <w:r>
              <w:t>Develop and consult on a proposal to vary the Deniliquin LAP</w:t>
            </w:r>
          </w:p>
        </w:tc>
        <w:tc>
          <w:tcPr>
            <w:tcW w:w="1223" w:type="pct"/>
            <w:shd w:val="clear" w:color="auto" w:fill="auto"/>
          </w:tcPr>
          <w:p w14:paraId="726B8CD7" w14:textId="2DBB9274" w:rsidR="00F503D3" w:rsidRPr="0066605D" w:rsidRDefault="003677D7" w:rsidP="00F503D3">
            <w:pPr>
              <w:spacing w:after="0" w:line="240" w:lineRule="auto"/>
            </w:pPr>
            <w:r>
              <w:rPr>
                <w:noProof/>
              </w:rPr>
              <w:drawing>
                <wp:inline distT="0" distB="0" distL="0" distR="0" wp14:anchorId="5DC51D4B" wp14:editId="7DEF0784">
                  <wp:extent cx="243840" cy="140335"/>
                  <wp:effectExtent l="0" t="0" r="3810" b="0"/>
                  <wp:docPr id="53" name="Picture 5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a:extLst>
                              <a:ext uri="{C183D7F6-B498-43B3-948B-1728B52AA6E4}">
                                <adec:decorative xmlns:adec="http://schemas.microsoft.com/office/drawing/2017/decorative" val="1"/>
                              </a:ext>
                            </a:extLst>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F503D3" w:rsidRPr="0066605D">
              <w:t>Q</w:t>
            </w:r>
            <w:r w:rsidR="00B41A26">
              <w:t>1</w:t>
            </w:r>
            <w:r w:rsidR="00F503D3" w:rsidRPr="0066605D">
              <w:t xml:space="preserve"> 202</w:t>
            </w:r>
            <w:r w:rsidR="00B41A26">
              <w:t>1</w:t>
            </w:r>
            <w:r w:rsidR="00F503D3" w:rsidRPr="0066605D">
              <w:t xml:space="preserve">: </w:t>
            </w:r>
            <w:r w:rsidR="00745CC0">
              <w:t>C</w:t>
            </w:r>
            <w:r w:rsidR="00F503D3" w:rsidRPr="0066605D">
              <w:t>onsult</w:t>
            </w:r>
          </w:p>
        </w:tc>
      </w:tr>
      <w:tr w:rsidR="00F503D3" w:rsidRPr="004804C7" w14:paraId="0D4AECF8" w14:textId="77777777" w:rsidTr="00617B4B">
        <w:trPr>
          <w:cantSplit/>
          <w:trHeight w:val="664"/>
        </w:trPr>
        <w:tc>
          <w:tcPr>
            <w:tcW w:w="1108" w:type="pct"/>
            <w:vMerge/>
            <w:shd w:val="clear" w:color="auto" w:fill="auto"/>
          </w:tcPr>
          <w:p w14:paraId="422497B8" w14:textId="77777777" w:rsidR="00F503D3" w:rsidRPr="004804C7" w:rsidRDefault="00F503D3" w:rsidP="00F503D3">
            <w:pPr>
              <w:spacing w:after="0" w:line="240" w:lineRule="auto"/>
            </w:pPr>
          </w:p>
        </w:tc>
        <w:tc>
          <w:tcPr>
            <w:tcW w:w="2669" w:type="pct"/>
            <w:shd w:val="clear" w:color="auto" w:fill="auto"/>
          </w:tcPr>
          <w:p w14:paraId="10DD3B06" w14:textId="7565CC84" w:rsidR="00F503D3" w:rsidRPr="0066605D" w:rsidRDefault="00F503D3" w:rsidP="00F503D3">
            <w:pPr>
              <w:spacing w:after="0" w:line="240" w:lineRule="auto"/>
              <w:rPr>
                <w:rFonts w:cs="Arial"/>
                <w:szCs w:val="20"/>
              </w:rPr>
            </w:pPr>
            <w:bookmarkStart w:id="42" w:name="_Hlk34215693"/>
            <w:r w:rsidRPr="0066605D">
              <w:rPr>
                <w:rFonts w:cs="Arial"/>
                <w:szCs w:val="20"/>
              </w:rPr>
              <w:t>Develop and consult on proposals for variations in a number of licence areas in NSW</w:t>
            </w:r>
            <w:r w:rsidRPr="0066605D">
              <w:rPr>
                <w:rStyle w:val="FootnoteReference"/>
                <w:rFonts w:cs="Arial"/>
                <w:szCs w:val="20"/>
              </w:rPr>
              <w:footnoteReference w:id="4"/>
            </w:r>
            <w:r w:rsidRPr="0066605D">
              <w:rPr>
                <w:rFonts w:cs="Arial"/>
                <w:szCs w:val="20"/>
              </w:rPr>
              <w:t xml:space="preserve"> to enable AM</w:t>
            </w:r>
            <w:r w:rsidR="00BB23E5">
              <w:t>–</w:t>
            </w:r>
            <w:r w:rsidRPr="0066605D">
              <w:rPr>
                <w:rFonts w:cs="Arial"/>
                <w:szCs w:val="20"/>
              </w:rPr>
              <w:t>FM conversions</w:t>
            </w:r>
            <w:bookmarkEnd w:id="42"/>
          </w:p>
        </w:tc>
        <w:tc>
          <w:tcPr>
            <w:tcW w:w="1223" w:type="pct"/>
            <w:shd w:val="clear" w:color="auto" w:fill="auto"/>
          </w:tcPr>
          <w:p w14:paraId="122E1792" w14:textId="3DB385EE" w:rsidR="00F503D3" w:rsidRPr="004804C7" w:rsidRDefault="00F503D3" w:rsidP="00F503D3">
            <w:pPr>
              <w:spacing w:after="0" w:line="240" w:lineRule="auto"/>
            </w:pPr>
            <w:r w:rsidRPr="002969FC">
              <w:t>Q3 2020</w:t>
            </w:r>
            <w:r>
              <w:t xml:space="preserve">: </w:t>
            </w:r>
            <w:r w:rsidR="00745CC0">
              <w:t>C</w:t>
            </w:r>
            <w:r>
              <w:t>onsult</w:t>
            </w:r>
          </w:p>
        </w:tc>
      </w:tr>
      <w:tr w:rsidR="00F503D3" w:rsidRPr="004804C7" w14:paraId="1AFF3C6F" w14:textId="77777777" w:rsidTr="00617B4B">
        <w:trPr>
          <w:cantSplit/>
          <w:trHeight w:val="664"/>
        </w:trPr>
        <w:tc>
          <w:tcPr>
            <w:tcW w:w="1108" w:type="pct"/>
            <w:vMerge/>
            <w:shd w:val="clear" w:color="auto" w:fill="auto"/>
          </w:tcPr>
          <w:p w14:paraId="65F6FF8A" w14:textId="77777777" w:rsidR="00F503D3" w:rsidRPr="004804C7" w:rsidRDefault="00F503D3" w:rsidP="00F503D3">
            <w:pPr>
              <w:spacing w:after="0" w:line="240" w:lineRule="auto"/>
            </w:pPr>
          </w:p>
        </w:tc>
        <w:tc>
          <w:tcPr>
            <w:tcW w:w="2669" w:type="pct"/>
            <w:shd w:val="clear" w:color="auto" w:fill="auto"/>
          </w:tcPr>
          <w:p w14:paraId="4FB63696" w14:textId="66ED4BB3" w:rsidR="00F503D3" w:rsidRPr="0066605D" w:rsidRDefault="00F503D3" w:rsidP="00F503D3">
            <w:pPr>
              <w:spacing w:after="0" w:line="240" w:lineRule="auto"/>
              <w:rPr>
                <w:rFonts w:cs="Arial"/>
                <w:szCs w:val="20"/>
              </w:rPr>
            </w:pPr>
            <w:r>
              <w:t xml:space="preserve">Consult on the digital radio channel plan </w:t>
            </w:r>
            <w:r w:rsidR="005E26D8">
              <w:t xml:space="preserve">(DRCP) </w:t>
            </w:r>
            <w:r w:rsidR="007E72B9">
              <w:t>for the</w:t>
            </w:r>
            <w:r>
              <w:t xml:space="preserve"> Gold Coast</w:t>
            </w:r>
            <w:r w:rsidR="00745CC0">
              <w:t>,</w:t>
            </w:r>
            <w:r>
              <w:t xml:space="preserve"> taking into account the completion of frequency allotment planning</w:t>
            </w:r>
          </w:p>
        </w:tc>
        <w:tc>
          <w:tcPr>
            <w:tcW w:w="1223" w:type="pct"/>
            <w:shd w:val="clear" w:color="auto" w:fill="auto"/>
          </w:tcPr>
          <w:p w14:paraId="1C58F016" w14:textId="387E0F02" w:rsidR="00F503D3" w:rsidRDefault="00F503D3" w:rsidP="00F503D3">
            <w:pPr>
              <w:spacing w:after="0" w:line="240" w:lineRule="auto"/>
            </w:pPr>
            <w:r>
              <w:t>Q</w:t>
            </w:r>
            <w:r w:rsidR="004C723D">
              <w:t>3</w:t>
            </w:r>
            <w:r>
              <w:t xml:space="preserve"> 2020</w:t>
            </w:r>
            <w:r w:rsidR="00745CC0">
              <w:t>:</w:t>
            </w:r>
            <w:r>
              <w:t xml:space="preserve"> </w:t>
            </w:r>
            <w:r w:rsidR="00745CC0">
              <w:t>C</w:t>
            </w:r>
            <w:r>
              <w:t>onsult</w:t>
            </w:r>
          </w:p>
        </w:tc>
      </w:tr>
      <w:tr w:rsidR="00F503D3" w:rsidRPr="004804C7" w14:paraId="357C6A4C" w14:textId="77777777" w:rsidTr="00617B4B">
        <w:trPr>
          <w:cantSplit/>
          <w:trHeight w:val="470"/>
        </w:trPr>
        <w:tc>
          <w:tcPr>
            <w:tcW w:w="1108" w:type="pct"/>
            <w:vMerge/>
            <w:shd w:val="clear" w:color="auto" w:fill="auto"/>
          </w:tcPr>
          <w:p w14:paraId="29E92475" w14:textId="77777777" w:rsidR="00F503D3" w:rsidRPr="004804C7" w:rsidRDefault="00F503D3" w:rsidP="00F503D3">
            <w:pPr>
              <w:spacing w:before="100" w:beforeAutospacing="1" w:after="100" w:afterAutospacing="1"/>
              <w:ind w:right="176"/>
              <w:contextualSpacing/>
              <w:mirrorIndents/>
              <w:rPr>
                <w:rFonts w:cs="Arial"/>
                <w:szCs w:val="20"/>
              </w:rPr>
            </w:pPr>
          </w:p>
        </w:tc>
        <w:tc>
          <w:tcPr>
            <w:tcW w:w="2669" w:type="pct"/>
            <w:shd w:val="clear" w:color="auto" w:fill="auto"/>
          </w:tcPr>
          <w:p w14:paraId="7028603D" w14:textId="7F77A2E5" w:rsidR="00F503D3" w:rsidRPr="004804C7" w:rsidRDefault="00F503D3" w:rsidP="009A62E1">
            <w:pPr>
              <w:spacing w:after="0" w:line="240" w:lineRule="auto"/>
            </w:pPr>
            <w:r w:rsidRPr="00F503D3">
              <w:t>Further consult</w:t>
            </w:r>
            <w:r w:rsidR="00745CC0">
              <w:t>ation</w:t>
            </w:r>
            <w:r w:rsidRPr="00F503D3">
              <w:t xml:space="preserve"> on whether variations to the </w:t>
            </w:r>
            <w:r w:rsidR="005E26D8">
              <w:t>DRCP</w:t>
            </w:r>
            <w:r w:rsidRPr="00F503D3">
              <w:t xml:space="preserve"> </w:t>
            </w:r>
            <w:r w:rsidR="00745CC0">
              <w:t>for</w:t>
            </w:r>
            <w:r w:rsidRPr="00F503D3">
              <w:t xml:space="preserve"> Brisbane are appropriate to improve digital coverage</w:t>
            </w:r>
          </w:p>
        </w:tc>
        <w:tc>
          <w:tcPr>
            <w:tcW w:w="1223" w:type="pct"/>
            <w:shd w:val="clear" w:color="auto" w:fill="auto"/>
          </w:tcPr>
          <w:p w14:paraId="5800E5CA" w14:textId="2BB13609" w:rsidR="00F503D3" w:rsidRDefault="00F503D3" w:rsidP="00F503D3">
            <w:pPr>
              <w:spacing w:after="0" w:line="240" w:lineRule="auto"/>
            </w:pPr>
            <w:r>
              <w:t>Q</w:t>
            </w:r>
            <w:r w:rsidR="004C723D">
              <w:t>3</w:t>
            </w:r>
            <w:r>
              <w:t xml:space="preserve"> 2020</w:t>
            </w:r>
            <w:r w:rsidR="00745CC0">
              <w:t>: C</w:t>
            </w:r>
            <w:r>
              <w:t>onsult</w:t>
            </w:r>
          </w:p>
        </w:tc>
      </w:tr>
      <w:tr w:rsidR="004C723D" w:rsidRPr="004804C7" w14:paraId="2CD552C5" w14:textId="77777777" w:rsidTr="00617B4B">
        <w:trPr>
          <w:cantSplit/>
          <w:trHeight w:val="470"/>
        </w:trPr>
        <w:tc>
          <w:tcPr>
            <w:tcW w:w="1108" w:type="pct"/>
            <w:vMerge/>
            <w:shd w:val="clear" w:color="auto" w:fill="auto"/>
          </w:tcPr>
          <w:p w14:paraId="0F1E413C" w14:textId="77777777" w:rsidR="004C723D" w:rsidRPr="004804C7" w:rsidRDefault="004C723D" w:rsidP="004C723D">
            <w:pPr>
              <w:spacing w:before="100" w:beforeAutospacing="1" w:after="100" w:afterAutospacing="1"/>
              <w:ind w:right="176"/>
              <w:contextualSpacing/>
              <w:mirrorIndents/>
              <w:rPr>
                <w:rFonts w:cs="Arial"/>
                <w:szCs w:val="20"/>
              </w:rPr>
            </w:pPr>
          </w:p>
        </w:tc>
        <w:tc>
          <w:tcPr>
            <w:tcW w:w="2669" w:type="pct"/>
            <w:shd w:val="clear" w:color="auto" w:fill="auto"/>
          </w:tcPr>
          <w:p w14:paraId="16B946C8" w14:textId="6FA7D804" w:rsidR="004C723D" w:rsidRPr="004804C7" w:rsidRDefault="004C723D" w:rsidP="004C723D">
            <w:pPr>
              <w:spacing w:after="0" w:line="240" w:lineRule="auto"/>
            </w:pPr>
            <w:r w:rsidRPr="0066605D">
              <w:t>Develop and consult on proposals for variations to the Remote Central and Eastern Australia Radio LAP</w:t>
            </w:r>
          </w:p>
        </w:tc>
        <w:tc>
          <w:tcPr>
            <w:tcW w:w="1223" w:type="pct"/>
            <w:shd w:val="clear" w:color="auto" w:fill="auto"/>
          </w:tcPr>
          <w:p w14:paraId="5CDD3208" w14:textId="4872C113" w:rsidR="004C723D" w:rsidRDefault="004C723D" w:rsidP="004C723D">
            <w:pPr>
              <w:spacing w:after="0" w:line="240" w:lineRule="auto"/>
            </w:pPr>
            <w:r w:rsidRPr="0066605D">
              <w:t xml:space="preserve">Q4 2020: </w:t>
            </w:r>
            <w:r w:rsidR="00745CC0">
              <w:t>C</w:t>
            </w:r>
            <w:r w:rsidRPr="0066605D">
              <w:t>onsult</w:t>
            </w:r>
          </w:p>
        </w:tc>
      </w:tr>
      <w:tr w:rsidR="004C723D" w:rsidRPr="004804C7" w14:paraId="148AF487" w14:textId="77777777" w:rsidTr="00617B4B">
        <w:trPr>
          <w:cantSplit/>
          <w:trHeight w:val="470"/>
        </w:trPr>
        <w:tc>
          <w:tcPr>
            <w:tcW w:w="1108" w:type="pct"/>
            <w:vMerge/>
            <w:shd w:val="clear" w:color="auto" w:fill="auto"/>
          </w:tcPr>
          <w:p w14:paraId="5D0F3D42" w14:textId="77777777" w:rsidR="004C723D" w:rsidRPr="004804C7" w:rsidRDefault="004C723D" w:rsidP="004C723D">
            <w:pPr>
              <w:spacing w:before="100" w:beforeAutospacing="1" w:after="100" w:afterAutospacing="1"/>
              <w:ind w:right="176"/>
              <w:contextualSpacing/>
              <w:mirrorIndents/>
              <w:rPr>
                <w:rFonts w:cs="Arial"/>
                <w:szCs w:val="20"/>
              </w:rPr>
            </w:pPr>
          </w:p>
        </w:tc>
        <w:tc>
          <w:tcPr>
            <w:tcW w:w="2669" w:type="pct"/>
            <w:shd w:val="clear" w:color="auto" w:fill="auto"/>
          </w:tcPr>
          <w:p w14:paraId="2CADF009" w14:textId="44167D3A" w:rsidR="004C723D" w:rsidRPr="004804C7" w:rsidRDefault="00745CC0" w:rsidP="004C723D">
            <w:pPr>
              <w:spacing w:after="0" w:line="240" w:lineRule="auto"/>
            </w:pPr>
            <w:r>
              <w:t>Consult on p</w:t>
            </w:r>
            <w:r w:rsidR="004C723D" w:rsidRPr="004804C7">
              <w:t>otential for replanning analog radio services in Perth, following the clearance of Band II television in Bunbury</w:t>
            </w:r>
          </w:p>
        </w:tc>
        <w:tc>
          <w:tcPr>
            <w:tcW w:w="1223" w:type="pct"/>
            <w:shd w:val="clear" w:color="auto" w:fill="auto"/>
          </w:tcPr>
          <w:p w14:paraId="27DE41B1" w14:textId="2DCEE2D4" w:rsidR="004C723D" w:rsidRPr="004804C7" w:rsidRDefault="004C723D" w:rsidP="004C723D">
            <w:pPr>
              <w:spacing w:after="0" w:line="240" w:lineRule="auto"/>
            </w:pPr>
            <w:r>
              <w:t>Q4 2020</w:t>
            </w:r>
            <w:r w:rsidR="00745CC0">
              <w:t>:</w:t>
            </w:r>
            <w:r>
              <w:t xml:space="preserve"> </w:t>
            </w:r>
            <w:r w:rsidR="00745CC0">
              <w:t>C</w:t>
            </w:r>
            <w:r>
              <w:t>onsult</w:t>
            </w:r>
          </w:p>
        </w:tc>
      </w:tr>
      <w:tr w:rsidR="004C723D" w:rsidRPr="004804C7" w14:paraId="324A07A5" w14:textId="77777777" w:rsidTr="00617B4B">
        <w:trPr>
          <w:cantSplit/>
          <w:trHeight w:val="470"/>
        </w:trPr>
        <w:tc>
          <w:tcPr>
            <w:tcW w:w="1108" w:type="pct"/>
            <w:vMerge w:val="restart"/>
            <w:shd w:val="clear" w:color="auto" w:fill="F2F2F2" w:themeFill="background1" w:themeFillShade="F2"/>
          </w:tcPr>
          <w:p w14:paraId="5338F0E6" w14:textId="67D0C3C8" w:rsidR="004C723D" w:rsidRPr="007E72B9" w:rsidRDefault="004C723D" w:rsidP="004C723D">
            <w:pPr>
              <w:spacing w:before="100" w:beforeAutospacing="1" w:after="100" w:afterAutospacing="1"/>
              <w:ind w:right="176"/>
              <w:contextualSpacing/>
              <w:mirrorIndents/>
              <w:rPr>
                <w:rFonts w:cs="Arial"/>
                <w:szCs w:val="20"/>
              </w:rPr>
            </w:pPr>
            <w:r w:rsidRPr="007E72B9">
              <w:rPr>
                <w:rFonts w:cs="Arial"/>
                <w:szCs w:val="20"/>
              </w:rPr>
              <w:t>Satellite</w:t>
            </w:r>
          </w:p>
        </w:tc>
        <w:tc>
          <w:tcPr>
            <w:tcW w:w="2669" w:type="pct"/>
            <w:shd w:val="clear" w:color="auto" w:fill="F2F2F2" w:themeFill="background1" w:themeFillShade="F2"/>
          </w:tcPr>
          <w:p w14:paraId="4A7E7DA6" w14:textId="587E052B" w:rsidR="004C723D" w:rsidRPr="004804C7" w:rsidRDefault="004C723D" w:rsidP="004C723D">
            <w:pPr>
              <w:spacing w:after="0" w:line="240" w:lineRule="auto"/>
            </w:pPr>
            <w:r w:rsidRPr="004804C7">
              <w:t>Consider applications for test and demonstration purposes in the 2 GHz band</w:t>
            </w:r>
          </w:p>
        </w:tc>
        <w:tc>
          <w:tcPr>
            <w:tcW w:w="1223" w:type="pct"/>
            <w:shd w:val="clear" w:color="auto" w:fill="F2F2F2" w:themeFill="background1" w:themeFillShade="F2"/>
          </w:tcPr>
          <w:p w14:paraId="71A717D4" w14:textId="58AF5B66" w:rsidR="004C723D" w:rsidRPr="004804C7" w:rsidRDefault="004C723D" w:rsidP="004C723D">
            <w:pPr>
              <w:spacing w:after="0" w:line="240" w:lineRule="auto"/>
            </w:pPr>
            <w:r w:rsidRPr="004804C7">
              <w:t>Ongoing</w:t>
            </w:r>
          </w:p>
        </w:tc>
      </w:tr>
      <w:tr w:rsidR="004C723D" w:rsidRPr="004804C7" w14:paraId="6A078396" w14:textId="77777777" w:rsidTr="00617B4B">
        <w:trPr>
          <w:cantSplit/>
          <w:trHeight w:val="20"/>
        </w:trPr>
        <w:tc>
          <w:tcPr>
            <w:tcW w:w="1108" w:type="pct"/>
            <w:vMerge/>
            <w:shd w:val="clear" w:color="auto" w:fill="F2F2F2" w:themeFill="background1" w:themeFillShade="F2"/>
          </w:tcPr>
          <w:p w14:paraId="5D140082" w14:textId="77777777" w:rsidR="004C723D" w:rsidRPr="007E72B9" w:rsidRDefault="004C723D" w:rsidP="004C723D">
            <w:pPr>
              <w:spacing w:before="100" w:beforeAutospacing="1" w:after="100" w:afterAutospacing="1"/>
              <w:ind w:right="176"/>
              <w:contextualSpacing/>
              <w:mirrorIndents/>
              <w:rPr>
                <w:rFonts w:cs="Arial"/>
                <w:szCs w:val="20"/>
              </w:rPr>
            </w:pPr>
          </w:p>
        </w:tc>
        <w:tc>
          <w:tcPr>
            <w:tcW w:w="2669" w:type="pct"/>
            <w:shd w:val="clear" w:color="auto" w:fill="F2F2F2" w:themeFill="background1" w:themeFillShade="F2"/>
          </w:tcPr>
          <w:p w14:paraId="63646493" w14:textId="0C292210" w:rsidR="004C723D" w:rsidRPr="004804C7" w:rsidRDefault="004C723D" w:rsidP="004C723D">
            <w:pPr>
              <w:spacing w:after="0" w:line="240" w:lineRule="auto"/>
            </w:pPr>
            <w:r w:rsidRPr="004804C7">
              <w:t>Manage filing and coordination of Australian satellite systems</w:t>
            </w:r>
          </w:p>
        </w:tc>
        <w:tc>
          <w:tcPr>
            <w:tcW w:w="1223" w:type="pct"/>
            <w:shd w:val="clear" w:color="auto" w:fill="F2F2F2" w:themeFill="background1" w:themeFillShade="F2"/>
          </w:tcPr>
          <w:p w14:paraId="1D734414" w14:textId="5ED9F54D" w:rsidR="004C723D" w:rsidRPr="004804C7" w:rsidRDefault="004C723D" w:rsidP="004C723D">
            <w:pPr>
              <w:spacing w:after="0" w:line="240" w:lineRule="auto"/>
            </w:pPr>
            <w:r w:rsidRPr="004804C7">
              <w:t>Ongoing</w:t>
            </w:r>
          </w:p>
        </w:tc>
      </w:tr>
      <w:tr w:rsidR="00B6413D" w:rsidRPr="004804C7" w14:paraId="0851C3C2" w14:textId="77777777" w:rsidTr="00617B4B">
        <w:trPr>
          <w:cantSplit/>
          <w:trHeight w:val="20"/>
        </w:trPr>
        <w:tc>
          <w:tcPr>
            <w:tcW w:w="1108" w:type="pct"/>
            <w:vMerge/>
            <w:shd w:val="clear" w:color="auto" w:fill="F2F2F2" w:themeFill="background1" w:themeFillShade="F2"/>
          </w:tcPr>
          <w:p w14:paraId="089E7121" w14:textId="77777777" w:rsidR="00B6413D" w:rsidRPr="007E72B9" w:rsidRDefault="00B6413D" w:rsidP="004C723D">
            <w:pPr>
              <w:spacing w:before="100" w:beforeAutospacing="1" w:after="100" w:afterAutospacing="1"/>
              <w:ind w:right="176"/>
              <w:contextualSpacing/>
              <w:mirrorIndents/>
              <w:rPr>
                <w:rFonts w:cs="Arial"/>
                <w:szCs w:val="20"/>
              </w:rPr>
            </w:pPr>
          </w:p>
        </w:tc>
        <w:tc>
          <w:tcPr>
            <w:tcW w:w="2669" w:type="pct"/>
            <w:shd w:val="clear" w:color="auto" w:fill="F2F2F2" w:themeFill="background1" w:themeFillShade="F2"/>
          </w:tcPr>
          <w:p w14:paraId="4166C559" w14:textId="2B319DC8" w:rsidR="00B6413D" w:rsidRPr="004804C7" w:rsidRDefault="00947927" w:rsidP="004C723D">
            <w:pPr>
              <w:spacing w:after="0" w:line="240" w:lineRule="auto"/>
            </w:pPr>
            <w:r>
              <w:rPr>
                <w:noProof/>
              </w:rPr>
              <w:drawing>
                <wp:inline distT="0" distB="0" distL="0" distR="0" wp14:anchorId="0E9D961A" wp14:editId="56003D6D">
                  <wp:extent cx="243840" cy="140335"/>
                  <wp:effectExtent l="0" t="0" r="3810" b="0"/>
                  <wp:docPr id="281" name="Picture 2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Picture 281">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B6413D" w:rsidRPr="00B6413D">
              <w:t>Spectrum arrangements for ‘small satellites’</w:t>
            </w:r>
          </w:p>
        </w:tc>
        <w:tc>
          <w:tcPr>
            <w:tcW w:w="1223" w:type="pct"/>
            <w:shd w:val="clear" w:color="auto" w:fill="F2F2F2" w:themeFill="background1" w:themeFillShade="F2"/>
          </w:tcPr>
          <w:p w14:paraId="1EADB051" w14:textId="26B56D36" w:rsidR="00B6413D" w:rsidRPr="004804C7" w:rsidRDefault="006043ED" w:rsidP="004C723D">
            <w:pPr>
              <w:spacing w:after="0" w:line="240" w:lineRule="auto"/>
            </w:pPr>
            <w:r>
              <w:t>Q4 2020: Consult</w:t>
            </w:r>
            <w:r w:rsidRPr="006043ED">
              <w:t xml:space="preserve"> </w:t>
            </w:r>
          </w:p>
        </w:tc>
      </w:tr>
      <w:tr w:rsidR="004C723D" w:rsidRPr="004804C7" w14:paraId="54CB9A9A" w14:textId="77777777" w:rsidTr="00617B4B">
        <w:trPr>
          <w:cantSplit/>
          <w:trHeight w:val="595"/>
        </w:trPr>
        <w:tc>
          <w:tcPr>
            <w:tcW w:w="1108" w:type="pct"/>
            <w:shd w:val="clear" w:color="auto" w:fill="auto"/>
          </w:tcPr>
          <w:p w14:paraId="27738BE5" w14:textId="77777777" w:rsidR="004C723D" w:rsidRPr="007E72B9" w:rsidRDefault="004C723D" w:rsidP="004C723D">
            <w:pPr>
              <w:spacing w:after="0" w:line="240" w:lineRule="auto"/>
            </w:pPr>
            <w:r w:rsidRPr="007E72B9">
              <w:t>Low interference potential devices (LIPD)</w:t>
            </w:r>
          </w:p>
        </w:tc>
        <w:tc>
          <w:tcPr>
            <w:tcW w:w="2669" w:type="pct"/>
            <w:shd w:val="clear" w:color="auto" w:fill="auto"/>
          </w:tcPr>
          <w:p w14:paraId="16CA8565" w14:textId="76DE1F8A" w:rsidR="004C723D" w:rsidRPr="004804C7" w:rsidRDefault="004C723D" w:rsidP="004C723D">
            <w:pPr>
              <w:spacing w:after="0" w:line="240" w:lineRule="auto"/>
            </w:pPr>
            <w:r>
              <w:t xml:space="preserve">Monitor developments, including updates on low duty cycle 900 MHz changes and </w:t>
            </w:r>
            <w:r w:rsidR="00AC7EF0">
              <w:t>26 </w:t>
            </w:r>
            <w:r>
              <w:t>GHz (as per planning decisions)</w:t>
            </w:r>
          </w:p>
        </w:tc>
        <w:tc>
          <w:tcPr>
            <w:tcW w:w="1223" w:type="pct"/>
            <w:shd w:val="clear" w:color="auto" w:fill="auto"/>
          </w:tcPr>
          <w:p w14:paraId="39F3B09F" w14:textId="0EB87EEB" w:rsidR="004C723D" w:rsidRPr="004804C7" w:rsidRDefault="004C723D" w:rsidP="004C723D">
            <w:pPr>
              <w:spacing w:after="0" w:line="240" w:lineRule="auto"/>
            </w:pPr>
            <w:r>
              <w:t>Ongoing</w:t>
            </w:r>
            <w:r w:rsidR="00745CC0">
              <w:t>—</w:t>
            </w:r>
            <w:r>
              <w:t>Q3 2020</w:t>
            </w:r>
            <w:r w:rsidR="00682C9C">
              <w:t>: update consultation</w:t>
            </w:r>
          </w:p>
        </w:tc>
      </w:tr>
      <w:tr w:rsidR="007B453C" w:rsidRPr="004804C7" w14:paraId="472DDA7E" w14:textId="77777777" w:rsidTr="00617B4B">
        <w:trPr>
          <w:cantSplit/>
          <w:trHeight w:val="21"/>
        </w:trPr>
        <w:tc>
          <w:tcPr>
            <w:tcW w:w="1108" w:type="pct"/>
            <w:shd w:val="clear" w:color="auto" w:fill="F2F2F2" w:themeFill="background1" w:themeFillShade="F2"/>
          </w:tcPr>
          <w:p w14:paraId="077A3E70" w14:textId="17797CC8" w:rsidR="007B453C" w:rsidRDefault="0025734D" w:rsidP="004C723D">
            <w:pPr>
              <w:spacing w:after="0" w:line="240" w:lineRule="auto"/>
            </w:pPr>
            <w:r>
              <w:rPr>
                <w:noProof/>
              </w:rPr>
              <w:drawing>
                <wp:inline distT="0" distB="0" distL="0" distR="0" wp14:anchorId="61E44AD6" wp14:editId="62415CC8">
                  <wp:extent cx="243840" cy="140335"/>
                  <wp:effectExtent l="0" t="0" r="3810" b="0"/>
                  <wp:docPr id="282" name="Picture 28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Picture 282">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7B453C">
              <w:t>Intelligent Transport</w:t>
            </w:r>
          </w:p>
          <w:p w14:paraId="5888544D" w14:textId="5ACF437B" w:rsidR="007B453C" w:rsidRPr="007E72B9" w:rsidRDefault="007B453C" w:rsidP="004C723D">
            <w:pPr>
              <w:spacing w:after="0" w:line="240" w:lineRule="auto"/>
            </w:pPr>
            <w:r>
              <w:t>Systems</w:t>
            </w:r>
          </w:p>
        </w:tc>
        <w:tc>
          <w:tcPr>
            <w:tcW w:w="2669" w:type="pct"/>
            <w:shd w:val="clear" w:color="auto" w:fill="F2F2F2" w:themeFill="background1" w:themeFillShade="F2"/>
          </w:tcPr>
          <w:p w14:paraId="0116F4A1" w14:textId="26EA3B16" w:rsidR="007B453C" w:rsidDel="007A13C1" w:rsidRDefault="002E167E" w:rsidP="004C723D">
            <w:pPr>
              <w:spacing w:after="0" w:line="240" w:lineRule="auto"/>
            </w:pPr>
            <w:r>
              <w:t>M</w:t>
            </w:r>
            <w:r w:rsidRPr="00D82EB3">
              <w:t>onitor the developments in C-ITS</w:t>
            </w:r>
            <w:r w:rsidR="00F86D06">
              <w:t>.</w:t>
            </w:r>
            <w:r>
              <w:t xml:space="preserve"> Review ITS Class Licence to accommodate V2X technology and </w:t>
            </w:r>
            <w:r w:rsidR="00074057">
              <w:t>consider</w:t>
            </w:r>
            <w:r>
              <w:t xml:space="preserve"> channelisation arrangements</w:t>
            </w:r>
          </w:p>
        </w:tc>
        <w:tc>
          <w:tcPr>
            <w:tcW w:w="1223" w:type="pct"/>
            <w:shd w:val="clear" w:color="auto" w:fill="F2F2F2" w:themeFill="background1" w:themeFillShade="F2"/>
          </w:tcPr>
          <w:p w14:paraId="68B3721E" w14:textId="351CAE2E" w:rsidR="007B453C" w:rsidRPr="00FC330D" w:rsidDel="007A13C1" w:rsidRDefault="002E167E" w:rsidP="004C723D">
            <w:pPr>
              <w:spacing w:after="0" w:line="240" w:lineRule="auto"/>
            </w:pPr>
            <w:r>
              <w:t>Q2 2021</w:t>
            </w:r>
          </w:p>
        </w:tc>
      </w:tr>
      <w:tr w:rsidR="004C723D" w:rsidRPr="004804C7" w14:paraId="57A1161C" w14:textId="77777777" w:rsidTr="00A7210B">
        <w:trPr>
          <w:cantSplit/>
          <w:trHeight w:val="21"/>
        </w:trPr>
        <w:tc>
          <w:tcPr>
            <w:tcW w:w="1108" w:type="pct"/>
            <w:shd w:val="clear" w:color="auto" w:fill="auto"/>
          </w:tcPr>
          <w:p w14:paraId="23E3C5DB" w14:textId="11AAF5FF" w:rsidR="004C723D" w:rsidRPr="007E72B9" w:rsidRDefault="004C723D" w:rsidP="004C723D">
            <w:pPr>
              <w:spacing w:after="0" w:line="240" w:lineRule="auto"/>
            </w:pPr>
            <w:r w:rsidRPr="007E72B9">
              <w:t>Amateur service in the frequency band 5351.5–5366.5 kHz</w:t>
            </w:r>
          </w:p>
        </w:tc>
        <w:tc>
          <w:tcPr>
            <w:tcW w:w="2669" w:type="pct"/>
            <w:shd w:val="clear" w:color="auto" w:fill="auto"/>
          </w:tcPr>
          <w:p w14:paraId="742A34C1" w14:textId="02E99489" w:rsidR="004C723D" w:rsidRPr="004804C7" w:rsidRDefault="00AD1F56" w:rsidP="004C723D">
            <w:pPr>
              <w:spacing w:after="0" w:line="240" w:lineRule="auto"/>
            </w:pPr>
            <w:r>
              <w:rPr>
                <w:noProof/>
              </w:rPr>
              <w:drawing>
                <wp:inline distT="0" distB="0" distL="0" distR="0" wp14:anchorId="0F1EDFC2" wp14:editId="00914ADD">
                  <wp:extent cx="243840" cy="140335"/>
                  <wp:effectExtent l="0" t="0" r="3810" b="0"/>
                  <wp:docPr id="283" name="Picture 2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Picture 283">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110CE3" w:rsidRPr="00110CE3">
              <w:t xml:space="preserve">Responses </w:t>
            </w:r>
            <w:r w:rsidR="00110CE3">
              <w:t xml:space="preserve">to consultation </w:t>
            </w:r>
            <w:r w:rsidR="00110CE3" w:rsidRPr="00110CE3">
              <w:t>are being reviewed</w:t>
            </w:r>
            <w:r w:rsidR="00A2657F">
              <w:t xml:space="preserve">, with a final decision </w:t>
            </w:r>
            <w:r w:rsidR="00E20297">
              <w:t>and way forward being determined</w:t>
            </w:r>
          </w:p>
        </w:tc>
        <w:tc>
          <w:tcPr>
            <w:tcW w:w="1223" w:type="pct"/>
            <w:shd w:val="clear" w:color="auto" w:fill="auto"/>
          </w:tcPr>
          <w:p w14:paraId="1236B3EC" w14:textId="1B9F5AAE" w:rsidR="004C723D" w:rsidRPr="004804C7" w:rsidRDefault="00E20297" w:rsidP="004C723D">
            <w:pPr>
              <w:spacing w:after="0" w:line="240" w:lineRule="auto"/>
            </w:pPr>
            <w:r>
              <w:t>Decision Q4 2020</w:t>
            </w:r>
          </w:p>
        </w:tc>
      </w:tr>
      <w:tr w:rsidR="004C723D" w:rsidRPr="004804C7" w14:paraId="5EE8AB9F" w14:textId="77777777" w:rsidTr="0010018E">
        <w:trPr>
          <w:cantSplit/>
          <w:trHeight w:val="21"/>
        </w:trPr>
        <w:tc>
          <w:tcPr>
            <w:tcW w:w="1108" w:type="pct"/>
            <w:shd w:val="clear" w:color="auto" w:fill="F2F2F2" w:themeFill="background1" w:themeFillShade="F2"/>
          </w:tcPr>
          <w:p w14:paraId="48AA4F4B" w14:textId="6E28CD38" w:rsidR="004C723D" w:rsidRPr="007E72B9" w:rsidRDefault="004C723D" w:rsidP="004C723D">
            <w:pPr>
              <w:spacing w:after="0" w:line="240" w:lineRule="auto"/>
            </w:pPr>
            <w:r w:rsidRPr="007E72B9">
              <w:lastRenderedPageBreak/>
              <w:t>Spectrum planning, assignment and coordination requirements</w:t>
            </w:r>
          </w:p>
        </w:tc>
        <w:tc>
          <w:tcPr>
            <w:tcW w:w="2669" w:type="pct"/>
            <w:shd w:val="clear" w:color="auto" w:fill="F2F2F2" w:themeFill="background1" w:themeFillShade="F2"/>
          </w:tcPr>
          <w:p w14:paraId="48B0D985" w14:textId="4AC0618E" w:rsidR="004C723D" w:rsidRPr="003E5DE1" w:rsidRDefault="004C723D" w:rsidP="004C723D">
            <w:pPr>
              <w:spacing w:after="0" w:line="240" w:lineRule="auto"/>
            </w:pPr>
            <w:r>
              <w:t>O</w:t>
            </w:r>
            <w:r w:rsidRPr="00A23FB5">
              <w:t>ngoing review of the spectrum planning technical framework to ensure its currency and consistency with current technologies and operational practices</w:t>
            </w:r>
          </w:p>
        </w:tc>
        <w:tc>
          <w:tcPr>
            <w:tcW w:w="1223" w:type="pct"/>
            <w:shd w:val="clear" w:color="auto" w:fill="F2F2F2" w:themeFill="background1" w:themeFillShade="F2"/>
          </w:tcPr>
          <w:p w14:paraId="2B5AC7A1" w14:textId="77777777" w:rsidR="004C723D" w:rsidRDefault="004C723D" w:rsidP="00513FDE">
            <w:pPr>
              <w:spacing w:after="120" w:line="240" w:lineRule="auto"/>
            </w:pPr>
            <w:r>
              <w:t>Ongoing</w:t>
            </w:r>
          </w:p>
          <w:p w14:paraId="4395A506" w14:textId="35C7BD92" w:rsidR="004C723D" w:rsidRPr="00FC330D" w:rsidRDefault="004C723D" w:rsidP="004C723D">
            <w:pPr>
              <w:spacing w:after="0" w:line="240" w:lineRule="auto"/>
            </w:pPr>
            <w:r>
              <w:t xml:space="preserve">Q4 2020: </w:t>
            </w:r>
            <w:r w:rsidR="00745CC0">
              <w:t>C</w:t>
            </w:r>
            <w:r>
              <w:t xml:space="preserve">onsult on </w:t>
            </w:r>
            <w:r w:rsidRPr="00A23FB5">
              <w:t xml:space="preserve">draft updated frequency coordination review work </w:t>
            </w:r>
          </w:p>
        </w:tc>
      </w:tr>
      <w:tr w:rsidR="004C723D" w:rsidRPr="004804C7" w14:paraId="17F190A2" w14:textId="77777777" w:rsidTr="00A7210B">
        <w:trPr>
          <w:cantSplit/>
          <w:trHeight w:val="21"/>
        </w:trPr>
        <w:tc>
          <w:tcPr>
            <w:tcW w:w="1108" w:type="pct"/>
            <w:shd w:val="clear" w:color="auto" w:fill="auto"/>
          </w:tcPr>
          <w:p w14:paraId="735652E9" w14:textId="2FA8FCE8" w:rsidR="004C723D" w:rsidRPr="007E72B9" w:rsidRDefault="004C723D" w:rsidP="004C723D">
            <w:pPr>
              <w:spacing w:after="0" w:line="240" w:lineRule="auto"/>
            </w:pPr>
            <w:r w:rsidRPr="007E72B9">
              <w:t>Spectrum licence technical frameworks</w:t>
            </w:r>
          </w:p>
        </w:tc>
        <w:tc>
          <w:tcPr>
            <w:tcW w:w="2669" w:type="pct"/>
            <w:shd w:val="clear" w:color="auto" w:fill="auto"/>
          </w:tcPr>
          <w:p w14:paraId="51B79A8C" w14:textId="7750C2A1" w:rsidR="004C723D" w:rsidRDefault="00BA5127" w:rsidP="004C723D">
            <w:pPr>
              <w:spacing w:after="0" w:line="240" w:lineRule="auto"/>
            </w:pPr>
            <w:r>
              <w:rPr>
                <w:noProof/>
              </w:rPr>
              <w:drawing>
                <wp:inline distT="0" distB="0" distL="0" distR="0" wp14:anchorId="484DE569" wp14:editId="60F1AA78">
                  <wp:extent cx="243840" cy="140335"/>
                  <wp:effectExtent l="0" t="0" r="3810" b="0"/>
                  <wp:docPr id="284" name="Picture 28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Picture 284">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4C723D">
              <w:t xml:space="preserve">Ongoing program of review of </w:t>
            </w:r>
            <w:r w:rsidR="004C723D" w:rsidRPr="00A23FB5">
              <w:t>technical frameworks below 4 GHz</w:t>
            </w:r>
          </w:p>
        </w:tc>
        <w:tc>
          <w:tcPr>
            <w:tcW w:w="1223" w:type="pct"/>
            <w:shd w:val="clear" w:color="auto" w:fill="auto"/>
          </w:tcPr>
          <w:p w14:paraId="366A5964" w14:textId="53443795" w:rsidR="007F511C" w:rsidRDefault="007F511C" w:rsidP="004F7116">
            <w:pPr>
              <w:spacing w:after="120" w:line="240" w:lineRule="auto"/>
            </w:pPr>
            <w:r>
              <w:t>1800 MHz band:</w:t>
            </w:r>
            <w:r w:rsidRPr="00B94EA5">
              <w:t xml:space="preserve"> Q</w:t>
            </w:r>
            <w:r>
              <w:t>4</w:t>
            </w:r>
            <w:r w:rsidRPr="00B94EA5">
              <w:t xml:space="preserve"> 2020</w:t>
            </w:r>
            <w:r>
              <w:t>: Consultation on variation</w:t>
            </w:r>
          </w:p>
          <w:p w14:paraId="5A117D99" w14:textId="7A020867" w:rsidR="007F511C" w:rsidRDefault="007F511C" w:rsidP="004F7116">
            <w:pPr>
              <w:spacing w:after="120" w:line="240" w:lineRule="auto"/>
            </w:pPr>
            <w:r>
              <w:t xml:space="preserve">2.3 GHz band: </w:t>
            </w:r>
            <w:r w:rsidR="00EA7BDA" w:rsidRPr="00B94EA5">
              <w:t>Q</w:t>
            </w:r>
            <w:r w:rsidR="00EA7BDA">
              <w:t>4</w:t>
            </w:r>
            <w:r w:rsidR="00C254B9">
              <w:t xml:space="preserve"> </w:t>
            </w:r>
            <w:r w:rsidRPr="00B94EA5">
              <w:t>2020</w:t>
            </w:r>
            <w:r>
              <w:t>: Consultation on variation</w:t>
            </w:r>
          </w:p>
          <w:p w14:paraId="0BB0C7E7" w14:textId="074E2D5F" w:rsidR="004C723D" w:rsidRDefault="007F511C" w:rsidP="004C723D">
            <w:pPr>
              <w:spacing w:after="0" w:line="240" w:lineRule="auto"/>
            </w:pPr>
            <w:r>
              <w:t xml:space="preserve">Other bands: </w:t>
            </w:r>
            <w:r w:rsidR="004C723D">
              <w:t>Ongoing</w:t>
            </w:r>
          </w:p>
        </w:tc>
      </w:tr>
      <w:tr w:rsidR="004C723D" w:rsidRPr="004804C7" w14:paraId="05EF8D37" w14:textId="77777777" w:rsidTr="0010018E">
        <w:trPr>
          <w:cantSplit/>
          <w:trHeight w:val="21"/>
        </w:trPr>
        <w:tc>
          <w:tcPr>
            <w:tcW w:w="1108" w:type="pct"/>
            <w:shd w:val="clear" w:color="auto" w:fill="F2F2F2" w:themeFill="background1" w:themeFillShade="F2"/>
          </w:tcPr>
          <w:p w14:paraId="6CC4BCAF" w14:textId="1F294759" w:rsidR="004C723D" w:rsidRPr="007E72B9" w:rsidRDefault="004C723D" w:rsidP="004C723D">
            <w:pPr>
              <w:spacing w:after="0" w:line="240" w:lineRule="auto"/>
            </w:pPr>
            <w:r w:rsidRPr="007E72B9">
              <w:t>Spectrum</w:t>
            </w:r>
            <w:r w:rsidR="004F7116">
              <w:t>-</w:t>
            </w:r>
            <w:r w:rsidRPr="007E72B9">
              <w:t>sharing approaches</w:t>
            </w:r>
          </w:p>
        </w:tc>
        <w:tc>
          <w:tcPr>
            <w:tcW w:w="2669" w:type="pct"/>
            <w:shd w:val="clear" w:color="auto" w:fill="F2F2F2" w:themeFill="background1" w:themeFillShade="F2"/>
          </w:tcPr>
          <w:p w14:paraId="528785A0" w14:textId="4CA4FC54" w:rsidR="004C723D" w:rsidRDefault="004C723D" w:rsidP="004C723D">
            <w:pPr>
              <w:spacing w:after="0" w:line="240" w:lineRule="auto"/>
            </w:pPr>
            <w:r>
              <w:t xml:space="preserve">Ongoing consideration of </w:t>
            </w:r>
            <w:r w:rsidRPr="0053295D">
              <w:t xml:space="preserve">new approaches to </w:t>
            </w:r>
            <w:r>
              <w:t xml:space="preserve">spectrum </w:t>
            </w:r>
            <w:r w:rsidRPr="0053295D">
              <w:t>sharing</w:t>
            </w:r>
          </w:p>
        </w:tc>
        <w:tc>
          <w:tcPr>
            <w:tcW w:w="1223" w:type="pct"/>
            <w:shd w:val="clear" w:color="auto" w:fill="F2F2F2" w:themeFill="background1" w:themeFillShade="F2"/>
          </w:tcPr>
          <w:p w14:paraId="341E354D" w14:textId="53CA9E57" w:rsidR="004C723D" w:rsidRDefault="00622B94" w:rsidP="004C723D">
            <w:pPr>
              <w:spacing w:after="0" w:line="240" w:lineRule="auto"/>
            </w:pPr>
            <w:r>
              <w:rPr>
                <w:noProof/>
              </w:rPr>
              <w:drawing>
                <wp:inline distT="0" distB="0" distL="0" distR="0" wp14:anchorId="070B9DD2" wp14:editId="3225A18D">
                  <wp:extent cx="243840" cy="140335"/>
                  <wp:effectExtent l="0" t="0" r="3810" b="0"/>
                  <wp:docPr id="285" name="Picture 28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Picture 285">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6F6D2D">
              <w:t>Ongoing</w:t>
            </w:r>
            <w:r w:rsidR="00A23147">
              <w:t>—</w:t>
            </w:r>
            <w:r w:rsidR="006F6D2D">
              <w:t>will consider proposals as they are submitted</w:t>
            </w:r>
          </w:p>
        </w:tc>
      </w:tr>
    </w:tbl>
    <w:p w14:paraId="37B973A2" w14:textId="77777777" w:rsidR="002E5E12" w:rsidRDefault="002E5E12" w:rsidP="00B35964">
      <w:pPr>
        <w:pStyle w:val="Paragraph"/>
      </w:pPr>
    </w:p>
    <w:p w14:paraId="69EF6398" w14:textId="038C09EC" w:rsidR="00276ECF" w:rsidRPr="003E4DC6" w:rsidRDefault="00276ECF" w:rsidP="00513FDE">
      <w:pPr>
        <w:pStyle w:val="ACMATableHeader"/>
      </w:pPr>
      <w:r w:rsidRPr="003E4DC6">
        <w:t>Forward allocation work plan</w:t>
      </w:r>
    </w:p>
    <w:tbl>
      <w:tblPr>
        <w:tblW w:w="49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1688"/>
        <w:gridCol w:w="5922"/>
      </w:tblGrid>
      <w:tr w:rsidR="00276ECF" w:rsidRPr="004804C7" w14:paraId="7D5FBA37" w14:textId="77777777" w:rsidTr="00A436B1">
        <w:trPr>
          <w:tblHeader/>
        </w:trPr>
        <w:tc>
          <w:tcPr>
            <w:tcW w:w="1109" w:type="pct"/>
            <w:shd w:val="clear" w:color="auto" w:fill="404040"/>
          </w:tcPr>
          <w:p w14:paraId="1FCCBE0C" w14:textId="77777777" w:rsidR="00276ECF" w:rsidRPr="004804C7" w:rsidRDefault="00276ECF" w:rsidP="00FC46BF">
            <w:pPr>
              <w:spacing w:after="0"/>
              <w:rPr>
                <w:b/>
                <w:color w:val="FFFFFF"/>
              </w:rPr>
            </w:pPr>
            <w:r w:rsidRPr="004804C7">
              <w:rPr>
                <w:b/>
                <w:color w:val="FFFFFF"/>
              </w:rPr>
              <w:t>Project priorities</w:t>
            </w:r>
          </w:p>
        </w:tc>
        <w:tc>
          <w:tcPr>
            <w:tcW w:w="3891" w:type="pct"/>
            <w:shd w:val="clear" w:color="auto" w:fill="404040"/>
          </w:tcPr>
          <w:p w14:paraId="0CA3A78E" w14:textId="77777777" w:rsidR="00276ECF" w:rsidRPr="004804C7" w:rsidRDefault="00276ECF" w:rsidP="00FC46BF">
            <w:pPr>
              <w:spacing w:after="0"/>
              <w:rPr>
                <w:b/>
                <w:color w:val="FFFFFF"/>
              </w:rPr>
            </w:pPr>
            <w:r w:rsidRPr="004804C7">
              <w:rPr>
                <w:b/>
                <w:color w:val="FFFFFF"/>
              </w:rPr>
              <w:t>Proposed timelines—next steps</w:t>
            </w:r>
          </w:p>
        </w:tc>
      </w:tr>
      <w:tr w:rsidR="00BC67AF" w:rsidRPr="004804C7" w14:paraId="076FEB7F" w14:textId="77777777" w:rsidTr="00A436B1">
        <w:trPr>
          <w:trHeight w:val="189"/>
        </w:trPr>
        <w:tc>
          <w:tcPr>
            <w:tcW w:w="1109" w:type="pct"/>
            <w:tcBorders>
              <w:top w:val="single" w:sz="4" w:space="0" w:color="auto"/>
              <w:left w:val="single" w:sz="4" w:space="0" w:color="auto"/>
              <w:bottom w:val="single" w:sz="4" w:space="0" w:color="auto"/>
              <w:right w:val="single" w:sz="4" w:space="0" w:color="auto"/>
            </w:tcBorders>
            <w:shd w:val="clear" w:color="auto" w:fill="auto"/>
          </w:tcPr>
          <w:p w14:paraId="26DCC01D" w14:textId="283A51AC" w:rsidR="00BC67AF" w:rsidRPr="007E72B9" w:rsidDel="00CD6124" w:rsidRDefault="00BC67AF" w:rsidP="00BC67AF">
            <w:pPr>
              <w:spacing w:after="0"/>
              <w:mirrorIndents/>
              <w:rPr>
                <w:rFonts w:cs="Arial"/>
                <w:szCs w:val="20"/>
              </w:rPr>
            </w:pPr>
            <w:bookmarkStart w:id="43" w:name="_Hlk49409213"/>
            <w:r w:rsidRPr="007E72B9">
              <w:rPr>
                <w:rFonts w:cs="Arial"/>
                <w:szCs w:val="20"/>
              </w:rPr>
              <w:t xml:space="preserve">26 and 28 GHz bands </w:t>
            </w:r>
            <w:bookmarkEnd w:id="43"/>
          </w:p>
        </w:tc>
        <w:tc>
          <w:tcPr>
            <w:tcW w:w="3891" w:type="pct"/>
            <w:tcBorders>
              <w:top w:val="single" w:sz="4" w:space="0" w:color="auto"/>
              <w:left w:val="single" w:sz="4" w:space="0" w:color="auto"/>
              <w:bottom w:val="single" w:sz="4" w:space="0" w:color="auto"/>
              <w:right w:val="single" w:sz="4" w:space="0" w:color="auto"/>
            </w:tcBorders>
            <w:shd w:val="clear" w:color="auto" w:fill="auto"/>
          </w:tcPr>
          <w:p w14:paraId="3FA62114" w14:textId="793BA04E" w:rsidR="002E5E12" w:rsidRDefault="00BC67AF" w:rsidP="00513FDE">
            <w:pPr>
              <w:pStyle w:val="Paragraphbeforelist"/>
            </w:pPr>
            <w:r>
              <w:t>Q3 2020</w:t>
            </w:r>
            <w:r w:rsidR="00035F11">
              <w:t>:</w:t>
            </w:r>
            <w:r>
              <w:t xml:space="preserve"> </w:t>
            </w:r>
            <w:r w:rsidR="00035F11">
              <w:t>C</w:t>
            </w:r>
            <w:r w:rsidRPr="0023347D">
              <w:t>onsult on</w:t>
            </w:r>
            <w:r w:rsidR="002E5E12">
              <w:t>:</w:t>
            </w:r>
          </w:p>
          <w:p w14:paraId="6A33C0B2" w14:textId="4AF8A5F8" w:rsidR="00035F11" w:rsidRDefault="00BC67AF" w:rsidP="00E70C34">
            <w:pPr>
              <w:pStyle w:val="Bulletlevel1"/>
            </w:pPr>
            <w:r w:rsidRPr="00BC67AF">
              <w:t xml:space="preserve">coordination </w:t>
            </w:r>
            <w:r w:rsidR="00A47182">
              <w:t>and licensing</w:t>
            </w:r>
            <w:r w:rsidRPr="00BC67AF">
              <w:t xml:space="preserve"> arrangements for new </w:t>
            </w:r>
            <w:r w:rsidR="00A06D46">
              <w:t>fixed satellite service (</w:t>
            </w:r>
            <w:r w:rsidRPr="00A06D46">
              <w:t>FSS</w:t>
            </w:r>
            <w:r w:rsidR="00A06D46">
              <w:t>)</w:t>
            </w:r>
            <w:r w:rsidRPr="00BC67AF">
              <w:t xml:space="preserve"> gateway earth stations in the range 27</w:t>
            </w:r>
            <w:r w:rsidR="002E5E12">
              <w:t>–</w:t>
            </w:r>
            <w:r w:rsidRPr="00BC67AF">
              <w:t>2</w:t>
            </w:r>
            <w:r w:rsidR="00A47182">
              <w:t>9.5</w:t>
            </w:r>
            <w:r w:rsidRPr="00BC67AF">
              <w:t xml:space="preserve"> GHz</w:t>
            </w:r>
            <w:r w:rsidR="00E70C34">
              <w:t xml:space="preserve"> </w:t>
            </w:r>
            <w:r w:rsidR="00E70C34" w:rsidRPr="00E70C34">
              <w:t>and new licensing arrangements for FSS earth stations in the 29.5–30.0 GH</w:t>
            </w:r>
            <w:r w:rsidR="002C08F9">
              <w:t>z</w:t>
            </w:r>
            <w:r w:rsidR="00E70C34" w:rsidRPr="00E70C34">
              <w:t xml:space="preserve"> range</w:t>
            </w:r>
          </w:p>
          <w:p w14:paraId="596EB294" w14:textId="3789F6A2" w:rsidR="00BC67AF" w:rsidRDefault="00725754" w:rsidP="004F7116">
            <w:pPr>
              <w:pStyle w:val="Bulletlevel1"/>
              <w:spacing w:after="120"/>
            </w:pPr>
            <w:r>
              <w:t>the</w:t>
            </w:r>
            <w:r w:rsidR="00BC67AF">
              <w:t xml:space="preserve"> </w:t>
            </w:r>
            <w:r>
              <w:t>technical framework,</w:t>
            </w:r>
            <w:r w:rsidR="00BC67AF">
              <w:t xml:space="preserve"> taxation and </w:t>
            </w:r>
            <w:r>
              <w:t>allocation</w:t>
            </w:r>
            <w:r w:rsidR="00BC67AF">
              <w:t xml:space="preserve"> </w:t>
            </w:r>
            <w:r>
              <w:t>arrangements</w:t>
            </w:r>
            <w:r w:rsidR="00BC67AF">
              <w:t xml:space="preserve"> for apparatus licen</w:t>
            </w:r>
            <w:r w:rsidR="00D81171">
              <w:t>c</w:t>
            </w:r>
            <w:r w:rsidR="00BC67AF">
              <w:t>es in the 26 and 28 GHz bands</w:t>
            </w:r>
          </w:p>
          <w:p w14:paraId="217932F9" w14:textId="6C676A4B" w:rsidR="00EF3F72" w:rsidRDefault="00EF3F72" w:rsidP="00513FDE">
            <w:pPr>
              <w:spacing w:after="120"/>
              <w:mirrorIndents/>
            </w:pPr>
            <w:r>
              <w:t xml:space="preserve">Q4 2020: </w:t>
            </w:r>
            <w:r w:rsidR="00926F8E">
              <w:t>S</w:t>
            </w:r>
            <w:r>
              <w:t xml:space="preserve">ome apparatus licences in 26 and </w:t>
            </w:r>
            <w:r w:rsidR="0011328A">
              <w:t xml:space="preserve">in all of </w:t>
            </w:r>
            <w:r>
              <w:t>28 GHz</w:t>
            </w:r>
            <w:r w:rsidR="00926F8E">
              <w:t xml:space="preserve"> become available for issue</w:t>
            </w:r>
          </w:p>
          <w:p w14:paraId="5A3B9429" w14:textId="4ED3B4D2" w:rsidR="00632BC3" w:rsidRDefault="00D56A97" w:rsidP="00513FDE">
            <w:pPr>
              <w:spacing w:after="120"/>
              <w:mirrorIndents/>
            </w:pPr>
            <w:r>
              <w:rPr>
                <w:noProof/>
              </w:rPr>
              <w:drawing>
                <wp:inline distT="0" distB="0" distL="0" distR="0" wp14:anchorId="184BBFF8" wp14:editId="68B36900">
                  <wp:extent cx="243840" cy="140335"/>
                  <wp:effectExtent l="0" t="0" r="3810" b="0"/>
                  <wp:docPr id="54" name="Picture 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a:extLst>
                              <a:ext uri="{C183D7F6-B498-43B3-948B-1728B52AA6E4}">
                                <adec:decorative xmlns:adec="http://schemas.microsoft.com/office/drawing/2017/decorative" val="1"/>
                              </a:ext>
                            </a:extLst>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632BC3">
              <w:t xml:space="preserve">Q4 2020: Finalise the technical </w:t>
            </w:r>
            <w:r w:rsidR="007E14F4">
              <w:t xml:space="preserve">and allocation </w:t>
            </w:r>
            <w:r w:rsidR="00632BC3">
              <w:t xml:space="preserve">instruments </w:t>
            </w:r>
            <w:r w:rsidR="00D81171">
              <w:t>for the allocation of spectrum licences</w:t>
            </w:r>
            <w:r w:rsidR="00FA118F">
              <w:t>.</w:t>
            </w:r>
            <w:r w:rsidR="00D81171">
              <w:t xml:space="preserve"> </w:t>
            </w:r>
            <w:r w:rsidR="00FA118F">
              <w:t>A</w:t>
            </w:r>
            <w:r w:rsidR="00632BC3">
              <w:t>dvertise the auction</w:t>
            </w:r>
            <w:r w:rsidR="00FA118F">
              <w:t xml:space="preserve"> and invite applications</w:t>
            </w:r>
          </w:p>
          <w:p w14:paraId="13DC59DB" w14:textId="21847553" w:rsidR="00BC67AF" w:rsidRPr="004804C7" w:rsidRDefault="00F07492" w:rsidP="00BC67AF">
            <w:pPr>
              <w:spacing w:after="0"/>
              <w:mirrorIndents/>
            </w:pPr>
            <w:r>
              <w:rPr>
                <w:noProof/>
              </w:rPr>
              <w:drawing>
                <wp:inline distT="0" distB="0" distL="0" distR="0" wp14:anchorId="26142A73" wp14:editId="45D0097B">
                  <wp:extent cx="243840" cy="140335"/>
                  <wp:effectExtent l="0" t="0" r="381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C37E1E">
              <w:t>Q1</w:t>
            </w:r>
            <w:r w:rsidR="0049418D">
              <w:t>–2</w:t>
            </w:r>
            <w:r w:rsidR="00C37E1E">
              <w:t xml:space="preserve"> </w:t>
            </w:r>
            <w:r w:rsidR="00BC67AF">
              <w:t>2021</w:t>
            </w:r>
            <w:r w:rsidR="0049418D">
              <w:t xml:space="preserve"> (noting Easter)</w:t>
            </w:r>
            <w:r w:rsidR="00BC67AF">
              <w:t xml:space="preserve">: </w:t>
            </w:r>
            <w:r w:rsidR="004B70B4">
              <w:t xml:space="preserve">Auction </w:t>
            </w:r>
            <w:r w:rsidR="00BC67AF">
              <w:t xml:space="preserve">spectrum licences </w:t>
            </w:r>
          </w:p>
        </w:tc>
      </w:tr>
      <w:tr w:rsidR="003E4DC6" w:rsidRPr="004804C7" w14:paraId="16155F76" w14:textId="6CB4AA1B" w:rsidTr="0010018E">
        <w:trPr>
          <w:trHeight w:val="189"/>
        </w:trPr>
        <w:tc>
          <w:tcPr>
            <w:tcW w:w="1109" w:type="pct"/>
            <w:shd w:val="clear" w:color="auto" w:fill="F2F2F2" w:themeFill="background1" w:themeFillShade="F2"/>
          </w:tcPr>
          <w:p w14:paraId="63ADC89A" w14:textId="19D9CFD4" w:rsidR="003E4DC6" w:rsidRPr="007E72B9" w:rsidRDefault="003E4DC6" w:rsidP="003E4DC6">
            <w:pPr>
              <w:spacing w:after="0"/>
              <w:mirrorIndents/>
              <w:rPr>
                <w:rFonts w:cs="Arial"/>
                <w:szCs w:val="20"/>
              </w:rPr>
            </w:pPr>
            <w:r w:rsidRPr="007E72B9">
              <w:t>850/900 MHz</w:t>
            </w:r>
          </w:p>
        </w:tc>
        <w:tc>
          <w:tcPr>
            <w:tcW w:w="3891" w:type="pct"/>
            <w:shd w:val="clear" w:color="auto" w:fill="F2F2F2" w:themeFill="background1" w:themeFillShade="F2"/>
          </w:tcPr>
          <w:p w14:paraId="6FF450FE" w14:textId="3335C244" w:rsidR="003E4DC6" w:rsidRDefault="004C08FF" w:rsidP="003E4DC6">
            <w:pPr>
              <w:spacing w:after="0"/>
              <w:mirrorIndents/>
            </w:pPr>
            <w:r>
              <w:pict w14:anchorId="3970331B">
                <v:shape id="_x0000_i1032" type="#_x0000_t75" alt="Image says changed" style="width:18pt;height:11.25pt;visibility:visible;mso-wrap-style:square">
                  <v:imagedata r:id="rId44" o:title=""/>
                </v:shape>
              </w:pict>
            </w:r>
            <w:r w:rsidR="00F92598">
              <w:t xml:space="preserve">  </w:t>
            </w:r>
            <w:r w:rsidR="003E4DC6">
              <w:t>Q3 2020</w:t>
            </w:r>
            <w:r w:rsidR="002E5E12">
              <w:t>:</w:t>
            </w:r>
            <w:r w:rsidR="003E4DC6">
              <w:t xml:space="preserve"> </w:t>
            </w:r>
            <w:r w:rsidR="00022352">
              <w:t xml:space="preserve">Review submissions to </w:t>
            </w:r>
            <w:r w:rsidR="00665D78">
              <w:t xml:space="preserve">the </w:t>
            </w:r>
            <w:r w:rsidR="00022352">
              <w:t>consul</w:t>
            </w:r>
            <w:r w:rsidR="00C55AEC">
              <w:t>t</w:t>
            </w:r>
            <w:r w:rsidR="00022352">
              <w:t>ation on draft reallocation recommendation</w:t>
            </w:r>
          </w:p>
          <w:p w14:paraId="23B25795" w14:textId="77777777" w:rsidR="000D69F6" w:rsidRDefault="000D69F6" w:rsidP="003E4DC6">
            <w:pPr>
              <w:spacing w:after="0"/>
              <w:mirrorIndents/>
            </w:pPr>
          </w:p>
          <w:p w14:paraId="1CF5A05A" w14:textId="3CD05856" w:rsidR="003E4DC6" w:rsidRDefault="008044D2" w:rsidP="003E4DC6">
            <w:pPr>
              <w:spacing w:after="0"/>
              <w:mirrorIndents/>
            </w:pPr>
            <w:r>
              <w:rPr>
                <w:noProof/>
              </w:rPr>
              <w:drawing>
                <wp:inline distT="0" distB="0" distL="0" distR="0" wp14:anchorId="50D7466F" wp14:editId="59087D69">
                  <wp:extent cx="243840" cy="140335"/>
                  <wp:effectExtent l="0" t="0" r="3810" b="0"/>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207B96">
              <w:t>Q1</w:t>
            </w:r>
            <w:r w:rsidR="00FF6AD4">
              <w:t xml:space="preserve">–2 </w:t>
            </w:r>
            <w:r w:rsidR="00207B96">
              <w:t>2021</w:t>
            </w:r>
            <w:r w:rsidR="003960C1">
              <w:t>:</w:t>
            </w:r>
            <w:r w:rsidR="00207B96">
              <w:t xml:space="preserve"> If the Minister decides to reallocate spectrum, draft and consult on the allocation instruments</w:t>
            </w:r>
          </w:p>
        </w:tc>
      </w:tr>
      <w:tr w:rsidR="003E4DC6" w:rsidRPr="004804C7" w14:paraId="7070BC0D" w14:textId="77777777" w:rsidTr="00A436B1">
        <w:trPr>
          <w:trHeight w:val="189"/>
        </w:trPr>
        <w:tc>
          <w:tcPr>
            <w:tcW w:w="1109" w:type="pct"/>
            <w:tcBorders>
              <w:top w:val="single" w:sz="4" w:space="0" w:color="auto"/>
              <w:left w:val="single" w:sz="4" w:space="0" w:color="auto"/>
              <w:bottom w:val="single" w:sz="4" w:space="0" w:color="auto"/>
              <w:right w:val="single" w:sz="4" w:space="0" w:color="auto"/>
            </w:tcBorders>
            <w:shd w:val="clear" w:color="auto" w:fill="auto"/>
          </w:tcPr>
          <w:p w14:paraId="3EA815E5" w14:textId="34A8F3EE" w:rsidR="003E4DC6" w:rsidRPr="007E72B9" w:rsidRDefault="003E4DC6" w:rsidP="003E4DC6">
            <w:pPr>
              <w:spacing w:after="0"/>
              <w:mirrorIndents/>
              <w:rPr>
                <w:rFonts w:cs="Arial"/>
                <w:szCs w:val="20"/>
              </w:rPr>
            </w:pPr>
            <w:r w:rsidRPr="007E72B9" w:rsidDel="00102818">
              <w:lastRenderedPageBreak/>
              <w:t>3400–3575 MHz</w:t>
            </w:r>
          </w:p>
        </w:tc>
        <w:tc>
          <w:tcPr>
            <w:tcW w:w="3891" w:type="pct"/>
            <w:tcBorders>
              <w:top w:val="single" w:sz="4" w:space="0" w:color="auto"/>
              <w:left w:val="single" w:sz="4" w:space="0" w:color="auto"/>
              <w:bottom w:val="single" w:sz="4" w:space="0" w:color="auto"/>
              <w:right w:val="single" w:sz="4" w:space="0" w:color="auto"/>
            </w:tcBorders>
            <w:shd w:val="clear" w:color="auto" w:fill="auto"/>
          </w:tcPr>
          <w:p w14:paraId="24EBA9E5" w14:textId="0E23AB17" w:rsidR="003E4DC6" w:rsidRDefault="003E4DC6" w:rsidP="00513FDE">
            <w:pPr>
              <w:spacing w:after="120"/>
              <w:mirrorIndents/>
            </w:pPr>
            <w:bookmarkStart w:id="44" w:name="_Hlk49756820"/>
            <w:r>
              <w:t>Q3</w:t>
            </w:r>
            <w:r w:rsidR="002E5E12">
              <w:t>–</w:t>
            </w:r>
            <w:r>
              <w:t>4 2020: Finalise restack of incumbent services</w:t>
            </w:r>
          </w:p>
          <w:p w14:paraId="515CCEA7" w14:textId="7FC73144" w:rsidR="003E4DC6" w:rsidRDefault="003E4DC6" w:rsidP="003E4DC6">
            <w:pPr>
              <w:spacing w:after="0"/>
              <w:mirrorIndents/>
            </w:pPr>
            <w:r>
              <w:t>Q4 2020</w:t>
            </w:r>
            <w:r w:rsidR="002E5E12">
              <w:t xml:space="preserve"> – </w:t>
            </w:r>
            <w:r>
              <w:t xml:space="preserve">Q2 2021: </w:t>
            </w:r>
            <w:r w:rsidR="00B50B67">
              <w:t>If</w:t>
            </w:r>
            <w:r>
              <w:t xml:space="preserve"> the Minister </w:t>
            </w:r>
            <w:r w:rsidR="008B3B0B">
              <w:t>decides</w:t>
            </w:r>
            <w:r w:rsidR="00B50B67">
              <w:t xml:space="preserve"> to designate spectrum</w:t>
            </w:r>
            <w:r>
              <w:t>, conduct activities to convert NBN Co’s apparatus licences to spectrum licences</w:t>
            </w:r>
            <w:bookmarkEnd w:id="44"/>
          </w:p>
        </w:tc>
      </w:tr>
    </w:tbl>
    <w:p w14:paraId="13AEF4BB" w14:textId="77777777" w:rsidR="00676612" w:rsidRDefault="00676612" w:rsidP="00B35964">
      <w:pPr>
        <w:pStyle w:val="Paragraph"/>
      </w:pPr>
    </w:p>
    <w:p w14:paraId="2FB83F4B" w14:textId="05CCADBA" w:rsidR="00276ECF" w:rsidRPr="00276ECF" w:rsidRDefault="00276ECF" w:rsidP="00513FDE">
      <w:pPr>
        <w:pStyle w:val="ACMATableHeader"/>
        <w:keepNext/>
        <w:keepLines/>
        <w:rPr>
          <w:b w:val="0"/>
        </w:rPr>
      </w:pPr>
      <w:r w:rsidRPr="0099510B">
        <w:t xml:space="preserve">Licensing and licensing </w:t>
      </w:r>
      <w:r w:rsidRPr="002E5E12">
        <w:t>systems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256"/>
        <w:gridCol w:w="4405"/>
      </w:tblGrid>
      <w:tr w:rsidR="00276ECF" w:rsidRPr="004804C7" w14:paraId="3A398DCE" w14:textId="77777777" w:rsidTr="000650FB">
        <w:trPr>
          <w:tblHeader/>
        </w:trPr>
        <w:tc>
          <w:tcPr>
            <w:tcW w:w="2125" w:type="pct"/>
            <w:shd w:val="clear" w:color="auto" w:fill="404040"/>
          </w:tcPr>
          <w:p w14:paraId="4A60DD8A" w14:textId="77777777" w:rsidR="00276ECF" w:rsidRPr="004804C7" w:rsidRDefault="00276ECF" w:rsidP="00513FDE">
            <w:pPr>
              <w:keepNext/>
              <w:keepLines/>
              <w:spacing w:after="0"/>
              <w:rPr>
                <w:b/>
                <w:color w:val="FFFFFF"/>
              </w:rPr>
            </w:pPr>
            <w:r w:rsidRPr="004804C7">
              <w:rPr>
                <w:b/>
                <w:color w:val="FFFFFF"/>
              </w:rPr>
              <w:t>Project priorities</w:t>
            </w:r>
          </w:p>
        </w:tc>
        <w:tc>
          <w:tcPr>
            <w:tcW w:w="2875" w:type="pct"/>
            <w:shd w:val="clear" w:color="auto" w:fill="404040"/>
          </w:tcPr>
          <w:p w14:paraId="011FC0F1" w14:textId="77777777" w:rsidR="00276ECF" w:rsidRPr="004804C7" w:rsidRDefault="00276ECF" w:rsidP="00513FDE">
            <w:pPr>
              <w:keepNext/>
              <w:keepLines/>
              <w:spacing w:after="0"/>
              <w:rPr>
                <w:b/>
                <w:color w:val="FFFFFF"/>
              </w:rPr>
            </w:pPr>
            <w:r w:rsidRPr="004804C7">
              <w:rPr>
                <w:b/>
                <w:color w:val="FFFFFF"/>
              </w:rPr>
              <w:t>Proposed timelines</w:t>
            </w:r>
          </w:p>
        </w:tc>
      </w:tr>
      <w:tr w:rsidR="00276ECF" w:rsidRPr="004804C7" w:rsidDel="00434C07" w14:paraId="30564DE3" w14:textId="77777777" w:rsidTr="00617B4B">
        <w:trPr>
          <w:trHeight w:val="653"/>
        </w:trPr>
        <w:tc>
          <w:tcPr>
            <w:tcW w:w="2125" w:type="pct"/>
            <w:shd w:val="clear" w:color="auto" w:fill="auto"/>
          </w:tcPr>
          <w:p w14:paraId="30662CF9" w14:textId="4E503F8D" w:rsidR="00276ECF" w:rsidRPr="004804C7" w:rsidDel="00434C07" w:rsidRDefault="00276ECF" w:rsidP="00513FDE">
            <w:pPr>
              <w:keepNext/>
              <w:keepLines/>
              <w:spacing w:after="0" w:line="240" w:lineRule="auto"/>
              <w:rPr>
                <w:rFonts w:cs="Arial"/>
              </w:rPr>
            </w:pPr>
            <w:r w:rsidRPr="004804C7">
              <w:rPr>
                <w:rFonts w:cs="Arial"/>
              </w:rPr>
              <w:t>Trial of mobile phone jammers at Goulburn Correctional Complex</w:t>
            </w:r>
          </w:p>
        </w:tc>
        <w:tc>
          <w:tcPr>
            <w:tcW w:w="2875" w:type="pct"/>
            <w:shd w:val="clear" w:color="auto" w:fill="auto"/>
          </w:tcPr>
          <w:p w14:paraId="5AD82027" w14:textId="080F311C" w:rsidR="00276ECF" w:rsidRPr="004804C7" w:rsidDel="00434C07" w:rsidRDefault="00AA41F1" w:rsidP="00513FDE">
            <w:pPr>
              <w:keepNext/>
              <w:keepLines/>
              <w:spacing w:after="0"/>
              <w:rPr>
                <w:rFonts w:cs="Arial"/>
              </w:rPr>
            </w:pPr>
            <w:r>
              <w:rPr>
                <w:rFonts w:cs="Arial"/>
              </w:rPr>
              <w:t>Ongoing:</w:t>
            </w:r>
            <w:bookmarkStart w:id="45" w:name="_Hlk36561423"/>
            <w:r w:rsidR="00C04AFD" w:rsidDel="007E79F8">
              <w:rPr>
                <w:rFonts w:cs="Arial"/>
              </w:rPr>
              <w:t xml:space="preserve"> </w:t>
            </w:r>
            <w:r w:rsidR="007E79F8">
              <w:rPr>
                <w:rFonts w:cs="Arial"/>
              </w:rPr>
              <w:t xml:space="preserve">Corrective Services NSW </w:t>
            </w:r>
            <w:r w:rsidR="00C04AFD">
              <w:rPr>
                <w:rFonts w:cs="Arial"/>
              </w:rPr>
              <w:t xml:space="preserve">commenced a two-year trial on </w:t>
            </w:r>
            <w:r w:rsidR="000A79B1">
              <w:rPr>
                <w:rFonts w:cs="Arial"/>
              </w:rPr>
              <w:t>13 December 2019</w:t>
            </w:r>
            <w:r w:rsidR="00C04AFD">
              <w:rPr>
                <w:rFonts w:cs="Arial"/>
              </w:rPr>
              <w:t xml:space="preserve"> under the exemption determination</w:t>
            </w:r>
            <w:bookmarkEnd w:id="45"/>
          </w:p>
        </w:tc>
      </w:tr>
      <w:tr w:rsidR="00276ECF" w:rsidRPr="004804C7" w14:paraId="4F10025A" w14:textId="77777777" w:rsidTr="00617B4B">
        <w:tc>
          <w:tcPr>
            <w:tcW w:w="2125" w:type="pct"/>
            <w:shd w:val="clear" w:color="auto" w:fill="F2F2F2" w:themeFill="background1" w:themeFillShade="F2"/>
          </w:tcPr>
          <w:p w14:paraId="56838AC7" w14:textId="77777777" w:rsidR="00276ECF" w:rsidRPr="0016070B" w:rsidRDefault="00276ECF" w:rsidP="00513FDE">
            <w:pPr>
              <w:keepNext/>
              <w:keepLines/>
              <w:spacing w:after="0" w:line="240" w:lineRule="auto"/>
              <w:rPr>
                <w:rFonts w:cs="Arial"/>
                <w:highlight w:val="yellow"/>
              </w:rPr>
            </w:pPr>
            <w:r w:rsidRPr="00EC4BDA">
              <w:rPr>
                <w:rFonts w:cs="Arial"/>
              </w:rPr>
              <w:t xml:space="preserve">400 MHz band </w:t>
            </w:r>
          </w:p>
        </w:tc>
        <w:tc>
          <w:tcPr>
            <w:tcW w:w="2875" w:type="pct"/>
            <w:shd w:val="clear" w:color="auto" w:fill="F2F2F2" w:themeFill="background1" w:themeFillShade="F2"/>
          </w:tcPr>
          <w:p w14:paraId="0F6FCCC9" w14:textId="128FAD74" w:rsidR="00276ECF" w:rsidRPr="00454323" w:rsidRDefault="00B405C6" w:rsidP="00513FDE">
            <w:pPr>
              <w:keepNext/>
              <w:keepLines/>
              <w:spacing w:after="0" w:line="240" w:lineRule="auto"/>
              <w:rPr>
                <w:rFonts w:cs="Arial"/>
                <w:highlight w:val="yellow"/>
              </w:rPr>
            </w:pPr>
            <w:bookmarkStart w:id="46" w:name="_Hlk52176157"/>
            <w:r>
              <w:t xml:space="preserve">2020–21: </w:t>
            </w:r>
            <w:r w:rsidRPr="00EC4BDA">
              <w:t>Finalis</w:t>
            </w:r>
            <w:r>
              <w:t>ing</w:t>
            </w:r>
            <w:r w:rsidRPr="00EC4BDA">
              <w:t xml:space="preserve"> </w:t>
            </w:r>
            <w:r w:rsidR="00276ECF" w:rsidRPr="00EC4BDA">
              <w:t>the 400 MHz implementation project</w:t>
            </w:r>
            <w:bookmarkEnd w:id="46"/>
          </w:p>
        </w:tc>
      </w:tr>
      <w:tr w:rsidR="00276ECF" w:rsidRPr="004804C7" w14:paraId="447C21D0" w14:textId="050FDF5E" w:rsidTr="00617B4B">
        <w:trPr>
          <w:trHeight w:val="422"/>
        </w:trPr>
        <w:tc>
          <w:tcPr>
            <w:tcW w:w="2125" w:type="pct"/>
            <w:shd w:val="clear" w:color="auto" w:fill="auto"/>
          </w:tcPr>
          <w:p w14:paraId="34370D8A" w14:textId="5E7D180D" w:rsidR="00276ECF" w:rsidRPr="004804C7" w:rsidRDefault="00276ECF" w:rsidP="00513FDE">
            <w:pPr>
              <w:keepNext/>
              <w:keepLines/>
              <w:spacing w:after="0" w:line="240" w:lineRule="auto"/>
            </w:pPr>
            <w:bookmarkStart w:id="47" w:name="_Hlk36110943"/>
            <w:r w:rsidRPr="00424A14">
              <w:rPr>
                <w:rFonts w:cs="Arial"/>
              </w:rPr>
              <w:t>Review of prohibition declarations and exemption determinations</w:t>
            </w:r>
            <w:bookmarkEnd w:id="47"/>
          </w:p>
        </w:tc>
        <w:tc>
          <w:tcPr>
            <w:tcW w:w="2875" w:type="pct"/>
            <w:shd w:val="clear" w:color="auto" w:fill="auto"/>
          </w:tcPr>
          <w:p w14:paraId="3F0F2E9D" w14:textId="784F546B" w:rsidR="00276ECF" w:rsidRPr="004804C7" w:rsidRDefault="00AA62A7" w:rsidP="00913721">
            <w:pPr>
              <w:keepNext/>
              <w:keepLines/>
              <w:spacing w:after="0"/>
            </w:pPr>
            <w:r>
              <w:rPr>
                <w:noProof/>
              </w:rPr>
              <w:drawing>
                <wp:inline distT="0" distB="0" distL="0" distR="0" wp14:anchorId="286E8185" wp14:editId="35C01B28">
                  <wp:extent cx="243840" cy="140335"/>
                  <wp:effectExtent l="0" t="0" r="3810" b="0"/>
                  <wp:docPr id="64" name="Picture 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212F72" w:rsidRPr="00212F72">
              <w:t>Q1 2021: Consultation on next steps</w:t>
            </w:r>
          </w:p>
        </w:tc>
      </w:tr>
      <w:tr w:rsidR="005F1178" w:rsidRPr="004804C7" w14:paraId="53B59A82" w14:textId="77777777" w:rsidTr="00617B4B">
        <w:trPr>
          <w:trHeight w:val="594"/>
        </w:trPr>
        <w:tc>
          <w:tcPr>
            <w:tcW w:w="2125" w:type="pct"/>
            <w:shd w:val="clear" w:color="auto" w:fill="F2F2F2" w:themeFill="background1" w:themeFillShade="F2"/>
          </w:tcPr>
          <w:p w14:paraId="5D8E6039" w14:textId="1F41361F" w:rsidR="005F1178" w:rsidRPr="00424A14" w:rsidRDefault="005F1178" w:rsidP="00513FDE">
            <w:pPr>
              <w:keepNext/>
              <w:keepLines/>
              <w:spacing w:after="0" w:line="240" w:lineRule="auto"/>
              <w:rPr>
                <w:rFonts w:cs="Arial"/>
              </w:rPr>
            </w:pPr>
            <w:r>
              <w:rPr>
                <w:rFonts w:cs="Arial"/>
              </w:rPr>
              <w:t>RNSS repeater</w:t>
            </w:r>
            <w:r w:rsidR="009A5147">
              <w:rPr>
                <w:rFonts w:cs="Arial"/>
              </w:rPr>
              <w:t xml:space="preserve"> trials</w:t>
            </w:r>
          </w:p>
        </w:tc>
        <w:tc>
          <w:tcPr>
            <w:tcW w:w="2875" w:type="pct"/>
            <w:shd w:val="clear" w:color="auto" w:fill="F2F2F2" w:themeFill="background1" w:themeFillShade="F2"/>
          </w:tcPr>
          <w:p w14:paraId="3A0E5A93" w14:textId="65C82426" w:rsidR="005F1178" w:rsidRPr="0029192A" w:rsidRDefault="00AA62A7" w:rsidP="00913721">
            <w:pPr>
              <w:keepNext/>
              <w:keepLines/>
              <w:spacing w:after="0"/>
              <w:rPr>
                <w:rStyle w:val="CommentReference"/>
                <w:sz w:val="20"/>
                <w:szCs w:val="20"/>
              </w:rPr>
            </w:pPr>
            <w:r>
              <w:rPr>
                <w:rStyle w:val="CommentReference"/>
                <w:noProof/>
                <w:sz w:val="20"/>
                <w:szCs w:val="20"/>
              </w:rPr>
              <w:drawing>
                <wp:inline distT="0" distB="0" distL="0" distR="0" wp14:anchorId="7FD0B3EB" wp14:editId="25DEAA98">
                  <wp:extent cx="243840" cy="140335"/>
                  <wp:effectExtent l="0" t="0" r="3810" b="0"/>
                  <wp:docPr id="65" name="Picture 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65">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Pr>
                <w:rStyle w:val="CommentReference"/>
                <w:sz w:val="20"/>
                <w:szCs w:val="20"/>
              </w:rPr>
              <w:t xml:space="preserve">  </w:t>
            </w:r>
            <w:r w:rsidR="009A5147" w:rsidRPr="009A5147">
              <w:rPr>
                <w:rStyle w:val="CommentReference"/>
                <w:sz w:val="20"/>
                <w:szCs w:val="20"/>
              </w:rPr>
              <w:t>2020</w:t>
            </w:r>
            <w:r w:rsidR="00BB2245" w:rsidRPr="00BB2245">
              <w:rPr>
                <w:rStyle w:val="CommentReference"/>
                <w:sz w:val="20"/>
                <w:szCs w:val="20"/>
              </w:rPr>
              <w:t>–</w:t>
            </w:r>
            <w:r w:rsidR="009A5147" w:rsidRPr="009A5147">
              <w:rPr>
                <w:rStyle w:val="CommentReference"/>
                <w:sz w:val="20"/>
                <w:szCs w:val="20"/>
              </w:rPr>
              <w:t>21: Continue to work with stakeholders</w:t>
            </w:r>
            <w:r w:rsidR="009A5147">
              <w:rPr>
                <w:rStyle w:val="CommentReference"/>
                <w:sz w:val="20"/>
                <w:szCs w:val="20"/>
              </w:rPr>
              <w:t xml:space="preserve"> to</w:t>
            </w:r>
            <w:r w:rsidR="009A5147" w:rsidRPr="009A5147">
              <w:rPr>
                <w:rStyle w:val="CommentReference"/>
                <w:sz w:val="20"/>
                <w:szCs w:val="20"/>
              </w:rPr>
              <w:t xml:space="preserve"> develop long-term licensing solution</w:t>
            </w:r>
          </w:p>
        </w:tc>
      </w:tr>
      <w:tr w:rsidR="00276ECF" w:rsidRPr="004804C7" w14:paraId="43451D76" w14:textId="6A8B161D" w:rsidTr="000650FB">
        <w:trPr>
          <w:trHeight w:val="628"/>
        </w:trPr>
        <w:tc>
          <w:tcPr>
            <w:tcW w:w="2125" w:type="pct"/>
            <w:shd w:val="clear" w:color="auto" w:fill="auto"/>
          </w:tcPr>
          <w:p w14:paraId="621DCC8D" w14:textId="1397FD8E" w:rsidR="00276ECF" w:rsidRPr="004804C7" w:rsidRDefault="00653DAA" w:rsidP="00276ECF">
            <w:pPr>
              <w:spacing w:after="0" w:line="240" w:lineRule="auto"/>
            </w:pPr>
            <w:r>
              <w:rPr>
                <w:rFonts w:cs="Arial"/>
              </w:rPr>
              <w:t>Review</w:t>
            </w:r>
            <w:r w:rsidR="00AE0256">
              <w:rPr>
                <w:rFonts w:cs="Arial"/>
              </w:rPr>
              <w:t xml:space="preserve"> of </w:t>
            </w:r>
            <w:r w:rsidR="00276ECF" w:rsidRPr="004804C7">
              <w:rPr>
                <w:rFonts w:cs="Arial"/>
              </w:rPr>
              <w:t>non-assigned amateur and outpost licensing arrangements with a view to reform</w:t>
            </w:r>
            <w:r w:rsidR="00276ECF" w:rsidRPr="004804C7" w:rsidDel="00AE0256">
              <w:rPr>
                <w:rFonts w:cs="Arial"/>
              </w:rPr>
              <w:t xml:space="preserve"> </w:t>
            </w:r>
          </w:p>
        </w:tc>
        <w:tc>
          <w:tcPr>
            <w:tcW w:w="2875" w:type="pct"/>
            <w:shd w:val="clear" w:color="auto" w:fill="auto"/>
          </w:tcPr>
          <w:p w14:paraId="2C3D35C9" w14:textId="7FB20B41" w:rsidR="00276ECF" w:rsidRPr="004804C7" w:rsidRDefault="00AA62A7" w:rsidP="00276ECF">
            <w:r>
              <w:rPr>
                <w:noProof/>
              </w:rPr>
              <w:drawing>
                <wp:inline distT="0" distB="0" distL="0" distR="0" wp14:anchorId="1A80D75D" wp14:editId="6A43539F">
                  <wp:extent cx="243840" cy="140335"/>
                  <wp:effectExtent l="0" t="0" r="3810" b="0"/>
                  <wp:docPr id="72" name="Picture 7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Picture 72">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7A13C1">
              <w:t>Q</w:t>
            </w:r>
            <w:r w:rsidR="00C2417D">
              <w:t>4</w:t>
            </w:r>
            <w:r w:rsidR="00A47099">
              <w:t xml:space="preserve"> 2020</w:t>
            </w:r>
            <w:r w:rsidR="00653DAA">
              <w:t>: Consult</w:t>
            </w:r>
          </w:p>
        </w:tc>
      </w:tr>
      <w:tr w:rsidR="0041052B" w:rsidRPr="004804C7" w14:paraId="33E1FB12" w14:textId="77777777" w:rsidTr="00617B4B">
        <w:trPr>
          <w:trHeight w:val="628"/>
        </w:trPr>
        <w:tc>
          <w:tcPr>
            <w:tcW w:w="2125" w:type="pct"/>
            <w:shd w:val="clear" w:color="auto" w:fill="F2F2F2" w:themeFill="background1" w:themeFillShade="F2"/>
          </w:tcPr>
          <w:p w14:paraId="1674B35B" w14:textId="6BAC470A" w:rsidR="0041052B" w:rsidRDefault="0041052B" w:rsidP="00276ECF">
            <w:pPr>
              <w:spacing w:after="0" w:line="240" w:lineRule="auto"/>
              <w:rPr>
                <w:rFonts w:cs="Arial"/>
              </w:rPr>
            </w:pPr>
            <w:r>
              <w:rPr>
                <w:rFonts w:cs="Arial"/>
              </w:rPr>
              <w:t xml:space="preserve">Review of the </w:t>
            </w:r>
            <w:r w:rsidR="00A7210B">
              <w:rPr>
                <w:rFonts w:cs="Arial"/>
              </w:rPr>
              <w:t>a</w:t>
            </w:r>
            <w:r>
              <w:rPr>
                <w:rFonts w:cs="Arial"/>
              </w:rPr>
              <w:t xml:space="preserve">ccredited </w:t>
            </w:r>
            <w:r w:rsidR="00A7210B">
              <w:rPr>
                <w:rFonts w:cs="Arial"/>
              </w:rPr>
              <w:t>p</w:t>
            </w:r>
            <w:r>
              <w:rPr>
                <w:rFonts w:cs="Arial"/>
              </w:rPr>
              <w:t>ersons scheme</w:t>
            </w:r>
          </w:p>
        </w:tc>
        <w:tc>
          <w:tcPr>
            <w:tcW w:w="2875" w:type="pct"/>
            <w:shd w:val="clear" w:color="auto" w:fill="F2F2F2" w:themeFill="background1" w:themeFillShade="F2"/>
          </w:tcPr>
          <w:p w14:paraId="5CBB2D54" w14:textId="7E56F8B7" w:rsidR="0041052B" w:rsidRDefault="004C08FF" w:rsidP="00513FDE">
            <w:pPr>
              <w:spacing w:after="120" w:line="240" w:lineRule="auto"/>
              <w:rPr>
                <w:highlight w:val="yellow"/>
              </w:rPr>
            </w:pPr>
            <w:r>
              <w:pict w14:anchorId="3E0E4782">
                <v:shape id="_x0000_i1033" type="#_x0000_t75" alt="Image says changed" style="width:20.25pt;height:11.25pt;visibility:visible;mso-wrap-style:square">
                  <v:imagedata r:id="rId44" o:title=""/>
                </v:shape>
              </w:pict>
            </w:r>
            <w:r w:rsidR="00AA62A7">
              <w:t xml:space="preserve">  </w:t>
            </w:r>
            <w:r w:rsidR="0041052B" w:rsidRPr="00FC330D">
              <w:t>Q</w:t>
            </w:r>
            <w:r w:rsidR="006A7926">
              <w:t>4</w:t>
            </w:r>
            <w:r w:rsidR="0041052B" w:rsidRPr="003B6370">
              <w:t xml:space="preserve"> 2020</w:t>
            </w:r>
            <w:r w:rsidR="002E5E12">
              <w:t>:</w:t>
            </w:r>
            <w:r w:rsidR="0041052B" w:rsidRPr="003B6370">
              <w:t xml:space="preserve"> Consult with accredited persons on the efficiency and effectiveness of the scheme</w:t>
            </w:r>
          </w:p>
          <w:p w14:paraId="161161CF" w14:textId="6E951689" w:rsidR="0041052B" w:rsidRPr="008A31E6" w:rsidRDefault="003426A9" w:rsidP="007366C8">
            <w:pPr>
              <w:spacing w:after="0" w:line="240" w:lineRule="auto"/>
              <w:rPr>
                <w:highlight w:val="yellow"/>
              </w:rPr>
            </w:pPr>
            <w:r>
              <w:rPr>
                <w:noProof/>
              </w:rPr>
              <w:drawing>
                <wp:inline distT="0" distB="0" distL="0" distR="0" wp14:anchorId="03BA6258" wp14:editId="33EBE2C3">
                  <wp:extent cx="243840" cy="140335"/>
                  <wp:effectExtent l="0" t="0" r="3810" b="0"/>
                  <wp:docPr id="61" name="Picture 6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a:extLst>
                              <a:ext uri="{C183D7F6-B498-43B3-948B-1728B52AA6E4}">
                                <adec:decorative xmlns:adec="http://schemas.microsoft.com/office/drawing/2017/decorative" val="1"/>
                              </a:ext>
                            </a:extLst>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41052B" w:rsidRPr="003B6370">
              <w:t>Q</w:t>
            </w:r>
            <w:r w:rsidR="006A7926">
              <w:t>1</w:t>
            </w:r>
            <w:r w:rsidR="00EE296C">
              <w:t>:</w:t>
            </w:r>
            <w:r w:rsidR="0041052B" w:rsidRPr="003B6370">
              <w:t xml:space="preserve"> </w:t>
            </w:r>
            <w:r w:rsidR="006A7926">
              <w:t>2021</w:t>
            </w:r>
            <w:r w:rsidR="00EE296C">
              <w:t>:</w:t>
            </w:r>
            <w:r w:rsidR="0041052B" w:rsidRPr="003B6370">
              <w:t xml:space="preserve"> Where appropriate, consultation on operational and/or regulatory changes to the scheme</w:t>
            </w:r>
          </w:p>
        </w:tc>
      </w:tr>
    </w:tbl>
    <w:p w14:paraId="3D6D75DD" w14:textId="5C0710B3" w:rsidR="00276ECF" w:rsidRDefault="00276ECF" w:rsidP="00B35964">
      <w:pPr>
        <w:pStyle w:val="Paragraph"/>
      </w:pPr>
    </w:p>
    <w:p w14:paraId="7B15E801" w14:textId="613716F2" w:rsidR="00276ECF" w:rsidRPr="00276ECF" w:rsidRDefault="00276ECF" w:rsidP="00513FDE">
      <w:pPr>
        <w:pStyle w:val="ACMATableHeader"/>
        <w:rPr>
          <w:b w:val="0"/>
        </w:rPr>
      </w:pPr>
      <w:r w:rsidRPr="00A436B1">
        <w:t>Pricing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256"/>
        <w:gridCol w:w="4405"/>
      </w:tblGrid>
      <w:tr w:rsidR="00276ECF" w:rsidRPr="004804C7" w14:paraId="5BFD49A5" w14:textId="77777777" w:rsidTr="000650FB">
        <w:trPr>
          <w:tblHeader/>
        </w:trPr>
        <w:tc>
          <w:tcPr>
            <w:tcW w:w="2125" w:type="pct"/>
            <w:shd w:val="clear" w:color="auto" w:fill="404040"/>
          </w:tcPr>
          <w:p w14:paraId="12725E16" w14:textId="77777777" w:rsidR="00276ECF" w:rsidRPr="004804C7" w:rsidRDefault="00276ECF" w:rsidP="00C96647">
            <w:pPr>
              <w:spacing w:after="0"/>
              <w:rPr>
                <w:b/>
                <w:color w:val="FFFFFF"/>
              </w:rPr>
            </w:pPr>
            <w:r w:rsidRPr="004804C7">
              <w:rPr>
                <w:b/>
                <w:color w:val="FFFFFF"/>
              </w:rPr>
              <w:t>Project priorities</w:t>
            </w:r>
          </w:p>
        </w:tc>
        <w:tc>
          <w:tcPr>
            <w:tcW w:w="2875" w:type="pct"/>
            <w:shd w:val="clear" w:color="auto" w:fill="404040"/>
          </w:tcPr>
          <w:p w14:paraId="48901EE0" w14:textId="77777777" w:rsidR="00276ECF" w:rsidRPr="004804C7" w:rsidRDefault="00276ECF" w:rsidP="00C96647">
            <w:pPr>
              <w:spacing w:after="0"/>
              <w:rPr>
                <w:b/>
                <w:color w:val="FFFFFF"/>
              </w:rPr>
            </w:pPr>
            <w:r w:rsidRPr="004804C7">
              <w:rPr>
                <w:b/>
                <w:color w:val="FFFFFF"/>
              </w:rPr>
              <w:t>Proposed timelines</w:t>
            </w:r>
          </w:p>
        </w:tc>
      </w:tr>
      <w:tr w:rsidR="00276ECF" w:rsidRPr="004804C7" w14:paraId="288E2360" w14:textId="2C9399D4" w:rsidTr="000650FB">
        <w:tc>
          <w:tcPr>
            <w:tcW w:w="2125" w:type="pct"/>
            <w:shd w:val="clear" w:color="auto" w:fill="auto"/>
          </w:tcPr>
          <w:p w14:paraId="1EFF29B7" w14:textId="5B421A07" w:rsidR="00276ECF" w:rsidRPr="004804C7" w:rsidRDefault="003C507E" w:rsidP="00276ECF">
            <w:pPr>
              <w:spacing w:after="0" w:line="240" w:lineRule="auto"/>
            </w:pPr>
            <w:r>
              <w:t>Pricing re</w:t>
            </w:r>
            <w:r w:rsidRPr="004804C7">
              <w:t>view</w:t>
            </w:r>
            <w:r w:rsidR="004A4191">
              <w:t xml:space="preserve"> implementation</w:t>
            </w:r>
          </w:p>
        </w:tc>
        <w:tc>
          <w:tcPr>
            <w:tcW w:w="2875" w:type="pct"/>
            <w:shd w:val="clear" w:color="auto" w:fill="auto"/>
          </w:tcPr>
          <w:p w14:paraId="72BBC554" w14:textId="1F4D6542" w:rsidR="00276ECF" w:rsidRPr="004804C7" w:rsidRDefault="00AA62A7" w:rsidP="00276ECF">
            <w:pPr>
              <w:spacing w:after="0" w:line="240" w:lineRule="auto"/>
            </w:pPr>
            <w:r>
              <w:rPr>
                <w:noProof/>
              </w:rPr>
              <w:drawing>
                <wp:inline distT="0" distB="0" distL="0" distR="0" wp14:anchorId="5E38F2BF" wp14:editId="7B67312C">
                  <wp:extent cx="243840" cy="140335"/>
                  <wp:effectExtent l="0" t="0" r="3810" b="0"/>
                  <wp:docPr id="76" name="Picture 7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 76">
                            <a:extLst>
                              <a:ext uri="{C183D7F6-B498-43B3-948B-1728B52AA6E4}">
                                <adec:decorative xmlns:adec="http://schemas.microsoft.com/office/drawing/2017/decorative" val="1"/>
                              </a:ext>
                            </a:extLst>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EE296C">
              <w:t>Q</w:t>
            </w:r>
            <w:r w:rsidR="00C91D2A">
              <w:t>4</w:t>
            </w:r>
            <w:r w:rsidR="00EE296C">
              <w:t xml:space="preserve"> 2020: Publish r</w:t>
            </w:r>
            <w:r w:rsidR="00E94DC0">
              <w:t>esponse to submissions paper. This paper will outline the</w:t>
            </w:r>
            <w:r w:rsidR="00276ECF">
              <w:t xml:space="preserve"> </w:t>
            </w:r>
            <w:r w:rsidR="00EE296C">
              <w:t>w</w:t>
            </w:r>
            <w:r w:rsidR="00276ECF" w:rsidRPr="0002359A">
              <w:t>ork program to implement the Spectrum Pricing Review</w:t>
            </w:r>
            <w:r w:rsidR="00E94DC0">
              <w:t xml:space="preserve"> over 2020 and 2021</w:t>
            </w:r>
          </w:p>
        </w:tc>
      </w:tr>
      <w:tr w:rsidR="00276ECF" w:rsidRPr="004804C7" w14:paraId="3BA00053" w14:textId="77777777" w:rsidTr="0010018E">
        <w:tc>
          <w:tcPr>
            <w:tcW w:w="2125" w:type="pct"/>
            <w:shd w:val="clear" w:color="auto" w:fill="F2F2F2" w:themeFill="background1" w:themeFillShade="F2"/>
          </w:tcPr>
          <w:p w14:paraId="6FEFD717" w14:textId="77777777" w:rsidR="00276ECF" w:rsidRPr="003C507E" w:rsidRDefault="00276ECF" w:rsidP="00276ECF">
            <w:pPr>
              <w:spacing w:after="0" w:line="240" w:lineRule="auto"/>
            </w:pPr>
            <w:r w:rsidRPr="003C507E">
              <w:t xml:space="preserve">Commercial broadcasting tax arrangements </w:t>
            </w:r>
          </w:p>
        </w:tc>
        <w:tc>
          <w:tcPr>
            <w:tcW w:w="2875" w:type="pct"/>
            <w:shd w:val="clear" w:color="auto" w:fill="F2F2F2" w:themeFill="background1" w:themeFillShade="F2"/>
          </w:tcPr>
          <w:p w14:paraId="5F1B768E" w14:textId="67D53701" w:rsidR="00276ECF" w:rsidRPr="003C507E" w:rsidRDefault="00276ECF" w:rsidP="00276ECF">
            <w:pPr>
              <w:spacing w:after="0" w:line="240" w:lineRule="auto"/>
            </w:pPr>
            <w:r w:rsidRPr="003C507E">
              <w:t>Ongoing assessment of taxes throughout 20</w:t>
            </w:r>
            <w:r w:rsidR="003C507E">
              <w:t>20</w:t>
            </w:r>
            <w:r w:rsidRPr="003C507E">
              <w:t>–2</w:t>
            </w:r>
            <w:r w:rsidR="003C507E">
              <w:t>1</w:t>
            </w:r>
          </w:p>
        </w:tc>
      </w:tr>
      <w:tr w:rsidR="00276ECF" w:rsidRPr="004804C7" w14:paraId="4A452329" w14:textId="77777777" w:rsidTr="000650FB">
        <w:tc>
          <w:tcPr>
            <w:tcW w:w="2125" w:type="pct"/>
            <w:shd w:val="clear" w:color="auto" w:fill="auto"/>
          </w:tcPr>
          <w:p w14:paraId="043948B9" w14:textId="4AB3DFD3" w:rsidR="00276ECF" w:rsidRPr="004804C7" w:rsidRDefault="00675EEA" w:rsidP="00276ECF">
            <w:pPr>
              <w:spacing w:after="0" w:line="240" w:lineRule="auto"/>
            </w:pPr>
            <w:r>
              <w:t>R</w:t>
            </w:r>
            <w:r w:rsidR="00276ECF" w:rsidRPr="004804C7">
              <w:t xml:space="preserve">eview of </w:t>
            </w:r>
            <w:hyperlink r:id="rId47" w:history="1">
              <w:r w:rsidR="00276ECF" w:rsidRPr="00513FDE">
                <w:rPr>
                  <w:i/>
                  <w:iCs/>
                  <w:color w:val="0000FF"/>
                  <w:u w:val="single"/>
                </w:rPr>
                <w:t>Commercial Broadcasting (Tax) Act 2017</w:t>
              </w:r>
            </w:hyperlink>
          </w:p>
        </w:tc>
        <w:tc>
          <w:tcPr>
            <w:tcW w:w="2875" w:type="pct"/>
            <w:shd w:val="clear" w:color="auto" w:fill="auto"/>
          </w:tcPr>
          <w:p w14:paraId="5F945A34" w14:textId="1E290469" w:rsidR="001A3E86" w:rsidRDefault="00AA62A7" w:rsidP="00513FDE">
            <w:pPr>
              <w:spacing w:after="120" w:line="240" w:lineRule="auto"/>
            </w:pPr>
            <w:r>
              <w:rPr>
                <w:noProof/>
              </w:rPr>
              <w:drawing>
                <wp:inline distT="0" distB="0" distL="0" distR="0" wp14:anchorId="7134A24A" wp14:editId="40D65920">
                  <wp:extent cx="243840" cy="140335"/>
                  <wp:effectExtent l="0" t="0" r="3810" b="0"/>
                  <wp:docPr id="77" name="Picture 7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Picture 77">
                            <a:extLst>
                              <a:ext uri="{C183D7F6-B498-43B3-948B-1728B52AA6E4}">
                                <adec:decorative xmlns:adec="http://schemas.microsoft.com/office/drawing/2017/decorative" val="1"/>
                              </a:ext>
                            </a:extLst>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1A3E86">
              <w:t>Q</w:t>
            </w:r>
            <w:r w:rsidR="00C91D2A">
              <w:t>4</w:t>
            </w:r>
            <w:r w:rsidR="001A3E86">
              <w:t xml:space="preserve"> 2020: R</w:t>
            </w:r>
            <w:r w:rsidR="00E94DC0">
              <w:t>elease of the consultation paper</w:t>
            </w:r>
            <w:r w:rsidR="00E94DC0" w:rsidDel="001A3E86">
              <w:t xml:space="preserve"> </w:t>
            </w:r>
          </w:p>
          <w:p w14:paraId="24A78925" w14:textId="1C0DE405" w:rsidR="00276ECF" w:rsidRPr="004804C7" w:rsidRDefault="00E94DC0" w:rsidP="00276ECF">
            <w:pPr>
              <w:spacing w:after="0" w:line="240" w:lineRule="auto"/>
            </w:pPr>
            <w:r>
              <w:t>Q1 2021</w:t>
            </w:r>
            <w:r w:rsidR="001A3E86">
              <w:t>: Report to the Minister</w:t>
            </w:r>
          </w:p>
        </w:tc>
      </w:tr>
      <w:tr w:rsidR="00276ECF" w:rsidRPr="004804C7" w14:paraId="00D5F2CA" w14:textId="77777777" w:rsidTr="0010018E">
        <w:tc>
          <w:tcPr>
            <w:tcW w:w="2125" w:type="pct"/>
            <w:shd w:val="clear" w:color="auto" w:fill="F2F2F2" w:themeFill="background1" w:themeFillShade="F2"/>
          </w:tcPr>
          <w:p w14:paraId="1AD7B19F" w14:textId="77777777" w:rsidR="00276ECF" w:rsidRPr="004804C7" w:rsidDel="000353BE" w:rsidRDefault="00276ECF" w:rsidP="00276ECF">
            <w:pPr>
              <w:spacing w:after="0" w:line="240" w:lineRule="auto"/>
            </w:pPr>
            <w:r w:rsidRPr="000353BE">
              <w:lastRenderedPageBreak/>
              <w:t>Ongoing maintenance of the current apparatus licence tax regime for matters like adjusting for inflation</w:t>
            </w:r>
          </w:p>
        </w:tc>
        <w:tc>
          <w:tcPr>
            <w:tcW w:w="2875" w:type="pct"/>
            <w:shd w:val="clear" w:color="auto" w:fill="F2F2F2" w:themeFill="background1" w:themeFillShade="F2"/>
          </w:tcPr>
          <w:p w14:paraId="5FC5D4E9" w14:textId="2C929202" w:rsidR="00276ECF" w:rsidRDefault="00525E16" w:rsidP="00276ECF">
            <w:pPr>
              <w:spacing w:after="0" w:line="240" w:lineRule="auto"/>
            </w:pPr>
            <w:r>
              <w:t>2020</w:t>
            </w:r>
            <w:r w:rsidR="001A3E86">
              <w:t>–</w:t>
            </w:r>
            <w:r>
              <w:t>21</w:t>
            </w:r>
          </w:p>
          <w:p w14:paraId="4385D8AB" w14:textId="77777777" w:rsidR="00276ECF" w:rsidRPr="000353BE" w:rsidDel="000353BE" w:rsidRDefault="00276ECF" w:rsidP="00276ECF">
            <w:pPr>
              <w:ind w:firstLine="720"/>
            </w:pPr>
          </w:p>
        </w:tc>
      </w:tr>
      <w:tr w:rsidR="00276ECF" w:rsidRPr="004804C7" w14:paraId="196CA324" w14:textId="77777777" w:rsidTr="000650FB">
        <w:tc>
          <w:tcPr>
            <w:tcW w:w="2125" w:type="pct"/>
            <w:shd w:val="clear" w:color="auto" w:fill="auto"/>
          </w:tcPr>
          <w:p w14:paraId="2ACFDA9E" w14:textId="364504FE" w:rsidR="00276ECF" w:rsidRPr="000353BE" w:rsidRDefault="00AA62A7" w:rsidP="00276ECF">
            <w:pPr>
              <w:spacing w:after="0" w:line="240" w:lineRule="auto"/>
            </w:pPr>
            <w:r>
              <w:rPr>
                <w:noProof/>
              </w:rPr>
              <w:drawing>
                <wp:inline distT="0" distB="0" distL="0" distR="0" wp14:anchorId="52FE4F1B" wp14:editId="7A25E914">
                  <wp:extent cx="243840" cy="140335"/>
                  <wp:effectExtent l="0" t="0" r="3810" b="0"/>
                  <wp:docPr id="78" name="Picture 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8">
                            <a:extLst>
                              <a:ext uri="{C183D7F6-B498-43B3-948B-1728B52AA6E4}">
                                <adec:decorative xmlns:adec="http://schemas.microsoft.com/office/drawing/2017/decorative" val="1"/>
                              </a:ext>
                            </a:extLst>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C91D2A">
              <w:t>T</w:t>
            </w:r>
            <w:r w:rsidR="000E3023">
              <w:t xml:space="preserve">he </w:t>
            </w:r>
            <w:r w:rsidR="00276ECF" w:rsidRPr="000353BE">
              <w:t xml:space="preserve">Minister </w:t>
            </w:r>
            <w:r w:rsidR="00C91D2A">
              <w:t xml:space="preserve">has </w:t>
            </w:r>
            <w:r w:rsidR="000E3023" w:rsidRPr="000353BE">
              <w:t>direct</w:t>
            </w:r>
            <w:r w:rsidR="00C91D2A">
              <w:t>ed</w:t>
            </w:r>
            <w:r w:rsidR="000E3023" w:rsidRPr="000353BE">
              <w:t xml:space="preserve"> </w:t>
            </w:r>
            <w:r w:rsidR="00276ECF" w:rsidRPr="000353BE">
              <w:t>the ACMA about implementing new taxation arrangements so that industry can contribute to the funding of EME research</w:t>
            </w:r>
            <w:r w:rsidR="00BD1F65">
              <w:t>,</w:t>
            </w:r>
            <w:r w:rsidR="00525F6A">
              <w:t xml:space="preserve"> i</w:t>
            </w:r>
            <w:r w:rsidR="00525F6A" w:rsidRPr="00525F6A">
              <w:t>mplementation of new EME levy arrangements</w:t>
            </w:r>
          </w:p>
        </w:tc>
        <w:tc>
          <w:tcPr>
            <w:tcW w:w="2875" w:type="pct"/>
            <w:shd w:val="clear" w:color="auto" w:fill="auto"/>
          </w:tcPr>
          <w:p w14:paraId="00C2EED5" w14:textId="7985EE4C" w:rsidR="00E94DC0" w:rsidRDefault="00276ECF" w:rsidP="00913721">
            <w:pPr>
              <w:pStyle w:val="Paragraphbeforelist"/>
            </w:pPr>
            <w:r w:rsidRPr="000353BE">
              <w:t>Q3 2020</w:t>
            </w:r>
            <w:r w:rsidR="001A3E86">
              <w:t>:</w:t>
            </w:r>
            <w:r w:rsidR="00E94DC0">
              <w:t xml:space="preserve"> </w:t>
            </w:r>
            <w:r w:rsidR="001A3E86">
              <w:t xml:space="preserve">Implementation, </w:t>
            </w:r>
            <w:r w:rsidR="00E94DC0">
              <w:t>with:</w:t>
            </w:r>
          </w:p>
          <w:p w14:paraId="1B63C254" w14:textId="1D793879" w:rsidR="001477E8" w:rsidRDefault="001477E8" w:rsidP="00913721">
            <w:pPr>
              <w:pStyle w:val="Bulletlevel1"/>
            </w:pPr>
            <w:r>
              <w:t xml:space="preserve">consultation on changes to spectrum licence taxes </w:t>
            </w:r>
          </w:p>
          <w:p w14:paraId="0302B1D3" w14:textId="2CEF3F82" w:rsidR="00276ECF" w:rsidRDefault="001477E8" w:rsidP="00513FDE">
            <w:pPr>
              <w:pStyle w:val="Bulletlevel1"/>
              <w:spacing w:after="0"/>
            </w:pPr>
            <w:r>
              <w:t xml:space="preserve">making of amendments </w:t>
            </w:r>
          </w:p>
        </w:tc>
      </w:tr>
      <w:tr w:rsidR="00B637E2" w:rsidRPr="004804C7" w14:paraId="1C95F512" w14:textId="77777777" w:rsidTr="00617B4B">
        <w:tc>
          <w:tcPr>
            <w:tcW w:w="2125" w:type="pct"/>
            <w:shd w:val="clear" w:color="auto" w:fill="F2F2F2" w:themeFill="background1" w:themeFillShade="F2"/>
          </w:tcPr>
          <w:p w14:paraId="6128D7DB" w14:textId="558D0E13" w:rsidR="00B637E2" w:rsidDel="00C91D2A" w:rsidRDefault="00AA62A7" w:rsidP="00276ECF">
            <w:pPr>
              <w:spacing w:after="0" w:line="240" w:lineRule="auto"/>
            </w:pPr>
            <w:r>
              <w:rPr>
                <w:noProof/>
              </w:rPr>
              <w:drawing>
                <wp:inline distT="0" distB="0" distL="0" distR="0" wp14:anchorId="028271A8" wp14:editId="1B6B96E9">
                  <wp:extent cx="243840" cy="140335"/>
                  <wp:effectExtent l="0" t="0" r="3810" b="0"/>
                  <wp:docPr id="79" name="Picture 7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Picture 79">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B637E2">
              <w:t xml:space="preserve">Spectrum </w:t>
            </w:r>
            <w:r w:rsidR="008B3B0B">
              <w:t>l</w:t>
            </w:r>
            <w:r w:rsidR="00B637E2">
              <w:t xml:space="preserve">icence </w:t>
            </w:r>
            <w:r w:rsidR="008B3B0B">
              <w:t>t</w:t>
            </w:r>
            <w:r w:rsidR="00B637E2">
              <w:t>ax</w:t>
            </w:r>
          </w:p>
        </w:tc>
        <w:tc>
          <w:tcPr>
            <w:tcW w:w="2875" w:type="pct"/>
            <w:shd w:val="clear" w:color="auto" w:fill="F2F2F2" w:themeFill="background1" w:themeFillShade="F2"/>
          </w:tcPr>
          <w:p w14:paraId="3DEDDBAE" w14:textId="5D73B3F2" w:rsidR="00B637E2" w:rsidRDefault="00B637E2" w:rsidP="00513FDE">
            <w:pPr>
              <w:pStyle w:val="Paragraphbeforelist"/>
              <w:keepNext/>
              <w:keepLines/>
            </w:pPr>
            <w:r>
              <w:t>Q2</w:t>
            </w:r>
            <w:r w:rsidR="00BB2245" w:rsidRPr="00BB2245">
              <w:t>–</w:t>
            </w:r>
            <w:r>
              <w:t xml:space="preserve">3 </w:t>
            </w:r>
            <w:r w:rsidR="00DD393F">
              <w:t>2021</w:t>
            </w:r>
            <w:r w:rsidR="008B3B0B">
              <w:t>:</w:t>
            </w:r>
            <w:r w:rsidR="00DD393F">
              <w:t xml:space="preserve"> </w:t>
            </w:r>
            <w:r>
              <w:t>Consult on new spectrum licence taxes for the 26 GHz band and other related changes</w:t>
            </w:r>
            <w:r w:rsidR="00E238EE">
              <w:t xml:space="preserve"> </w:t>
            </w:r>
          </w:p>
          <w:p w14:paraId="76EDD1C9" w14:textId="05AF6F14" w:rsidR="00B637E2" w:rsidRPr="000353BE" w:rsidRDefault="00B637E2" w:rsidP="00913721">
            <w:pPr>
              <w:pStyle w:val="Paragraphbeforelist"/>
              <w:keepNext/>
              <w:keepLines/>
              <w:spacing w:after="0"/>
            </w:pPr>
            <w:r>
              <w:t xml:space="preserve">Q3 </w:t>
            </w:r>
            <w:r w:rsidR="00DD393F">
              <w:t>2021</w:t>
            </w:r>
            <w:r w:rsidR="008B3B0B">
              <w:t>:</w:t>
            </w:r>
            <w:r w:rsidR="00DD393F">
              <w:t xml:space="preserve"> </w:t>
            </w:r>
            <w:r>
              <w:t xml:space="preserve">Make new </w:t>
            </w:r>
            <w:r w:rsidR="008B3B0B">
              <w:t>s</w:t>
            </w:r>
            <w:r>
              <w:t xml:space="preserve">pectrum </w:t>
            </w:r>
            <w:r w:rsidR="008B3B0B">
              <w:t>l</w:t>
            </w:r>
            <w:r>
              <w:t>icence tax arrangements</w:t>
            </w:r>
          </w:p>
        </w:tc>
      </w:tr>
    </w:tbl>
    <w:p w14:paraId="48A2AAAE" w14:textId="77777777" w:rsidR="00276ECF" w:rsidRDefault="00276ECF" w:rsidP="00B35964">
      <w:pPr>
        <w:pStyle w:val="Paragraph"/>
      </w:pPr>
    </w:p>
    <w:p w14:paraId="67EF12EF" w14:textId="43EBD04B" w:rsidR="00276ECF" w:rsidRPr="00276ECF" w:rsidRDefault="00276ECF" w:rsidP="00513FDE">
      <w:pPr>
        <w:pStyle w:val="ACMATableHeader"/>
        <w:rPr>
          <w:b w:val="0"/>
        </w:rPr>
      </w:pPr>
      <w:r w:rsidRPr="001A3E86">
        <w:t>Compliance</w:t>
      </w:r>
      <w:r w:rsidRPr="0099510B">
        <w:t xml:space="preserve"> and enforcement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256"/>
        <w:gridCol w:w="4405"/>
      </w:tblGrid>
      <w:tr w:rsidR="00276ECF" w:rsidRPr="004804C7" w14:paraId="023BE140" w14:textId="77777777" w:rsidTr="000650FB">
        <w:trPr>
          <w:tblHeader/>
        </w:trPr>
        <w:tc>
          <w:tcPr>
            <w:tcW w:w="2125" w:type="pct"/>
            <w:shd w:val="clear" w:color="auto" w:fill="404040"/>
          </w:tcPr>
          <w:p w14:paraId="59B65A6D" w14:textId="77777777" w:rsidR="00276ECF" w:rsidRPr="004804C7" w:rsidRDefault="00276ECF" w:rsidP="00C96647">
            <w:pPr>
              <w:spacing w:after="0"/>
              <w:rPr>
                <w:b/>
                <w:color w:val="FFFFFF"/>
              </w:rPr>
            </w:pPr>
            <w:r w:rsidRPr="004804C7">
              <w:rPr>
                <w:b/>
                <w:color w:val="FFFFFF"/>
              </w:rPr>
              <w:t>Project priorities</w:t>
            </w:r>
          </w:p>
        </w:tc>
        <w:tc>
          <w:tcPr>
            <w:tcW w:w="2875" w:type="pct"/>
            <w:shd w:val="clear" w:color="auto" w:fill="404040"/>
          </w:tcPr>
          <w:p w14:paraId="43B7EE40" w14:textId="77777777" w:rsidR="00276ECF" w:rsidRPr="004804C7" w:rsidRDefault="00276ECF" w:rsidP="00C96647">
            <w:pPr>
              <w:spacing w:after="0"/>
              <w:rPr>
                <w:b/>
                <w:color w:val="FFFFFF"/>
              </w:rPr>
            </w:pPr>
            <w:r w:rsidRPr="004804C7">
              <w:rPr>
                <w:b/>
                <w:color w:val="FFFFFF"/>
              </w:rPr>
              <w:t>Proposed timelines</w:t>
            </w:r>
          </w:p>
        </w:tc>
      </w:tr>
      <w:tr w:rsidR="00276ECF" w:rsidRPr="004804C7" w:rsidDel="00A471FC" w14:paraId="439F4EEA" w14:textId="77777777" w:rsidTr="000650FB">
        <w:tc>
          <w:tcPr>
            <w:tcW w:w="2125" w:type="pct"/>
            <w:shd w:val="clear" w:color="auto" w:fill="auto"/>
          </w:tcPr>
          <w:p w14:paraId="4E3CF91D" w14:textId="2CFDE421" w:rsidR="001B2850" w:rsidRPr="004804C7" w:rsidRDefault="001B2850" w:rsidP="003C44A3">
            <w:pPr>
              <w:spacing w:before="100" w:beforeAutospacing="1" w:after="100" w:afterAutospacing="1"/>
              <w:contextualSpacing/>
              <w:mirrorIndents/>
              <w:rPr>
                <w:szCs w:val="20"/>
              </w:rPr>
            </w:pPr>
            <w:r>
              <w:rPr>
                <w:szCs w:val="20"/>
              </w:rPr>
              <w:t>5G</w:t>
            </w:r>
            <w:r w:rsidR="004C0755">
              <w:rPr>
                <w:szCs w:val="20"/>
              </w:rPr>
              <w:t xml:space="preserve"> </w:t>
            </w:r>
            <w:r>
              <w:rPr>
                <w:szCs w:val="20"/>
              </w:rPr>
              <w:t xml:space="preserve">compliance program to </w:t>
            </w:r>
            <w:r w:rsidR="00823F9C">
              <w:rPr>
                <w:szCs w:val="20"/>
              </w:rPr>
              <w:t xml:space="preserve">check </w:t>
            </w:r>
            <w:r w:rsidR="004C0755">
              <w:rPr>
                <w:szCs w:val="20"/>
              </w:rPr>
              <w:t xml:space="preserve">carrier’s </w:t>
            </w:r>
            <w:r>
              <w:rPr>
                <w:szCs w:val="20"/>
              </w:rPr>
              <w:t xml:space="preserve">compliance with EME standards </w:t>
            </w:r>
            <w:r w:rsidR="004C0755">
              <w:rPr>
                <w:szCs w:val="20"/>
              </w:rPr>
              <w:t xml:space="preserve">under their licence conditions </w:t>
            </w:r>
            <w:r>
              <w:rPr>
                <w:szCs w:val="20"/>
              </w:rPr>
              <w:t xml:space="preserve">and </w:t>
            </w:r>
            <w:r w:rsidR="004C0755">
              <w:rPr>
                <w:szCs w:val="20"/>
              </w:rPr>
              <w:t>obligations under the</w:t>
            </w:r>
            <w:r>
              <w:rPr>
                <w:szCs w:val="20"/>
              </w:rPr>
              <w:t xml:space="preserve"> Mobile Base Station Deployment Code</w:t>
            </w:r>
          </w:p>
        </w:tc>
        <w:tc>
          <w:tcPr>
            <w:tcW w:w="2875" w:type="pct"/>
            <w:shd w:val="clear" w:color="auto" w:fill="auto"/>
          </w:tcPr>
          <w:p w14:paraId="142DB577" w14:textId="0B76696E" w:rsidR="001B2850" w:rsidRPr="004804C7" w:rsidRDefault="001B2850" w:rsidP="001A3E86">
            <w:pPr>
              <w:spacing w:before="100" w:beforeAutospacing="1" w:after="100" w:afterAutospacing="1"/>
              <w:contextualSpacing/>
              <w:mirrorIndents/>
            </w:pPr>
            <w:r>
              <w:t>2020</w:t>
            </w:r>
            <w:r w:rsidR="001A3E86">
              <w:t>–</w:t>
            </w:r>
            <w:r>
              <w:t>21</w:t>
            </w:r>
          </w:p>
        </w:tc>
      </w:tr>
      <w:tr w:rsidR="00276ECF" w:rsidRPr="004804C7" w:rsidDel="00A471FC" w14:paraId="007A2531" w14:textId="77777777" w:rsidTr="0010018E">
        <w:tc>
          <w:tcPr>
            <w:tcW w:w="2125" w:type="pct"/>
            <w:shd w:val="clear" w:color="auto" w:fill="F2F2F2" w:themeFill="background1" w:themeFillShade="F2"/>
          </w:tcPr>
          <w:p w14:paraId="3FE938C8" w14:textId="77777777" w:rsidR="001A3E86" w:rsidRDefault="001B2850" w:rsidP="00AD4192">
            <w:pPr>
              <w:pStyle w:val="Paragraphbeforelist"/>
            </w:pPr>
            <w:r w:rsidRPr="00AD4192">
              <w:t>Compliance activities</w:t>
            </w:r>
            <w:r>
              <w:t xml:space="preserve"> to manage the risk of interference in two key areas:</w:t>
            </w:r>
          </w:p>
          <w:p w14:paraId="7ECAC7E0" w14:textId="7AC6BBFF" w:rsidR="001A3E86" w:rsidRDefault="001B2850" w:rsidP="00AD4192">
            <w:pPr>
              <w:pStyle w:val="Bulletlevel1"/>
              <w:keepNext/>
              <w:keepLines/>
              <w:rPr>
                <w:szCs w:val="20"/>
              </w:rPr>
            </w:pPr>
            <w:r w:rsidRPr="001A3E86">
              <w:t>unauthorised</w:t>
            </w:r>
            <w:r>
              <w:rPr>
                <w:szCs w:val="20"/>
              </w:rPr>
              <w:t xml:space="preserve"> use of mobile phone repeaters </w:t>
            </w:r>
          </w:p>
          <w:p w14:paraId="220712FE" w14:textId="6F99EA9F" w:rsidR="001B2850" w:rsidRPr="004804C7" w:rsidRDefault="001B2850" w:rsidP="00913721">
            <w:pPr>
              <w:pStyle w:val="Bulletlevel1"/>
              <w:keepNext/>
              <w:keepLines/>
              <w:spacing w:after="0"/>
              <w:rPr>
                <w:szCs w:val="20"/>
              </w:rPr>
            </w:pPr>
            <w:r w:rsidRPr="00AD4192">
              <w:rPr>
                <w:szCs w:val="20"/>
              </w:rPr>
              <w:t>non-</w:t>
            </w:r>
            <w:r w:rsidRPr="00AD4192">
              <w:t>compliant</w:t>
            </w:r>
            <w:r w:rsidRPr="00AD4192">
              <w:rPr>
                <w:szCs w:val="20"/>
              </w:rPr>
              <w:t xml:space="preserve"> activity</w:t>
            </w:r>
            <w:r>
              <w:rPr>
                <w:szCs w:val="20"/>
              </w:rPr>
              <w:t xml:space="preserve"> in the construction/resources industry</w:t>
            </w:r>
          </w:p>
        </w:tc>
        <w:tc>
          <w:tcPr>
            <w:tcW w:w="2875" w:type="pct"/>
            <w:shd w:val="clear" w:color="auto" w:fill="F2F2F2" w:themeFill="background1" w:themeFillShade="F2"/>
          </w:tcPr>
          <w:p w14:paraId="04706308" w14:textId="58B757BB" w:rsidR="001B2850" w:rsidRPr="004804C7" w:rsidRDefault="001B2850" w:rsidP="003C44A3">
            <w:pPr>
              <w:spacing w:before="100" w:beforeAutospacing="1" w:after="100" w:afterAutospacing="1"/>
              <w:contextualSpacing/>
              <w:mirrorIndents/>
            </w:pPr>
            <w:r>
              <w:t>2020</w:t>
            </w:r>
            <w:r w:rsidR="001A3E86">
              <w:t>–</w:t>
            </w:r>
            <w:r>
              <w:t>21</w:t>
            </w:r>
          </w:p>
        </w:tc>
      </w:tr>
    </w:tbl>
    <w:p w14:paraId="138F08E9" w14:textId="0124730B" w:rsidR="00276ECF" w:rsidRPr="004804C7" w:rsidRDefault="00276ECF" w:rsidP="00B35964">
      <w:pPr>
        <w:pStyle w:val="Paragraph"/>
      </w:pPr>
    </w:p>
    <w:p w14:paraId="4E5D22CE" w14:textId="583C26EE" w:rsidR="000B1C9C" w:rsidRPr="001524AE" w:rsidRDefault="000B1C9C" w:rsidP="00513FDE">
      <w:pPr>
        <w:pStyle w:val="ACMATableHeader"/>
      </w:pPr>
      <w:r w:rsidRPr="0099510B">
        <w:t>International engagement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256"/>
        <w:gridCol w:w="4405"/>
      </w:tblGrid>
      <w:tr w:rsidR="000B1C9C" w:rsidRPr="004804C7" w14:paraId="597392A3" w14:textId="77777777" w:rsidTr="000650FB">
        <w:trPr>
          <w:tblHeader/>
        </w:trPr>
        <w:tc>
          <w:tcPr>
            <w:tcW w:w="2125" w:type="pct"/>
            <w:shd w:val="clear" w:color="auto" w:fill="404040"/>
          </w:tcPr>
          <w:p w14:paraId="660D0B2E" w14:textId="77777777" w:rsidR="000B1C9C" w:rsidRPr="004804C7" w:rsidRDefault="000B1C9C" w:rsidP="0071374F">
            <w:pPr>
              <w:spacing w:after="0"/>
              <w:rPr>
                <w:b/>
                <w:color w:val="FFFFFF"/>
              </w:rPr>
            </w:pPr>
            <w:r w:rsidRPr="004804C7">
              <w:rPr>
                <w:b/>
                <w:color w:val="FFFFFF"/>
              </w:rPr>
              <w:t>Project priorities</w:t>
            </w:r>
          </w:p>
        </w:tc>
        <w:tc>
          <w:tcPr>
            <w:tcW w:w="2875" w:type="pct"/>
            <w:shd w:val="clear" w:color="auto" w:fill="404040"/>
          </w:tcPr>
          <w:p w14:paraId="1D72D574" w14:textId="77777777" w:rsidR="000B1C9C" w:rsidRPr="004804C7" w:rsidRDefault="000B1C9C" w:rsidP="0071374F">
            <w:pPr>
              <w:spacing w:after="0"/>
              <w:rPr>
                <w:b/>
                <w:color w:val="FFFFFF"/>
              </w:rPr>
            </w:pPr>
            <w:r w:rsidRPr="004804C7">
              <w:rPr>
                <w:b/>
                <w:color w:val="FFFFFF"/>
              </w:rPr>
              <w:t>Proposed timelines</w:t>
            </w:r>
          </w:p>
        </w:tc>
      </w:tr>
      <w:tr w:rsidR="000B1C9C" w:rsidRPr="004804C7" w14:paraId="3E0C5BB2" w14:textId="77777777" w:rsidTr="000650FB">
        <w:tc>
          <w:tcPr>
            <w:tcW w:w="2125" w:type="pct"/>
            <w:shd w:val="clear" w:color="auto" w:fill="auto"/>
          </w:tcPr>
          <w:p w14:paraId="41CD6CB4" w14:textId="77777777" w:rsidR="000B1C9C" w:rsidRPr="004804C7" w:rsidRDefault="000B1C9C" w:rsidP="0071374F">
            <w:pPr>
              <w:spacing w:before="100" w:beforeAutospacing="1" w:after="100" w:afterAutospacing="1"/>
              <w:contextualSpacing/>
              <w:mirrorIndents/>
              <w:rPr>
                <w:rFonts w:cs="Arial"/>
                <w:szCs w:val="20"/>
              </w:rPr>
            </w:pPr>
            <w:r w:rsidRPr="004804C7">
              <w:rPr>
                <w:rFonts w:cs="Arial"/>
                <w:szCs w:val="20"/>
              </w:rPr>
              <w:t>ITU-R Study Group 4 block meetings</w:t>
            </w:r>
          </w:p>
        </w:tc>
        <w:tc>
          <w:tcPr>
            <w:tcW w:w="2875" w:type="pct"/>
            <w:shd w:val="clear" w:color="auto" w:fill="auto"/>
          </w:tcPr>
          <w:p w14:paraId="00D0080A" w14:textId="35272AB6" w:rsidR="000B1C9C" w:rsidRPr="004804C7" w:rsidRDefault="000B1C9C" w:rsidP="0071374F">
            <w:pPr>
              <w:spacing w:after="0" w:line="240" w:lineRule="auto"/>
            </w:pPr>
            <w:r>
              <w:t>Q4 2020</w:t>
            </w:r>
            <w:r w:rsidRPr="004804C7">
              <w:t xml:space="preserve"> (</w:t>
            </w:r>
            <w:r>
              <w:t>21 October</w:t>
            </w:r>
            <w:r w:rsidR="007E72B9">
              <w:t xml:space="preserve"> – </w:t>
            </w:r>
            <w:r>
              <w:t>6 November 2020</w:t>
            </w:r>
            <w:r w:rsidRPr="004804C7">
              <w:t>)</w:t>
            </w:r>
          </w:p>
          <w:p w14:paraId="47D12885" w14:textId="77777777" w:rsidR="000B1C9C" w:rsidRPr="004804C7" w:rsidRDefault="000B1C9C" w:rsidP="0071374F">
            <w:pPr>
              <w:spacing w:before="100" w:beforeAutospacing="1" w:after="100" w:afterAutospacing="1"/>
              <w:contextualSpacing/>
              <w:mirrorIndents/>
              <w:rPr>
                <w:rFonts w:cs="Arial"/>
                <w:szCs w:val="20"/>
              </w:rPr>
            </w:pPr>
          </w:p>
        </w:tc>
      </w:tr>
      <w:tr w:rsidR="000B1C9C" w:rsidRPr="004804C7" w14:paraId="7FFF94E0" w14:textId="77777777" w:rsidTr="0010018E">
        <w:trPr>
          <w:trHeight w:val="900"/>
        </w:trPr>
        <w:tc>
          <w:tcPr>
            <w:tcW w:w="2125" w:type="pct"/>
            <w:shd w:val="clear" w:color="auto" w:fill="F2F2F2" w:themeFill="background1" w:themeFillShade="F2"/>
          </w:tcPr>
          <w:p w14:paraId="01D4EE3E" w14:textId="77777777" w:rsidR="00580333" w:rsidRPr="00B74931" w:rsidRDefault="00580333" w:rsidP="0071374F">
            <w:pPr>
              <w:spacing w:before="100" w:beforeAutospacing="1" w:after="100" w:afterAutospacing="1"/>
              <w:contextualSpacing/>
              <w:mirrorIndents/>
              <w:rPr>
                <w:rFonts w:cs="Arial"/>
                <w:szCs w:val="20"/>
              </w:rPr>
            </w:pPr>
            <w:r w:rsidRPr="00B74931">
              <w:rPr>
                <w:rFonts w:cs="Arial"/>
                <w:szCs w:val="20"/>
              </w:rPr>
              <w:t>ITU-R Study Group 5 block meetings</w:t>
            </w:r>
          </w:p>
          <w:p w14:paraId="7B2697BF" w14:textId="73569937" w:rsidR="000B1C9C" w:rsidRPr="00B74931" w:rsidRDefault="000B1C9C" w:rsidP="0071374F">
            <w:pPr>
              <w:spacing w:before="100" w:beforeAutospacing="1" w:after="100" w:afterAutospacing="1"/>
              <w:contextualSpacing/>
              <w:mirrorIndents/>
              <w:rPr>
                <w:rFonts w:cs="Arial"/>
                <w:szCs w:val="20"/>
              </w:rPr>
            </w:pPr>
          </w:p>
        </w:tc>
        <w:tc>
          <w:tcPr>
            <w:tcW w:w="2875" w:type="pct"/>
            <w:shd w:val="clear" w:color="auto" w:fill="F2F2F2" w:themeFill="background1" w:themeFillShade="F2"/>
          </w:tcPr>
          <w:p w14:paraId="5F4181BC" w14:textId="310A20E9" w:rsidR="00580333" w:rsidRPr="00B74931" w:rsidRDefault="000B1C9C" w:rsidP="000650FB">
            <w:pPr>
              <w:spacing w:after="120"/>
              <w:mirrorIndents/>
              <w:rPr>
                <w:rFonts w:cs="Arial"/>
                <w:szCs w:val="20"/>
              </w:rPr>
            </w:pPr>
            <w:r w:rsidRPr="00B74931">
              <w:rPr>
                <w:rFonts w:cs="Arial"/>
                <w:szCs w:val="20"/>
              </w:rPr>
              <w:t>Q</w:t>
            </w:r>
            <w:r>
              <w:rPr>
                <w:rFonts w:cs="Arial"/>
                <w:szCs w:val="20"/>
              </w:rPr>
              <w:t>3</w:t>
            </w:r>
            <w:r w:rsidRPr="00B74931">
              <w:rPr>
                <w:rFonts w:cs="Arial"/>
                <w:szCs w:val="20"/>
              </w:rPr>
              <w:t xml:space="preserve"> 2020 </w:t>
            </w:r>
            <w:r>
              <w:rPr>
                <w:rFonts w:cs="Arial"/>
                <w:szCs w:val="20"/>
              </w:rPr>
              <w:t>(7–31 July)</w:t>
            </w:r>
          </w:p>
          <w:p w14:paraId="129883A9" w14:textId="793579AE" w:rsidR="000B1C9C" w:rsidRPr="00B74931" w:rsidRDefault="00580333" w:rsidP="000650FB">
            <w:pPr>
              <w:spacing w:after="0"/>
              <w:mirrorIndents/>
              <w:rPr>
                <w:rFonts w:cs="Arial"/>
                <w:szCs w:val="20"/>
              </w:rPr>
            </w:pPr>
            <w:r w:rsidRPr="00B74931">
              <w:rPr>
                <w:rFonts w:cs="Arial"/>
                <w:szCs w:val="20"/>
              </w:rPr>
              <w:t>Q4 2020 (4–</w:t>
            </w:r>
            <w:r w:rsidRPr="00B74931" w:rsidDel="007E72B9">
              <w:rPr>
                <w:rFonts w:cs="Arial"/>
                <w:szCs w:val="20"/>
              </w:rPr>
              <w:t>2</w:t>
            </w:r>
            <w:r w:rsidRPr="00B74931">
              <w:rPr>
                <w:rFonts w:cs="Arial"/>
                <w:szCs w:val="20"/>
              </w:rPr>
              <w:t xml:space="preserve">4 November 2020 includes </w:t>
            </w:r>
            <w:r>
              <w:rPr>
                <w:rFonts w:cs="Arial"/>
                <w:szCs w:val="20"/>
              </w:rPr>
              <w:t>working party</w:t>
            </w:r>
            <w:r w:rsidRPr="00B74931">
              <w:rPr>
                <w:rFonts w:cs="Arial"/>
                <w:szCs w:val="20"/>
              </w:rPr>
              <w:t xml:space="preserve"> 5D)</w:t>
            </w:r>
          </w:p>
        </w:tc>
      </w:tr>
      <w:tr w:rsidR="000B1C9C" w:rsidRPr="004804C7" w14:paraId="722A7B56" w14:textId="77777777" w:rsidTr="000650FB">
        <w:tc>
          <w:tcPr>
            <w:tcW w:w="2125" w:type="pct"/>
            <w:shd w:val="clear" w:color="auto" w:fill="auto"/>
          </w:tcPr>
          <w:p w14:paraId="4D10CA42" w14:textId="77777777" w:rsidR="000B1C9C" w:rsidRPr="004804C7" w:rsidRDefault="000B1C9C" w:rsidP="0071374F">
            <w:pPr>
              <w:spacing w:before="100" w:beforeAutospacing="1" w:after="100" w:afterAutospacing="1"/>
              <w:contextualSpacing/>
              <w:mirrorIndents/>
              <w:rPr>
                <w:rFonts w:cs="Arial"/>
                <w:szCs w:val="20"/>
              </w:rPr>
            </w:pPr>
            <w:r w:rsidRPr="00B74931">
              <w:rPr>
                <w:rFonts w:cs="Arial"/>
                <w:szCs w:val="20"/>
              </w:rPr>
              <w:t>ITU-R Working party 5D meetings</w:t>
            </w:r>
          </w:p>
        </w:tc>
        <w:tc>
          <w:tcPr>
            <w:tcW w:w="2875" w:type="pct"/>
            <w:shd w:val="clear" w:color="auto" w:fill="auto"/>
          </w:tcPr>
          <w:p w14:paraId="7435D9E6" w14:textId="77DF1EF2" w:rsidR="000650FB" w:rsidRDefault="000B1C9C" w:rsidP="0010018E">
            <w:pPr>
              <w:spacing w:after="120"/>
              <w:mirrorIndents/>
              <w:rPr>
                <w:rFonts w:cs="Arial"/>
                <w:szCs w:val="20"/>
              </w:rPr>
            </w:pPr>
            <w:r w:rsidRPr="001B22B0">
              <w:rPr>
                <w:rFonts w:cs="Arial"/>
                <w:szCs w:val="20"/>
              </w:rPr>
              <w:t>Q2</w:t>
            </w:r>
            <w:r w:rsidR="007E72B9" w:rsidRPr="001B22B0">
              <w:t>–</w:t>
            </w:r>
            <w:r w:rsidRPr="001B22B0">
              <w:rPr>
                <w:rFonts w:cs="Arial"/>
                <w:szCs w:val="20"/>
              </w:rPr>
              <w:t>3</w:t>
            </w:r>
            <w:r>
              <w:rPr>
                <w:rFonts w:cs="Arial"/>
                <w:szCs w:val="20"/>
              </w:rPr>
              <w:t xml:space="preserve"> 2020</w:t>
            </w:r>
            <w:r w:rsidRPr="00B74931">
              <w:rPr>
                <w:rFonts w:cs="Arial"/>
                <w:szCs w:val="20"/>
              </w:rPr>
              <w:t xml:space="preserve"> (2</w:t>
            </w:r>
            <w:r w:rsidR="00345F69">
              <w:rPr>
                <w:rFonts w:cs="Arial"/>
                <w:szCs w:val="20"/>
              </w:rPr>
              <w:t>3</w:t>
            </w:r>
            <w:r w:rsidRPr="00B74931">
              <w:rPr>
                <w:rFonts w:cs="Arial"/>
                <w:szCs w:val="20"/>
              </w:rPr>
              <w:t xml:space="preserve"> June – </w:t>
            </w:r>
            <w:r w:rsidR="00345F69">
              <w:rPr>
                <w:rFonts w:cs="Arial"/>
                <w:szCs w:val="20"/>
              </w:rPr>
              <w:t>9 July</w:t>
            </w:r>
            <w:r w:rsidRPr="00B74931">
              <w:rPr>
                <w:rFonts w:cs="Arial"/>
                <w:szCs w:val="20"/>
              </w:rPr>
              <w:t>)</w:t>
            </w:r>
          </w:p>
          <w:p w14:paraId="182C2F97" w14:textId="022A97B1" w:rsidR="000B1C9C" w:rsidRPr="004804C7" w:rsidRDefault="000B1C9C" w:rsidP="0010018E">
            <w:pPr>
              <w:spacing w:after="0"/>
              <w:contextualSpacing/>
              <w:mirrorIndents/>
              <w:rPr>
                <w:rFonts w:cs="Arial"/>
                <w:szCs w:val="20"/>
              </w:rPr>
            </w:pPr>
            <w:r w:rsidRPr="00B74931">
              <w:rPr>
                <w:rFonts w:cs="Arial"/>
                <w:szCs w:val="20"/>
              </w:rPr>
              <w:lastRenderedPageBreak/>
              <w:t>Q</w:t>
            </w:r>
            <w:r>
              <w:rPr>
                <w:rFonts w:cs="Arial"/>
                <w:szCs w:val="20"/>
              </w:rPr>
              <w:t>4 2020</w:t>
            </w:r>
            <w:r w:rsidRPr="00B74931">
              <w:rPr>
                <w:rFonts w:cs="Arial"/>
                <w:szCs w:val="20"/>
              </w:rPr>
              <w:t xml:space="preserve"> (</w:t>
            </w:r>
            <w:r w:rsidR="00345F69">
              <w:rPr>
                <w:rFonts w:cs="Arial"/>
                <w:szCs w:val="20"/>
              </w:rPr>
              <w:t>5</w:t>
            </w:r>
            <w:r w:rsidRPr="00B74931">
              <w:rPr>
                <w:rFonts w:cs="Arial"/>
                <w:szCs w:val="20"/>
              </w:rPr>
              <w:t>–1</w:t>
            </w:r>
            <w:r w:rsidR="00345F69">
              <w:rPr>
                <w:rFonts w:cs="Arial"/>
                <w:szCs w:val="20"/>
              </w:rPr>
              <w:t>6</w:t>
            </w:r>
            <w:r w:rsidRPr="00B74931">
              <w:rPr>
                <w:rFonts w:cs="Arial"/>
                <w:szCs w:val="20"/>
              </w:rPr>
              <w:t xml:space="preserve"> October and 17</w:t>
            </w:r>
            <w:r w:rsidR="007E72B9">
              <w:t>–</w:t>
            </w:r>
            <w:r w:rsidRPr="00B74931">
              <w:rPr>
                <w:rFonts w:cs="Arial"/>
                <w:szCs w:val="20"/>
              </w:rPr>
              <w:t>19 November)</w:t>
            </w:r>
          </w:p>
        </w:tc>
      </w:tr>
      <w:tr w:rsidR="000B1C9C" w:rsidRPr="004804C7" w14:paraId="49652E45" w14:textId="77777777" w:rsidTr="0010018E">
        <w:tc>
          <w:tcPr>
            <w:tcW w:w="2125" w:type="pct"/>
            <w:shd w:val="clear" w:color="auto" w:fill="F2F2F2" w:themeFill="background1" w:themeFillShade="F2"/>
          </w:tcPr>
          <w:p w14:paraId="62CA7705" w14:textId="1C9F30D7" w:rsidR="000B1C9C" w:rsidRPr="004804C7" w:rsidRDefault="000B1C9C" w:rsidP="0071374F">
            <w:pPr>
              <w:spacing w:before="100" w:beforeAutospacing="1" w:after="100" w:afterAutospacing="1"/>
              <w:contextualSpacing/>
              <w:mirrorIndents/>
              <w:rPr>
                <w:rFonts w:cs="Arial"/>
                <w:szCs w:val="20"/>
              </w:rPr>
            </w:pPr>
            <w:bookmarkStart w:id="48" w:name="_Hlk49409244"/>
            <w:r w:rsidRPr="00B74931">
              <w:rPr>
                <w:rFonts w:cs="Arial"/>
                <w:szCs w:val="20"/>
              </w:rPr>
              <w:lastRenderedPageBreak/>
              <w:t>First meeting of the APT Conference Preparatory Group (Asia</w:t>
            </w:r>
            <w:r w:rsidR="008B3B0B">
              <w:rPr>
                <w:rFonts w:cs="Arial"/>
                <w:szCs w:val="20"/>
              </w:rPr>
              <w:t>-</w:t>
            </w:r>
            <w:r w:rsidRPr="00B74931">
              <w:rPr>
                <w:rFonts w:cs="Arial"/>
                <w:szCs w:val="20"/>
              </w:rPr>
              <w:t>Pacific) for WRC-23 (APG23-1)</w:t>
            </w:r>
            <w:bookmarkEnd w:id="48"/>
          </w:p>
        </w:tc>
        <w:tc>
          <w:tcPr>
            <w:tcW w:w="2875" w:type="pct"/>
            <w:shd w:val="clear" w:color="auto" w:fill="F2F2F2" w:themeFill="background1" w:themeFillShade="F2"/>
          </w:tcPr>
          <w:p w14:paraId="0C44E07F" w14:textId="5084A563" w:rsidR="000B1C9C" w:rsidRPr="004804C7" w:rsidRDefault="006B0039" w:rsidP="0071374F">
            <w:pPr>
              <w:spacing w:before="100" w:beforeAutospacing="1" w:after="100" w:afterAutospacing="1"/>
              <w:contextualSpacing/>
              <w:mirrorIndents/>
              <w:rPr>
                <w:rFonts w:cs="Arial"/>
                <w:szCs w:val="20"/>
              </w:rPr>
            </w:pPr>
            <w:r>
              <w:rPr>
                <w:rFonts w:cs="Arial"/>
                <w:noProof/>
                <w:szCs w:val="20"/>
              </w:rPr>
              <w:drawing>
                <wp:inline distT="0" distB="0" distL="0" distR="0" wp14:anchorId="58BC9A44" wp14:editId="098918D4">
                  <wp:extent cx="243840" cy="140335"/>
                  <wp:effectExtent l="0" t="0" r="3810" b="0"/>
                  <wp:docPr id="278" name="Picture 2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Picture 278">
                            <a:extLst>
                              <a:ext uri="{C183D7F6-B498-43B3-948B-1728B52AA6E4}">
                                <adec:decorative xmlns:adec="http://schemas.microsoft.com/office/drawing/2017/decorative" val="1"/>
                              </a:ext>
                            </a:extLst>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Pr>
                <w:rFonts w:cs="Arial"/>
                <w:szCs w:val="20"/>
              </w:rPr>
              <w:t xml:space="preserve">  </w:t>
            </w:r>
            <w:r w:rsidR="00513781">
              <w:rPr>
                <w:rFonts w:cs="Arial"/>
                <w:szCs w:val="20"/>
              </w:rPr>
              <w:t>Q3 2020 (</w:t>
            </w:r>
            <w:r w:rsidR="00407AF6">
              <w:rPr>
                <w:rFonts w:cs="Arial"/>
                <w:szCs w:val="20"/>
              </w:rPr>
              <w:t>24</w:t>
            </w:r>
            <w:r w:rsidR="007E73B7" w:rsidRPr="007E73B7">
              <w:rPr>
                <w:rFonts w:cs="Arial"/>
                <w:szCs w:val="20"/>
              </w:rPr>
              <w:t>–</w:t>
            </w:r>
            <w:r w:rsidR="00407AF6">
              <w:rPr>
                <w:rFonts w:cs="Arial"/>
                <w:szCs w:val="20"/>
              </w:rPr>
              <w:t>25 September</w:t>
            </w:r>
            <w:r w:rsidR="00513781">
              <w:rPr>
                <w:rFonts w:cs="Arial"/>
                <w:szCs w:val="20"/>
              </w:rPr>
              <w:t>)</w:t>
            </w:r>
          </w:p>
        </w:tc>
      </w:tr>
    </w:tbl>
    <w:p w14:paraId="5C55A9E4" w14:textId="79FE1831" w:rsidR="000B1C9C" w:rsidRPr="000B1C9C" w:rsidRDefault="000B1C9C" w:rsidP="00B35964">
      <w:pPr>
        <w:pStyle w:val="Paragraph"/>
      </w:pPr>
    </w:p>
    <w:p w14:paraId="20BAE2C9" w14:textId="47277AFF" w:rsidR="00276ECF" w:rsidRDefault="00276ECF" w:rsidP="008B3B0B">
      <w:pPr>
        <w:pStyle w:val="ACMATableHeader"/>
        <w:keepNext/>
        <w:keepLines/>
        <w:spacing w:after="120"/>
        <w:rPr>
          <w:b w:val="0"/>
        </w:rPr>
      </w:pPr>
      <w:r w:rsidRPr="007E72B9">
        <w:t>Consultation</w:t>
      </w:r>
      <w:r w:rsidRPr="0099510B">
        <w:t xml:space="preserve"> plans</w:t>
      </w:r>
    </w:p>
    <w:p w14:paraId="4488A451" w14:textId="4BEFA553" w:rsidR="00276ECF" w:rsidRPr="00276ECF" w:rsidRDefault="00276ECF" w:rsidP="00913721">
      <w:pPr>
        <w:keepNext/>
        <w:keepLines/>
        <w:rPr>
          <w:b/>
          <w:bCs/>
        </w:rPr>
      </w:pPr>
      <w:r w:rsidRPr="004804C7">
        <w:t>This table summarises cons</w:t>
      </w:r>
      <w:r w:rsidRPr="00833CE3">
        <w:t>ultations flagged throughout the FY</w:t>
      </w:r>
      <w:r w:rsidRPr="004804C7">
        <w:t>SO from July 20</w:t>
      </w:r>
      <w:r>
        <w:t>20</w:t>
      </w:r>
      <w:r w:rsidRPr="004804C7">
        <w:t xml:space="preserve"> onwards. </w:t>
      </w:r>
      <w:r w:rsidR="007E72B9" w:rsidRPr="004804C7">
        <w:t>Th</w:t>
      </w:r>
      <w:r w:rsidR="007E72B9">
        <w:t>is</w:t>
      </w:r>
      <w:r w:rsidR="007E72B9" w:rsidRPr="004804C7">
        <w:t xml:space="preserve"> </w:t>
      </w:r>
      <w:r w:rsidRPr="004804C7">
        <w:t>list of consultations is subject to change.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539"/>
        <w:gridCol w:w="4122"/>
      </w:tblGrid>
      <w:tr w:rsidR="00276ECF" w:rsidRPr="004804C7" w14:paraId="2F772C55" w14:textId="77777777" w:rsidTr="0010018E">
        <w:trPr>
          <w:cantSplit/>
          <w:tblHeader/>
        </w:trPr>
        <w:tc>
          <w:tcPr>
            <w:tcW w:w="2310" w:type="pct"/>
            <w:shd w:val="clear" w:color="auto" w:fill="404040"/>
          </w:tcPr>
          <w:p w14:paraId="491498C2" w14:textId="77777777" w:rsidR="00276ECF" w:rsidRPr="004804C7" w:rsidRDefault="00276ECF" w:rsidP="008B3B0B">
            <w:pPr>
              <w:keepNext/>
              <w:keepLines/>
              <w:spacing w:after="0"/>
              <w:rPr>
                <w:b/>
                <w:color w:val="FFFFFF"/>
              </w:rPr>
            </w:pPr>
            <w:r w:rsidRPr="004804C7">
              <w:rPr>
                <w:b/>
                <w:color w:val="FFFFFF"/>
              </w:rPr>
              <w:t xml:space="preserve">Issue </w:t>
            </w:r>
          </w:p>
        </w:tc>
        <w:tc>
          <w:tcPr>
            <w:tcW w:w="2690" w:type="pct"/>
            <w:shd w:val="clear" w:color="auto" w:fill="404040"/>
          </w:tcPr>
          <w:p w14:paraId="36352271" w14:textId="77777777" w:rsidR="00276ECF" w:rsidRPr="004804C7" w:rsidRDefault="00276ECF" w:rsidP="008B3B0B">
            <w:pPr>
              <w:keepNext/>
              <w:keepLines/>
              <w:spacing w:after="0"/>
              <w:rPr>
                <w:b/>
                <w:color w:val="FFFFFF"/>
              </w:rPr>
            </w:pPr>
            <w:r w:rsidRPr="004804C7">
              <w:rPr>
                <w:b/>
                <w:color w:val="FFFFFF"/>
              </w:rPr>
              <w:t>Proposed timelines</w:t>
            </w:r>
          </w:p>
        </w:tc>
      </w:tr>
      <w:tr w:rsidR="00CC2127" w:rsidRPr="004804C7" w14:paraId="0959A1FC" w14:textId="77777777" w:rsidTr="0010018E">
        <w:trPr>
          <w:cantSplit/>
          <w:trHeight w:val="21"/>
        </w:trPr>
        <w:tc>
          <w:tcPr>
            <w:tcW w:w="2310" w:type="pct"/>
          </w:tcPr>
          <w:p w14:paraId="708ABF3D" w14:textId="46602D28" w:rsidR="00CC2127" w:rsidRDefault="00F466FE" w:rsidP="00913721">
            <w:pPr>
              <w:keepNext/>
              <w:keepLines/>
              <w:spacing w:after="0" w:line="240" w:lineRule="auto"/>
            </w:pPr>
            <w:r>
              <w:t>C</w:t>
            </w:r>
            <w:r w:rsidR="00CC2127" w:rsidRPr="00D13358">
              <w:t>onsult on proposals for variations in a number of licence areas in NSW to enable AM</w:t>
            </w:r>
            <w:r w:rsidR="00CC2127">
              <w:t>–</w:t>
            </w:r>
            <w:r w:rsidR="00CC2127" w:rsidRPr="00D13358">
              <w:t>FM conversions</w:t>
            </w:r>
          </w:p>
        </w:tc>
        <w:tc>
          <w:tcPr>
            <w:tcW w:w="2690" w:type="pct"/>
          </w:tcPr>
          <w:p w14:paraId="15D78D6F" w14:textId="1A31A2E1" w:rsidR="00CC2127" w:rsidRDefault="00CC2127" w:rsidP="00913721">
            <w:pPr>
              <w:keepNext/>
              <w:keepLines/>
              <w:spacing w:after="120" w:line="240" w:lineRule="auto"/>
            </w:pPr>
            <w:r>
              <w:t>Q3 2020</w:t>
            </w:r>
          </w:p>
        </w:tc>
      </w:tr>
      <w:tr w:rsidR="00CC2127" w:rsidRPr="004804C7" w14:paraId="17C46184" w14:textId="77777777" w:rsidTr="00617B4B">
        <w:trPr>
          <w:cantSplit/>
          <w:trHeight w:val="21"/>
        </w:trPr>
        <w:tc>
          <w:tcPr>
            <w:tcW w:w="2310" w:type="pct"/>
            <w:shd w:val="clear" w:color="auto" w:fill="F2F2F2" w:themeFill="background1" w:themeFillShade="F2"/>
          </w:tcPr>
          <w:p w14:paraId="4EA7FF09" w14:textId="2B49C28B" w:rsidR="00CC2127" w:rsidRDefault="00CC2127" w:rsidP="00913721">
            <w:pPr>
              <w:keepNext/>
              <w:keepLines/>
              <w:spacing w:after="0" w:line="240" w:lineRule="auto"/>
            </w:pPr>
            <w:r>
              <w:rPr>
                <w:rFonts w:cs="Arial"/>
                <w:szCs w:val="20"/>
              </w:rPr>
              <w:t>Annual update to the LIPD class licence</w:t>
            </w:r>
          </w:p>
        </w:tc>
        <w:tc>
          <w:tcPr>
            <w:tcW w:w="2690" w:type="pct"/>
            <w:shd w:val="clear" w:color="auto" w:fill="F2F2F2" w:themeFill="background1" w:themeFillShade="F2"/>
          </w:tcPr>
          <w:p w14:paraId="1DEFE8D8" w14:textId="3BF2344C" w:rsidR="00CC2127" w:rsidRDefault="00CC2127" w:rsidP="00913721">
            <w:pPr>
              <w:keepNext/>
              <w:keepLines/>
              <w:spacing w:after="120" w:line="240" w:lineRule="auto"/>
            </w:pPr>
            <w:r>
              <w:t>Q3 2020</w:t>
            </w:r>
          </w:p>
        </w:tc>
      </w:tr>
      <w:tr w:rsidR="00CC2127" w:rsidRPr="004804C7" w14:paraId="7AD9B1CE" w14:textId="77777777" w:rsidTr="0010018E">
        <w:trPr>
          <w:cantSplit/>
          <w:trHeight w:val="21"/>
        </w:trPr>
        <w:tc>
          <w:tcPr>
            <w:tcW w:w="2310" w:type="pct"/>
          </w:tcPr>
          <w:p w14:paraId="63DDBD86" w14:textId="382FD410" w:rsidR="00CC2127" w:rsidRDefault="002376AB" w:rsidP="00913721">
            <w:pPr>
              <w:keepNext/>
              <w:keepLines/>
              <w:spacing w:after="0" w:line="240" w:lineRule="auto"/>
            </w:pPr>
            <w:r>
              <w:t xml:space="preserve">Consult on </w:t>
            </w:r>
            <w:r w:rsidRPr="002376AB">
              <w:t xml:space="preserve">the technical framework, taxation and </w:t>
            </w:r>
            <w:r w:rsidRPr="005D41B7">
              <w:t xml:space="preserve">allocation arrangements for </w:t>
            </w:r>
            <w:r>
              <w:t xml:space="preserve">the allocation of area-wide </w:t>
            </w:r>
            <w:r w:rsidRPr="002376AB">
              <w:t xml:space="preserve">licences </w:t>
            </w:r>
            <w:r>
              <w:t>(</w:t>
            </w:r>
            <w:r w:rsidRPr="00913721">
              <w:t>AWLs</w:t>
            </w:r>
            <w:r>
              <w:t xml:space="preserve">) </w:t>
            </w:r>
            <w:r w:rsidRPr="002376AB">
              <w:t>in the 26 and 28 GHz bands</w:t>
            </w:r>
          </w:p>
        </w:tc>
        <w:tc>
          <w:tcPr>
            <w:tcW w:w="2690" w:type="pct"/>
          </w:tcPr>
          <w:p w14:paraId="4CBC9CD7" w14:textId="4B640DCD" w:rsidR="00CC2127" w:rsidRDefault="00CC2127" w:rsidP="00913721">
            <w:pPr>
              <w:keepNext/>
              <w:keepLines/>
              <w:spacing w:after="120" w:line="240" w:lineRule="auto"/>
            </w:pPr>
            <w:r>
              <w:t>Q3 2020</w:t>
            </w:r>
          </w:p>
        </w:tc>
      </w:tr>
      <w:tr w:rsidR="00CC2127" w:rsidRPr="004804C7" w14:paraId="28FE407B" w14:textId="77777777" w:rsidTr="00617B4B">
        <w:trPr>
          <w:cantSplit/>
          <w:trHeight w:val="21"/>
        </w:trPr>
        <w:tc>
          <w:tcPr>
            <w:tcW w:w="2310" w:type="pct"/>
            <w:shd w:val="clear" w:color="auto" w:fill="F2F2F2" w:themeFill="background1" w:themeFillShade="F2"/>
          </w:tcPr>
          <w:p w14:paraId="0C87138A" w14:textId="563940D0" w:rsidR="00CC2127" w:rsidRDefault="00CC2127" w:rsidP="00F466FE">
            <w:pPr>
              <w:spacing w:after="0" w:line="240" w:lineRule="auto"/>
            </w:pPr>
            <w:r>
              <w:t>Consult on the DRCP for the Gold Coast, taking into account the completion of frequency allotment planning</w:t>
            </w:r>
          </w:p>
        </w:tc>
        <w:tc>
          <w:tcPr>
            <w:tcW w:w="2690" w:type="pct"/>
            <w:shd w:val="clear" w:color="auto" w:fill="F2F2F2" w:themeFill="background1" w:themeFillShade="F2"/>
          </w:tcPr>
          <w:p w14:paraId="35055798" w14:textId="6C8A3528" w:rsidR="00CC2127" w:rsidRDefault="00CC2127" w:rsidP="00F466FE">
            <w:pPr>
              <w:spacing w:after="120" w:line="240" w:lineRule="auto"/>
            </w:pPr>
            <w:r>
              <w:t>Q3 2020</w:t>
            </w:r>
          </w:p>
        </w:tc>
      </w:tr>
      <w:tr w:rsidR="00CC2127" w:rsidRPr="004804C7" w14:paraId="0CC689BE" w14:textId="77777777" w:rsidTr="0010018E">
        <w:trPr>
          <w:cantSplit/>
          <w:trHeight w:val="21"/>
        </w:trPr>
        <w:tc>
          <w:tcPr>
            <w:tcW w:w="2310" w:type="pct"/>
          </w:tcPr>
          <w:p w14:paraId="58A63604" w14:textId="789BA4D3" w:rsidR="00CC2127" w:rsidRDefault="00CC2127" w:rsidP="00F466FE">
            <w:pPr>
              <w:spacing w:after="0" w:line="240" w:lineRule="auto"/>
            </w:pPr>
            <w:r w:rsidRPr="00F503D3">
              <w:t>Further consult</w:t>
            </w:r>
            <w:r>
              <w:t>ation</w:t>
            </w:r>
            <w:r w:rsidRPr="00F503D3">
              <w:t xml:space="preserve"> on whether variations to the </w:t>
            </w:r>
            <w:r>
              <w:t>DRCP</w:t>
            </w:r>
            <w:r w:rsidRPr="00F503D3">
              <w:t xml:space="preserve"> </w:t>
            </w:r>
            <w:r>
              <w:t>for</w:t>
            </w:r>
            <w:r w:rsidRPr="00F503D3">
              <w:t xml:space="preserve"> Brisbane are appropriate to improve digital coverage</w:t>
            </w:r>
          </w:p>
        </w:tc>
        <w:tc>
          <w:tcPr>
            <w:tcW w:w="2690" w:type="pct"/>
          </w:tcPr>
          <w:p w14:paraId="7B732E5C" w14:textId="16A5B78D" w:rsidR="00CC2127" w:rsidRDefault="00CC2127" w:rsidP="00F466FE">
            <w:pPr>
              <w:spacing w:after="120" w:line="240" w:lineRule="auto"/>
            </w:pPr>
            <w:r>
              <w:t>Q3 2020</w:t>
            </w:r>
          </w:p>
        </w:tc>
      </w:tr>
      <w:tr w:rsidR="00CC2127" w:rsidRPr="004804C7" w14:paraId="746DD8E1" w14:textId="77777777" w:rsidTr="00617B4B">
        <w:trPr>
          <w:cantSplit/>
          <w:trHeight w:val="21"/>
        </w:trPr>
        <w:tc>
          <w:tcPr>
            <w:tcW w:w="2310" w:type="pct"/>
            <w:shd w:val="clear" w:color="auto" w:fill="F2F2F2" w:themeFill="background1" w:themeFillShade="F2"/>
          </w:tcPr>
          <w:p w14:paraId="379EFD7D" w14:textId="1DE741EE" w:rsidR="00CC2127" w:rsidRDefault="000D5134" w:rsidP="00FD2611">
            <w:pPr>
              <w:spacing w:after="0" w:line="240" w:lineRule="auto"/>
            </w:pPr>
            <w:r>
              <w:rPr>
                <w:noProof/>
              </w:rPr>
              <w:drawing>
                <wp:inline distT="0" distB="0" distL="0" distR="0" wp14:anchorId="2B11E408" wp14:editId="6B8A289F">
                  <wp:extent cx="243840" cy="140335"/>
                  <wp:effectExtent l="0" t="0" r="3810" b="0"/>
                  <wp:docPr id="162" name="Picture 16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Picture 162">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sidR="00AC0B61">
              <w:t xml:space="preserve">  </w:t>
            </w:r>
            <w:r w:rsidR="002376AB">
              <w:t>Consult on changes to spectrum licence taxes, following t</w:t>
            </w:r>
            <w:r w:rsidR="00CC2127">
              <w:t xml:space="preserve">he </w:t>
            </w:r>
            <w:r w:rsidR="00CC2127" w:rsidRPr="000353BE">
              <w:t>Minister</w:t>
            </w:r>
            <w:r w:rsidR="002376AB">
              <w:t>’s</w:t>
            </w:r>
            <w:r w:rsidR="00CC2127" w:rsidRPr="000353BE">
              <w:t xml:space="preserve"> </w:t>
            </w:r>
            <w:r w:rsidR="002376AB">
              <w:t>direction to</w:t>
            </w:r>
            <w:r w:rsidR="00CC2127" w:rsidRPr="000353BE">
              <w:t xml:space="preserve"> the ACMA about implementing new taxation arrangements so that industry can contribute to the funding of EME research</w:t>
            </w:r>
            <w:r w:rsidR="00CC2127">
              <w:t>, i</w:t>
            </w:r>
            <w:r w:rsidR="00CC2127" w:rsidRPr="00525F6A">
              <w:t>mplementation of new EME levy arrangements</w:t>
            </w:r>
          </w:p>
        </w:tc>
        <w:tc>
          <w:tcPr>
            <w:tcW w:w="2690" w:type="pct"/>
            <w:shd w:val="clear" w:color="auto" w:fill="F2F2F2" w:themeFill="background1" w:themeFillShade="F2"/>
          </w:tcPr>
          <w:p w14:paraId="7068C8A3" w14:textId="7B974404" w:rsidR="00CC2127" w:rsidRDefault="00CC2127" w:rsidP="00FD2611">
            <w:pPr>
              <w:pStyle w:val="Paragraphbeforelist"/>
            </w:pPr>
            <w:r w:rsidRPr="000353BE">
              <w:t>Q3 2020</w:t>
            </w:r>
          </w:p>
          <w:p w14:paraId="696F787A" w14:textId="77777777" w:rsidR="00CC2127" w:rsidRDefault="00CC2127" w:rsidP="00FD2611">
            <w:pPr>
              <w:spacing w:after="120" w:line="240" w:lineRule="auto"/>
            </w:pPr>
          </w:p>
        </w:tc>
      </w:tr>
      <w:tr w:rsidR="00CC2127" w:rsidRPr="004804C7" w14:paraId="29AB15F7" w14:textId="77777777" w:rsidTr="0010018E">
        <w:trPr>
          <w:cantSplit/>
          <w:trHeight w:val="21"/>
        </w:trPr>
        <w:tc>
          <w:tcPr>
            <w:tcW w:w="2310" w:type="pct"/>
          </w:tcPr>
          <w:p w14:paraId="40F9913D" w14:textId="34575813" w:rsidR="00CC2127" w:rsidRDefault="00CC2127" w:rsidP="00FD2611">
            <w:pPr>
              <w:spacing w:after="0" w:line="240" w:lineRule="auto"/>
            </w:pPr>
            <w:r w:rsidRPr="00F83D42">
              <w:lastRenderedPageBreak/>
              <w:t>3400</w:t>
            </w:r>
            <w:r>
              <w:t>–</w:t>
            </w:r>
            <w:r w:rsidRPr="00F83D42">
              <w:t>3575 MHz</w:t>
            </w:r>
          </w:p>
        </w:tc>
        <w:tc>
          <w:tcPr>
            <w:tcW w:w="2690" w:type="pct"/>
          </w:tcPr>
          <w:p w14:paraId="707D152D" w14:textId="03D27BE6" w:rsidR="00CC2127" w:rsidRPr="00F02D54" w:rsidRDefault="00AC0B61" w:rsidP="00FD2611">
            <w:pPr>
              <w:spacing w:after="120" w:line="240" w:lineRule="auto"/>
            </w:pPr>
            <w:r>
              <w:rPr>
                <w:noProof/>
              </w:rPr>
              <w:drawing>
                <wp:inline distT="0" distB="0" distL="0" distR="0" wp14:anchorId="32DD9173" wp14:editId="2E455107">
                  <wp:extent cx="243840" cy="140335"/>
                  <wp:effectExtent l="0" t="0" r="3810" b="0"/>
                  <wp:docPr id="83" name="Picture 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Picture 83">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CC2127" w:rsidRPr="00F02D54">
              <w:t>Q3–4 2020: Working group to develop arrangements for urban excise areas and PMP apparatus licensing</w:t>
            </w:r>
          </w:p>
          <w:p w14:paraId="09A25510" w14:textId="437637C3" w:rsidR="00CC2127" w:rsidRPr="00F02D54" w:rsidRDefault="00CC2127" w:rsidP="00835B8C">
            <w:pPr>
              <w:spacing w:after="120" w:line="240" w:lineRule="auto"/>
            </w:pPr>
            <w:r w:rsidRPr="00F02D54">
              <w:t>Q4 2020</w:t>
            </w:r>
            <w:r w:rsidR="008B3B0B">
              <w:t xml:space="preserve"> </w:t>
            </w:r>
            <w:r w:rsidR="008B3B0B" w:rsidRPr="00F02D54">
              <w:t>–</w:t>
            </w:r>
            <w:r w:rsidR="008B3B0B">
              <w:t xml:space="preserve"> </w:t>
            </w:r>
            <w:r w:rsidRPr="00F02D54">
              <w:t>Q1</w:t>
            </w:r>
            <w:r w:rsidR="007E73B7">
              <w:t xml:space="preserve"> </w:t>
            </w:r>
            <w:r w:rsidRPr="00F02D54">
              <w:t>2021: Consultation on variation to 3.4 GHz technical framework to support urban excision and PMP apparatus licensing</w:t>
            </w:r>
          </w:p>
          <w:p w14:paraId="4145B12E" w14:textId="17B9F2D2" w:rsidR="00CC2127" w:rsidRDefault="00CC2127" w:rsidP="00835B8C">
            <w:pPr>
              <w:spacing w:after="0" w:line="240" w:lineRule="auto"/>
            </w:pPr>
            <w:r w:rsidRPr="00F02D54">
              <w:t xml:space="preserve">Q1 2021: If the Minister </w:t>
            </w:r>
            <w:r w:rsidR="008B3B0B" w:rsidRPr="00F02D54">
              <w:t>decides</w:t>
            </w:r>
            <w:r w:rsidRPr="00F02D54">
              <w:t xml:space="preserve"> to designate spectrum, consultation on the draft conversion plan to convert NBN Co’s apparatus licences to spectrum licences and marketing plan to allocate additional spectrum</w:t>
            </w:r>
          </w:p>
        </w:tc>
      </w:tr>
      <w:tr w:rsidR="002873E5" w:rsidRPr="004804C7" w14:paraId="67AFC497" w14:textId="77777777" w:rsidTr="00617B4B">
        <w:trPr>
          <w:cantSplit/>
          <w:trHeight w:val="21"/>
        </w:trPr>
        <w:tc>
          <w:tcPr>
            <w:tcW w:w="2310" w:type="pct"/>
            <w:shd w:val="clear" w:color="auto" w:fill="F2F2F2" w:themeFill="background1" w:themeFillShade="F2"/>
          </w:tcPr>
          <w:p w14:paraId="7DF27D11" w14:textId="3F14BAD2" w:rsidR="002873E5" w:rsidRPr="0066605D" w:rsidRDefault="002873E5" w:rsidP="002873E5">
            <w:pPr>
              <w:spacing w:after="0" w:line="240" w:lineRule="auto"/>
            </w:pPr>
            <w:r>
              <w:t>2 GHz options paper</w:t>
            </w:r>
          </w:p>
        </w:tc>
        <w:tc>
          <w:tcPr>
            <w:tcW w:w="2690" w:type="pct"/>
            <w:shd w:val="clear" w:color="auto" w:fill="F2F2F2" w:themeFill="background1" w:themeFillShade="F2"/>
          </w:tcPr>
          <w:p w14:paraId="5AB4DDD9" w14:textId="194FF238" w:rsidR="002873E5" w:rsidRDefault="002873E5" w:rsidP="002873E5">
            <w:pPr>
              <w:spacing w:after="120" w:line="240" w:lineRule="auto"/>
              <w:rPr>
                <w:noProof/>
              </w:rPr>
            </w:pPr>
            <w:r>
              <w:rPr>
                <w:noProof/>
              </w:rPr>
              <w:drawing>
                <wp:inline distT="0" distB="0" distL="0" distR="0" wp14:anchorId="2B0BFF59" wp14:editId="3442375C">
                  <wp:extent cx="243840" cy="140335"/>
                  <wp:effectExtent l="0" t="0" r="3810" b="0"/>
                  <wp:docPr id="43" name="Picture 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Q4 2020</w:t>
            </w:r>
          </w:p>
        </w:tc>
      </w:tr>
      <w:tr w:rsidR="002873E5" w:rsidRPr="004804C7" w14:paraId="23591DAA" w14:textId="77777777" w:rsidTr="002873E5">
        <w:trPr>
          <w:cantSplit/>
          <w:trHeight w:val="21"/>
        </w:trPr>
        <w:tc>
          <w:tcPr>
            <w:tcW w:w="2310" w:type="pct"/>
            <w:shd w:val="clear" w:color="auto" w:fill="auto"/>
          </w:tcPr>
          <w:p w14:paraId="0C18FA7F" w14:textId="3E345E5D" w:rsidR="002873E5" w:rsidRPr="0066605D" w:rsidRDefault="002873E5" w:rsidP="002873E5">
            <w:pPr>
              <w:spacing w:after="0" w:line="240" w:lineRule="auto"/>
            </w:pPr>
            <w:r w:rsidRPr="004804C7">
              <w:rPr>
                <w:rFonts w:cs="Arial"/>
                <w:szCs w:val="20"/>
              </w:rPr>
              <w:t>3700–4200 MHz</w:t>
            </w:r>
            <w:r>
              <w:rPr>
                <w:rFonts w:cs="Arial"/>
                <w:szCs w:val="20"/>
              </w:rPr>
              <w:t xml:space="preserve"> options paper</w:t>
            </w:r>
          </w:p>
        </w:tc>
        <w:tc>
          <w:tcPr>
            <w:tcW w:w="2690" w:type="pct"/>
            <w:shd w:val="clear" w:color="auto" w:fill="auto"/>
          </w:tcPr>
          <w:p w14:paraId="354E993A" w14:textId="7A14FE02" w:rsidR="002873E5" w:rsidRDefault="002873E5" w:rsidP="002873E5">
            <w:pPr>
              <w:spacing w:after="120" w:line="240" w:lineRule="auto"/>
              <w:rPr>
                <w:noProof/>
              </w:rPr>
            </w:pPr>
            <w:r>
              <w:rPr>
                <w:noProof/>
              </w:rPr>
              <w:drawing>
                <wp:inline distT="0" distB="0" distL="0" distR="0" wp14:anchorId="126185F8" wp14:editId="6B5298A4">
                  <wp:extent cx="243840" cy="140335"/>
                  <wp:effectExtent l="0" t="0" r="3810" b="0"/>
                  <wp:docPr id="47" name="Picture 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a:extLst>
                              <a:ext uri="{C183D7F6-B498-43B3-948B-1728B52AA6E4}">
                                <adec:decorative xmlns:adec="http://schemas.microsoft.com/office/drawing/2017/decorative" val="1"/>
                              </a:ext>
                            </a:extLst>
                          </pic:cNvPr>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Q4</w:t>
            </w:r>
            <w:r w:rsidRPr="00FC330D">
              <w:t xml:space="preserve"> 2020</w:t>
            </w:r>
          </w:p>
        </w:tc>
      </w:tr>
      <w:tr w:rsidR="002873E5" w:rsidRPr="004804C7" w14:paraId="1D1960FF" w14:textId="77777777" w:rsidTr="00617B4B">
        <w:trPr>
          <w:cantSplit/>
          <w:trHeight w:val="21"/>
        </w:trPr>
        <w:tc>
          <w:tcPr>
            <w:tcW w:w="2310" w:type="pct"/>
            <w:shd w:val="clear" w:color="auto" w:fill="F2F2F2" w:themeFill="background1" w:themeFillShade="F2"/>
          </w:tcPr>
          <w:p w14:paraId="6582061A" w14:textId="0DECD067" w:rsidR="002873E5" w:rsidRPr="0066605D" w:rsidRDefault="002873E5" w:rsidP="002873E5">
            <w:pPr>
              <w:spacing w:after="0" w:line="240" w:lineRule="auto"/>
            </w:pPr>
            <w:r>
              <w:rPr>
                <w:noProof/>
              </w:rPr>
              <w:drawing>
                <wp:inline distT="0" distB="0" distL="0" distR="0" wp14:anchorId="5103AAF3" wp14:editId="5AB6ABB6">
                  <wp:extent cx="243840" cy="140335"/>
                  <wp:effectExtent l="0" t="0" r="3810" b="0"/>
                  <wp:docPr id="279" name="Picture 27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Picture 279">
                            <a:extLst>
                              <a:ext uri="{C183D7F6-B498-43B3-948B-1728B52AA6E4}">
                                <adec:decorative xmlns:adec="http://schemas.microsoft.com/office/drawing/2017/decorative" val="1"/>
                              </a:ext>
                            </a:extLst>
                          </pic:cNvPr>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28 GHz</w:t>
            </w:r>
          </w:p>
        </w:tc>
        <w:tc>
          <w:tcPr>
            <w:tcW w:w="2690" w:type="pct"/>
            <w:shd w:val="clear" w:color="auto" w:fill="F2F2F2" w:themeFill="background1" w:themeFillShade="F2"/>
          </w:tcPr>
          <w:p w14:paraId="48310F00" w14:textId="20286C95" w:rsidR="002873E5" w:rsidRDefault="002873E5" w:rsidP="001C4AB5">
            <w:pPr>
              <w:spacing w:after="0" w:line="240" w:lineRule="auto"/>
              <w:rPr>
                <w:noProof/>
              </w:rPr>
            </w:pPr>
            <w:r>
              <w:t xml:space="preserve">Q4 2020: Consult on an update to the CSO class licence for the possible inclusion of frequencies below 28.3 GHz and other implementation aspects flowing from the 28 GHz decision paper. </w:t>
            </w:r>
          </w:p>
        </w:tc>
      </w:tr>
      <w:tr w:rsidR="00CC2127" w:rsidRPr="004804C7" w14:paraId="3331298A" w14:textId="77777777" w:rsidTr="002873E5">
        <w:trPr>
          <w:cantSplit/>
          <w:trHeight w:val="21"/>
        </w:trPr>
        <w:tc>
          <w:tcPr>
            <w:tcW w:w="2310" w:type="pct"/>
            <w:shd w:val="clear" w:color="auto" w:fill="auto"/>
          </w:tcPr>
          <w:p w14:paraId="23767FEC" w14:textId="0FE61ED1" w:rsidR="00CC2127" w:rsidRDefault="00CC2127" w:rsidP="00FD2611">
            <w:pPr>
              <w:spacing w:after="0" w:line="240" w:lineRule="auto"/>
            </w:pPr>
            <w:r w:rsidRPr="0066605D">
              <w:t>1800 MHz (1710–1785 MHz and1805–1880 MHz) in remote areas</w:t>
            </w:r>
          </w:p>
        </w:tc>
        <w:tc>
          <w:tcPr>
            <w:tcW w:w="2690" w:type="pct"/>
            <w:shd w:val="clear" w:color="auto" w:fill="auto"/>
          </w:tcPr>
          <w:p w14:paraId="14163663" w14:textId="607AE04C" w:rsidR="00CC2127" w:rsidRDefault="00AC0B61" w:rsidP="00FD2611">
            <w:pPr>
              <w:spacing w:after="120" w:line="240" w:lineRule="auto"/>
            </w:pPr>
            <w:r>
              <w:rPr>
                <w:noProof/>
              </w:rPr>
              <w:drawing>
                <wp:inline distT="0" distB="0" distL="0" distR="0" wp14:anchorId="353F196E" wp14:editId="2CE640C2">
                  <wp:extent cx="243840" cy="140335"/>
                  <wp:effectExtent l="0" t="0" r="3810" b="0"/>
                  <wp:docPr id="85" name="Picture 8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CC2127">
              <w:t>Q4 2020</w:t>
            </w:r>
          </w:p>
        </w:tc>
      </w:tr>
      <w:tr w:rsidR="00CC2127" w:rsidRPr="004804C7" w14:paraId="676F0E7C" w14:textId="77777777" w:rsidTr="002873E5">
        <w:trPr>
          <w:cantSplit/>
          <w:trHeight w:val="21"/>
        </w:trPr>
        <w:tc>
          <w:tcPr>
            <w:tcW w:w="2310" w:type="pct"/>
            <w:shd w:val="clear" w:color="auto" w:fill="F2F2F2" w:themeFill="background1" w:themeFillShade="F2"/>
          </w:tcPr>
          <w:p w14:paraId="0013681B" w14:textId="3A90BA17" w:rsidR="00CC2127" w:rsidRDefault="00CC2127" w:rsidP="00FD2611">
            <w:pPr>
              <w:spacing w:after="0" w:line="240" w:lineRule="auto"/>
            </w:pPr>
            <w:r>
              <w:t>1800 M</w:t>
            </w:r>
            <w:r w:rsidRPr="00B94EA5">
              <w:t xml:space="preserve">Hz </w:t>
            </w:r>
            <w:r>
              <w:t>s</w:t>
            </w:r>
            <w:r w:rsidRPr="00B53F89">
              <w:t xml:space="preserve">pectrum </w:t>
            </w:r>
            <w:r>
              <w:t>l</w:t>
            </w:r>
            <w:r w:rsidRPr="00B53F89">
              <w:t xml:space="preserve">icence </w:t>
            </w:r>
            <w:r>
              <w:t>t</w:t>
            </w:r>
            <w:r w:rsidRPr="00B53F89">
              <w:t xml:space="preserve">echnical </w:t>
            </w:r>
            <w:r>
              <w:t>f</w:t>
            </w:r>
            <w:r w:rsidRPr="00B53F89">
              <w:t>ramework review</w:t>
            </w:r>
            <w:r w:rsidR="00FD2611">
              <w:t xml:space="preserve"> consultation on variation</w:t>
            </w:r>
          </w:p>
        </w:tc>
        <w:tc>
          <w:tcPr>
            <w:tcW w:w="2690" w:type="pct"/>
            <w:shd w:val="clear" w:color="auto" w:fill="F2F2F2" w:themeFill="background1" w:themeFillShade="F2"/>
          </w:tcPr>
          <w:p w14:paraId="038D868A" w14:textId="28F0129C" w:rsidR="00CC2127" w:rsidRDefault="00AC0B61" w:rsidP="00FD2611">
            <w:pPr>
              <w:spacing w:after="120" w:line="240" w:lineRule="auto"/>
            </w:pPr>
            <w:r>
              <w:rPr>
                <w:noProof/>
              </w:rPr>
              <w:drawing>
                <wp:inline distT="0" distB="0" distL="0" distR="0" wp14:anchorId="6EF03822" wp14:editId="184F0B93">
                  <wp:extent cx="243840" cy="140335"/>
                  <wp:effectExtent l="0" t="0" r="3810" b="0"/>
                  <wp:docPr id="84" name="Picture 8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Picture 84">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CC2127" w:rsidRPr="00B94EA5">
              <w:t>Q</w:t>
            </w:r>
            <w:r w:rsidR="00CC2127">
              <w:t>4</w:t>
            </w:r>
            <w:r w:rsidR="00CC2127" w:rsidRPr="00B94EA5">
              <w:t xml:space="preserve"> 2020</w:t>
            </w:r>
          </w:p>
        </w:tc>
      </w:tr>
      <w:tr w:rsidR="00CC2127" w:rsidRPr="004804C7" w14:paraId="4A6AA915" w14:textId="77777777" w:rsidTr="002873E5">
        <w:trPr>
          <w:cantSplit/>
          <w:trHeight w:val="21"/>
        </w:trPr>
        <w:tc>
          <w:tcPr>
            <w:tcW w:w="2310" w:type="pct"/>
            <w:shd w:val="clear" w:color="auto" w:fill="auto"/>
          </w:tcPr>
          <w:p w14:paraId="6E8F317F" w14:textId="64EEB44B" w:rsidR="00CC2127" w:rsidRDefault="00CC2127" w:rsidP="00FD2611">
            <w:pPr>
              <w:spacing w:after="0" w:line="240" w:lineRule="auto"/>
            </w:pPr>
            <w:r w:rsidRPr="00B94EA5">
              <w:t xml:space="preserve">2.3 GHz </w:t>
            </w:r>
            <w:r>
              <w:t>s</w:t>
            </w:r>
            <w:r w:rsidRPr="00B53F89">
              <w:t xml:space="preserve">pectrum </w:t>
            </w:r>
            <w:r>
              <w:t>l</w:t>
            </w:r>
            <w:r w:rsidRPr="00B53F89">
              <w:t xml:space="preserve">icence </w:t>
            </w:r>
            <w:r>
              <w:t>t</w:t>
            </w:r>
            <w:r w:rsidRPr="00B53F89">
              <w:t xml:space="preserve">echnical </w:t>
            </w:r>
            <w:r>
              <w:t>f</w:t>
            </w:r>
            <w:r w:rsidRPr="00B53F89">
              <w:t>ramework review</w:t>
            </w:r>
            <w:r w:rsidR="00FD2611">
              <w:t xml:space="preserve"> consultation on variation</w:t>
            </w:r>
          </w:p>
        </w:tc>
        <w:tc>
          <w:tcPr>
            <w:tcW w:w="2690" w:type="pct"/>
            <w:shd w:val="clear" w:color="auto" w:fill="auto"/>
          </w:tcPr>
          <w:p w14:paraId="066ACDED" w14:textId="1D06BFB8" w:rsidR="00CC2127" w:rsidRDefault="007E13BA" w:rsidP="00FD2611">
            <w:pPr>
              <w:spacing w:after="120" w:line="240" w:lineRule="auto"/>
            </w:pPr>
            <w:r>
              <w:rPr>
                <w:noProof/>
              </w:rPr>
              <w:drawing>
                <wp:inline distT="0" distB="0" distL="0" distR="0" wp14:anchorId="7F308971" wp14:editId="2B7BC99D">
                  <wp:extent cx="243840" cy="140335"/>
                  <wp:effectExtent l="0" t="0" r="3810" b="0"/>
                  <wp:docPr id="86" name="Picture 8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Picture 86">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CC2127" w:rsidRPr="00B94EA5">
              <w:t>Q</w:t>
            </w:r>
            <w:r w:rsidR="00CC2127">
              <w:t>4</w:t>
            </w:r>
            <w:r w:rsidR="00CC2127" w:rsidRPr="00B94EA5">
              <w:t xml:space="preserve"> 2020</w:t>
            </w:r>
          </w:p>
        </w:tc>
      </w:tr>
      <w:tr w:rsidR="00CC2127" w:rsidRPr="004804C7" w14:paraId="478F3245" w14:textId="77777777" w:rsidTr="002873E5">
        <w:trPr>
          <w:cantSplit/>
          <w:trHeight w:val="21"/>
        </w:trPr>
        <w:tc>
          <w:tcPr>
            <w:tcW w:w="2310" w:type="pct"/>
            <w:shd w:val="clear" w:color="auto" w:fill="F2F2F2" w:themeFill="background1" w:themeFillShade="F2"/>
          </w:tcPr>
          <w:p w14:paraId="78E55601" w14:textId="7C548AC6" w:rsidR="00CC2127" w:rsidRDefault="00DE6A9D" w:rsidP="00FD2611">
            <w:pPr>
              <w:spacing w:after="0" w:line="240" w:lineRule="auto"/>
            </w:pPr>
            <w:r w:rsidRPr="00D13358">
              <w:t>Develop and consult on proposals for</w:t>
            </w:r>
            <w:r>
              <w:t xml:space="preserve"> LAP</w:t>
            </w:r>
            <w:r w:rsidRPr="00D13358">
              <w:t xml:space="preserve"> variations in Brisbane</w:t>
            </w:r>
          </w:p>
        </w:tc>
        <w:tc>
          <w:tcPr>
            <w:tcW w:w="2690" w:type="pct"/>
            <w:shd w:val="clear" w:color="auto" w:fill="F2F2F2" w:themeFill="background1" w:themeFillShade="F2"/>
          </w:tcPr>
          <w:p w14:paraId="11215A3B" w14:textId="4B2BF1A7" w:rsidR="00CC2127" w:rsidRDefault="007E13BA" w:rsidP="00FD2611">
            <w:pPr>
              <w:spacing w:after="120" w:line="240" w:lineRule="auto"/>
            </w:pPr>
            <w:r>
              <w:rPr>
                <w:noProof/>
              </w:rPr>
              <w:drawing>
                <wp:inline distT="0" distB="0" distL="0" distR="0" wp14:anchorId="4766F1DD" wp14:editId="46F26340">
                  <wp:extent cx="243840" cy="140335"/>
                  <wp:effectExtent l="0" t="0" r="3810" b="0"/>
                  <wp:docPr id="89" name="Picture 8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Picture 89">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DE6A9D" w:rsidRPr="00D13358">
              <w:t>Q</w:t>
            </w:r>
            <w:r w:rsidR="00DE6A9D">
              <w:t>4</w:t>
            </w:r>
            <w:r w:rsidR="00DE6A9D" w:rsidRPr="00D13358">
              <w:t xml:space="preserve"> 2020</w:t>
            </w:r>
          </w:p>
        </w:tc>
      </w:tr>
      <w:tr w:rsidR="00CC2127" w:rsidRPr="004804C7" w14:paraId="6F45F75B" w14:textId="77777777" w:rsidTr="002873E5">
        <w:trPr>
          <w:cantSplit/>
          <w:trHeight w:val="21"/>
        </w:trPr>
        <w:tc>
          <w:tcPr>
            <w:tcW w:w="2310" w:type="pct"/>
            <w:shd w:val="clear" w:color="auto" w:fill="auto"/>
          </w:tcPr>
          <w:p w14:paraId="5B885AAE" w14:textId="3C9FDF43" w:rsidR="00CC2127" w:rsidRDefault="007E13BA" w:rsidP="00FD2611">
            <w:pPr>
              <w:spacing w:after="0" w:line="240" w:lineRule="auto"/>
            </w:pPr>
            <w:r>
              <w:rPr>
                <w:rFonts w:cs="Arial"/>
                <w:noProof/>
                <w:szCs w:val="20"/>
              </w:rPr>
              <w:drawing>
                <wp:inline distT="0" distB="0" distL="0" distR="0" wp14:anchorId="2A1846E8" wp14:editId="5BD67892">
                  <wp:extent cx="243840" cy="140335"/>
                  <wp:effectExtent l="0" t="0" r="3810" b="0"/>
                  <wp:docPr id="95" name="Picture 9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Picture 95">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Pr>
                <w:rFonts w:cs="Arial"/>
                <w:szCs w:val="20"/>
              </w:rPr>
              <w:t xml:space="preserve">  </w:t>
            </w:r>
            <w:r w:rsidR="00DE6A9D">
              <w:rPr>
                <w:rFonts w:cs="Arial"/>
                <w:szCs w:val="20"/>
              </w:rPr>
              <w:t>Consult on s</w:t>
            </w:r>
            <w:r w:rsidR="00DE6A9D" w:rsidRPr="00AD4087">
              <w:rPr>
                <w:rFonts w:cs="Arial"/>
                <w:szCs w:val="20"/>
              </w:rPr>
              <w:t>pectrum arrangements for ‘small satellites’</w:t>
            </w:r>
          </w:p>
        </w:tc>
        <w:tc>
          <w:tcPr>
            <w:tcW w:w="2690" w:type="pct"/>
            <w:shd w:val="clear" w:color="auto" w:fill="auto"/>
          </w:tcPr>
          <w:p w14:paraId="190BA858" w14:textId="6F7D6D76" w:rsidR="00CC2127" w:rsidRDefault="00DE6A9D" w:rsidP="00FD2611">
            <w:pPr>
              <w:spacing w:after="120" w:line="240" w:lineRule="auto"/>
            </w:pPr>
            <w:r>
              <w:t>Q4 2020</w:t>
            </w:r>
          </w:p>
        </w:tc>
      </w:tr>
      <w:tr w:rsidR="00DE6A9D" w:rsidRPr="004804C7" w14:paraId="0FE2269C" w14:textId="77777777" w:rsidTr="002873E5">
        <w:trPr>
          <w:cantSplit/>
          <w:trHeight w:val="21"/>
        </w:trPr>
        <w:tc>
          <w:tcPr>
            <w:tcW w:w="2310" w:type="pct"/>
            <w:shd w:val="clear" w:color="auto" w:fill="F2F2F2" w:themeFill="background1" w:themeFillShade="F2"/>
          </w:tcPr>
          <w:p w14:paraId="1A238486" w14:textId="76052B2D" w:rsidR="00DE6A9D" w:rsidRDefault="00DE6A9D" w:rsidP="00FD2611">
            <w:pPr>
              <w:spacing w:after="0" w:line="240" w:lineRule="auto"/>
            </w:pPr>
            <w:r>
              <w:rPr>
                <w:rFonts w:cs="Arial"/>
              </w:rPr>
              <w:t xml:space="preserve">Review of </w:t>
            </w:r>
            <w:r w:rsidRPr="004804C7">
              <w:rPr>
                <w:rFonts w:cs="Arial"/>
              </w:rPr>
              <w:t>non-assigned amateur and outpost licensing arrangements with a view to reform</w:t>
            </w:r>
          </w:p>
        </w:tc>
        <w:tc>
          <w:tcPr>
            <w:tcW w:w="2690" w:type="pct"/>
            <w:shd w:val="clear" w:color="auto" w:fill="F2F2F2" w:themeFill="background1" w:themeFillShade="F2"/>
          </w:tcPr>
          <w:p w14:paraId="5F9FC8AB" w14:textId="36555D8E" w:rsidR="00DE6A9D" w:rsidRDefault="00D759A4" w:rsidP="00FD2611">
            <w:pPr>
              <w:spacing w:after="120" w:line="240" w:lineRule="auto"/>
            </w:pPr>
            <w:r>
              <w:rPr>
                <w:noProof/>
              </w:rPr>
              <w:drawing>
                <wp:inline distT="0" distB="0" distL="0" distR="0" wp14:anchorId="310A25E3" wp14:editId="4DDC6F93">
                  <wp:extent cx="243840" cy="140335"/>
                  <wp:effectExtent l="0" t="0" r="3810" b="0"/>
                  <wp:docPr id="110" name="Picture 1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Picture 110">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DE6A9D">
              <w:t>Q4 2020</w:t>
            </w:r>
          </w:p>
        </w:tc>
      </w:tr>
      <w:tr w:rsidR="00DE6A9D" w:rsidRPr="004804C7" w14:paraId="225D820E" w14:textId="77777777" w:rsidTr="002873E5">
        <w:trPr>
          <w:cantSplit/>
          <w:trHeight w:val="21"/>
        </w:trPr>
        <w:tc>
          <w:tcPr>
            <w:tcW w:w="2310" w:type="pct"/>
            <w:shd w:val="clear" w:color="auto" w:fill="auto"/>
          </w:tcPr>
          <w:p w14:paraId="71EFE405" w14:textId="219FD506" w:rsidR="00DE6A9D" w:rsidRDefault="00DE6A9D" w:rsidP="00FD2611">
            <w:pPr>
              <w:spacing w:after="0" w:line="240" w:lineRule="auto"/>
            </w:pPr>
            <w:r>
              <w:rPr>
                <w:rFonts w:cs="Arial"/>
                <w:szCs w:val="20"/>
              </w:rPr>
              <w:t>Review of efficiency and effectiveness of accredited persons scheme</w:t>
            </w:r>
          </w:p>
        </w:tc>
        <w:tc>
          <w:tcPr>
            <w:tcW w:w="2690" w:type="pct"/>
            <w:shd w:val="clear" w:color="auto" w:fill="auto"/>
          </w:tcPr>
          <w:p w14:paraId="1B0B7A3F" w14:textId="408C7237" w:rsidR="00DE6A9D" w:rsidRDefault="00D759A4" w:rsidP="00FD2611">
            <w:pPr>
              <w:spacing w:after="120" w:line="240" w:lineRule="auto"/>
            </w:pPr>
            <w:r>
              <w:rPr>
                <w:noProof/>
              </w:rPr>
              <w:drawing>
                <wp:inline distT="0" distB="0" distL="0" distR="0" wp14:anchorId="142518EE" wp14:editId="1CB141E1">
                  <wp:extent cx="243840" cy="140335"/>
                  <wp:effectExtent l="0" t="0" r="3810" b="0"/>
                  <wp:docPr id="123" name="Picture 1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3">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DE6A9D">
              <w:t>Q4 2020</w:t>
            </w:r>
          </w:p>
        </w:tc>
      </w:tr>
      <w:tr w:rsidR="00DE6A9D" w:rsidRPr="004804C7" w14:paraId="2416E832" w14:textId="77777777" w:rsidTr="002873E5">
        <w:trPr>
          <w:cantSplit/>
          <w:trHeight w:val="21"/>
        </w:trPr>
        <w:tc>
          <w:tcPr>
            <w:tcW w:w="2310" w:type="pct"/>
            <w:shd w:val="clear" w:color="auto" w:fill="F2F2F2" w:themeFill="background1" w:themeFillShade="F2"/>
          </w:tcPr>
          <w:p w14:paraId="46444F38" w14:textId="5D6D35AE" w:rsidR="00DE6A9D" w:rsidRDefault="002376AB" w:rsidP="00FD2611">
            <w:pPr>
              <w:spacing w:after="0" w:line="240" w:lineRule="auto"/>
            </w:pPr>
            <w:r>
              <w:rPr>
                <w:rFonts w:cs="Arial"/>
                <w:szCs w:val="20"/>
              </w:rPr>
              <w:t>C</w:t>
            </w:r>
            <w:r w:rsidR="00DE6A9D" w:rsidRPr="00934BCB">
              <w:rPr>
                <w:rFonts w:cs="Arial"/>
                <w:szCs w:val="20"/>
              </w:rPr>
              <w:t>onsult on proposals for variations to the Remote Central and Eastern Australia Radio LAP</w:t>
            </w:r>
          </w:p>
        </w:tc>
        <w:tc>
          <w:tcPr>
            <w:tcW w:w="2690" w:type="pct"/>
            <w:shd w:val="clear" w:color="auto" w:fill="F2F2F2" w:themeFill="background1" w:themeFillShade="F2"/>
          </w:tcPr>
          <w:p w14:paraId="459FF215" w14:textId="11AA6AFC" w:rsidR="00DE6A9D" w:rsidRDefault="00DE6A9D" w:rsidP="00FD2611">
            <w:pPr>
              <w:spacing w:after="120" w:line="240" w:lineRule="auto"/>
            </w:pPr>
            <w:r w:rsidRPr="00D13358">
              <w:t>Q4 2020</w:t>
            </w:r>
          </w:p>
        </w:tc>
      </w:tr>
      <w:tr w:rsidR="00DE6A9D" w:rsidRPr="004804C7" w14:paraId="46DC377F" w14:textId="77777777" w:rsidTr="002873E5">
        <w:trPr>
          <w:cantSplit/>
          <w:trHeight w:val="21"/>
        </w:trPr>
        <w:tc>
          <w:tcPr>
            <w:tcW w:w="2310" w:type="pct"/>
            <w:shd w:val="clear" w:color="auto" w:fill="auto"/>
          </w:tcPr>
          <w:p w14:paraId="1DD69477" w14:textId="58AA9A0D" w:rsidR="00DE6A9D" w:rsidRDefault="00D759A4" w:rsidP="00FD2611">
            <w:pPr>
              <w:spacing w:after="0" w:line="240" w:lineRule="auto"/>
            </w:pPr>
            <w:r>
              <w:rPr>
                <w:rFonts w:cs="Arial"/>
                <w:noProof/>
                <w:szCs w:val="20"/>
              </w:rPr>
              <w:drawing>
                <wp:inline distT="0" distB="0" distL="0" distR="0" wp14:anchorId="377B33E7" wp14:editId="573928A8">
                  <wp:extent cx="243840" cy="140335"/>
                  <wp:effectExtent l="0" t="0" r="3810" b="0"/>
                  <wp:docPr id="126" name="Picture 1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Picture 126">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rPr>
                <w:rFonts w:cs="Arial"/>
                <w:szCs w:val="20"/>
              </w:rPr>
              <w:t xml:space="preserve">  </w:t>
            </w:r>
            <w:r w:rsidR="00DE6A9D">
              <w:rPr>
                <w:rFonts w:cs="Arial"/>
                <w:szCs w:val="20"/>
              </w:rPr>
              <w:t>Discussion paper exploring possible 6 GHz local area network planning options</w:t>
            </w:r>
          </w:p>
        </w:tc>
        <w:tc>
          <w:tcPr>
            <w:tcW w:w="2690" w:type="pct"/>
            <w:shd w:val="clear" w:color="auto" w:fill="auto"/>
          </w:tcPr>
          <w:p w14:paraId="4C0A6BF3" w14:textId="777B289D" w:rsidR="00DE6A9D" w:rsidRDefault="00DE6A9D" w:rsidP="00FD2611">
            <w:pPr>
              <w:spacing w:after="120" w:line="240" w:lineRule="auto"/>
            </w:pPr>
            <w:r>
              <w:t>Q4 2020</w:t>
            </w:r>
          </w:p>
        </w:tc>
      </w:tr>
      <w:tr w:rsidR="00DE6A9D" w:rsidRPr="004804C7" w14:paraId="09FD9655" w14:textId="77777777" w:rsidTr="002873E5">
        <w:trPr>
          <w:cantSplit/>
          <w:trHeight w:val="21"/>
        </w:trPr>
        <w:tc>
          <w:tcPr>
            <w:tcW w:w="2310" w:type="pct"/>
            <w:shd w:val="clear" w:color="auto" w:fill="F2F2F2" w:themeFill="background1" w:themeFillShade="F2"/>
          </w:tcPr>
          <w:p w14:paraId="0EB89258" w14:textId="7AF95FBB" w:rsidR="00DE6A9D" w:rsidRDefault="002376AB" w:rsidP="00FD2611">
            <w:pPr>
              <w:spacing w:after="0" w:line="240" w:lineRule="auto"/>
            </w:pPr>
            <w:r>
              <w:lastRenderedPageBreak/>
              <w:t>Consultation paper on the p</w:t>
            </w:r>
            <w:r w:rsidR="00DE6A9D" w:rsidRPr="004804C7">
              <w:t>otential for replanning analog radio services in Perth, following the clearance of Band II television in Bunbury</w:t>
            </w:r>
          </w:p>
        </w:tc>
        <w:tc>
          <w:tcPr>
            <w:tcW w:w="2690" w:type="pct"/>
            <w:shd w:val="clear" w:color="auto" w:fill="F2F2F2" w:themeFill="background1" w:themeFillShade="F2"/>
          </w:tcPr>
          <w:p w14:paraId="59D2E08E" w14:textId="539E4CE9" w:rsidR="00DE6A9D" w:rsidRDefault="00DE6A9D" w:rsidP="00FD2611">
            <w:pPr>
              <w:spacing w:after="120" w:line="240" w:lineRule="auto"/>
            </w:pPr>
            <w:r>
              <w:t>Q4 2020</w:t>
            </w:r>
          </w:p>
        </w:tc>
      </w:tr>
      <w:tr w:rsidR="00CC2D74" w:rsidRPr="004804C7" w14:paraId="100EED86" w14:textId="77777777" w:rsidTr="002873E5">
        <w:trPr>
          <w:cantSplit/>
          <w:trHeight w:val="21"/>
        </w:trPr>
        <w:tc>
          <w:tcPr>
            <w:tcW w:w="2310" w:type="pct"/>
            <w:shd w:val="clear" w:color="auto" w:fill="auto"/>
          </w:tcPr>
          <w:p w14:paraId="40E326A6" w14:textId="4BDA8803" w:rsidR="00CC2D74" w:rsidRPr="004804C7" w:rsidRDefault="002376AB" w:rsidP="00FD2611">
            <w:pPr>
              <w:spacing w:after="0" w:line="240" w:lineRule="auto"/>
            </w:pPr>
            <w:r>
              <w:t>Consultation p</w:t>
            </w:r>
            <w:r w:rsidR="001D55C2">
              <w:t>a</w:t>
            </w:r>
            <w:r>
              <w:t>per fo</w:t>
            </w:r>
            <w:r w:rsidR="001D55C2">
              <w:t>r</w:t>
            </w:r>
            <w:r>
              <w:t xml:space="preserve"> the r</w:t>
            </w:r>
            <w:r w:rsidR="00CC2D74" w:rsidRPr="004804C7">
              <w:t xml:space="preserve">eview of </w:t>
            </w:r>
            <w:hyperlink r:id="rId48" w:history="1">
              <w:r w:rsidR="00CC2D74" w:rsidRPr="00513FDE">
                <w:rPr>
                  <w:i/>
                  <w:iCs/>
                  <w:color w:val="0000FF"/>
                  <w:u w:val="single"/>
                </w:rPr>
                <w:t>Commercial Broadcasting (Tax) Act 2017</w:t>
              </w:r>
            </w:hyperlink>
          </w:p>
        </w:tc>
        <w:tc>
          <w:tcPr>
            <w:tcW w:w="2690" w:type="pct"/>
            <w:shd w:val="clear" w:color="auto" w:fill="auto"/>
          </w:tcPr>
          <w:p w14:paraId="654E8345" w14:textId="1BC3CA14" w:rsidR="00CC2D74" w:rsidRDefault="00D759A4" w:rsidP="00FD2611">
            <w:pPr>
              <w:spacing w:after="120" w:line="240" w:lineRule="auto"/>
            </w:pPr>
            <w:r>
              <w:rPr>
                <w:noProof/>
              </w:rPr>
              <w:drawing>
                <wp:inline distT="0" distB="0" distL="0" distR="0" wp14:anchorId="1C4EB7D8" wp14:editId="46D99FA7">
                  <wp:extent cx="243840" cy="140335"/>
                  <wp:effectExtent l="0" t="0" r="3810" b="0"/>
                  <wp:docPr id="130" name="Picture 1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Picture 130">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CC2D74">
              <w:t>Q4 2020</w:t>
            </w:r>
          </w:p>
        </w:tc>
      </w:tr>
      <w:tr w:rsidR="00CC2D74" w:rsidRPr="004804C7" w14:paraId="7640534C" w14:textId="77777777" w:rsidTr="002873E5">
        <w:trPr>
          <w:cantSplit/>
          <w:trHeight w:val="21"/>
        </w:trPr>
        <w:tc>
          <w:tcPr>
            <w:tcW w:w="2310" w:type="pct"/>
            <w:shd w:val="clear" w:color="auto" w:fill="F2F2F2" w:themeFill="background1" w:themeFillShade="F2"/>
          </w:tcPr>
          <w:p w14:paraId="607D0030" w14:textId="0F9F7B05" w:rsidR="00CC2D74" w:rsidRDefault="00CC2D74" w:rsidP="00FD2611">
            <w:pPr>
              <w:spacing w:after="0" w:line="240" w:lineRule="auto"/>
            </w:pPr>
            <w:r>
              <w:t>Implementation of the Spectrum Pricing Review</w:t>
            </w:r>
          </w:p>
        </w:tc>
        <w:tc>
          <w:tcPr>
            <w:tcW w:w="2690" w:type="pct"/>
            <w:shd w:val="clear" w:color="auto" w:fill="F2F2F2" w:themeFill="background1" w:themeFillShade="F2"/>
          </w:tcPr>
          <w:p w14:paraId="367D0BF4" w14:textId="3B5C6D62" w:rsidR="00CC2D74" w:rsidRDefault="000A06F3" w:rsidP="00A06D46">
            <w:pPr>
              <w:spacing w:after="0" w:line="240" w:lineRule="auto"/>
            </w:pPr>
            <w:r>
              <w:rPr>
                <w:noProof/>
              </w:rPr>
              <w:drawing>
                <wp:inline distT="0" distB="0" distL="0" distR="0" wp14:anchorId="398817C3" wp14:editId="25CEB5B7">
                  <wp:extent cx="243840" cy="140335"/>
                  <wp:effectExtent l="0" t="0" r="3810" b="0"/>
                  <wp:docPr id="142" name="Picture 1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Picture 142">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CC2D74">
              <w:t>Q4 2020 and 2021: Series of consultation papers on amending apparatus licence taxes. This may include other taxation adjustments for maintaining the regime (e.g. CPI changes)</w:t>
            </w:r>
          </w:p>
        </w:tc>
      </w:tr>
      <w:tr w:rsidR="00CC2D74" w:rsidRPr="004804C7" w14:paraId="5C0166B9" w14:textId="77777777" w:rsidTr="002873E5">
        <w:trPr>
          <w:cantSplit/>
          <w:trHeight w:val="21"/>
        </w:trPr>
        <w:tc>
          <w:tcPr>
            <w:tcW w:w="2310" w:type="pct"/>
            <w:shd w:val="clear" w:color="auto" w:fill="auto"/>
          </w:tcPr>
          <w:p w14:paraId="1CC88BA3" w14:textId="155EBABD" w:rsidR="00CC2D74" w:rsidRDefault="001D55C2" w:rsidP="00FD2611">
            <w:pPr>
              <w:spacing w:after="0" w:line="240" w:lineRule="auto"/>
            </w:pPr>
            <w:r>
              <w:t>C</w:t>
            </w:r>
            <w:r w:rsidR="00ED161A">
              <w:t>onsult on a proposal to vary the Deniliquin LAP</w:t>
            </w:r>
          </w:p>
        </w:tc>
        <w:tc>
          <w:tcPr>
            <w:tcW w:w="2690" w:type="pct"/>
            <w:shd w:val="clear" w:color="auto" w:fill="auto"/>
          </w:tcPr>
          <w:p w14:paraId="54A1BDF6" w14:textId="295FBE57" w:rsidR="00CC2D74" w:rsidRDefault="00ED161A" w:rsidP="00FD2611">
            <w:pPr>
              <w:spacing w:after="120" w:line="240" w:lineRule="auto"/>
            </w:pPr>
            <w:r w:rsidRPr="0066605D">
              <w:t>Q</w:t>
            </w:r>
            <w:r>
              <w:t>1</w:t>
            </w:r>
            <w:r w:rsidRPr="0066605D">
              <w:t xml:space="preserve"> 202</w:t>
            </w:r>
            <w:r>
              <w:t>1</w:t>
            </w:r>
          </w:p>
        </w:tc>
      </w:tr>
      <w:tr w:rsidR="00CC2D74" w:rsidRPr="004804C7" w14:paraId="1BFBC647" w14:textId="77777777" w:rsidTr="002873E5">
        <w:trPr>
          <w:cantSplit/>
          <w:trHeight w:val="21"/>
        </w:trPr>
        <w:tc>
          <w:tcPr>
            <w:tcW w:w="2310" w:type="pct"/>
            <w:shd w:val="clear" w:color="auto" w:fill="F2F2F2" w:themeFill="background1" w:themeFillShade="F2"/>
          </w:tcPr>
          <w:p w14:paraId="3CCEB7AD" w14:textId="48121362" w:rsidR="00CC2D74" w:rsidRDefault="00A06D46" w:rsidP="00FD2611">
            <w:pPr>
              <w:spacing w:after="0" w:line="240" w:lineRule="auto"/>
            </w:pPr>
            <w:r>
              <w:t>C</w:t>
            </w:r>
            <w:r w:rsidRPr="00A06D46">
              <w:t>onsultation on next steps</w:t>
            </w:r>
            <w:r w:rsidRPr="00DC0D4D">
              <w:t xml:space="preserve"> </w:t>
            </w:r>
            <w:r>
              <w:t>of r</w:t>
            </w:r>
            <w:r w:rsidR="00ED161A" w:rsidRPr="00DC0D4D">
              <w:t>eview of p</w:t>
            </w:r>
            <w:r w:rsidR="00ED161A" w:rsidRPr="00A06D46">
              <w:t>rohibition declarations and exemption determinations</w:t>
            </w:r>
            <w:r w:rsidR="00FD2611" w:rsidRPr="00A06D46">
              <w:t xml:space="preserve"> </w:t>
            </w:r>
          </w:p>
        </w:tc>
        <w:tc>
          <w:tcPr>
            <w:tcW w:w="2690" w:type="pct"/>
            <w:shd w:val="clear" w:color="auto" w:fill="F2F2F2" w:themeFill="background1" w:themeFillShade="F2"/>
          </w:tcPr>
          <w:p w14:paraId="616933F9" w14:textId="44F29255" w:rsidR="00CC2D74" w:rsidRDefault="000A06F3" w:rsidP="00FD2611">
            <w:pPr>
              <w:spacing w:after="120" w:line="240" w:lineRule="auto"/>
            </w:pPr>
            <w:r>
              <w:rPr>
                <w:noProof/>
              </w:rPr>
              <w:drawing>
                <wp:inline distT="0" distB="0" distL="0" distR="0" wp14:anchorId="52030366" wp14:editId="061E047A">
                  <wp:extent cx="243840" cy="140335"/>
                  <wp:effectExtent l="0" t="0" r="3810" b="0"/>
                  <wp:docPr id="145" name="Picture 1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Picture 145">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ED161A" w:rsidRPr="00212F72">
              <w:t>Q1 2021</w:t>
            </w:r>
          </w:p>
        </w:tc>
      </w:tr>
      <w:tr w:rsidR="00FF6AD4" w:rsidRPr="004804C7" w14:paraId="49FFE3B8" w14:textId="77777777" w:rsidTr="002873E5">
        <w:trPr>
          <w:cantSplit/>
          <w:trHeight w:val="574"/>
        </w:trPr>
        <w:tc>
          <w:tcPr>
            <w:tcW w:w="2310" w:type="pct"/>
            <w:shd w:val="clear" w:color="auto" w:fill="auto"/>
          </w:tcPr>
          <w:p w14:paraId="16D0617E" w14:textId="02E914A3" w:rsidR="00FF6AD4" w:rsidRDefault="00FF6AD4" w:rsidP="00FF6AD4">
            <w:pPr>
              <w:spacing w:after="0" w:line="240" w:lineRule="auto"/>
            </w:pPr>
            <w:r w:rsidRPr="00207B96">
              <w:t>Consult on draft allocation instruments for 850/900 MHz</w:t>
            </w:r>
          </w:p>
        </w:tc>
        <w:tc>
          <w:tcPr>
            <w:tcW w:w="2690" w:type="pct"/>
            <w:shd w:val="clear" w:color="auto" w:fill="auto"/>
          </w:tcPr>
          <w:p w14:paraId="5338ED99" w14:textId="668A7C6F" w:rsidR="00FF6AD4" w:rsidRPr="00C80F98" w:rsidRDefault="008044D2" w:rsidP="003960C1">
            <w:pPr>
              <w:spacing w:after="0" w:line="240" w:lineRule="auto"/>
            </w:pPr>
            <w:r>
              <w:rPr>
                <w:noProof/>
              </w:rPr>
              <w:drawing>
                <wp:inline distT="0" distB="0" distL="0" distR="0" wp14:anchorId="5C4CE711" wp14:editId="489E6B60">
                  <wp:extent cx="243840" cy="140335"/>
                  <wp:effectExtent l="0" t="0" r="3810" b="0"/>
                  <wp:docPr id="40" name="Picture 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FF6AD4">
              <w:t>Q1–2 2021</w:t>
            </w:r>
            <w:r w:rsidR="000A1580">
              <w:t xml:space="preserve"> </w:t>
            </w:r>
            <w:r w:rsidR="00FF6AD4">
              <w:rPr>
                <w:rStyle w:val="CommentReference"/>
              </w:rPr>
              <w:t>(I</w:t>
            </w:r>
            <w:r w:rsidR="00FF6AD4">
              <w:t>f the Minister decides to reallocate spectrum)</w:t>
            </w:r>
          </w:p>
        </w:tc>
      </w:tr>
      <w:tr w:rsidR="00ED161A" w:rsidRPr="004804C7" w14:paraId="5662CC29" w14:textId="77777777" w:rsidTr="002873E5">
        <w:trPr>
          <w:cantSplit/>
          <w:trHeight w:val="21"/>
        </w:trPr>
        <w:tc>
          <w:tcPr>
            <w:tcW w:w="2310" w:type="pct"/>
            <w:shd w:val="clear" w:color="auto" w:fill="F2F2F2" w:themeFill="background1" w:themeFillShade="F2"/>
          </w:tcPr>
          <w:p w14:paraId="1B34ED7B" w14:textId="787E73BC" w:rsidR="00ED161A" w:rsidRDefault="001D55C2" w:rsidP="00FD2611">
            <w:pPr>
              <w:spacing w:after="0" w:line="240" w:lineRule="auto"/>
            </w:pPr>
            <w:r>
              <w:t xml:space="preserve">Consultation on the draft </w:t>
            </w:r>
            <w:r w:rsidR="00ED161A">
              <w:t>FYSO</w:t>
            </w:r>
            <w:r w:rsidR="00ED161A" w:rsidRPr="00C80F98">
              <w:t>/</w:t>
            </w:r>
            <w:r w:rsidR="008B3B0B">
              <w:t>a</w:t>
            </w:r>
            <w:r w:rsidR="00ED161A" w:rsidRPr="00C80F98">
              <w:t>nnual work program</w:t>
            </w:r>
            <w:r>
              <w:t xml:space="preserve"> for 2021</w:t>
            </w:r>
            <w:r w:rsidR="007E73B7" w:rsidRPr="007E73B7">
              <w:t>–</w:t>
            </w:r>
            <w:r>
              <w:t>2025</w:t>
            </w:r>
          </w:p>
        </w:tc>
        <w:tc>
          <w:tcPr>
            <w:tcW w:w="2690" w:type="pct"/>
            <w:shd w:val="clear" w:color="auto" w:fill="F2F2F2" w:themeFill="background1" w:themeFillShade="F2"/>
          </w:tcPr>
          <w:p w14:paraId="58873756" w14:textId="49C41894" w:rsidR="00ED161A" w:rsidRDefault="00ED161A" w:rsidP="00FD2611">
            <w:pPr>
              <w:spacing w:after="120" w:line="240" w:lineRule="auto"/>
            </w:pPr>
            <w:r w:rsidRPr="00C80F98">
              <w:t>Q2 2021</w:t>
            </w:r>
            <w:r>
              <w:t xml:space="preserve"> </w:t>
            </w:r>
          </w:p>
        </w:tc>
      </w:tr>
      <w:tr w:rsidR="00ED161A" w:rsidRPr="004804C7" w14:paraId="4F1E325A" w14:textId="77777777" w:rsidTr="002873E5">
        <w:trPr>
          <w:cantSplit/>
          <w:trHeight w:val="21"/>
        </w:trPr>
        <w:tc>
          <w:tcPr>
            <w:tcW w:w="2310" w:type="pct"/>
            <w:shd w:val="clear" w:color="auto" w:fill="auto"/>
          </w:tcPr>
          <w:p w14:paraId="273F2CA5" w14:textId="57222011" w:rsidR="00ED161A" w:rsidRDefault="000A06F3" w:rsidP="00FD2611">
            <w:pPr>
              <w:spacing w:after="0" w:line="240" w:lineRule="auto"/>
            </w:pPr>
            <w:r>
              <w:rPr>
                <w:noProof/>
              </w:rPr>
              <w:drawing>
                <wp:inline distT="0" distB="0" distL="0" distR="0" wp14:anchorId="44073317" wp14:editId="008A1E6A">
                  <wp:extent cx="243840" cy="140335"/>
                  <wp:effectExtent l="0" t="0" r="3810" b="0"/>
                  <wp:docPr id="148" name="Picture 1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Picture 148">
                            <a:extLst>
                              <a:ext uri="{C183D7F6-B498-43B3-948B-1728B52AA6E4}">
                                <adec:decorative xmlns:adec="http://schemas.microsoft.com/office/drawing/2017/decorative" val="1"/>
                              </a:ext>
                            </a:extLst>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1D55C2">
              <w:t xml:space="preserve">Consult on new spectrum licence taxes for the 26 GHz band and other related changes </w:t>
            </w:r>
          </w:p>
        </w:tc>
        <w:tc>
          <w:tcPr>
            <w:tcW w:w="2690" w:type="pct"/>
            <w:shd w:val="clear" w:color="auto" w:fill="auto"/>
          </w:tcPr>
          <w:p w14:paraId="698D8014" w14:textId="45ACEB6A" w:rsidR="00ED161A" w:rsidRDefault="00ED161A" w:rsidP="00FD2611">
            <w:pPr>
              <w:pStyle w:val="Paragraphbeforelist"/>
            </w:pPr>
            <w:r>
              <w:t>Q2–3 2021</w:t>
            </w:r>
          </w:p>
          <w:p w14:paraId="3DA0710F" w14:textId="77777777" w:rsidR="00ED161A" w:rsidRDefault="00ED161A" w:rsidP="00FD2611">
            <w:pPr>
              <w:spacing w:after="120" w:line="240" w:lineRule="auto"/>
            </w:pPr>
          </w:p>
        </w:tc>
      </w:tr>
    </w:tbl>
    <w:p w14:paraId="0DA991DE" w14:textId="77777777" w:rsidR="00366016" w:rsidRPr="00124D77" w:rsidRDefault="00366016" w:rsidP="00FC46BF">
      <w:pPr>
        <w:pStyle w:val="Heading2"/>
        <w:keepNext w:val="0"/>
      </w:pPr>
      <w:bookmarkStart w:id="49" w:name="_Toc31892771"/>
      <w:bookmarkStart w:id="50" w:name="_Toc36207392"/>
      <w:bookmarkStart w:id="51" w:name="_Toc51846256"/>
      <w:bookmarkStart w:id="52" w:name="_Toc51864287"/>
      <w:bookmarkEnd w:id="34"/>
      <w:r w:rsidRPr="00124D77">
        <w:t>FYSO 201</w:t>
      </w:r>
      <w:r w:rsidR="00375DA4" w:rsidRPr="00124D77">
        <w:t>9</w:t>
      </w:r>
      <w:r w:rsidRPr="00124D77">
        <w:t>–2</w:t>
      </w:r>
      <w:r w:rsidR="00375DA4" w:rsidRPr="00124D77">
        <w:t>3</w:t>
      </w:r>
      <w:r w:rsidRPr="00124D77">
        <w:t xml:space="preserve"> progress report</w:t>
      </w:r>
      <w:bookmarkEnd w:id="49"/>
      <w:bookmarkEnd w:id="50"/>
      <w:bookmarkEnd w:id="51"/>
      <w:bookmarkEnd w:id="52"/>
    </w:p>
    <w:p w14:paraId="5D980875" w14:textId="27712CCB" w:rsidR="00841D32" w:rsidRPr="00B35964" w:rsidRDefault="00841D32" w:rsidP="00513FDE">
      <w:r w:rsidRPr="00841D32">
        <w:rPr>
          <w:rFonts w:cs="Arial"/>
          <w:bCs/>
          <w:color w:val="000000" w:themeColor="text1"/>
          <w:szCs w:val="20"/>
        </w:rPr>
        <w:t>The ACMA publishes six-month and annual progress reports to update activities in the FYSO work program. On 27 July</w:t>
      </w:r>
      <w:r w:rsidR="00F53E2A">
        <w:rPr>
          <w:rFonts w:cs="Arial"/>
          <w:bCs/>
          <w:color w:val="000000" w:themeColor="text1"/>
          <w:szCs w:val="20"/>
        </w:rPr>
        <w:t xml:space="preserve"> 2020</w:t>
      </w:r>
      <w:r w:rsidRPr="00841D32">
        <w:rPr>
          <w:rFonts w:cs="Arial"/>
          <w:bCs/>
          <w:color w:val="000000" w:themeColor="text1"/>
          <w:szCs w:val="20"/>
        </w:rPr>
        <w:t xml:space="preserve">, we published the </w:t>
      </w:r>
      <w:hyperlink r:id="rId49" w:history="1">
        <w:r w:rsidR="008B3B0B">
          <w:rPr>
            <w:rStyle w:val="Hyperlink"/>
            <w:rFonts w:cs="Arial"/>
            <w:bCs/>
            <w:szCs w:val="20"/>
          </w:rPr>
          <w:t>FYSO 2019–23 annual progress report</w:t>
        </w:r>
      </w:hyperlink>
      <w:r w:rsidRPr="00841D32">
        <w:rPr>
          <w:rFonts w:cs="Arial"/>
          <w:bCs/>
          <w:color w:val="000000" w:themeColor="text1"/>
          <w:szCs w:val="20"/>
        </w:rPr>
        <w:t>.</w:t>
      </w:r>
      <w:r>
        <w:rPr>
          <w:rFonts w:cs="Arial"/>
          <w:bCs/>
          <w:color w:val="000000" w:themeColor="text1"/>
          <w:sz w:val="22"/>
          <w:szCs w:val="22"/>
        </w:rPr>
        <w:t xml:space="preserve"> </w:t>
      </w:r>
    </w:p>
    <w:p w14:paraId="528F1116" w14:textId="2D14275E" w:rsidR="000C4ED6" w:rsidRPr="0010018E" w:rsidRDefault="000C4ED6" w:rsidP="000650FB">
      <w:pPr>
        <w:pStyle w:val="ACMAExecSummaryHeading"/>
        <w:pageBreakBefore/>
        <w:rPr>
          <w:rStyle w:val="TitleChar"/>
          <w:rFonts w:ascii="Arial" w:hAnsi="Arial" w:cs="Times New Roman"/>
          <w:spacing w:val="-18"/>
          <w:kern w:val="0"/>
          <w:sz w:val="53"/>
          <w:szCs w:val="24"/>
          <w:lang w:eastAsia="en-AU"/>
        </w:rPr>
      </w:pPr>
      <w:bookmarkStart w:id="53" w:name="_Toc492369998"/>
      <w:bookmarkStart w:id="54" w:name="_Toc492371194"/>
      <w:bookmarkStart w:id="55" w:name="_Toc492371270"/>
      <w:bookmarkStart w:id="56" w:name="_Toc492371763"/>
      <w:bookmarkStart w:id="57" w:name="_Toc492374153"/>
      <w:bookmarkStart w:id="58" w:name="_Toc492374934"/>
      <w:bookmarkStart w:id="59" w:name="_Toc492383120"/>
      <w:bookmarkStart w:id="60" w:name="_Toc492385610"/>
      <w:bookmarkStart w:id="61" w:name="_Toc492388328"/>
      <w:bookmarkStart w:id="62" w:name="_Toc492390376"/>
      <w:bookmarkStart w:id="63" w:name="_Toc492554253"/>
      <w:bookmarkStart w:id="64" w:name="_Toc492557299"/>
      <w:bookmarkStart w:id="65" w:name="_Toc492557555"/>
      <w:bookmarkStart w:id="66" w:name="_Toc492557668"/>
      <w:bookmarkStart w:id="67" w:name="_Toc492558039"/>
      <w:bookmarkStart w:id="68" w:name="_Toc492558077"/>
      <w:bookmarkStart w:id="69" w:name="_Toc492564195"/>
      <w:bookmarkStart w:id="70" w:name="_Toc492566411"/>
      <w:bookmarkStart w:id="71" w:name="_Toc492625052"/>
      <w:bookmarkStart w:id="72" w:name="_Toc492625218"/>
      <w:bookmarkStart w:id="73" w:name="_Toc492626134"/>
      <w:bookmarkStart w:id="74" w:name="_Toc492626758"/>
      <w:bookmarkStart w:id="75" w:name="_Toc492630909"/>
      <w:bookmarkStart w:id="76" w:name="_Toc492632457"/>
      <w:bookmarkStart w:id="77" w:name="_Toc492632760"/>
      <w:bookmarkStart w:id="78" w:name="_Toc492632894"/>
      <w:bookmarkStart w:id="79" w:name="_Toc492633051"/>
      <w:bookmarkStart w:id="80" w:name="_Toc492635018"/>
      <w:bookmarkStart w:id="81" w:name="_Toc492639666"/>
      <w:bookmarkStart w:id="82" w:name="_Toc492639974"/>
      <w:bookmarkStart w:id="83" w:name="_Toc492640190"/>
      <w:bookmarkStart w:id="84" w:name="_Toc492640237"/>
      <w:bookmarkStart w:id="85" w:name="_Toc492640276"/>
      <w:bookmarkStart w:id="86" w:name="_Toc492640315"/>
      <w:bookmarkStart w:id="87" w:name="_Toc492641289"/>
      <w:bookmarkStart w:id="88" w:name="_Toc492641336"/>
      <w:bookmarkStart w:id="89" w:name="_Toc492641778"/>
      <w:bookmarkStart w:id="90" w:name="_Toc492641904"/>
      <w:bookmarkStart w:id="91" w:name="_Toc492645934"/>
      <w:bookmarkStart w:id="92" w:name="_Toc492646224"/>
      <w:bookmarkStart w:id="93" w:name="_Toc492646633"/>
      <w:bookmarkStart w:id="94" w:name="_Toc492647421"/>
      <w:bookmarkStart w:id="95" w:name="_Toc492647473"/>
      <w:bookmarkStart w:id="96" w:name="_Toc492885144"/>
      <w:bookmarkStart w:id="97" w:name="_Toc492885264"/>
      <w:bookmarkStart w:id="98" w:name="_Toc492885536"/>
      <w:bookmarkStart w:id="99" w:name="_Toc492885600"/>
      <w:bookmarkStart w:id="100" w:name="_Toc492886707"/>
      <w:bookmarkStart w:id="101" w:name="_Toc492887240"/>
      <w:bookmarkStart w:id="102" w:name="_Toc492890828"/>
      <w:bookmarkStart w:id="103" w:name="_Toc492891431"/>
      <w:bookmarkStart w:id="104" w:name="_Toc492892962"/>
      <w:bookmarkStart w:id="105" w:name="_Toc492893943"/>
      <w:bookmarkStart w:id="106" w:name="_Toc492894078"/>
      <w:bookmarkStart w:id="107" w:name="_Toc492894346"/>
      <w:bookmarkStart w:id="108" w:name="_Toc492894782"/>
      <w:bookmarkStart w:id="109" w:name="_Toc492896235"/>
      <w:bookmarkStart w:id="110" w:name="_Toc492896670"/>
      <w:bookmarkStart w:id="111" w:name="_Toc492897540"/>
      <w:bookmarkStart w:id="112" w:name="_Toc492898003"/>
      <w:bookmarkStart w:id="113" w:name="_Toc492902338"/>
      <w:bookmarkStart w:id="114" w:name="_Part_1—Five-year_spectrum"/>
      <w:bookmarkStart w:id="115" w:name="_Toc510104928"/>
      <w:bookmarkStart w:id="116" w:name="_Toc510105725"/>
      <w:bookmarkStart w:id="117" w:name="_Toc510795066"/>
      <w:bookmarkStart w:id="118" w:name="_Toc511716267"/>
      <w:bookmarkStart w:id="119" w:name="_Toc511719078"/>
      <w:bookmarkStart w:id="120" w:name="_Toc522794074"/>
      <w:bookmarkStart w:id="121" w:name="_Toc31892772"/>
      <w:bookmarkStart w:id="122" w:name="_Toc36207393"/>
      <w:bookmarkStart w:id="123" w:name="_Toc51846257"/>
      <w:bookmarkStart w:id="124" w:name="_Toc51864288"/>
      <w:bookmarkStart w:id="125" w:name="_Toc509581797"/>
      <w:bookmarkStart w:id="126" w:name="_Toc509585113"/>
      <w:bookmarkStart w:id="127" w:name="_Toc509585649"/>
      <w:bookmarkStart w:id="128" w:name="_Toc491854091"/>
      <w:bookmarkStart w:id="129" w:name="_Toc494115147"/>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r w:rsidRPr="0010018E">
        <w:rPr>
          <w:rStyle w:val="TitleChar"/>
          <w:rFonts w:ascii="Arial" w:hAnsi="Arial" w:cs="Times New Roman"/>
          <w:spacing w:val="-18"/>
          <w:kern w:val="0"/>
          <w:sz w:val="53"/>
          <w:szCs w:val="24"/>
          <w:lang w:eastAsia="en-AU"/>
        </w:rPr>
        <w:lastRenderedPageBreak/>
        <w:t>Part 1—Five-year spectrum outlook</w:t>
      </w:r>
      <w:bookmarkEnd w:id="115"/>
      <w:bookmarkEnd w:id="116"/>
      <w:bookmarkEnd w:id="117"/>
      <w:bookmarkEnd w:id="118"/>
      <w:bookmarkEnd w:id="119"/>
      <w:bookmarkEnd w:id="120"/>
      <w:bookmarkEnd w:id="121"/>
      <w:bookmarkEnd w:id="122"/>
      <w:bookmarkEnd w:id="123"/>
      <w:bookmarkEnd w:id="124"/>
      <w:r w:rsidRPr="0010018E">
        <w:rPr>
          <w:rStyle w:val="TitleChar"/>
          <w:rFonts w:ascii="Arial" w:hAnsi="Arial" w:cs="Times New Roman"/>
          <w:spacing w:val="-18"/>
          <w:kern w:val="0"/>
          <w:sz w:val="53"/>
          <w:szCs w:val="24"/>
          <w:lang w:eastAsia="en-AU"/>
        </w:rPr>
        <w:t xml:space="preserve"> </w:t>
      </w:r>
    </w:p>
    <w:p w14:paraId="751EF5EC" w14:textId="5D90E37A" w:rsidR="00CF322E" w:rsidRPr="00B53F89" w:rsidRDefault="00CF322E" w:rsidP="00D7755E">
      <w:bookmarkStart w:id="130" w:name="_Toc491854093"/>
      <w:bookmarkEnd w:id="125"/>
      <w:bookmarkEnd w:id="126"/>
      <w:bookmarkEnd w:id="127"/>
      <w:bookmarkEnd w:id="128"/>
      <w:bookmarkEnd w:id="129"/>
      <w:r w:rsidRPr="00B53F89">
        <w:t xml:space="preserve">Part </w:t>
      </w:r>
      <w:r w:rsidR="0058077F" w:rsidRPr="00B53F89">
        <w:t>1</w:t>
      </w:r>
      <w:r w:rsidR="000F38B6" w:rsidRPr="00B53F89">
        <w:t xml:space="preserve"> </w:t>
      </w:r>
      <w:r w:rsidRPr="00B53F89">
        <w:t>take</w:t>
      </w:r>
      <w:r w:rsidR="0058077F" w:rsidRPr="00B53F89">
        <w:t>s</w:t>
      </w:r>
      <w:r w:rsidRPr="00B53F89">
        <w:t xml:space="preserve"> a broad view of trends in </w:t>
      </w:r>
      <w:r w:rsidR="00D9015A">
        <w:t xml:space="preserve">markets, </w:t>
      </w:r>
      <w:r w:rsidRPr="00B53F89">
        <w:t>technology and spectrum uses that inform the</w:t>
      </w:r>
      <w:r w:rsidR="00B269A2" w:rsidRPr="00B53F89">
        <w:t xml:space="preserve"> ACMA’s</w:t>
      </w:r>
      <w:r w:rsidRPr="00B53F89">
        <w:t xml:space="preserve"> medium</w:t>
      </w:r>
      <w:r w:rsidR="0058077F" w:rsidRPr="00B53F89">
        <w:t>-</w:t>
      </w:r>
      <w:r w:rsidRPr="00B53F89">
        <w:t xml:space="preserve">term planning, </w:t>
      </w:r>
      <w:r w:rsidR="00B269A2" w:rsidRPr="00B53F89">
        <w:t xml:space="preserve">allocation and </w:t>
      </w:r>
      <w:r w:rsidRPr="00B53F89">
        <w:t>reallocation activities.</w:t>
      </w:r>
      <w:r w:rsidR="00447762" w:rsidRPr="00B53F89">
        <w:t xml:space="preserve"> </w:t>
      </w:r>
    </w:p>
    <w:p w14:paraId="3FCD45B0" w14:textId="6BB0F17F" w:rsidR="003E6F65" w:rsidRDefault="008B3B0B" w:rsidP="00D7755E">
      <w:r>
        <w:t xml:space="preserve">We </w:t>
      </w:r>
      <w:r w:rsidR="003E6F65" w:rsidRPr="00B53F89">
        <w:t xml:space="preserve">take account of a range of factors in planning </w:t>
      </w:r>
      <w:r>
        <w:t>our</w:t>
      </w:r>
      <w:r w:rsidRPr="00B53F89">
        <w:t xml:space="preserve"> </w:t>
      </w:r>
      <w:r w:rsidR="003E6F65" w:rsidRPr="00B53F89">
        <w:t>spectrum management work. We monitor developments in radiocommunications technology</w:t>
      </w:r>
      <w:r w:rsidR="0078767B" w:rsidRPr="00B53F89">
        <w:t>,</w:t>
      </w:r>
      <w:r w:rsidR="002064DB" w:rsidRPr="00B53F89">
        <w:t xml:space="preserve"> including equipment availability</w:t>
      </w:r>
      <w:r w:rsidR="003E6F65" w:rsidRPr="00B53F89">
        <w:t xml:space="preserve">, </w:t>
      </w:r>
      <w:r w:rsidR="00E527A0">
        <w:t>that influence how</w:t>
      </w:r>
      <w:r w:rsidR="003E6F65" w:rsidRPr="00B53F89">
        <w:t xml:space="preserve"> spectrum </w:t>
      </w:r>
      <w:r w:rsidR="00E527A0">
        <w:t>is used.</w:t>
      </w:r>
      <w:r w:rsidR="00E527A0" w:rsidDel="0078620C">
        <w:t xml:space="preserve"> </w:t>
      </w:r>
      <w:r w:rsidR="00E527A0">
        <w:t>We also consider</w:t>
      </w:r>
      <w:r w:rsidR="003E6F65" w:rsidRPr="00B53F89">
        <w:t xml:space="preserve"> the broader policy environment to inform </w:t>
      </w:r>
      <w:r w:rsidR="00E527A0">
        <w:t xml:space="preserve">the prioritisation of </w:t>
      </w:r>
      <w:r w:rsidR="003E6F65" w:rsidRPr="00B53F89">
        <w:t xml:space="preserve">our </w:t>
      </w:r>
      <w:r w:rsidR="00E527A0">
        <w:t>spectrum work program</w:t>
      </w:r>
      <w:r w:rsidR="003E6F65" w:rsidRPr="00B53F89">
        <w:t>.</w:t>
      </w:r>
    </w:p>
    <w:p w14:paraId="320F8F83" w14:textId="06B8D5A6" w:rsidR="00E33D37" w:rsidRDefault="00E33D37" w:rsidP="00374710">
      <w:pPr>
        <w:pStyle w:val="Heading2"/>
      </w:pPr>
      <w:bookmarkStart w:id="131" w:name="_Toc31892774"/>
      <w:bookmarkStart w:id="132" w:name="_Toc36207395"/>
      <w:bookmarkStart w:id="133" w:name="_Toc51846258"/>
      <w:bookmarkStart w:id="134" w:name="_Toc51864289"/>
      <w:r w:rsidRPr="00E33D37">
        <w:rPr>
          <w:rStyle w:val="Heading2Char"/>
          <w:b/>
          <w:bCs/>
          <w:iCs/>
        </w:rPr>
        <w:t>Overview of current industry landscape</w:t>
      </w:r>
      <w:bookmarkEnd w:id="131"/>
      <w:bookmarkEnd w:id="132"/>
      <w:bookmarkEnd w:id="133"/>
      <w:bookmarkEnd w:id="134"/>
    </w:p>
    <w:p w14:paraId="55711439" w14:textId="79D9B306" w:rsidR="007F1A09" w:rsidRDefault="00E527A0" w:rsidP="00D7755E">
      <w:r>
        <w:t xml:space="preserve">With over 158,000 radiocommunications licences on issue, </w:t>
      </w:r>
      <w:r w:rsidR="00D52B7D">
        <w:t>representing a diverse range of spectrum uses</w:t>
      </w:r>
      <w:r w:rsidR="00C55387">
        <w:t xml:space="preserve">, </w:t>
      </w:r>
      <w:r>
        <w:t>d</w:t>
      </w:r>
      <w:r w:rsidR="007F1A09" w:rsidRPr="00B53F89">
        <w:t xml:space="preserve">emand for new spectrum </w:t>
      </w:r>
      <w:r w:rsidR="00D210EA" w:rsidRPr="00B53F89">
        <w:t xml:space="preserve">and </w:t>
      </w:r>
      <w:r w:rsidR="007F1A09" w:rsidRPr="00B53F89">
        <w:t xml:space="preserve">changes to existing arrangements </w:t>
      </w:r>
      <w:r>
        <w:t xml:space="preserve">for licensees </w:t>
      </w:r>
      <w:r w:rsidR="007F1A09" w:rsidRPr="00B53F89">
        <w:t>continue</w:t>
      </w:r>
      <w:r w:rsidR="00E17DAB" w:rsidRPr="00B53F89">
        <w:t>s</w:t>
      </w:r>
      <w:r w:rsidR="007F1A09" w:rsidRPr="00B53F89">
        <w:t xml:space="preserve"> to evolve quickly</w:t>
      </w:r>
      <w:r w:rsidR="005135A3" w:rsidRPr="00B53F89">
        <w:t xml:space="preserve">. </w:t>
      </w:r>
    </w:p>
    <w:p w14:paraId="6E21B31C" w14:textId="7E2D73B1" w:rsidR="00C55387" w:rsidRPr="00B53F89" w:rsidRDefault="004469CE" w:rsidP="00D7755E">
      <w:r w:rsidRPr="0073424B">
        <w:t>Two important influences on future demand for spectrum are technology developments that create new use</w:t>
      </w:r>
      <w:r w:rsidR="00CC5C49">
        <w:t>-</w:t>
      </w:r>
      <w:r w:rsidRPr="0073424B">
        <w:t>cases and have potential to improve spectrum utilisation and efficiency, and international cooperation on the use of scarce spectrum and orbital resources.</w:t>
      </w:r>
      <w:r w:rsidDel="004469CE">
        <w:t xml:space="preserve"> </w:t>
      </w:r>
    </w:p>
    <w:p w14:paraId="1DE1224C" w14:textId="6F3CAB34" w:rsidR="00B11728" w:rsidRDefault="007F1A09" w:rsidP="00D7755E">
      <w:r w:rsidRPr="00B53F89">
        <w:t xml:space="preserve">International trends </w:t>
      </w:r>
      <w:r w:rsidR="001C4306" w:rsidRPr="00B53F89">
        <w:t xml:space="preserve">driving demand for spectrum include the </w:t>
      </w:r>
      <w:r w:rsidR="004C23E1" w:rsidRPr="00B53F89">
        <w:t>appetite for</w:t>
      </w:r>
      <w:r w:rsidRPr="00B53F89" w:rsidDel="00FC6EF0">
        <w:t xml:space="preserve"> </w:t>
      </w:r>
      <w:r w:rsidR="00FC6EF0" w:rsidRPr="00B53F89">
        <w:t xml:space="preserve">wireless </w:t>
      </w:r>
      <w:r w:rsidRPr="00B53F89">
        <w:t>broadband</w:t>
      </w:r>
      <w:r w:rsidR="00FC6EF0" w:rsidRPr="00B53F89">
        <w:t>, particularly in the context of 5G services</w:t>
      </w:r>
      <w:r w:rsidRPr="00B53F89">
        <w:t xml:space="preserve">, </w:t>
      </w:r>
      <w:r w:rsidR="003A1DE5">
        <w:t xml:space="preserve">enterprise-based network developments, </w:t>
      </w:r>
      <w:r w:rsidR="004C23E1" w:rsidRPr="00B53F89">
        <w:t>ongoing commercialisation of I</w:t>
      </w:r>
      <w:r w:rsidR="00142C48" w:rsidRPr="00B53F89">
        <w:t xml:space="preserve">nternet </w:t>
      </w:r>
      <w:r w:rsidR="004C23E1" w:rsidRPr="00B53F89">
        <w:t>o</w:t>
      </w:r>
      <w:r w:rsidR="00142C48" w:rsidRPr="00B53F89">
        <w:t xml:space="preserve">f </w:t>
      </w:r>
      <w:r w:rsidR="004C23E1" w:rsidRPr="00B53F89">
        <w:t>T</w:t>
      </w:r>
      <w:r w:rsidR="00142C48" w:rsidRPr="00B53F89">
        <w:t>hings (</w:t>
      </w:r>
      <w:r w:rsidR="004C23E1" w:rsidRPr="00B53F89">
        <w:t>IoT</w:t>
      </w:r>
      <w:r w:rsidR="00142C48" w:rsidRPr="00B53F89">
        <w:t>)</w:t>
      </w:r>
      <w:r w:rsidR="004C23E1" w:rsidRPr="00B53F89">
        <w:t xml:space="preserve"> applications,</w:t>
      </w:r>
      <w:r w:rsidR="00FF77BB">
        <w:t xml:space="preserve"> </w:t>
      </w:r>
      <w:r w:rsidR="003A1DE5">
        <w:t>ad</w:t>
      </w:r>
      <w:r w:rsidR="004C23E1" w:rsidRPr="00B53F89">
        <w:t xml:space="preserve">vances in broadcasting technology, </w:t>
      </w:r>
      <w:r w:rsidR="003D3CF6">
        <w:t xml:space="preserve">and </w:t>
      </w:r>
      <w:r w:rsidRPr="00B53F89">
        <w:t>rapid innovations in satellite technologies</w:t>
      </w:r>
      <w:r w:rsidR="003D3CF6">
        <w:t xml:space="preserve"> and services</w:t>
      </w:r>
      <w:r w:rsidR="007A7BF4" w:rsidRPr="00B53F89">
        <w:t>.</w:t>
      </w:r>
      <w:r w:rsidR="00F14E81" w:rsidRPr="00B53F89">
        <w:t xml:space="preserve"> </w:t>
      </w:r>
      <w:r w:rsidR="00C55387">
        <w:t xml:space="preserve">We are also seeing </w:t>
      </w:r>
      <w:r w:rsidR="00E04770">
        <w:t xml:space="preserve">a </w:t>
      </w:r>
      <w:r w:rsidR="00C55387">
        <w:t xml:space="preserve">rapid evolution of </w:t>
      </w:r>
      <w:r w:rsidR="00E04770">
        <w:t>drones and remotely</w:t>
      </w:r>
      <w:r w:rsidR="00DA1C7E">
        <w:t>-</w:t>
      </w:r>
      <w:r w:rsidR="00E04770">
        <w:t>piloted aircraft being deployed across private, commercial and government uses.</w:t>
      </w:r>
    </w:p>
    <w:p w14:paraId="74897087" w14:textId="755DE302" w:rsidR="00B07AB4" w:rsidRPr="00B53F89" w:rsidRDefault="00B07AB4" w:rsidP="00D7755E">
      <w:r>
        <w:t>There</w:t>
      </w:r>
      <w:r w:rsidRPr="00B53F89">
        <w:t xml:space="preserve"> is </w:t>
      </w:r>
      <w:r>
        <w:t>also ongoing innovation in radiocommunications technologies that support more efficient spectrum use.</w:t>
      </w:r>
      <w:r w:rsidRPr="00B53F89">
        <w:t xml:space="preserve"> Examples include more efficient radiocommunications </w:t>
      </w:r>
      <w:r>
        <w:t>modulation</w:t>
      </w:r>
      <w:r w:rsidRPr="00B53F89">
        <w:t xml:space="preserve"> and coding techn</w:t>
      </w:r>
      <w:r>
        <w:t>iques</w:t>
      </w:r>
      <w:r w:rsidRPr="00B53F89">
        <w:t>, and improved antenna technology that provides greater options in the use of high frequency bands.</w:t>
      </w:r>
    </w:p>
    <w:p w14:paraId="60ED9174" w14:textId="3BC721E1" w:rsidR="002C5B10" w:rsidRDefault="002C5B10" w:rsidP="00D7755E">
      <w:r w:rsidRPr="00B53F89">
        <w:t>The ACMA</w:t>
      </w:r>
      <w:r w:rsidR="00124D77">
        <w:t>;</w:t>
      </w:r>
      <w:r w:rsidRPr="00B53F89">
        <w:t xml:space="preserve"> </w:t>
      </w:r>
      <w:bookmarkStart w:id="135" w:name="_Hlk38892089"/>
      <w:r>
        <w:t>the Department</w:t>
      </w:r>
      <w:r w:rsidR="0073424B">
        <w:t xml:space="preserve"> of Infrastructure, Transport, Regional Development and </w:t>
      </w:r>
      <w:r w:rsidR="00F15DAC">
        <w:t>Communications</w:t>
      </w:r>
      <w:r w:rsidR="0048118B">
        <w:t xml:space="preserve"> (the Department)</w:t>
      </w:r>
      <w:r w:rsidR="00124D77">
        <w:t>;</w:t>
      </w:r>
      <w:r w:rsidRPr="00B53F89">
        <w:t xml:space="preserve"> </w:t>
      </w:r>
      <w:bookmarkEnd w:id="135"/>
      <w:r w:rsidRPr="00B53F89">
        <w:t xml:space="preserve">Australian industry and government stakeholders participate in international radiocommunications forums to promote and protect Australian interests in spectrum management, including spectrum harmonisation and international frequency coordination. The peak international forum is the International Telecommunication Union’s (ITU) WRC, which reviews and revises the </w:t>
      </w:r>
      <w:r w:rsidR="00D52B7D">
        <w:t>Radio Regulations</w:t>
      </w:r>
      <w:r w:rsidRPr="00B53F89">
        <w:t>, the international treaty</w:t>
      </w:r>
      <w:r w:rsidR="00FB6979">
        <w:t>-</w:t>
      </w:r>
      <w:r w:rsidRPr="00B53F89">
        <w:t xml:space="preserve">level document regarding use of the spectrum and satellite orbits. </w:t>
      </w:r>
    </w:p>
    <w:p w14:paraId="0C42D5BD" w14:textId="548FC07F" w:rsidR="007F1A09" w:rsidRPr="00B53F89" w:rsidRDefault="00B11728" w:rsidP="00D7755E">
      <w:r w:rsidRPr="00B53F89">
        <w:t>T</w:t>
      </w:r>
      <w:r w:rsidR="00F14E81" w:rsidRPr="00B53F89">
        <w:t xml:space="preserve">he </w:t>
      </w:r>
      <w:r w:rsidR="005E26D8">
        <w:t>last</w:t>
      </w:r>
      <w:r w:rsidR="00F14E81" w:rsidRPr="00B53F89">
        <w:t xml:space="preserve"> WRC</w:t>
      </w:r>
      <w:r w:rsidR="00037A1C" w:rsidRPr="00B53F89">
        <w:t xml:space="preserve"> </w:t>
      </w:r>
      <w:r w:rsidR="00F14E81" w:rsidRPr="00B53F89">
        <w:t xml:space="preserve">meeting </w:t>
      </w:r>
      <w:r w:rsidR="00496B24">
        <w:t>was</w:t>
      </w:r>
      <w:r w:rsidR="00F15DAC">
        <w:t xml:space="preserve"> </w:t>
      </w:r>
      <w:r w:rsidR="008279B2" w:rsidRPr="00B53F89">
        <w:t>held</w:t>
      </w:r>
      <w:r w:rsidR="00037A1C" w:rsidRPr="00B53F89">
        <w:t xml:space="preserve"> </w:t>
      </w:r>
      <w:r w:rsidR="00F14E81" w:rsidRPr="00B53F89">
        <w:t>in October</w:t>
      </w:r>
      <w:r w:rsidR="00FB6979">
        <w:t xml:space="preserve"> </w:t>
      </w:r>
      <w:r w:rsidR="0078533F">
        <w:t xml:space="preserve">and </w:t>
      </w:r>
      <w:r w:rsidR="009E14E5" w:rsidRPr="00B53F89">
        <w:t xml:space="preserve">November </w:t>
      </w:r>
      <w:r w:rsidR="009E14E5">
        <w:t>2019</w:t>
      </w:r>
      <w:r w:rsidR="009E14E5" w:rsidRPr="00B53F89">
        <w:t>.</w:t>
      </w:r>
      <w:r w:rsidR="00F14E81" w:rsidRPr="00B53F89">
        <w:t xml:space="preserve"> </w:t>
      </w:r>
      <w:r w:rsidR="003D3CF6">
        <w:t>O</w:t>
      </w:r>
      <w:r w:rsidR="00F14E81" w:rsidRPr="00B53F89">
        <w:t xml:space="preserve">utcomes of WRC-19 </w:t>
      </w:r>
      <w:r w:rsidR="003D3CF6">
        <w:t>will be an input into the ACMA’s domestic spectrum management work, particular</w:t>
      </w:r>
      <w:r w:rsidR="00BF6938">
        <w:t>ly</w:t>
      </w:r>
      <w:r w:rsidR="003D3CF6">
        <w:t xml:space="preserve"> a likely update to the Australian Radiofrequency Spectrum Plan</w:t>
      </w:r>
      <w:r w:rsidR="00F14E81" w:rsidRPr="00B53F89">
        <w:t>.</w:t>
      </w:r>
      <w:r w:rsidR="00B3792E" w:rsidRPr="00B3792E" w:rsidDel="00EA01BB">
        <w:t xml:space="preserve"> </w:t>
      </w:r>
      <w:r w:rsidR="00B3792E" w:rsidRPr="00B53F89" w:rsidDel="00EA01BB">
        <w:t xml:space="preserve">The next WRC will be held </w:t>
      </w:r>
      <w:r w:rsidR="00B3792E">
        <w:t xml:space="preserve">in 2023 </w:t>
      </w:r>
      <w:r w:rsidR="00B3792E" w:rsidRPr="00B53F89" w:rsidDel="00EA01BB">
        <w:t>(WRC-</w:t>
      </w:r>
      <w:r w:rsidR="00B3792E">
        <w:t>23</w:t>
      </w:r>
      <w:r w:rsidR="00B3792E" w:rsidRPr="00B53F89">
        <w:t>)</w:t>
      </w:r>
      <w:r w:rsidR="00B3792E">
        <w:t xml:space="preserve"> and</w:t>
      </w:r>
      <w:r w:rsidR="00B3792E" w:rsidRPr="00B53F89" w:rsidDel="00EA01BB">
        <w:t xml:space="preserve"> will consider new frequency allocation and procedural matters</w:t>
      </w:r>
      <w:r w:rsidR="00B3792E">
        <w:t xml:space="preserve"> across a range of services</w:t>
      </w:r>
      <w:r w:rsidR="00374710">
        <w:t>.</w:t>
      </w:r>
      <w:bookmarkStart w:id="136" w:name="_Toc494115151"/>
      <w:bookmarkEnd w:id="130"/>
    </w:p>
    <w:p w14:paraId="51C4176B" w14:textId="77777777" w:rsidR="00AD38D9" w:rsidRPr="00B53F89" w:rsidDel="009A163F" w:rsidRDefault="00AD38D9" w:rsidP="00AD38D9">
      <w:r w:rsidRPr="006A2F04">
        <w:lastRenderedPageBreak/>
        <w:t>The ACMA’s spectrum planning work program support</w:t>
      </w:r>
      <w:r w:rsidRPr="00B53F89">
        <w:t>s the evolution of technical frameworks that support more efficient technologies within an existing use.</w:t>
      </w:r>
      <w:r>
        <w:t xml:space="preserve"> Over time, adjustments to technical frameworks have freed up additional spectrum for new uses or by new spectrum users. This year’s work program also identifies bands and frequencies where we are updating and optimising technical frameworks to support more efficient technologies and spectrum use.</w:t>
      </w:r>
    </w:p>
    <w:p w14:paraId="2A654F2D" w14:textId="29D8A593" w:rsidR="00D66739" w:rsidRDefault="00D66739" w:rsidP="00D66739">
      <w:r>
        <w:t>As a wholesale input, the value of spectrum for commercial uses comes from its use in downstream output markets to deliver services to end-users such as consumers and businesses. Spectrum is a significant determinant of an operator’s competitive ability as it influences network capacity, quality of service as well as the geographic areas where an operator can offer services and entry into new markets. Accordingly, the state of competition in downstream markets can influence the demand for spectrum.</w:t>
      </w:r>
    </w:p>
    <w:p w14:paraId="5C13EAFA" w14:textId="017DB908" w:rsidR="00D66739" w:rsidRDefault="00D66739" w:rsidP="004F7116">
      <w:pPr>
        <w:pStyle w:val="Paragraph"/>
      </w:pPr>
      <w:r>
        <w:t xml:space="preserve">The management and allocation of scarce spectrum resources, including the timing of major spectrum allocations, can have a significant impact on the nature of competition in downstream markets that rely on spectrum. In order to promote competition and maximise the public benefit from spectrum, safeguard measures may be considered during the planning and allocation process for specific bands to prevent significant concentration and/or disparities in spectrum holdings between competitors in downstream markets. </w:t>
      </w:r>
      <w:r w:rsidRPr="00B53F89">
        <w:t xml:space="preserve">The ACMA </w:t>
      </w:r>
      <w:r w:rsidR="00B96C56">
        <w:t>seeks</w:t>
      </w:r>
      <w:r w:rsidRPr="00B53F89">
        <w:t xml:space="preserve"> input from stakeholders as part of ensuring </w:t>
      </w:r>
      <w:r>
        <w:t xml:space="preserve">the consideration of </w:t>
      </w:r>
      <w:r w:rsidRPr="00B53F89">
        <w:t xml:space="preserve">competition is </w:t>
      </w:r>
      <w:r>
        <w:t>integrated</w:t>
      </w:r>
      <w:r w:rsidRPr="00B53F89">
        <w:t xml:space="preserve"> in the planning and management of spectrum.</w:t>
      </w:r>
    </w:p>
    <w:p w14:paraId="73221C96" w14:textId="618178A3" w:rsidR="006B0365" w:rsidRDefault="006B0365" w:rsidP="006B0365">
      <w:r>
        <w:t xml:space="preserve">The actual utility </w:t>
      </w:r>
      <w:r w:rsidR="003A1DE5">
        <w:t xml:space="preserve">of </w:t>
      </w:r>
      <w:r>
        <w:t>spectrum is also affected by the interference protection environment. That is why we have a strong continuing focus on compliance priorities directed towards 5G EME compliance and interference management, with a particular focus this year on mobile phone repeaters and interference in the construction and resources industry</w:t>
      </w:r>
      <w:r w:rsidR="00F15DAC">
        <w:t>.</w:t>
      </w:r>
    </w:p>
    <w:p w14:paraId="7EAFA62B" w14:textId="76B9B064" w:rsidR="00500299" w:rsidRPr="00B53F89" w:rsidRDefault="00CF322E" w:rsidP="00D7755E">
      <w:pPr>
        <w:rPr>
          <w:rFonts w:cs="Arial"/>
          <w:bCs/>
          <w:szCs w:val="26"/>
        </w:rPr>
      </w:pPr>
      <w:r w:rsidRPr="00B53F89">
        <w:rPr>
          <w:rFonts w:cs="Arial"/>
          <w:bCs/>
          <w:szCs w:val="26"/>
        </w:rPr>
        <w:t>The ACMA’s response to these demand pressures</w:t>
      </w:r>
      <w:r w:rsidR="003F2C91" w:rsidRPr="00B53F89">
        <w:rPr>
          <w:rFonts w:cs="Arial"/>
          <w:bCs/>
          <w:szCs w:val="26"/>
        </w:rPr>
        <w:t xml:space="preserve"> for </w:t>
      </w:r>
      <w:r w:rsidR="006B0365">
        <w:rPr>
          <w:rFonts w:cs="Arial"/>
          <w:bCs/>
          <w:szCs w:val="26"/>
        </w:rPr>
        <w:t>2020</w:t>
      </w:r>
      <w:r w:rsidR="00DA1C7E">
        <w:rPr>
          <w:rFonts w:cs="Arial"/>
          <w:bCs/>
          <w:szCs w:val="26"/>
        </w:rPr>
        <w:t>–</w:t>
      </w:r>
      <w:r w:rsidR="004F528B">
        <w:rPr>
          <w:rFonts w:cs="Arial"/>
          <w:bCs/>
          <w:szCs w:val="26"/>
        </w:rPr>
        <w:t>21</w:t>
      </w:r>
      <w:r w:rsidRPr="00B53F89">
        <w:rPr>
          <w:rFonts w:cs="Arial"/>
          <w:bCs/>
          <w:szCs w:val="26"/>
        </w:rPr>
        <w:t xml:space="preserve"> is outlined in </w:t>
      </w:r>
      <w:r w:rsidR="001C4306" w:rsidRPr="00B53F89">
        <w:rPr>
          <w:rFonts w:cs="Arial"/>
          <w:bCs/>
          <w:szCs w:val="26"/>
        </w:rPr>
        <w:t xml:space="preserve">more detail </w:t>
      </w:r>
      <w:r w:rsidRPr="00B53F89">
        <w:rPr>
          <w:rFonts w:cs="Arial"/>
          <w:bCs/>
          <w:szCs w:val="26"/>
        </w:rPr>
        <w:t>in the planning and allocation work stream activities</w:t>
      </w:r>
      <w:r w:rsidR="000D4B8E" w:rsidRPr="00B53F89">
        <w:rPr>
          <w:rFonts w:cs="Arial"/>
          <w:bCs/>
          <w:szCs w:val="26"/>
        </w:rPr>
        <w:t xml:space="preserve"> in</w:t>
      </w:r>
      <w:r w:rsidR="00500299" w:rsidRPr="00B53F89">
        <w:rPr>
          <w:rFonts w:cs="Arial"/>
          <w:bCs/>
          <w:szCs w:val="26"/>
        </w:rPr>
        <w:t xml:space="preserve"> </w:t>
      </w:r>
      <w:r w:rsidR="00037A1C" w:rsidRPr="00B53F89">
        <w:t>Part 2</w:t>
      </w:r>
      <w:r w:rsidR="00242E62" w:rsidRPr="00B53F89">
        <w:rPr>
          <w:rFonts w:cs="Arial"/>
          <w:bCs/>
          <w:szCs w:val="26"/>
        </w:rPr>
        <w:t>.</w:t>
      </w:r>
    </w:p>
    <w:p w14:paraId="363DCDE3" w14:textId="3BF63CBE" w:rsidR="00D44CDA" w:rsidRDefault="00D96800" w:rsidP="00D7755E">
      <w:pPr>
        <w:rPr>
          <w:rFonts w:cs="Arial"/>
          <w:bCs/>
          <w:szCs w:val="26"/>
        </w:rPr>
      </w:pPr>
      <w:r>
        <w:rPr>
          <w:rFonts w:cs="Arial"/>
          <w:bCs/>
          <w:szCs w:val="26"/>
        </w:rPr>
        <w:t xml:space="preserve">In </w:t>
      </w:r>
      <w:r w:rsidR="00B5645B" w:rsidRPr="00B53F89">
        <w:rPr>
          <w:rFonts w:cs="Arial"/>
          <w:bCs/>
          <w:szCs w:val="26"/>
        </w:rPr>
        <w:t>Part 1</w:t>
      </w:r>
      <w:r w:rsidR="00DA1C7E">
        <w:rPr>
          <w:rFonts w:cs="Arial"/>
          <w:bCs/>
          <w:szCs w:val="26"/>
        </w:rPr>
        <w:t>, where</w:t>
      </w:r>
      <w:r w:rsidR="00B269A2" w:rsidRPr="00B53F89" w:rsidDel="00B5645B">
        <w:rPr>
          <w:rFonts w:cs="Arial"/>
          <w:bCs/>
          <w:szCs w:val="26"/>
        </w:rPr>
        <w:t xml:space="preserve"> </w:t>
      </w:r>
      <w:r>
        <w:rPr>
          <w:rFonts w:cs="Arial"/>
          <w:bCs/>
          <w:szCs w:val="26"/>
        </w:rPr>
        <w:t xml:space="preserve">we </w:t>
      </w:r>
      <w:r w:rsidR="009A42F6" w:rsidRPr="00B53F89">
        <w:rPr>
          <w:rFonts w:cs="Arial"/>
          <w:bCs/>
          <w:szCs w:val="26"/>
        </w:rPr>
        <w:t>alert stakeholders to the</w:t>
      </w:r>
      <w:r w:rsidR="006E6B6B" w:rsidRPr="00B53F89">
        <w:rPr>
          <w:rFonts w:cs="Arial"/>
          <w:bCs/>
          <w:szCs w:val="26"/>
        </w:rPr>
        <w:t xml:space="preserve"> medium and</w:t>
      </w:r>
      <w:r w:rsidR="009A42F6" w:rsidRPr="00B53F89">
        <w:rPr>
          <w:rFonts w:cs="Arial"/>
          <w:bCs/>
          <w:szCs w:val="26"/>
        </w:rPr>
        <w:t xml:space="preserve"> </w:t>
      </w:r>
      <w:r w:rsidR="00B5645B" w:rsidRPr="00B53F89">
        <w:rPr>
          <w:rFonts w:cs="Arial"/>
          <w:bCs/>
          <w:szCs w:val="26"/>
        </w:rPr>
        <w:t>longer</w:t>
      </w:r>
      <w:r w:rsidR="00D50FE7" w:rsidRPr="00B53F89">
        <w:rPr>
          <w:rFonts w:cs="Arial"/>
          <w:bCs/>
          <w:szCs w:val="26"/>
        </w:rPr>
        <w:t>-term</w:t>
      </w:r>
      <w:r w:rsidR="00B5645B" w:rsidRPr="00B53F89">
        <w:rPr>
          <w:rFonts w:cs="Arial"/>
          <w:bCs/>
          <w:szCs w:val="26"/>
        </w:rPr>
        <w:t xml:space="preserve"> </w:t>
      </w:r>
      <w:r w:rsidR="009A42F6" w:rsidRPr="00B53F89">
        <w:rPr>
          <w:rFonts w:cs="Arial"/>
          <w:bCs/>
          <w:szCs w:val="26"/>
        </w:rPr>
        <w:t xml:space="preserve">pressures </w:t>
      </w:r>
      <w:r w:rsidR="00B5645B" w:rsidRPr="00B53F89">
        <w:rPr>
          <w:rFonts w:cs="Arial"/>
          <w:bCs/>
          <w:szCs w:val="26"/>
        </w:rPr>
        <w:t xml:space="preserve">shaping and </w:t>
      </w:r>
      <w:r w:rsidR="006F4C38" w:rsidRPr="00B53F89">
        <w:rPr>
          <w:rFonts w:cs="Arial"/>
          <w:bCs/>
          <w:szCs w:val="26"/>
        </w:rPr>
        <w:t xml:space="preserve">informing </w:t>
      </w:r>
      <w:r>
        <w:rPr>
          <w:rFonts w:cs="Arial"/>
          <w:bCs/>
          <w:szCs w:val="26"/>
        </w:rPr>
        <w:t>the overall demand environment for spectrum</w:t>
      </w:r>
      <w:r w:rsidR="00DA1C7E">
        <w:rPr>
          <w:rFonts w:cs="Arial"/>
          <w:bCs/>
          <w:szCs w:val="26"/>
        </w:rPr>
        <w:t>, we</w:t>
      </w:r>
      <w:r w:rsidR="00DA1C7E" w:rsidRPr="00B53F89">
        <w:rPr>
          <w:rFonts w:cs="Arial"/>
          <w:bCs/>
          <w:szCs w:val="26"/>
        </w:rPr>
        <w:t xml:space="preserve"> </w:t>
      </w:r>
      <w:r w:rsidR="00373558">
        <w:rPr>
          <w:rFonts w:cs="Arial"/>
          <w:bCs/>
          <w:szCs w:val="26"/>
        </w:rPr>
        <w:t>recognise that in the short term, the outlook is likely to be affected by significant uncertainty arising from the response to the COVID-19 pandemic.</w:t>
      </w:r>
      <w:r w:rsidR="00D44CDA">
        <w:rPr>
          <w:rFonts w:cs="Arial"/>
          <w:bCs/>
          <w:szCs w:val="26"/>
        </w:rPr>
        <w:t xml:space="preserve"> </w:t>
      </w:r>
    </w:p>
    <w:p w14:paraId="0653B6AE" w14:textId="298891AA" w:rsidR="00D44CDA" w:rsidRDefault="00D44CDA" w:rsidP="00D7755E">
      <w:pPr>
        <w:rPr>
          <w:rFonts w:cs="Arial"/>
          <w:bCs/>
          <w:szCs w:val="26"/>
        </w:rPr>
      </w:pPr>
      <w:r>
        <w:rPr>
          <w:rFonts w:cs="Arial"/>
          <w:bCs/>
          <w:szCs w:val="26"/>
        </w:rPr>
        <w:t xml:space="preserve">Submitters to the </w:t>
      </w:r>
      <w:r w:rsidR="005635EC">
        <w:rPr>
          <w:rFonts w:cs="Arial"/>
          <w:bCs/>
          <w:szCs w:val="26"/>
        </w:rPr>
        <w:t xml:space="preserve">draft </w:t>
      </w:r>
      <w:r>
        <w:rPr>
          <w:rFonts w:cs="Arial"/>
          <w:bCs/>
          <w:szCs w:val="26"/>
        </w:rPr>
        <w:t xml:space="preserve">FYSO reported </w:t>
      </w:r>
      <w:r w:rsidRPr="00D44CDA">
        <w:rPr>
          <w:rFonts w:cs="Arial"/>
          <w:bCs/>
          <w:szCs w:val="26"/>
        </w:rPr>
        <w:t>disruption to their industry, customer base and revenue</w:t>
      </w:r>
      <w:r>
        <w:rPr>
          <w:rFonts w:cs="Arial"/>
          <w:bCs/>
          <w:szCs w:val="26"/>
        </w:rPr>
        <w:t xml:space="preserve">. </w:t>
      </w:r>
      <w:r w:rsidRPr="00D44CDA">
        <w:rPr>
          <w:rFonts w:cs="Arial"/>
          <w:bCs/>
          <w:szCs w:val="26"/>
        </w:rPr>
        <w:t>We will continue to review and consider the impact of COVID-19 for the entire period covered by FYSO 20</w:t>
      </w:r>
      <w:r>
        <w:rPr>
          <w:rFonts w:cs="Arial"/>
          <w:bCs/>
          <w:szCs w:val="26"/>
        </w:rPr>
        <w:t>20</w:t>
      </w:r>
      <w:r w:rsidRPr="00D44CDA">
        <w:rPr>
          <w:rFonts w:cs="Arial"/>
          <w:bCs/>
          <w:szCs w:val="26"/>
        </w:rPr>
        <w:t>–24 and adjust our priorities</w:t>
      </w:r>
      <w:r>
        <w:rPr>
          <w:rFonts w:cs="Arial"/>
          <w:bCs/>
          <w:szCs w:val="26"/>
        </w:rPr>
        <w:t xml:space="preserve"> and policies</w:t>
      </w:r>
      <w:r w:rsidRPr="00D44CDA">
        <w:rPr>
          <w:rFonts w:cs="Arial"/>
          <w:bCs/>
          <w:szCs w:val="26"/>
        </w:rPr>
        <w:t xml:space="preserve"> where necessary</w:t>
      </w:r>
      <w:r w:rsidR="00373558">
        <w:rPr>
          <w:rFonts w:cs="Arial"/>
          <w:bCs/>
          <w:szCs w:val="26"/>
        </w:rPr>
        <w:t>.</w:t>
      </w:r>
    </w:p>
    <w:p w14:paraId="1DA119A2" w14:textId="77777777" w:rsidR="00BF6938" w:rsidRDefault="00BF6938">
      <w:pPr>
        <w:spacing w:after="0" w:line="240" w:lineRule="auto"/>
        <w:rPr>
          <w:rStyle w:val="TitleChar"/>
          <w:rFonts w:ascii="Arial" w:hAnsi="Arial" w:cs="Arial"/>
          <w:b/>
          <w:bCs/>
          <w:iCs/>
          <w:spacing w:val="0"/>
          <w:kern w:val="0"/>
          <w:sz w:val="28"/>
          <w:szCs w:val="28"/>
          <w:lang w:eastAsia="en-AU"/>
        </w:rPr>
      </w:pPr>
      <w:bookmarkStart w:id="137" w:name="_Toc31892776"/>
      <w:bookmarkStart w:id="138" w:name="_Toc36207396"/>
      <w:r>
        <w:rPr>
          <w:rStyle w:val="TitleChar"/>
          <w:rFonts w:ascii="Arial" w:hAnsi="Arial" w:cs="Arial"/>
          <w:spacing w:val="0"/>
          <w:kern w:val="0"/>
          <w:sz w:val="28"/>
          <w:szCs w:val="28"/>
          <w:lang w:eastAsia="en-AU"/>
        </w:rPr>
        <w:br w:type="page"/>
      </w:r>
    </w:p>
    <w:p w14:paraId="568843C4" w14:textId="40ABE5F1" w:rsidR="00642E2A" w:rsidRPr="00B35964" w:rsidRDefault="00E40423" w:rsidP="00B35964">
      <w:pPr>
        <w:pStyle w:val="Heading2"/>
        <w:spacing w:after="120"/>
        <w:rPr>
          <w:rStyle w:val="Heading2Char"/>
          <w:b/>
          <w:bCs/>
          <w:iCs/>
        </w:rPr>
      </w:pPr>
      <w:bookmarkStart w:id="139" w:name="_Toc51846259"/>
      <w:bookmarkStart w:id="140" w:name="_Toc51864290"/>
      <w:r w:rsidRPr="00B35964">
        <w:rPr>
          <w:rStyle w:val="Heading2Char"/>
          <w:b/>
          <w:bCs/>
          <w:iCs/>
        </w:rPr>
        <w:lastRenderedPageBreak/>
        <w:t xml:space="preserve">Spectrum </w:t>
      </w:r>
      <w:r w:rsidR="004E2657" w:rsidRPr="00B35964">
        <w:rPr>
          <w:rStyle w:val="Heading2Char"/>
          <w:b/>
          <w:bCs/>
          <w:iCs/>
        </w:rPr>
        <w:t>uses</w:t>
      </w:r>
      <w:bookmarkEnd w:id="137"/>
      <w:bookmarkEnd w:id="138"/>
      <w:bookmarkEnd w:id="139"/>
      <w:bookmarkEnd w:id="140"/>
    </w:p>
    <w:p w14:paraId="26682908" w14:textId="4210AD14" w:rsidR="00311094" w:rsidRPr="00B53F89" w:rsidRDefault="00311094" w:rsidP="00D96800">
      <w:pPr>
        <w:spacing w:after="0"/>
      </w:pPr>
      <w:bookmarkStart w:id="141" w:name="_Toc510795069"/>
      <w:bookmarkStart w:id="142" w:name="_Toc511716270"/>
      <w:bookmarkStart w:id="143" w:name="_Toc511719081"/>
      <w:bookmarkStart w:id="144" w:name="_Toc522794077"/>
      <w:bookmarkEnd w:id="136"/>
      <w:r w:rsidRPr="006A2F04">
        <w:rPr>
          <w:noProof/>
        </w:rPr>
        <w:drawing>
          <wp:inline distT="0" distB="0" distL="0" distR="0" wp14:anchorId="385A81B3" wp14:editId="032E8A18">
            <wp:extent cx="342900" cy="361950"/>
            <wp:effectExtent l="0" t="0" r="0" b="0"/>
            <wp:docPr id="13" name="Picture 13"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079FFF7" wp14:editId="135D9913">
            <wp:extent cx="342900" cy="361950"/>
            <wp:effectExtent l="0" t="0" r="0" b="0"/>
            <wp:docPr id="10" name="Picture 10"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nternet of Things icon"/>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2E4F0FA" wp14:editId="73FD6E39">
            <wp:extent cx="342900" cy="361950"/>
            <wp:effectExtent l="0" t="0" r="0" b="0"/>
            <wp:docPr id="7" name="Picture 7"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124368C" wp14:editId="454D82E2">
            <wp:extent cx="342900" cy="361950"/>
            <wp:effectExtent l="0" t="0" r="0" b="0"/>
            <wp:docPr id="5" name="Picture 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746F7B0D" wp14:editId="73D0A2BF">
            <wp:extent cx="341630" cy="359410"/>
            <wp:effectExtent l="0" t="0" r="1270" b="2540"/>
            <wp:docPr id="108" name="Picture 108"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5CC997F5" wp14:editId="3CD76E51">
            <wp:extent cx="342900" cy="361950"/>
            <wp:effectExtent l="0" t="0" r="0" b="0"/>
            <wp:docPr id="11" name="Picture 11"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5F8B475" w14:textId="1F3154AD" w:rsidR="001F3495" w:rsidRDefault="00B84965" w:rsidP="00D96800">
      <w:pPr>
        <w:pStyle w:val="Heading3"/>
        <w:keepNext w:val="0"/>
      </w:pPr>
      <w:bookmarkStart w:id="145" w:name="_Toc31892777"/>
      <w:bookmarkStart w:id="146" w:name="_Toc36207397"/>
      <w:bookmarkStart w:id="147" w:name="_Toc51864291"/>
      <w:r w:rsidRPr="00B53F89">
        <w:t>Wireless</w:t>
      </w:r>
      <w:r w:rsidR="004F528B">
        <w:t xml:space="preserve"> </w:t>
      </w:r>
      <w:r w:rsidR="006E13BF">
        <w:t>(fixed and mobile)</w:t>
      </w:r>
      <w:r w:rsidRPr="00B53F89">
        <w:t xml:space="preserve"> broadband, including 5G</w:t>
      </w:r>
      <w:bookmarkEnd w:id="141"/>
      <w:bookmarkEnd w:id="142"/>
      <w:bookmarkEnd w:id="143"/>
      <w:bookmarkEnd w:id="144"/>
      <w:bookmarkEnd w:id="145"/>
      <w:bookmarkEnd w:id="146"/>
      <w:bookmarkEnd w:id="147"/>
    </w:p>
    <w:p w14:paraId="189FDDE0" w14:textId="786D6A9C" w:rsidR="001E15CA" w:rsidRPr="006E13BF" w:rsidRDefault="001E15CA" w:rsidP="001E15CA">
      <w:r w:rsidRPr="006E13BF">
        <w:t xml:space="preserve">The wireless broadband markets are </w:t>
      </w:r>
      <w:r>
        <w:t>well</w:t>
      </w:r>
      <w:r w:rsidRPr="006E13BF">
        <w:t xml:space="preserve"> established</w:t>
      </w:r>
      <w:r w:rsidR="00413038">
        <w:t>,</w:t>
      </w:r>
      <w:r w:rsidRPr="006E13BF">
        <w:t xml:space="preserve"> </w:t>
      </w:r>
      <w:r>
        <w:t xml:space="preserve">with operators deploying networks </w:t>
      </w:r>
      <w:r w:rsidRPr="006E13BF">
        <w:t xml:space="preserve">in both the mobile and fixed wireless markets. </w:t>
      </w:r>
    </w:p>
    <w:p w14:paraId="480F8CF4" w14:textId="27CC08E4" w:rsidR="001E15CA" w:rsidRPr="00B53F89" w:rsidRDefault="001E15CA" w:rsidP="001E15CA">
      <w:r>
        <w:t>D</w:t>
      </w:r>
      <w:r w:rsidRPr="00B53F89">
        <w:t xml:space="preserve">emand for spectrum to support both mobile and fixed </w:t>
      </w:r>
      <w:r w:rsidR="00413038">
        <w:t xml:space="preserve">wireless broadband </w:t>
      </w:r>
      <w:r w:rsidRPr="00B53F89">
        <w:t xml:space="preserve">applications </w:t>
      </w:r>
      <w:r>
        <w:t>has been</w:t>
      </w:r>
      <w:r w:rsidRPr="00B53F89">
        <w:t xml:space="preserve"> a major driver for changes in highest-value spectrum use across</w:t>
      </w:r>
      <w:r>
        <w:t xml:space="preserve"> a range of</w:t>
      </w:r>
      <w:r w:rsidRPr="00B53F89">
        <w:t xml:space="preserve"> bands. </w:t>
      </w:r>
    </w:p>
    <w:p w14:paraId="179F376C" w14:textId="002DBD97" w:rsidR="001E15CA" w:rsidRDefault="001E15CA" w:rsidP="0056521A">
      <w:r w:rsidRPr="006E13BF">
        <w:t>The fixed wireless market generally provides coverage in locations where it is price competitive against alternatives such as mobile broadband or satellite services. The market comprises a combination of national providers (</w:t>
      </w:r>
      <w:r>
        <w:t>for example,</w:t>
      </w:r>
      <w:r w:rsidRPr="006E13BF">
        <w:t xml:space="preserve"> </w:t>
      </w:r>
      <w:r w:rsidRPr="00AD4192">
        <w:t>NBN</w:t>
      </w:r>
      <w:r w:rsidR="00DC33F7" w:rsidRPr="00AD4192">
        <w:t xml:space="preserve"> </w:t>
      </w:r>
      <w:r w:rsidRPr="00AD4192">
        <w:t>Co</w:t>
      </w:r>
      <w:r w:rsidRPr="006E13BF">
        <w:t>, Optus</w:t>
      </w:r>
      <w:r w:rsidR="00D51E46">
        <w:t xml:space="preserve"> and </w:t>
      </w:r>
      <w:r w:rsidRPr="006E13BF">
        <w:t xml:space="preserve">Uniti) </w:t>
      </w:r>
      <w:r w:rsidRPr="000C7D5A">
        <w:t xml:space="preserve">and </w:t>
      </w:r>
      <w:r w:rsidRPr="006E13BF">
        <w:t>regional and specialist providers (</w:t>
      </w:r>
      <w:r>
        <w:t>for example,</w:t>
      </w:r>
      <w:r w:rsidRPr="006E13BF">
        <w:t xml:space="preserve"> Countrytell, Beam Internet, Spirit Telecommunications</w:t>
      </w:r>
      <w:r w:rsidR="00D51E46">
        <w:t xml:space="preserve"> and </w:t>
      </w:r>
      <w:r w:rsidRPr="006E13BF">
        <w:t xml:space="preserve">Dreamtilt). </w:t>
      </w:r>
    </w:p>
    <w:p w14:paraId="521DE859" w14:textId="2F5E65AB" w:rsidR="001E15CA" w:rsidRPr="006E13BF" w:rsidRDefault="001E15CA" w:rsidP="001E15CA">
      <w:r w:rsidRPr="006E13BF">
        <w:t xml:space="preserve">S&amp;P Global market intelligence estimates that </w:t>
      </w:r>
      <w:r>
        <w:t>fixed wireless broadband</w:t>
      </w:r>
      <w:r w:rsidRPr="006E13BF">
        <w:t xml:space="preserve"> comprises 2.</w:t>
      </w:r>
      <w:r w:rsidR="00CE5A89" w:rsidRPr="006E13BF">
        <w:t>7</w:t>
      </w:r>
      <w:r w:rsidR="00CE5A89">
        <w:t> </w:t>
      </w:r>
      <w:r w:rsidRPr="006E13BF">
        <w:t xml:space="preserve">per cent of </w:t>
      </w:r>
      <w:r w:rsidR="0095305D">
        <w:t xml:space="preserve">wireless broadband </w:t>
      </w:r>
      <w:r w:rsidRPr="006E13BF">
        <w:t>revenue (estimated revenues of $142 million in 2019) share</w:t>
      </w:r>
      <w:r w:rsidR="00CE5A89">
        <w:t xml:space="preserve"> </w:t>
      </w:r>
      <w:r w:rsidR="00CE5A89" w:rsidRPr="006E13BF">
        <w:t>for the Australian market</w:t>
      </w:r>
      <w:r w:rsidR="0095305D">
        <w:t>.</w:t>
      </w:r>
      <w:r w:rsidR="00406D55">
        <w:t xml:space="preserve"> S&amp;P</w:t>
      </w:r>
      <w:r w:rsidRPr="006E13BF" w:rsidDel="00406D55">
        <w:t xml:space="preserve"> </w:t>
      </w:r>
      <w:r w:rsidRPr="006E13BF">
        <w:t>projected</w:t>
      </w:r>
      <w:r w:rsidR="00406D55">
        <w:t>, prior to</w:t>
      </w:r>
      <w:r w:rsidR="00411A86">
        <w:t xml:space="preserve"> </w:t>
      </w:r>
      <w:r w:rsidR="00406D55">
        <w:t>COVID-19,</w:t>
      </w:r>
      <w:r w:rsidRPr="006E13BF">
        <w:t xml:space="preserve"> </w:t>
      </w:r>
      <w:r w:rsidR="003A1DE5">
        <w:t xml:space="preserve">revenues </w:t>
      </w:r>
      <w:r w:rsidRPr="006E13BF">
        <w:t>to remain steady at this percentage over the next 10 years (estimated revenues of $198 million in 2029).</w:t>
      </w:r>
      <w:r w:rsidRPr="006E13BF">
        <w:rPr>
          <w:vertAlign w:val="superscript"/>
        </w:rPr>
        <w:footnoteReference w:id="5"/>
      </w:r>
      <w:r w:rsidRPr="006E13BF">
        <w:t xml:space="preserve"> </w:t>
      </w:r>
    </w:p>
    <w:p w14:paraId="470D2D17" w14:textId="5AFCA69D" w:rsidR="00413038" w:rsidRDefault="001E15CA" w:rsidP="001E15CA">
      <w:r>
        <w:t>In contrast, t</w:t>
      </w:r>
      <w:r w:rsidRPr="006E13BF">
        <w:t>he mobile broadband market</w:t>
      </w:r>
      <w:r>
        <w:t xml:space="preserve"> has t</w:t>
      </w:r>
      <w:r w:rsidRPr="006E13BF">
        <w:t xml:space="preserve">hree operators accounting for over </w:t>
      </w:r>
      <w:r w:rsidR="002055BA" w:rsidRPr="006E13BF">
        <w:t>70</w:t>
      </w:r>
      <w:r w:rsidR="002055BA">
        <w:t> </w:t>
      </w:r>
      <w:r w:rsidRPr="006E13BF">
        <w:t>per cent of the telecommunications services market.</w:t>
      </w:r>
      <w:r w:rsidRPr="006E13BF">
        <w:rPr>
          <w:vertAlign w:val="superscript"/>
        </w:rPr>
        <w:footnoteReference w:id="6"/>
      </w:r>
      <w:r w:rsidRPr="006E13BF">
        <w:t xml:space="preserve"> </w:t>
      </w:r>
      <w:r w:rsidR="00413038">
        <w:t xml:space="preserve">In the past year, 5G services </w:t>
      </w:r>
      <w:r w:rsidR="00114B2D">
        <w:t>have been planned or deployed</w:t>
      </w:r>
      <w:r w:rsidR="00413038">
        <w:t xml:space="preserve"> in Australia by </w:t>
      </w:r>
      <w:r w:rsidR="00413038" w:rsidRPr="006E13BF">
        <w:t>Optus</w:t>
      </w:r>
      <w:r w:rsidR="00413038">
        <w:t xml:space="preserve">, Telstra and </w:t>
      </w:r>
      <w:r w:rsidR="000A5E62" w:rsidRPr="000A5E62">
        <w:t>TPG Telecom</w:t>
      </w:r>
      <w:r w:rsidR="00405620">
        <w:t xml:space="preserve"> (formerly VHA)</w:t>
      </w:r>
      <w:r w:rsidR="002509A8">
        <w:t>.</w:t>
      </w:r>
    </w:p>
    <w:p w14:paraId="7DE200D4" w14:textId="6B798968" w:rsidR="001E15CA" w:rsidRPr="00B53F89" w:rsidRDefault="003E723F" w:rsidP="001E15CA">
      <w:r>
        <w:t xml:space="preserve">IBIS World </w:t>
      </w:r>
      <w:r w:rsidR="00CE5A89">
        <w:t xml:space="preserve">estimated </w:t>
      </w:r>
      <w:r>
        <w:t xml:space="preserve">industry revenues attributed to the mobile industry </w:t>
      </w:r>
      <w:r w:rsidR="00CE5A89">
        <w:t xml:space="preserve">of </w:t>
      </w:r>
      <w:r>
        <w:t>$23.</w:t>
      </w:r>
      <w:r w:rsidR="002055BA">
        <w:t>9 </w:t>
      </w:r>
      <w:r>
        <w:t>billion in 2019</w:t>
      </w:r>
      <w:r w:rsidR="00A468C2">
        <w:t>.</w:t>
      </w:r>
      <w:r>
        <w:rPr>
          <w:rStyle w:val="FootnoteReference"/>
        </w:rPr>
        <w:footnoteReference w:id="7"/>
      </w:r>
      <w:r w:rsidR="00580549">
        <w:t xml:space="preserve"> </w:t>
      </w:r>
      <w:r w:rsidR="001E15CA" w:rsidRPr="006E13BF">
        <w:t xml:space="preserve">S&amp;P considers that the key </w:t>
      </w:r>
      <w:r w:rsidR="001E15CA">
        <w:t xml:space="preserve">market </w:t>
      </w:r>
      <w:r w:rsidR="001E15CA" w:rsidRPr="006E13BF">
        <w:t xml:space="preserve">growth area will be in rural Australia and 5G network deployments in key urban areas. It </w:t>
      </w:r>
      <w:r w:rsidR="00421E5B">
        <w:t xml:space="preserve">was </w:t>
      </w:r>
      <w:r w:rsidR="001E15CA" w:rsidRPr="006E13BF">
        <w:t>expect</w:t>
      </w:r>
      <w:r w:rsidR="00413038">
        <w:t>ed</w:t>
      </w:r>
      <w:r w:rsidR="005B1EFB">
        <w:t>, prior to COVID-19,</w:t>
      </w:r>
      <w:r w:rsidR="001E15CA" w:rsidRPr="006E13BF">
        <w:t xml:space="preserve"> </w:t>
      </w:r>
      <w:r w:rsidR="002055BA">
        <w:t xml:space="preserve">that </w:t>
      </w:r>
      <w:r w:rsidR="001E15CA" w:rsidRPr="006E13BF">
        <w:t xml:space="preserve">mobile subscription numbers </w:t>
      </w:r>
      <w:r w:rsidR="00421E5B">
        <w:t xml:space="preserve">would </w:t>
      </w:r>
      <w:r w:rsidR="001E15CA" w:rsidRPr="006E13BF">
        <w:t xml:space="preserve">grow at </w:t>
      </w:r>
      <w:r w:rsidR="001E15CA">
        <w:t xml:space="preserve">a </w:t>
      </w:r>
      <w:r w:rsidR="001E15CA" w:rsidRPr="006E13BF">
        <w:t>compound annual rate of 2.04 per cent from 2019 to 2029.</w:t>
      </w:r>
      <w:r w:rsidR="001E15CA" w:rsidRPr="006E13BF">
        <w:rPr>
          <w:vertAlign w:val="superscript"/>
        </w:rPr>
        <w:footnoteReference w:id="8"/>
      </w:r>
      <w:r w:rsidR="001E15CA">
        <w:t xml:space="preserve"> </w:t>
      </w:r>
    </w:p>
    <w:p w14:paraId="53FB7871" w14:textId="643957C6" w:rsidR="00390FF2" w:rsidRDefault="00390FF2" w:rsidP="00513FDE">
      <w:pPr>
        <w:pStyle w:val="Paragraphbeforelist"/>
      </w:pPr>
      <w:r>
        <w:t>Wireless mobile broadband operators responded to the impacts of COVID-19 through various measures, such as:</w:t>
      </w:r>
    </w:p>
    <w:p w14:paraId="0E66DB10" w14:textId="30994D93" w:rsidR="00390FF2" w:rsidRDefault="00390FF2" w:rsidP="00261247">
      <w:pPr>
        <w:pStyle w:val="ListBullet"/>
        <w:keepNext w:val="0"/>
        <w:keepLines w:val="0"/>
      </w:pPr>
      <w:r>
        <w:t>offering bonus da</w:t>
      </w:r>
      <w:r w:rsidR="00BB362D">
        <w:t>t</w:t>
      </w:r>
      <w:r>
        <w:t xml:space="preserve">a on mobile plans </w:t>
      </w:r>
      <w:r w:rsidR="00CE5A89">
        <w:t xml:space="preserve">during </w:t>
      </w:r>
      <w:r>
        <w:t>April 2020</w:t>
      </w:r>
      <w:r>
        <w:rPr>
          <w:rStyle w:val="FootnoteReference"/>
        </w:rPr>
        <w:footnoteReference w:id="9"/>
      </w:r>
    </w:p>
    <w:p w14:paraId="2D6932E0" w14:textId="2ED58C35" w:rsidR="006E13BF" w:rsidRPr="006E13BF" w:rsidDel="00FC743B" w:rsidRDefault="00390FF2" w:rsidP="00376360">
      <w:pPr>
        <w:pStyle w:val="ListBulletLast"/>
        <w:numPr>
          <w:ilvl w:val="0"/>
          <w:numId w:val="248"/>
        </w:numPr>
        <w:ind w:left="284" w:hanging="284"/>
      </w:pPr>
      <w:r>
        <w:t xml:space="preserve">Telstra </w:t>
      </w:r>
      <w:r w:rsidRPr="00390FF2">
        <w:t>bringing</w:t>
      </w:r>
      <w:r>
        <w:t xml:space="preserve"> </w:t>
      </w:r>
      <w:r w:rsidRPr="00390FF2">
        <w:t>forward</w:t>
      </w:r>
      <w:r>
        <w:t xml:space="preserve"> $500 million of its capital expenditure program by </w:t>
      </w:r>
      <w:r w:rsidR="002055BA">
        <w:t>six </w:t>
      </w:r>
      <w:r>
        <w:t>months.</w:t>
      </w:r>
      <w:r>
        <w:rPr>
          <w:rStyle w:val="FootnoteReference"/>
        </w:rPr>
        <w:footnoteReference w:id="10"/>
      </w:r>
      <w:r w:rsidR="006F11CA">
        <w:t xml:space="preserve"> </w:t>
      </w:r>
    </w:p>
    <w:p w14:paraId="3B2C9047" w14:textId="3AD91598" w:rsidR="00413038" w:rsidRDefault="00413038" w:rsidP="00F26F04">
      <w:r w:rsidRPr="00B53F89">
        <w:t>We anticipate further spectrum will be needed to support the growth in broadband applications and mobile data</w:t>
      </w:r>
      <w:r w:rsidR="00421E5B">
        <w:t xml:space="preserve"> in the short and medium term</w:t>
      </w:r>
      <w:r w:rsidR="002055BA">
        <w:t>.</w:t>
      </w:r>
    </w:p>
    <w:p w14:paraId="17229683" w14:textId="0441BE5F" w:rsidR="00C675FF" w:rsidRDefault="00F5278A" w:rsidP="004277AD">
      <w:pPr>
        <w:pStyle w:val="Heading4"/>
        <w:keepNext/>
        <w:keepLines/>
      </w:pPr>
      <w:r w:rsidRPr="006A2F04">
        <w:rPr>
          <w:noProof/>
        </w:rPr>
        <w:lastRenderedPageBreak/>
        <w:drawing>
          <wp:inline distT="0" distB="0" distL="0" distR="0" wp14:anchorId="4A9649C5" wp14:editId="0298D845">
            <wp:extent cx="244475" cy="140335"/>
            <wp:effectExtent l="0" t="0" r="3175" b="0"/>
            <wp:docPr id="41" name="Picture 41"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C675FF">
        <w:t>Wireless broadband use</w:t>
      </w:r>
      <w:r w:rsidR="00CC5C49">
        <w:t>-</w:t>
      </w:r>
      <w:r w:rsidR="00C675FF">
        <w:t>cases</w:t>
      </w:r>
    </w:p>
    <w:p w14:paraId="6246BAF3" w14:textId="6930FE4D" w:rsidR="00AE4753" w:rsidDel="00F26F04" w:rsidRDefault="00413038" w:rsidP="004277AD">
      <w:pPr>
        <w:keepNext/>
        <w:keepLines/>
      </w:pPr>
      <w:r>
        <w:t xml:space="preserve">In planning for future spectrum demand, we </w:t>
      </w:r>
      <w:r w:rsidR="003E6CF6" w:rsidRPr="00B53F89">
        <w:t xml:space="preserve">recognise </w:t>
      </w:r>
      <w:r w:rsidR="00B337BB" w:rsidRPr="00B53F89">
        <w:t xml:space="preserve">three </w:t>
      </w:r>
      <w:r w:rsidR="003E6CF6" w:rsidRPr="00B53F89">
        <w:t>broad categories of</w:t>
      </w:r>
      <w:r w:rsidR="00EB414F" w:rsidRPr="00B53F89">
        <w:t xml:space="preserve"> wireless broadband</w:t>
      </w:r>
      <w:r w:rsidR="003E6CF6" w:rsidRPr="00B53F89">
        <w:t xml:space="preserve"> use</w:t>
      </w:r>
      <w:r w:rsidR="00CC5C49">
        <w:t>-</w:t>
      </w:r>
      <w:r w:rsidR="009F6A3B">
        <w:t xml:space="preserve">cases </w:t>
      </w:r>
      <w:r w:rsidR="00594766" w:rsidRPr="00B53F89">
        <w:t xml:space="preserve">and </w:t>
      </w:r>
      <w:r w:rsidR="003E6CF6" w:rsidRPr="00B53F89">
        <w:t xml:space="preserve">note that </w:t>
      </w:r>
      <w:r>
        <w:t xml:space="preserve">network </w:t>
      </w:r>
      <w:r w:rsidR="003E6CF6" w:rsidRPr="00B53F89">
        <w:t xml:space="preserve">deployments may </w:t>
      </w:r>
      <w:r w:rsidR="00947B86" w:rsidRPr="00B53F89">
        <w:t>reflect</w:t>
      </w:r>
      <w:r w:rsidR="002C75CA" w:rsidRPr="00B53F89">
        <w:t xml:space="preserve"> </w:t>
      </w:r>
      <w:r w:rsidR="003E6CF6" w:rsidRPr="00B53F89">
        <w:t>combination</w:t>
      </w:r>
      <w:r w:rsidR="002C75CA" w:rsidRPr="00B53F89">
        <w:t>s</w:t>
      </w:r>
      <w:r w:rsidR="003E6CF6" w:rsidRPr="00B53F89">
        <w:t xml:space="preserve"> of these categories. </w:t>
      </w:r>
    </w:p>
    <w:p w14:paraId="4E7EF8E2" w14:textId="22E85E33" w:rsidR="001E15CA" w:rsidRPr="00B53F89" w:rsidRDefault="001E15CA" w:rsidP="001E15CA">
      <w:r w:rsidRPr="00B53F89">
        <w:t xml:space="preserve">The first </w:t>
      </w:r>
      <w:r w:rsidR="00413038">
        <w:t xml:space="preserve">category </w:t>
      </w:r>
      <w:r w:rsidRPr="00B53F89">
        <w:t xml:space="preserve">is wide-area subscriber networks, served by ubiquitous base stations operated by one or more service providers—this category could be considered ‘conventional’ telecommunication carrier </w:t>
      </w:r>
      <w:r w:rsidR="00D7711D">
        <w:t xml:space="preserve">fixed or </w:t>
      </w:r>
      <w:r w:rsidRPr="00B53F89">
        <w:t xml:space="preserve">mobile broadband operations. </w:t>
      </w:r>
    </w:p>
    <w:p w14:paraId="781ED28F" w14:textId="2AF14EE7" w:rsidR="001E15CA" w:rsidRDefault="001E15CA" w:rsidP="001E15CA">
      <w:r w:rsidRPr="00B53F89">
        <w:t xml:space="preserve">The second category reflects more limited market subscriber networks over smaller, localised areas, including, but not limited to, fixed wireless broadband and fleet-oriented services. Services provided by Wireless ISPs (WISPs) are a good example of this type of use. </w:t>
      </w:r>
    </w:p>
    <w:p w14:paraId="00D141AE" w14:textId="262968A0" w:rsidR="00F17549" w:rsidRDefault="001E15CA" w:rsidP="001E15CA">
      <w:r w:rsidRPr="00B53F89">
        <w:t xml:space="preserve">Many of the bands suitable for </w:t>
      </w:r>
      <w:r w:rsidR="00413038">
        <w:t>fixed wireless access (</w:t>
      </w:r>
      <w:r w:rsidRPr="00B53F89">
        <w:t>FWA</w:t>
      </w:r>
      <w:r w:rsidR="00413038">
        <w:t>)</w:t>
      </w:r>
      <w:r w:rsidRPr="00B53F89">
        <w:t xml:space="preserve"> are subject to spectrum licensing in the relevant geographical areas. Spectrum licensing arrangements may not be ideal for small and medium enterprises (SME), </w:t>
      </w:r>
      <w:r w:rsidR="00CE5A89">
        <w:t>with</w:t>
      </w:r>
      <w:r w:rsidR="00CE5A89" w:rsidRPr="00B53F89">
        <w:t xml:space="preserve"> </w:t>
      </w:r>
      <w:r w:rsidR="004E0E84">
        <w:t xml:space="preserve">more local area </w:t>
      </w:r>
      <w:r w:rsidRPr="00B53F89">
        <w:t xml:space="preserve">apparatus-licensed arrangements often preferred. </w:t>
      </w:r>
      <w:r>
        <w:t xml:space="preserve">There are </w:t>
      </w:r>
      <w:r w:rsidRPr="00B53F89">
        <w:t xml:space="preserve">a number of possible bands and access arrangements at various stages of maturity that may provide options for SME FWA interests (recognising that not all bands, if implemented, will be suitable for all FWA deployment models). </w:t>
      </w:r>
    </w:p>
    <w:p w14:paraId="5180BDB2" w14:textId="2F8E4A9D" w:rsidR="001E15CA" w:rsidRPr="00B53F89" w:rsidRDefault="001E15CA" w:rsidP="00513FDE">
      <w:pPr>
        <w:pStyle w:val="Paragraphbeforelist"/>
        <w:keepNext/>
        <w:keepLines/>
      </w:pPr>
      <w:r w:rsidRPr="00B53F89">
        <w:t>Most notably, these bands are:</w:t>
      </w:r>
    </w:p>
    <w:p w14:paraId="52FA3858" w14:textId="43EED789" w:rsidR="00831199" w:rsidRDefault="00831199" w:rsidP="00513FDE">
      <w:pPr>
        <w:pStyle w:val="ListBullet"/>
        <w:tabs>
          <w:tab w:val="clear" w:pos="295"/>
          <w:tab w:val="num" w:pos="296"/>
        </w:tabs>
      </w:pPr>
      <w:r>
        <w:t>3.4 GHz: arrangements will be developed to make 35</w:t>
      </w:r>
      <w:r w:rsidR="00F17549">
        <w:t>–</w:t>
      </w:r>
      <w:r>
        <w:t>67.5 MHz of spectrum</w:t>
      </w:r>
      <w:r w:rsidR="0076275F">
        <w:t xml:space="preserve"> available</w:t>
      </w:r>
      <w:r>
        <w:t xml:space="preserve"> in regional areas and an extra 175 MHz in remote areas</w:t>
      </w:r>
    </w:p>
    <w:p w14:paraId="64506A46" w14:textId="53A8E9AB" w:rsidR="00AB5442" w:rsidRDefault="00E66711" w:rsidP="00513FDE">
      <w:pPr>
        <w:pStyle w:val="ListBullet"/>
        <w:tabs>
          <w:tab w:val="clear" w:pos="295"/>
          <w:tab w:val="num" w:pos="296"/>
        </w:tabs>
      </w:pPr>
      <w:r w:rsidRPr="00B53F89">
        <w:t>3700–4200 MHz</w:t>
      </w:r>
      <w:r w:rsidR="00831199">
        <w:t>: currently under review</w:t>
      </w:r>
    </w:p>
    <w:p w14:paraId="7C09E541" w14:textId="77777777" w:rsidR="00F26F04" w:rsidRPr="00B53F89" w:rsidRDefault="00F26F04" w:rsidP="00513FDE">
      <w:pPr>
        <w:pStyle w:val="ListBullet"/>
        <w:tabs>
          <w:tab w:val="clear" w:pos="295"/>
          <w:tab w:val="num" w:pos="296"/>
        </w:tabs>
      </w:pPr>
      <w:r w:rsidRPr="00B53F89">
        <w:t>5.6 GHz band (5600–5650 MHz)</w:t>
      </w:r>
      <w:r>
        <w:t>:</w:t>
      </w:r>
      <w:r w:rsidRPr="00B53F89">
        <w:t xml:space="preserve"> arrangements </w:t>
      </w:r>
      <w:r w:rsidR="009F6A3B">
        <w:t xml:space="preserve">in place </w:t>
      </w:r>
      <w:r w:rsidRPr="00B53F89">
        <w:t>shared with weather radar</w:t>
      </w:r>
    </w:p>
    <w:p w14:paraId="22ACE90C" w14:textId="28F2FE10" w:rsidR="001E15CA" w:rsidRDefault="00F26F04" w:rsidP="00513FDE">
      <w:pPr>
        <w:pStyle w:val="ListBullet"/>
        <w:numPr>
          <w:ilvl w:val="0"/>
          <w:numId w:val="1"/>
        </w:numPr>
        <w:tabs>
          <w:tab w:val="clear" w:pos="295"/>
          <w:tab w:val="num" w:pos="296"/>
        </w:tabs>
      </w:pPr>
      <w:r w:rsidRPr="00B53F89">
        <w:t>26 GHz (24.25–27.5 GHz)</w:t>
      </w:r>
      <w:r w:rsidR="00DF6F32">
        <w:t xml:space="preserve">: to be made available for apparatus licensing </w:t>
      </w:r>
      <w:r w:rsidR="006E0071">
        <w:t>in the 24.7</w:t>
      </w:r>
      <w:r w:rsidR="00492AAE" w:rsidRPr="00B53F89">
        <w:t>–</w:t>
      </w:r>
      <w:r w:rsidR="006E0071">
        <w:t>25.1 GHz frequency range and in the 25.1</w:t>
      </w:r>
      <w:r w:rsidR="00492AAE" w:rsidRPr="00B53F89">
        <w:t>–</w:t>
      </w:r>
      <w:r w:rsidR="006E0071">
        <w:t>27.5 GHz range</w:t>
      </w:r>
      <w:r w:rsidR="00DF6F32">
        <w:t xml:space="preserve"> outside the geographic areas designated for spectrum licensing</w:t>
      </w:r>
    </w:p>
    <w:p w14:paraId="5E7543B4" w14:textId="0285C92B" w:rsidR="00F26F04" w:rsidDel="00F26F04" w:rsidRDefault="00F26F04" w:rsidP="00513FDE">
      <w:pPr>
        <w:pStyle w:val="ListBullet"/>
      </w:pPr>
      <w:r w:rsidRPr="00B53F89">
        <w:t>28 GHz (27.5–29.5 GHz)</w:t>
      </w:r>
      <w:r>
        <w:t xml:space="preserve">: arrangements </w:t>
      </w:r>
      <w:r w:rsidR="00F12066">
        <w:t>for apparatus licensing to be made available for FWA across the entire band</w:t>
      </w:r>
      <w:r w:rsidR="006B22E6">
        <w:t>.</w:t>
      </w:r>
      <w:r w:rsidR="00F12066">
        <w:t xml:space="preserve"> </w:t>
      </w:r>
    </w:p>
    <w:p w14:paraId="53B34222" w14:textId="77777777" w:rsidR="001E15CA" w:rsidRPr="00B53F89" w:rsidRDefault="001E15CA" w:rsidP="001E15CA">
      <w:pPr>
        <w:pStyle w:val="ListBullet"/>
        <w:keepNext w:val="0"/>
        <w:keepLines w:val="0"/>
        <w:numPr>
          <w:ilvl w:val="0"/>
          <w:numId w:val="0"/>
        </w:numPr>
        <w:spacing w:before="240" w:after="240"/>
      </w:pPr>
      <w:r>
        <w:t xml:space="preserve">There are also </w:t>
      </w:r>
      <w:r w:rsidRPr="00B53F89">
        <w:t xml:space="preserve">a number of </w:t>
      </w:r>
      <w:r>
        <w:t xml:space="preserve">other </w:t>
      </w:r>
      <w:r w:rsidRPr="00B53F89">
        <w:t xml:space="preserve">bands </w:t>
      </w:r>
      <w:r>
        <w:t xml:space="preserve">being monitored or under review </w:t>
      </w:r>
      <w:r w:rsidRPr="00B53F89">
        <w:t xml:space="preserve">that may be candidates for new </w:t>
      </w:r>
      <w:r w:rsidRPr="00835B8C">
        <w:t>spectrum-sharing approaches</w:t>
      </w:r>
      <w:r w:rsidRPr="00B53F89">
        <w:t>.</w:t>
      </w:r>
      <w:r>
        <w:t xml:space="preserve"> </w:t>
      </w:r>
    </w:p>
    <w:p w14:paraId="1EFCE1DA" w14:textId="0E0431DB" w:rsidR="003E6CF6" w:rsidRPr="00B53F89" w:rsidRDefault="001E15CA" w:rsidP="001E15CA">
      <w:pPr>
        <w:pStyle w:val="ListBullet"/>
        <w:keepNext w:val="0"/>
        <w:keepLines w:val="0"/>
        <w:numPr>
          <w:ilvl w:val="0"/>
          <w:numId w:val="0"/>
        </w:numPr>
        <w:spacing w:after="240"/>
      </w:pPr>
      <w:r w:rsidRPr="00B53F89">
        <w:t xml:space="preserve">The </w:t>
      </w:r>
      <w:r>
        <w:t>third</w:t>
      </w:r>
      <w:r w:rsidR="003E6CF6" w:rsidRPr="00B53F89">
        <w:t xml:space="preserve"> </w:t>
      </w:r>
      <w:r w:rsidR="00AB5442" w:rsidRPr="00B53F89">
        <w:t>category of wireless broadband</w:t>
      </w:r>
      <w:r w:rsidR="003E6CF6" w:rsidRPr="00B53F89">
        <w:t xml:space="preserve"> covers business enterprise services operated by private entities within the confines of their own premises or land estate</w:t>
      </w:r>
      <w:r w:rsidR="00607236" w:rsidRPr="00B53F89">
        <w:t>—</w:t>
      </w:r>
      <w:r w:rsidR="003E6CF6" w:rsidRPr="00B53F89">
        <w:t>for example</w:t>
      </w:r>
      <w:r w:rsidR="004F5E5F" w:rsidRPr="00B53F89">
        <w:t>,</w:t>
      </w:r>
      <w:r w:rsidR="003E6CF6" w:rsidRPr="00B53F89">
        <w:t xml:space="preserve"> a hospital, education precinct or an industrial </w:t>
      </w:r>
      <w:r w:rsidR="009F6A3B">
        <w:t>or transport</w:t>
      </w:r>
      <w:r w:rsidR="003E6CF6" w:rsidRPr="00B53F89">
        <w:t xml:space="preserve"> facility.</w:t>
      </w:r>
      <w:r w:rsidR="00B15C40">
        <w:t xml:space="preserve"> These uses are sometime generically referred to as ‘private LTE’ </w:t>
      </w:r>
      <w:r w:rsidR="004E0E84">
        <w:t xml:space="preserve">and usually best align with local area licensing approaches and can utilise the access arrangements and bands identified above in the context of FWA. However, </w:t>
      </w:r>
      <w:r w:rsidR="00C70ECD">
        <w:t>we are</w:t>
      </w:r>
      <w:r w:rsidR="004E0E84">
        <w:t xml:space="preserve"> aware of interest in other bands and </w:t>
      </w:r>
      <w:r w:rsidR="00C70ECD">
        <w:t xml:space="preserve">have </w:t>
      </w:r>
      <w:r w:rsidR="004E0E84">
        <w:t xml:space="preserve">included a work </w:t>
      </w:r>
      <w:r w:rsidR="000252A3">
        <w:t>item</w:t>
      </w:r>
      <w:r w:rsidR="004E0E84">
        <w:t xml:space="preserve"> to look at the 1880</w:t>
      </w:r>
      <w:r w:rsidR="007E73B7" w:rsidRPr="007E73B7">
        <w:t>–</w:t>
      </w:r>
      <w:r w:rsidR="004E0E84">
        <w:t xml:space="preserve">1920 MHz band as a </w:t>
      </w:r>
      <w:r w:rsidR="001943D7">
        <w:t>possible</w:t>
      </w:r>
      <w:r w:rsidR="004E0E84">
        <w:t xml:space="preserve"> option to provide </w:t>
      </w:r>
      <w:r w:rsidR="000252A3">
        <w:t>other</w:t>
      </w:r>
      <w:r w:rsidR="004E0E84">
        <w:t xml:space="preserve"> </w:t>
      </w:r>
      <w:r w:rsidR="001943D7">
        <w:t>opportunities</w:t>
      </w:r>
      <w:r w:rsidR="004E0E84">
        <w:t xml:space="preserve"> for these uses.  </w:t>
      </w:r>
    </w:p>
    <w:p w14:paraId="3E248948" w14:textId="77777777" w:rsidR="00B337BB" w:rsidRPr="00B53F89" w:rsidRDefault="00D26845" w:rsidP="00D7755E">
      <w:pPr>
        <w:rPr>
          <w:rFonts w:cs="Arial"/>
        </w:rPr>
      </w:pPr>
      <w:r w:rsidRPr="00B53F89">
        <w:rPr>
          <w:rFonts w:cs="Arial"/>
        </w:rPr>
        <w:t>Reviewing the arrangements in bands that are already licensed for wireless broadband is important to ensure existing allocations are efficient and can cater for new technology developments</w:t>
      </w:r>
      <w:r w:rsidR="00990D9B" w:rsidRPr="00B53F89">
        <w:rPr>
          <w:rFonts w:cs="Arial"/>
        </w:rPr>
        <w:t>,</w:t>
      </w:r>
      <w:r w:rsidRPr="00B53F89">
        <w:rPr>
          <w:rFonts w:cs="Arial"/>
        </w:rPr>
        <w:t xml:space="preserve"> such as 5G. </w:t>
      </w:r>
      <w:r w:rsidR="00727FEB" w:rsidRPr="00B53F89">
        <w:rPr>
          <w:rFonts w:cs="Arial"/>
        </w:rPr>
        <w:t>The ACMA’s work program includes a number of projects that consider optimising existing planning fr</w:t>
      </w:r>
      <w:r w:rsidR="0083252D" w:rsidRPr="00B53F89">
        <w:rPr>
          <w:rFonts w:cs="Arial"/>
        </w:rPr>
        <w:t>ame</w:t>
      </w:r>
      <w:r w:rsidR="00727FEB" w:rsidRPr="00B53F89">
        <w:rPr>
          <w:rFonts w:cs="Arial"/>
        </w:rPr>
        <w:t>works.</w:t>
      </w:r>
    </w:p>
    <w:p w14:paraId="395F38EC" w14:textId="06939A14" w:rsidR="00C675FF" w:rsidRDefault="00C675FF" w:rsidP="006A4FFE">
      <w:pPr>
        <w:pStyle w:val="Heading4"/>
        <w:keepNext/>
        <w:keepLines/>
      </w:pPr>
      <w:r>
        <w:lastRenderedPageBreak/>
        <w:t>Spectrum bands supporting wireless broadband use</w:t>
      </w:r>
    </w:p>
    <w:p w14:paraId="6C9F7509" w14:textId="1936B0BF" w:rsidR="0047527A" w:rsidRPr="00B53F89" w:rsidRDefault="0084523B" w:rsidP="006A4FFE">
      <w:pPr>
        <w:pStyle w:val="Paragraphbeforelist"/>
        <w:keepNext/>
        <w:keepLines/>
      </w:pPr>
      <w:r w:rsidRPr="00B53F89">
        <w:t xml:space="preserve">From a spectrum </w:t>
      </w:r>
      <w:r w:rsidR="00353B4E" w:rsidRPr="00B53F89">
        <w:t xml:space="preserve">management </w:t>
      </w:r>
      <w:r w:rsidRPr="00B53F89">
        <w:t xml:space="preserve">perspective, 5G </w:t>
      </w:r>
      <w:r w:rsidR="001E15CA">
        <w:t xml:space="preserve">uses </w:t>
      </w:r>
      <w:r w:rsidR="0075534E" w:rsidRPr="00B53F89">
        <w:t xml:space="preserve">spectrum </w:t>
      </w:r>
      <w:r w:rsidR="0047527A" w:rsidRPr="00B53F89">
        <w:t xml:space="preserve">across </w:t>
      </w:r>
      <w:r w:rsidR="00BF7D9F" w:rsidRPr="00B53F89">
        <w:t xml:space="preserve">a wide range of </w:t>
      </w:r>
      <w:r w:rsidR="0075534E" w:rsidRPr="00B53F89">
        <w:t>frequency bands. This will include</w:t>
      </w:r>
      <w:r w:rsidR="0047527A" w:rsidRPr="00B53F89">
        <w:t>:</w:t>
      </w:r>
    </w:p>
    <w:p w14:paraId="3C59C724" w14:textId="77777777" w:rsidR="0047527A" w:rsidRPr="00B53F89" w:rsidRDefault="0075534E" w:rsidP="006A4FFE">
      <w:pPr>
        <w:pStyle w:val="ListBullet"/>
        <w:ind w:left="284" w:hanging="284"/>
      </w:pPr>
      <w:r w:rsidRPr="00B53F89">
        <w:t>‘low</w:t>
      </w:r>
      <w:r w:rsidR="00EE1182" w:rsidRPr="00B53F89">
        <w:t>-</w:t>
      </w:r>
      <w:r w:rsidRPr="00B53F89">
        <w:t>band’ spectrum below 1 GHz</w:t>
      </w:r>
      <w:r w:rsidR="00EE1182" w:rsidRPr="00B53F89">
        <w:t>,</w:t>
      </w:r>
      <w:r w:rsidR="0084523B" w:rsidRPr="00B53F89">
        <w:t xml:space="preserve"> </w:t>
      </w:r>
      <w:r w:rsidRPr="00B53F89">
        <w:t>much of which is already used for mobile broadband networks</w:t>
      </w:r>
    </w:p>
    <w:p w14:paraId="5B398712" w14:textId="77777777" w:rsidR="0047527A" w:rsidRPr="00B53F89" w:rsidRDefault="0075534E" w:rsidP="006A4FFE">
      <w:pPr>
        <w:pStyle w:val="ListBullet"/>
        <w:ind w:left="284" w:hanging="284"/>
      </w:pPr>
      <w:r w:rsidRPr="00B53F89">
        <w:t>‘mid</w:t>
      </w:r>
      <w:r w:rsidR="00EE1182" w:rsidRPr="00B53F89">
        <w:t>-</w:t>
      </w:r>
      <w:r w:rsidRPr="00B53F89">
        <w:t>band’ spectrum between 1 and 6 GHz</w:t>
      </w:r>
      <w:r w:rsidR="00082995" w:rsidRPr="00B53F89">
        <w:t>, some of which is already used for wireless broadband</w:t>
      </w:r>
      <w:r w:rsidRPr="00B53F89">
        <w:t xml:space="preserve"> </w:t>
      </w:r>
    </w:p>
    <w:p w14:paraId="48FF92F5" w14:textId="5D697444" w:rsidR="0047527A" w:rsidRPr="00B53F89" w:rsidRDefault="0075534E" w:rsidP="00772993">
      <w:pPr>
        <w:pStyle w:val="ListBulletLast"/>
        <w:ind w:left="284" w:hanging="284"/>
      </w:pPr>
      <w:r w:rsidRPr="00B53F89">
        <w:t>’high</w:t>
      </w:r>
      <w:r w:rsidR="00E14A5D" w:rsidRPr="00B53F89">
        <w:t>-</w:t>
      </w:r>
      <w:r w:rsidRPr="00B53F89">
        <w:t>band’</w:t>
      </w:r>
      <w:r w:rsidR="00E14A5D" w:rsidRPr="00B53F89">
        <w:t xml:space="preserve"> spectrum</w:t>
      </w:r>
      <w:r w:rsidR="00EE1182" w:rsidRPr="00B53F89">
        <w:t>,</w:t>
      </w:r>
      <w:r w:rsidR="00082995" w:rsidRPr="00B53F89">
        <w:t xml:space="preserve"> above 6 GHz, specifically the</w:t>
      </w:r>
      <w:r w:rsidRPr="00B53F89">
        <w:t xml:space="preserve"> </w:t>
      </w:r>
      <w:r w:rsidR="005E180F" w:rsidRPr="00524EED">
        <w:rPr>
          <w:color w:val="000000"/>
        </w:rPr>
        <w:t>previously little-used millimetre wave (mmWave) bands</w:t>
      </w:r>
      <w:r w:rsidR="009D4A30">
        <w:rPr>
          <w:color w:val="000000"/>
        </w:rPr>
        <w:t>.</w:t>
      </w:r>
      <w:r w:rsidR="005E180F" w:rsidRPr="005C2495">
        <w:rPr>
          <w:color w:val="000000"/>
          <w:vertAlign w:val="superscript"/>
        </w:rPr>
        <w:footnoteReference w:id="11"/>
      </w:r>
    </w:p>
    <w:p w14:paraId="0FB59D8B" w14:textId="77777777" w:rsidR="00AE4753" w:rsidRPr="00B53F89" w:rsidRDefault="00AC7D4B">
      <w:r w:rsidRPr="00B53F89">
        <w:t>In addition to</w:t>
      </w:r>
      <w:r w:rsidR="00241986" w:rsidRPr="00B53F89">
        <w:t xml:space="preserve"> considering</w:t>
      </w:r>
      <w:r w:rsidRPr="00B53F89">
        <w:t xml:space="preserve"> the use of ‘new’ frequency bands</w:t>
      </w:r>
      <w:r w:rsidR="00241986" w:rsidRPr="00B53F89">
        <w:t xml:space="preserve"> (bands previously unused for wireless broadband)</w:t>
      </w:r>
      <w:r w:rsidRPr="00B53F89">
        <w:t xml:space="preserve">, we expect that many of the bands already available for broadband in Australia will be re-farmed over time by </w:t>
      </w:r>
      <w:r w:rsidR="0047527A" w:rsidRPr="00B53F89">
        <w:t xml:space="preserve">incumbent users </w:t>
      </w:r>
      <w:r w:rsidRPr="00B53F89">
        <w:t>for 5G technologies.</w:t>
      </w:r>
      <w:r w:rsidR="001B473D" w:rsidRPr="00B53F89">
        <w:t xml:space="preserve"> </w:t>
      </w:r>
    </w:p>
    <w:p w14:paraId="45699D7C" w14:textId="0AD2B33F" w:rsidR="00AC7D4B" w:rsidRPr="00B53F89" w:rsidRDefault="00B63D09" w:rsidP="00D7755E">
      <w:r>
        <w:t>The existing technical frameworks provide flexibility to allow licensees to re-</w:t>
      </w:r>
      <w:r w:rsidR="001E15CA">
        <w:t xml:space="preserve">use spectrum and adopt new technologies. However, where appropriate, </w:t>
      </w:r>
      <w:r w:rsidR="00C70ECD">
        <w:t>we</w:t>
      </w:r>
      <w:r w:rsidR="001E15CA">
        <w:t xml:space="preserve"> will</w:t>
      </w:r>
      <w:r w:rsidR="001E15CA" w:rsidDel="00F26F04">
        <w:t xml:space="preserve"> </w:t>
      </w:r>
      <w:r w:rsidR="001E15CA" w:rsidRPr="00B53F89">
        <w:t>revis</w:t>
      </w:r>
      <w:r w:rsidR="001E15CA">
        <w:t>e</w:t>
      </w:r>
      <w:r w:rsidR="001E15CA" w:rsidRPr="00B53F89">
        <w:t xml:space="preserve"> existing technical frameworks to ensure they are </w:t>
      </w:r>
      <w:r w:rsidR="001E15CA">
        <w:t>suitable for</w:t>
      </w:r>
      <w:r w:rsidR="001E15CA" w:rsidRPr="00B53F89">
        <w:t xml:space="preserve"> 5G</w:t>
      </w:r>
      <w:r w:rsidR="001E15CA">
        <w:t>—this work commenced in 2019</w:t>
      </w:r>
      <w:r w:rsidR="00F17549">
        <w:t>–</w:t>
      </w:r>
      <w:r w:rsidR="001E15CA">
        <w:t xml:space="preserve">20 </w:t>
      </w:r>
      <w:r w:rsidR="00817DF1">
        <w:t>and will continue into 2020</w:t>
      </w:r>
      <w:r w:rsidR="00F17549">
        <w:t>–</w:t>
      </w:r>
      <w:r w:rsidR="00817DF1">
        <w:t>21</w:t>
      </w:r>
      <w:r w:rsidR="001E15CA">
        <w:t>. Of course, this has to be balanced with the need to manage interference with other licensed services.</w:t>
      </w:r>
      <w:r w:rsidR="001E15CA" w:rsidRPr="00B53F89">
        <w:t xml:space="preserve"> </w:t>
      </w:r>
    </w:p>
    <w:p w14:paraId="3C75491E" w14:textId="58E7BFDE" w:rsidR="005629C8" w:rsidRPr="00B53F89" w:rsidRDefault="00835321" w:rsidP="00D7755E">
      <w:r w:rsidRPr="00B53F89">
        <w:t xml:space="preserve">The ACMA acknowledges the importance of </w:t>
      </w:r>
      <w:r w:rsidR="007269E8" w:rsidRPr="00B53F89">
        <w:t xml:space="preserve">addressing </w:t>
      </w:r>
      <w:r w:rsidRPr="00B53F89">
        <w:t xml:space="preserve">5G spectrum </w:t>
      </w:r>
      <w:r w:rsidR="001F76E6" w:rsidRPr="00B53F89">
        <w:t xml:space="preserve">needs </w:t>
      </w:r>
      <w:r w:rsidRPr="00B53F89">
        <w:t>and is committed to ensuring that Australia is well placed to take advantage of the opportunities offered by 5G</w:t>
      </w:r>
      <w:r w:rsidR="003A1DE5">
        <w:t>, consistent with the government’s 5G strategy</w:t>
      </w:r>
      <w:r w:rsidRPr="00B53F89">
        <w:t>.</w:t>
      </w:r>
      <w:r w:rsidR="003A155C">
        <w:rPr>
          <w:rStyle w:val="FootnoteReference"/>
        </w:rPr>
        <w:footnoteReference w:id="12"/>
      </w:r>
      <w:r w:rsidR="005F2DB5" w:rsidRPr="00B53F89">
        <w:t xml:space="preserve"> </w:t>
      </w:r>
      <w:r w:rsidR="00C70ECD">
        <w:t>We</w:t>
      </w:r>
      <w:r w:rsidR="005F2DB5" w:rsidRPr="00B53F89">
        <w:t xml:space="preserve"> continue to implement arrangements to support the rollout of 5G services in Australia, across a number of bands.</w:t>
      </w:r>
      <w:r w:rsidR="001F76E6" w:rsidRPr="00B53F89">
        <w:t xml:space="preserve"> </w:t>
      </w:r>
    </w:p>
    <w:p w14:paraId="7A82EA52" w14:textId="0901219D" w:rsidR="00440CC7" w:rsidRPr="00B53F89" w:rsidRDefault="00512E30" w:rsidP="00D7755E">
      <w:r w:rsidRPr="00B53F89">
        <w:t>Each of the</w:t>
      </w:r>
      <w:r w:rsidRPr="00B53F89" w:rsidDel="0065076F">
        <w:t xml:space="preserve"> </w:t>
      </w:r>
      <w:r w:rsidR="0065076F">
        <w:t xml:space="preserve">spectrum </w:t>
      </w:r>
      <w:r w:rsidRPr="00B53F89">
        <w:t>bands identified for wireless broadband</w:t>
      </w:r>
      <w:r w:rsidR="0011749C" w:rsidRPr="00B53F89">
        <w:t xml:space="preserve"> (sub</w:t>
      </w:r>
      <w:r w:rsidR="00C70ECD">
        <w:t>-</w:t>
      </w:r>
      <w:r w:rsidR="0011749C" w:rsidRPr="00B53F89">
        <w:t>1 GHz, 1–6 GHz, above 6 GHz)</w:t>
      </w:r>
      <w:r w:rsidR="004602C5" w:rsidRPr="00B53F89">
        <w:t xml:space="preserve"> </w:t>
      </w:r>
      <w:r w:rsidRPr="00B53F89">
        <w:t xml:space="preserve">requires a specific approach. This </w:t>
      </w:r>
      <w:r w:rsidR="00387B74" w:rsidRPr="00B53F89">
        <w:t>i</w:t>
      </w:r>
      <w:r w:rsidR="0002172A" w:rsidRPr="00B53F89">
        <w:t xml:space="preserve">s </w:t>
      </w:r>
      <w:r w:rsidRPr="00B53F89">
        <w:t xml:space="preserve">because different </w:t>
      </w:r>
      <w:r w:rsidR="00D82D08" w:rsidRPr="00B53F89">
        <w:t>considerations apply</w:t>
      </w:r>
      <w:r w:rsidR="002C6A94" w:rsidRPr="00B53F89">
        <w:t>,</w:t>
      </w:r>
      <w:r w:rsidR="00D82D08" w:rsidRPr="00B53F89">
        <w:t xml:space="preserve"> such as</w:t>
      </w:r>
      <w:r w:rsidR="004602C5" w:rsidRPr="00B53F89">
        <w:t xml:space="preserve"> intrinsic features of the band</w:t>
      </w:r>
      <w:r w:rsidR="00C70ECD">
        <w:t xml:space="preserve"> (</w:t>
      </w:r>
      <w:r w:rsidR="00A2079D" w:rsidRPr="00B53F89">
        <w:t>for example,</w:t>
      </w:r>
      <w:r w:rsidR="004602C5" w:rsidRPr="00B53F89">
        <w:t xml:space="preserve"> propagation characteristics</w:t>
      </w:r>
      <w:r w:rsidR="00C70ECD">
        <w:t>)</w:t>
      </w:r>
      <w:r w:rsidR="004602C5" w:rsidRPr="00B53F89">
        <w:t>,</w:t>
      </w:r>
      <w:r w:rsidR="00D82D08" w:rsidRPr="00B53F89">
        <w:t xml:space="preserve"> </w:t>
      </w:r>
      <w:r w:rsidR="001C3B42" w:rsidRPr="00B53F89">
        <w:t xml:space="preserve">as well as </w:t>
      </w:r>
      <w:r w:rsidRPr="00B53F89">
        <w:t xml:space="preserve">international </w:t>
      </w:r>
      <w:r w:rsidR="009D4A30">
        <w:t>regulations</w:t>
      </w:r>
      <w:r w:rsidR="009D4A30" w:rsidRPr="00B53F89">
        <w:t xml:space="preserve"> </w:t>
      </w:r>
      <w:r w:rsidRPr="00B53F89">
        <w:t xml:space="preserve">and </w:t>
      </w:r>
      <w:r w:rsidR="009D4A30">
        <w:t>standards</w:t>
      </w:r>
      <w:r w:rsidRPr="00B53F89">
        <w:t>, domestic policy, legacy planning and allocation arrangements</w:t>
      </w:r>
      <w:r w:rsidR="002C6A94" w:rsidRPr="00B53F89">
        <w:t>,</w:t>
      </w:r>
      <w:r w:rsidRPr="00B53F89">
        <w:t xml:space="preserve"> and other </w:t>
      </w:r>
      <w:r w:rsidR="00D82D08" w:rsidRPr="00B53F89">
        <w:t xml:space="preserve">incumbency </w:t>
      </w:r>
      <w:r w:rsidRPr="00B53F89">
        <w:t>factors</w:t>
      </w:r>
      <w:r w:rsidR="00D82D08" w:rsidRPr="00B53F89">
        <w:t>.</w:t>
      </w:r>
    </w:p>
    <w:p w14:paraId="0B64579C" w14:textId="77777777" w:rsidR="001C7338" w:rsidRPr="00B53F89" w:rsidRDefault="00E14A5D" w:rsidP="00EB7555">
      <w:pPr>
        <w:pStyle w:val="Heading5"/>
        <w:keepNext w:val="0"/>
      </w:pPr>
      <w:r w:rsidRPr="00B53F89">
        <w:t>Low-band spectrum</w:t>
      </w:r>
    </w:p>
    <w:p w14:paraId="2381AD0D" w14:textId="77777777" w:rsidR="00D82D08" w:rsidRPr="00B53F89" w:rsidRDefault="00512E30" w:rsidP="00513FDE">
      <w:pPr>
        <w:pStyle w:val="Paragraphbeforelist"/>
      </w:pPr>
      <w:r w:rsidRPr="00B53F89">
        <w:t>In the bands below 1 GHz, the A</w:t>
      </w:r>
      <w:r w:rsidR="00361357" w:rsidRPr="00B53F89">
        <w:t>CMA</w:t>
      </w:r>
      <w:r w:rsidRPr="00B53F89">
        <w:t xml:space="preserve"> has two primary short</w:t>
      </w:r>
      <w:r w:rsidR="002C6A94" w:rsidRPr="00B53F89">
        <w:t>-</w:t>
      </w:r>
      <w:r w:rsidRPr="00B53F89">
        <w:t>to</w:t>
      </w:r>
      <w:r w:rsidR="00176275" w:rsidRPr="00B53F89">
        <w:t>-</w:t>
      </w:r>
      <w:r w:rsidRPr="00B53F89">
        <w:t>medium</w:t>
      </w:r>
      <w:r w:rsidR="002C6A94" w:rsidRPr="00B53F89">
        <w:t>-</w:t>
      </w:r>
      <w:r w:rsidRPr="00B53F89">
        <w:t>term objectives</w:t>
      </w:r>
      <w:r w:rsidR="00D82D08" w:rsidRPr="00B53F89">
        <w:t>:</w:t>
      </w:r>
    </w:p>
    <w:p w14:paraId="40D89A19" w14:textId="2D8DF4E8" w:rsidR="00D82D08" w:rsidRPr="00B53F89" w:rsidRDefault="00B6218E" w:rsidP="001E15CA">
      <w:pPr>
        <w:pStyle w:val="ListBullet"/>
        <w:keepNext w:val="0"/>
        <w:keepLines w:val="0"/>
        <w:ind w:left="284" w:hanging="284"/>
      </w:pPr>
      <w:r w:rsidRPr="00B53F89">
        <w:t xml:space="preserve">working with industry </w:t>
      </w:r>
      <w:r w:rsidR="00353F8B" w:rsidRPr="00B53F89">
        <w:t xml:space="preserve">to </w:t>
      </w:r>
      <w:r w:rsidR="00A25816" w:rsidRPr="00B53F89">
        <w:t>optimi</w:t>
      </w:r>
      <w:r w:rsidR="0025695C" w:rsidRPr="00B53F89">
        <w:t>s</w:t>
      </w:r>
      <w:r w:rsidR="00A25816" w:rsidRPr="00B53F89">
        <w:t>e</w:t>
      </w:r>
      <w:r w:rsidR="002C6A94" w:rsidRPr="00B53F89">
        <w:t xml:space="preserve"> </w:t>
      </w:r>
      <w:r w:rsidR="00512E30" w:rsidRPr="00B53F89">
        <w:t xml:space="preserve">the </w:t>
      </w:r>
      <w:r w:rsidR="00A25816" w:rsidRPr="00B53F89">
        <w:t xml:space="preserve">efficient configuration of </w:t>
      </w:r>
      <w:r w:rsidR="00512E30" w:rsidRPr="00B53F89">
        <w:t xml:space="preserve">the </w:t>
      </w:r>
      <w:r w:rsidR="004D0E46" w:rsidRPr="00B53F89">
        <w:t xml:space="preserve">existing </w:t>
      </w:r>
      <w:r w:rsidR="00A25816" w:rsidRPr="00B53F89">
        <w:t>850</w:t>
      </w:r>
      <w:r w:rsidR="004C59CC" w:rsidRPr="00B53F89">
        <w:t xml:space="preserve"> MHz (</w:t>
      </w:r>
      <w:r w:rsidR="00076479" w:rsidRPr="00B53F89">
        <w:t>825</w:t>
      </w:r>
      <w:r w:rsidR="003208A0" w:rsidRPr="00B53F89">
        <w:t>–</w:t>
      </w:r>
      <w:r w:rsidR="00076479" w:rsidRPr="00B53F89">
        <w:t>845</w:t>
      </w:r>
      <w:r w:rsidR="004C59CC" w:rsidRPr="00B53F89">
        <w:t xml:space="preserve"> MHz and </w:t>
      </w:r>
      <w:r w:rsidR="00076479" w:rsidRPr="00B53F89">
        <w:t>870</w:t>
      </w:r>
      <w:r w:rsidR="004C59CC" w:rsidRPr="00B53F89">
        <w:t>–8</w:t>
      </w:r>
      <w:r w:rsidR="00076479" w:rsidRPr="00B53F89">
        <w:t>90</w:t>
      </w:r>
      <w:r w:rsidR="004C59CC" w:rsidRPr="00B53F89">
        <w:t xml:space="preserve"> MHz)</w:t>
      </w:r>
      <w:r w:rsidR="00A25816" w:rsidRPr="00B53F89">
        <w:t xml:space="preserve"> and </w:t>
      </w:r>
      <w:r w:rsidR="00512E30" w:rsidRPr="00B53F89">
        <w:t>900 MHz</w:t>
      </w:r>
      <w:r w:rsidR="004C59CC" w:rsidRPr="00B53F89">
        <w:t xml:space="preserve"> (890–915 MHz and 935–960 MHz)</w:t>
      </w:r>
      <w:r w:rsidR="00512E30" w:rsidRPr="00B53F89">
        <w:t xml:space="preserve"> band</w:t>
      </w:r>
      <w:r w:rsidR="00A25816" w:rsidRPr="00B53F89">
        <w:t xml:space="preserve"> allocations</w:t>
      </w:r>
      <w:r w:rsidR="00D82D08" w:rsidRPr="00B53F89">
        <w:t>,</w:t>
      </w:r>
      <w:r w:rsidR="00512E30" w:rsidRPr="00B53F89">
        <w:t xml:space="preserve"> already </w:t>
      </w:r>
      <w:r w:rsidR="008A0B01" w:rsidRPr="00B53F89">
        <w:t xml:space="preserve">licensed </w:t>
      </w:r>
      <w:r w:rsidR="00512E30" w:rsidRPr="00B53F89">
        <w:t>for mobile broadband purposes</w:t>
      </w:r>
      <w:r w:rsidR="00D82D08" w:rsidRPr="00B53F89">
        <w:t>,</w:t>
      </w:r>
      <w:r w:rsidR="00512E30" w:rsidRPr="00B53F89">
        <w:t xml:space="preserve"> </w:t>
      </w:r>
      <w:r w:rsidRPr="00B53F89">
        <w:t xml:space="preserve">including by securing a </w:t>
      </w:r>
      <w:r w:rsidR="00A25816" w:rsidRPr="00B53F89">
        <w:t xml:space="preserve">1 MHz </w:t>
      </w:r>
      <w:r w:rsidRPr="00B53F89">
        <w:t xml:space="preserve">downshift of the </w:t>
      </w:r>
      <w:r w:rsidR="005E26D8">
        <w:t xml:space="preserve">existing </w:t>
      </w:r>
      <w:r w:rsidRPr="00B53F89">
        <w:t xml:space="preserve">850 MHz spectrum </w:t>
      </w:r>
      <w:r w:rsidR="00A25816" w:rsidRPr="00B53F89">
        <w:t>l</w:t>
      </w:r>
      <w:r w:rsidR="00CB2B01" w:rsidRPr="00B53F89">
        <w:t>icences</w:t>
      </w:r>
    </w:p>
    <w:p w14:paraId="509C8AC5" w14:textId="77777777" w:rsidR="00D82D08" w:rsidRPr="00B53F89" w:rsidRDefault="00512E30" w:rsidP="0005757D">
      <w:pPr>
        <w:pStyle w:val="ListBulletLast"/>
        <w:ind w:left="284" w:hanging="284"/>
      </w:pPr>
      <w:r w:rsidRPr="00B53F89">
        <w:t>implement</w:t>
      </w:r>
      <w:r w:rsidR="00A30790" w:rsidRPr="00B53F89">
        <w:t>ing</w:t>
      </w:r>
      <w:r w:rsidRPr="00B53F89">
        <w:t xml:space="preserve"> the </w:t>
      </w:r>
      <w:r w:rsidR="002C6A94" w:rsidRPr="00B53F89">
        <w:t>existing</w:t>
      </w:r>
      <w:r w:rsidRPr="00B53F89">
        <w:t xml:space="preserve"> planning decision to make additional spectrum available for mobile broadband in the 850 MHz expansion band</w:t>
      </w:r>
      <w:r w:rsidR="00BB4FBE" w:rsidRPr="00B53F89">
        <w:t xml:space="preserve"> (809–824 MHz and 854–869 MHz)</w:t>
      </w:r>
      <w:r w:rsidRPr="00B53F89">
        <w:t xml:space="preserve">. </w:t>
      </w:r>
    </w:p>
    <w:p w14:paraId="208491AB" w14:textId="77777777" w:rsidR="001C7338" w:rsidRPr="00B53F89" w:rsidRDefault="001C7338" w:rsidP="006A4FFE">
      <w:pPr>
        <w:pStyle w:val="Heading5"/>
        <w:keepLines/>
      </w:pPr>
      <w:r w:rsidRPr="00B53F89">
        <w:lastRenderedPageBreak/>
        <w:t>Mid-band spectrum</w:t>
      </w:r>
    </w:p>
    <w:p w14:paraId="18D50864" w14:textId="22F8F13F" w:rsidR="00924191" w:rsidRPr="00B53F89" w:rsidRDefault="00512E30" w:rsidP="006A4FFE">
      <w:pPr>
        <w:keepNext/>
        <w:keepLines/>
      </w:pPr>
      <w:r w:rsidRPr="00B53F89">
        <w:t>The mid</w:t>
      </w:r>
      <w:r w:rsidR="002C6A94" w:rsidRPr="00B53F89">
        <w:t>-</w:t>
      </w:r>
      <w:r w:rsidRPr="00B53F89">
        <w:t xml:space="preserve">band between 1 and 6 GHz </w:t>
      </w:r>
      <w:r w:rsidR="00621AD3" w:rsidRPr="00B53F89">
        <w:t xml:space="preserve">is </w:t>
      </w:r>
      <w:r w:rsidRPr="00B53F89">
        <w:t>currently the focus of near</w:t>
      </w:r>
      <w:r w:rsidR="002C6A94" w:rsidRPr="00B53F89">
        <w:t>-</w:t>
      </w:r>
      <w:r w:rsidRPr="00B53F89">
        <w:t>term 5G deployments</w:t>
      </w:r>
      <w:r w:rsidR="000E7EAE">
        <w:t xml:space="preserve">. </w:t>
      </w:r>
      <w:r w:rsidR="001E15CA">
        <w:t>In Australia</w:t>
      </w:r>
      <w:r w:rsidR="00A97546">
        <w:t>,</w:t>
      </w:r>
      <w:r w:rsidR="001E15CA">
        <w:t xml:space="preserve"> the 3400</w:t>
      </w:r>
      <w:r w:rsidR="002A241C">
        <w:t>–</w:t>
      </w:r>
      <w:r w:rsidR="001E15CA">
        <w:t xml:space="preserve">3700 MHz band has been made available for </w:t>
      </w:r>
      <w:r w:rsidR="002A241C">
        <w:t xml:space="preserve">this </w:t>
      </w:r>
      <w:r w:rsidR="001E15CA">
        <w:t xml:space="preserve">use. </w:t>
      </w:r>
    </w:p>
    <w:p w14:paraId="5244FEA2" w14:textId="2F0573D9" w:rsidR="009D12BF" w:rsidRDefault="00C70ECD" w:rsidP="006A4FFE">
      <w:pPr>
        <w:keepNext/>
        <w:keepLines/>
      </w:pPr>
      <w:r>
        <w:t xml:space="preserve">We </w:t>
      </w:r>
      <w:r w:rsidR="00813809" w:rsidRPr="00B53F89">
        <w:t xml:space="preserve">also </w:t>
      </w:r>
      <w:r w:rsidR="00512E30" w:rsidRPr="00B53F89">
        <w:t xml:space="preserve">see a major opportunity for efficiency gains through the defragmentation of the current </w:t>
      </w:r>
      <w:r w:rsidR="00EE3C7B" w:rsidRPr="00B53F89">
        <w:t>3400–3575 MHz</w:t>
      </w:r>
      <w:r w:rsidR="0026479C" w:rsidRPr="00B53F89">
        <w:t xml:space="preserve"> </w:t>
      </w:r>
      <w:r w:rsidR="00DA6A5B" w:rsidRPr="00B53F89">
        <w:t>frequency range</w:t>
      </w:r>
      <w:r w:rsidR="00512E30" w:rsidRPr="00B53F89">
        <w:t>.</w:t>
      </w:r>
      <w:r w:rsidR="000E7EAE">
        <w:t xml:space="preserve"> </w:t>
      </w:r>
      <w:r w:rsidR="001E15CA">
        <w:t>Work is underway to implement this</w:t>
      </w:r>
      <w:r w:rsidR="002A241C">
        <w:t>, which</w:t>
      </w:r>
      <w:r w:rsidR="00512E30" w:rsidRPr="00B53F89" w:rsidDel="000E7EAE">
        <w:t xml:space="preserve"> </w:t>
      </w:r>
      <w:r w:rsidR="00512E30" w:rsidRPr="00B53F89">
        <w:t xml:space="preserve">will require both industry commitment and ACMA assistance to achieve. </w:t>
      </w:r>
      <w:r w:rsidR="00231649" w:rsidRPr="00B53F89">
        <w:t xml:space="preserve">Spectrum </w:t>
      </w:r>
      <w:r w:rsidR="00F850E7" w:rsidRPr="00B53F89">
        <w:t>in the 3</w:t>
      </w:r>
      <w:r w:rsidR="00EE3C7B" w:rsidRPr="00B53F89">
        <w:t>700–4200</w:t>
      </w:r>
      <w:r w:rsidR="00F850E7" w:rsidRPr="00B53F89">
        <w:t xml:space="preserve"> </w:t>
      </w:r>
      <w:r w:rsidR="00EE3C7B" w:rsidRPr="00B53F89">
        <w:t>M</w:t>
      </w:r>
      <w:r w:rsidR="00F850E7" w:rsidRPr="00B53F89">
        <w:t xml:space="preserve">Hz </w:t>
      </w:r>
      <w:r w:rsidR="00E66711" w:rsidRPr="00B53F89">
        <w:t>band</w:t>
      </w:r>
      <w:r w:rsidR="00F850E7" w:rsidRPr="00B53F89">
        <w:t xml:space="preserve"> </w:t>
      </w:r>
      <w:r w:rsidR="00231649" w:rsidRPr="00B53F89">
        <w:t xml:space="preserve">has been the subject of considerable interest </w:t>
      </w:r>
      <w:r w:rsidR="00376D57" w:rsidRPr="00B53F89">
        <w:t>internationally</w:t>
      </w:r>
      <w:r>
        <w:t>,</w:t>
      </w:r>
      <w:r w:rsidR="00376D57" w:rsidRPr="00B53F89">
        <w:t xml:space="preserve"> as well as domestically</w:t>
      </w:r>
      <w:r>
        <w:t>,</w:t>
      </w:r>
      <w:r w:rsidR="00376D57" w:rsidRPr="00B53F89">
        <w:t xml:space="preserve"> from large </w:t>
      </w:r>
      <w:r w:rsidR="0010283C" w:rsidRPr="00B53F89">
        <w:t>mobile network operators (</w:t>
      </w:r>
      <w:r w:rsidR="00376D57" w:rsidRPr="00B53F89">
        <w:t>MNOs</w:t>
      </w:r>
      <w:r w:rsidR="0010283C" w:rsidRPr="00B53F89">
        <w:t>)</w:t>
      </w:r>
      <w:r w:rsidR="00376D57" w:rsidRPr="00B53F89">
        <w:t xml:space="preserve"> and </w:t>
      </w:r>
      <w:r w:rsidR="00AB5442" w:rsidRPr="00B53F89">
        <w:t xml:space="preserve">FWA operators (such as </w:t>
      </w:r>
      <w:r w:rsidR="00376D57" w:rsidRPr="00B53F89">
        <w:t>WISP</w:t>
      </w:r>
      <w:r w:rsidR="00E7016E" w:rsidRPr="00B53F89">
        <w:t>s</w:t>
      </w:r>
      <w:r w:rsidR="00AB5442" w:rsidRPr="00B53F89">
        <w:t>)</w:t>
      </w:r>
      <w:r w:rsidR="00DA7873" w:rsidRPr="00B53F89">
        <w:t>,</w:t>
      </w:r>
      <w:r w:rsidR="00231649" w:rsidRPr="00B53F89">
        <w:t xml:space="preserve"> with </w:t>
      </w:r>
      <w:r w:rsidR="00924191" w:rsidRPr="00B53F89">
        <w:t>several</w:t>
      </w:r>
      <w:r w:rsidR="00231649" w:rsidRPr="00B53F89">
        <w:t xml:space="preserve"> processes </w:t>
      </w:r>
      <w:r w:rsidR="00F850E7" w:rsidRPr="00B53F89">
        <w:t xml:space="preserve">underway </w:t>
      </w:r>
      <w:r>
        <w:t xml:space="preserve">to </w:t>
      </w:r>
      <w:r w:rsidR="00F850E7" w:rsidRPr="00B53F89">
        <w:t xml:space="preserve">consider arrangements in the band. </w:t>
      </w:r>
      <w:r w:rsidR="006E6FB1" w:rsidRPr="00B53F89">
        <w:t xml:space="preserve">The </w:t>
      </w:r>
      <w:r w:rsidR="00F850E7" w:rsidRPr="00B53F89">
        <w:t xml:space="preserve">ACMA </w:t>
      </w:r>
      <w:r w:rsidR="006E6FB1" w:rsidRPr="00B53F89">
        <w:t>is paying close attention to the g</w:t>
      </w:r>
      <w:r w:rsidR="00F850E7" w:rsidRPr="00B53F89">
        <w:t xml:space="preserve">lobal </w:t>
      </w:r>
      <w:r w:rsidR="006E6FB1" w:rsidRPr="00B53F89">
        <w:t xml:space="preserve">environment in this band </w:t>
      </w:r>
      <w:r w:rsidR="00F850E7" w:rsidRPr="00B53F89">
        <w:t xml:space="preserve">and </w:t>
      </w:r>
      <w:r w:rsidR="00CF189A" w:rsidRPr="00B53F89">
        <w:t>has release</w:t>
      </w:r>
      <w:r w:rsidR="00E022B4" w:rsidRPr="00B53F89">
        <w:t>d</w:t>
      </w:r>
      <w:r w:rsidR="0009789D" w:rsidRPr="00B53F89">
        <w:t xml:space="preserve"> </w:t>
      </w:r>
      <w:r w:rsidR="00737022">
        <w:t xml:space="preserve">an options </w:t>
      </w:r>
      <w:r w:rsidR="0009789D" w:rsidRPr="00B53F89">
        <w:t>paper to</w:t>
      </w:r>
      <w:r w:rsidR="00FD13E4" w:rsidRPr="00B53F89">
        <w:t xml:space="preserve"> </w:t>
      </w:r>
      <w:r w:rsidR="001A47A1" w:rsidRPr="00B53F89">
        <w:t xml:space="preserve">review </w:t>
      </w:r>
      <w:r w:rsidR="007C3770">
        <w:t>planning</w:t>
      </w:r>
      <w:r w:rsidR="001A47A1" w:rsidRPr="00B53F89">
        <w:t xml:space="preserve"> arrangements in the </w:t>
      </w:r>
      <w:r w:rsidR="004D1B59" w:rsidRPr="00B53F89">
        <w:t>3</w:t>
      </w:r>
      <w:r w:rsidR="00EE3C7B" w:rsidRPr="00B53F89">
        <w:t>700–4200</w:t>
      </w:r>
      <w:r w:rsidR="001A47A1" w:rsidRPr="00B53F89">
        <w:t xml:space="preserve"> </w:t>
      </w:r>
      <w:r w:rsidR="00EE3C7B" w:rsidRPr="00B53F89">
        <w:t>M</w:t>
      </w:r>
      <w:r w:rsidR="001A47A1" w:rsidRPr="00B53F89">
        <w:t>Hz band</w:t>
      </w:r>
      <w:r w:rsidR="00365525" w:rsidRPr="00B53F89">
        <w:t>,</w:t>
      </w:r>
      <w:r w:rsidR="001A47A1" w:rsidRPr="00B53F89">
        <w:t xml:space="preserve"> which is discussed </w:t>
      </w:r>
      <w:r w:rsidR="00D20753" w:rsidRPr="00B53F89">
        <w:t>in Part 2</w:t>
      </w:r>
      <w:r w:rsidR="00F850E7" w:rsidRPr="00B53F89">
        <w:t>.</w:t>
      </w:r>
    </w:p>
    <w:p w14:paraId="3BE95BAD" w14:textId="41E74AD0" w:rsidR="00863342" w:rsidRPr="00B53F89" w:rsidRDefault="000E7EAE" w:rsidP="005C2495">
      <w:r w:rsidRPr="00B53F89">
        <w:t xml:space="preserve">In addition to the planning and allocation activities currently underway, </w:t>
      </w:r>
      <w:r w:rsidR="00C70ECD">
        <w:t>we</w:t>
      </w:r>
      <w:r w:rsidRPr="00B53F89">
        <w:t xml:space="preserve"> continue to monitor several other bands for possible replanning for 5G wireless </w:t>
      </w:r>
      <w:r w:rsidRPr="0075739E">
        <w:t xml:space="preserve">broadband services. The bands are identified in the </w:t>
      </w:r>
      <w:r w:rsidRPr="00513FDE">
        <w:rPr>
          <w:i/>
          <w:iCs/>
        </w:rPr>
        <w:t>Monitoring</w:t>
      </w:r>
      <w:r w:rsidR="0075739E">
        <w:rPr>
          <w:i/>
          <w:iCs/>
        </w:rPr>
        <w:t xml:space="preserve"> </w:t>
      </w:r>
      <w:r w:rsidRPr="0075739E">
        <w:t xml:space="preserve">section of Part 2 (see </w:t>
      </w:r>
      <w:r w:rsidRPr="00513FDE">
        <w:rPr>
          <w:i/>
          <w:iCs/>
        </w:rPr>
        <w:t>Bands being studied under WRC-</w:t>
      </w:r>
      <w:r w:rsidR="000C51E2" w:rsidRPr="00513FDE">
        <w:rPr>
          <w:i/>
          <w:iCs/>
        </w:rPr>
        <w:t>23</w:t>
      </w:r>
      <w:r w:rsidRPr="00513FDE">
        <w:rPr>
          <w:i/>
          <w:iCs/>
        </w:rPr>
        <w:t xml:space="preserve"> agenda item 1.2</w:t>
      </w:r>
      <w:r w:rsidRPr="0075739E">
        <w:t xml:space="preserve"> and </w:t>
      </w:r>
      <w:r w:rsidR="0075739E" w:rsidRPr="00513FDE">
        <w:rPr>
          <w:i/>
          <w:iCs/>
        </w:rPr>
        <w:t xml:space="preserve">Bands being studied under WRC-23 agenda item </w:t>
      </w:r>
      <w:r w:rsidRPr="00513FDE">
        <w:rPr>
          <w:i/>
          <w:iCs/>
        </w:rPr>
        <w:t>1.4</w:t>
      </w:r>
      <w:r w:rsidRPr="00B53F89">
        <w:t xml:space="preserve">). </w:t>
      </w:r>
    </w:p>
    <w:p w14:paraId="026ED8FD" w14:textId="77777777" w:rsidR="001E15CA" w:rsidRPr="00B53F89" w:rsidRDefault="001E15CA" w:rsidP="00EB7555">
      <w:pPr>
        <w:pStyle w:val="Heading5"/>
        <w:keepNext w:val="0"/>
      </w:pPr>
      <w:r w:rsidRPr="00B53F89">
        <w:t>High-band spectrum</w:t>
      </w:r>
    </w:p>
    <w:p w14:paraId="71870CEB" w14:textId="6E1A8FFD" w:rsidR="001E15CA" w:rsidRPr="00B53F89" w:rsidRDefault="00C70ECD" w:rsidP="001E15CA">
      <w:r>
        <w:t xml:space="preserve">Our </w:t>
      </w:r>
      <w:r w:rsidR="001E15CA" w:rsidRPr="00B53F89">
        <w:t xml:space="preserve">consideration of high-band spectrum for wireless broadband is focused on the mmWave in the bands above 24 GHz. </w:t>
      </w:r>
      <w:r w:rsidR="003F2B7B">
        <w:t xml:space="preserve">We are </w:t>
      </w:r>
      <w:r w:rsidR="001E15CA">
        <w:t xml:space="preserve">developing arrangements for fixed and mobile wireless broadband in the </w:t>
      </w:r>
      <w:r w:rsidR="001E15CA" w:rsidRPr="00B53F89">
        <w:t>26 and 28 GHz bands</w:t>
      </w:r>
      <w:r w:rsidR="003F2B7B">
        <w:t xml:space="preserve">, </w:t>
      </w:r>
      <w:r w:rsidR="00B15C40">
        <w:t>includ</w:t>
      </w:r>
      <w:r w:rsidR="003F2B7B">
        <w:t>ing</w:t>
      </w:r>
      <w:r w:rsidR="00B15C40">
        <w:t xml:space="preserve"> licensing and allocation arrangements conducive for a wide range of uses/users (including private networks). </w:t>
      </w:r>
    </w:p>
    <w:p w14:paraId="65077740" w14:textId="68AB697D" w:rsidR="00697191" w:rsidRDefault="003F2B7B" w:rsidP="00FA7446">
      <w:r>
        <w:t>We</w:t>
      </w:r>
      <w:r w:rsidR="00A2287E">
        <w:t xml:space="preserve"> </w:t>
      </w:r>
      <w:r w:rsidR="003469DC">
        <w:t xml:space="preserve">will also continue to monitor </w:t>
      </w:r>
      <w:r w:rsidR="00697191">
        <w:t xml:space="preserve">the following bands </w:t>
      </w:r>
      <w:r w:rsidR="00A2287E">
        <w:t xml:space="preserve">identified for </w:t>
      </w:r>
      <w:r w:rsidR="005B6FCA" w:rsidRPr="005B6FCA">
        <w:t xml:space="preserve">International Mobile Telecommunications </w:t>
      </w:r>
      <w:r w:rsidR="005B6FCA">
        <w:t>(</w:t>
      </w:r>
      <w:r w:rsidR="00A2287E">
        <w:t>IMT</w:t>
      </w:r>
      <w:r w:rsidR="005B6FCA">
        <w:t>)</w:t>
      </w:r>
      <w:r w:rsidR="00A2287E">
        <w:t xml:space="preserve"> at WRC-19</w:t>
      </w:r>
      <w:r w:rsidR="002A241C">
        <w:t>—</w:t>
      </w:r>
      <w:r w:rsidR="00697191">
        <w:t xml:space="preserve">40 GHz, 46 GHz </w:t>
      </w:r>
      <w:r w:rsidR="008F2FD1">
        <w:t xml:space="preserve">(mainly in Region 1 countries) </w:t>
      </w:r>
      <w:r w:rsidR="00697191">
        <w:t xml:space="preserve">and 47 GHz. </w:t>
      </w:r>
      <w:r w:rsidR="003469DC">
        <w:t>Of these</w:t>
      </w:r>
      <w:r w:rsidR="002A241C">
        <w:t>,</w:t>
      </w:r>
      <w:r w:rsidR="003469DC">
        <w:t xml:space="preserve"> the </w:t>
      </w:r>
      <w:r w:rsidR="002A241C">
        <w:t>40 </w:t>
      </w:r>
      <w:r w:rsidR="003469DC">
        <w:t xml:space="preserve">GHz and 47 GHz bands are the most mature in terms of </w:t>
      </w:r>
      <w:r w:rsidR="003469DC" w:rsidRPr="00B53F89">
        <w:t xml:space="preserve">standardisation </w:t>
      </w:r>
      <w:r w:rsidR="003469DC">
        <w:t>and equipment availability</w:t>
      </w:r>
      <w:r w:rsidR="003469DC" w:rsidRPr="00B53F89">
        <w:t>.</w:t>
      </w:r>
      <w:r w:rsidR="003469DC">
        <w:t xml:space="preserve"> </w:t>
      </w:r>
    </w:p>
    <w:p w14:paraId="77009FCC" w14:textId="7BDB1BB1" w:rsidR="001E15CA" w:rsidRDefault="001E15CA" w:rsidP="006E13BF">
      <w:r>
        <w:t>T</w:t>
      </w:r>
      <w:r w:rsidRPr="00B53F89">
        <w:t xml:space="preserve">he ACMA acknowledges that </w:t>
      </w:r>
      <w:r>
        <w:t>the 40</w:t>
      </w:r>
      <w:r w:rsidRPr="00B53F89">
        <w:t xml:space="preserve"> GHz</w:t>
      </w:r>
      <w:r>
        <w:t xml:space="preserve"> and 47 GHz bands</w:t>
      </w:r>
      <w:r w:rsidRPr="00B53F89">
        <w:t xml:space="preserve"> </w:t>
      </w:r>
      <w:r>
        <w:t>are</w:t>
      </w:r>
      <w:r w:rsidRPr="00B53F89">
        <w:t xml:space="preserve"> of significant interest for both terrestrial 5G and satellite broadband services—the </w:t>
      </w:r>
      <w:r w:rsidRPr="0075739E">
        <w:t>US</w:t>
      </w:r>
      <w:r w:rsidRPr="00B53F89">
        <w:t xml:space="preserve">, for example, has established arrangements supporting both services. </w:t>
      </w:r>
      <w:r w:rsidR="003F2B7B">
        <w:t>We</w:t>
      </w:r>
      <w:r w:rsidRPr="00B53F89">
        <w:t xml:space="preserve"> will consider global trends and local circumstances, including domestic and international take-up of mmWave 5G services, in determining whether replanning for possible 5G in the </w:t>
      </w:r>
      <w:r>
        <w:t>40 and 47</w:t>
      </w:r>
      <w:r w:rsidRPr="00B53F89">
        <w:t xml:space="preserve"> GHz band</w:t>
      </w:r>
      <w:r>
        <w:t>s</w:t>
      </w:r>
      <w:r w:rsidRPr="00B53F89">
        <w:t xml:space="preserve"> is appropriate. </w:t>
      </w:r>
      <w:r w:rsidR="003F2B7B">
        <w:t xml:space="preserve">We </w:t>
      </w:r>
      <w:r w:rsidRPr="00B53F89">
        <w:t xml:space="preserve">note that </w:t>
      </w:r>
      <w:r>
        <w:t>the best spectrum management outcomes are likely to be achieved when both bands are considered simultaneously</w:t>
      </w:r>
      <w:r w:rsidRPr="00B53F89">
        <w:t>.</w:t>
      </w:r>
    </w:p>
    <w:p w14:paraId="71D4D6EF" w14:textId="51F07D2B" w:rsidR="00B514B8" w:rsidRPr="00B53F89" w:rsidRDefault="00465725" w:rsidP="00EB7555">
      <w:pPr>
        <w:spacing w:before="60" w:after="0"/>
      </w:pPr>
      <w:bookmarkStart w:id="148" w:name="_Hlk36800418"/>
      <w:r w:rsidRPr="006A2F04">
        <w:rPr>
          <w:noProof/>
        </w:rPr>
        <w:drawing>
          <wp:inline distT="0" distB="0" distL="0" distR="0" wp14:anchorId="2546BDA2" wp14:editId="25E5B11E">
            <wp:extent cx="341630" cy="359410"/>
            <wp:effectExtent l="0" t="0" r="1270" b="2540"/>
            <wp:docPr id="109" name="Picture 10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311094" w:rsidRPr="006A2F04">
        <w:rPr>
          <w:noProof/>
        </w:rPr>
        <w:drawing>
          <wp:inline distT="0" distB="0" distL="0" distR="0" wp14:anchorId="532B6B0C" wp14:editId="43B69F20">
            <wp:extent cx="342900" cy="361950"/>
            <wp:effectExtent l="0" t="0" r="0" b="0"/>
            <wp:docPr id="8" name="Picture 8"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311094" w:rsidRPr="006A2F04">
        <w:rPr>
          <w:noProof/>
        </w:rPr>
        <w:drawing>
          <wp:inline distT="0" distB="0" distL="0" distR="0" wp14:anchorId="6CEFB1E5" wp14:editId="42889F98">
            <wp:extent cx="342900" cy="361950"/>
            <wp:effectExtent l="0" t="0" r="0" b="0"/>
            <wp:docPr id="9" name="Picture 9"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nternet of Things icon"/>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E17E82" w:rsidRPr="006A2F04">
        <w:rPr>
          <w:noProof/>
        </w:rPr>
        <w:drawing>
          <wp:inline distT="0" distB="0" distL="0" distR="0" wp14:anchorId="298251A0" wp14:editId="078224B8">
            <wp:extent cx="342900" cy="361950"/>
            <wp:effectExtent l="0" t="0" r="0" b="0"/>
            <wp:docPr id="16" name="Picture 1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A535AF7" w14:textId="1B85D6D9" w:rsidR="0047696E" w:rsidRDefault="00776BF2" w:rsidP="00EB7555">
      <w:pPr>
        <w:pStyle w:val="Heading3"/>
        <w:keepNext w:val="0"/>
      </w:pPr>
      <w:bookmarkStart w:id="149" w:name="_Toc31892778"/>
      <w:bookmarkStart w:id="150" w:name="_Toc36207398"/>
      <w:bookmarkStart w:id="151" w:name="_Toc51864292"/>
      <w:r>
        <w:t>Priv</w:t>
      </w:r>
      <w:r w:rsidR="00E90150">
        <w:t>at</w:t>
      </w:r>
      <w:r>
        <w:t>e/</w:t>
      </w:r>
      <w:r w:rsidR="00EB7555">
        <w:t xml:space="preserve">industry </w:t>
      </w:r>
      <w:r>
        <w:t>vertical networks</w:t>
      </w:r>
      <w:bookmarkEnd w:id="149"/>
      <w:bookmarkEnd w:id="150"/>
      <w:bookmarkEnd w:id="151"/>
    </w:p>
    <w:p w14:paraId="757E2F98" w14:textId="73EE169A" w:rsidR="003255DA" w:rsidRDefault="00321721" w:rsidP="00513FDE">
      <w:pPr>
        <w:pStyle w:val="Paragraphbeforelist"/>
      </w:pPr>
      <w:r w:rsidRPr="00776BF2">
        <w:t xml:space="preserve">Private or integrated networks are expected to become more popular with </w:t>
      </w:r>
      <w:r w:rsidR="00D153E0">
        <w:t xml:space="preserve">the increased availability of </w:t>
      </w:r>
      <w:r w:rsidR="003A3B70">
        <w:t>l</w:t>
      </w:r>
      <w:r w:rsidR="00EB7555">
        <w:t>ong</w:t>
      </w:r>
      <w:r w:rsidR="003A3B70">
        <w:t>-t</w:t>
      </w:r>
      <w:r w:rsidR="00EB7555">
        <w:t xml:space="preserve">erm </w:t>
      </w:r>
      <w:r w:rsidR="003A3B70">
        <w:t>e</w:t>
      </w:r>
      <w:r w:rsidR="00EB7555">
        <w:t>volution (</w:t>
      </w:r>
      <w:r w:rsidRPr="00776BF2">
        <w:t>LTE</w:t>
      </w:r>
      <w:r w:rsidR="00EB7555">
        <w:t>)</w:t>
      </w:r>
      <w:r w:rsidRPr="00776BF2">
        <w:t xml:space="preserve"> </w:t>
      </w:r>
      <w:r w:rsidR="003A3B70">
        <w:t>a</w:t>
      </w:r>
      <w:r w:rsidRPr="00776BF2">
        <w:t xml:space="preserve">dvanced </w:t>
      </w:r>
      <w:r w:rsidR="003A3B70">
        <w:t>p</w:t>
      </w:r>
      <w:r w:rsidRPr="00776BF2">
        <w:t xml:space="preserve">ro and 5G technologies. </w:t>
      </w:r>
      <w:r w:rsidR="003255DA">
        <w:t>SNS Telecom &amp; IT</w:t>
      </w:r>
      <w:r w:rsidR="003E723F">
        <w:rPr>
          <w:rStyle w:val="FootnoteReference"/>
        </w:rPr>
        <w:footnoteReference w:id="13"/>
      </w:r>
      <w:r w:rsidR="00D153E0">
        <w:t>:</w:t>
      </w:r>
    </w:p>
    <w:bookmarkEnd w:id="148"/>
    <w:p w14:paraId="04F4D6D4" w14:textId="565A2539" w:rsidR="003255DA" w:rsidRDefault="003255DA" w:rsidP="00EB7555">
      <w:pPr>
        <w:pStyle w:val="ListBullet"/>
        <w:keepNext w:val="0"/>
        <w:keepLines w:val="0"/>
        <w:ind w:left="284" w:hanging="284"/>
      </w:pPr>
      <w:r>
        <w:t xml:space="preserve">observes that the </w:t>
      </w:r>
      <w:r w:rsidRPr="00266D60">
        <w:t xml:space="preserve">private LTE network submarket is well-established with operational deployments across multiple segments of the critical communications </w:t>
      </w:r>
      <w:r w:rsidRPr="00266D60">
        <w:lastRenderedPageBreak/>
        <w:t>and industrial IoT industr</w:t>
      </w:r>
      <w:r w:rsidR="002A241C">
        <w:t>ies</w:t>
      </w:r>
      <w:r w:rsidRPr="00266D60">
        <w:t>, as well as enterprise buildings, campuses and public venues</w:t>
      </w:r>
    </w:p>
    <w:p w14:paraId="3FE23930" w14:textId="2CC505AF" w:rsidR="003255DA" w:rsidRDefault="003255DA" w:rsidP="00EB7555">
      <w:pPr>
        <w:pStyle w:val="ListBullet"/>
        <w:keepNext w:val="0"/>
        <w:keepLines w:val="0"/>
        <w:ind w:left="284" w:hanging="284"/>
      </w:pPr>
      <w:r>
        <w:t>expe</w:t>
      </w:r>
      <w:r w:rsidR="002236BB">
        <w:t>c</w:t>
      </w:r>
      <w:r>
        <w:t>ts private networks</w:t>
      </w:r>
      <w:r w:rsidRPr="00266D60">
        <w:t xml:space="preserve"> to continue their upward trajectory beyond 2020, with a spate of ongoing and planned network rollouts</w:t>
      </w:r>
      <w:r w:rsidR="002A241C">
        <w:t>—</w:t>
      </w:r>
      <w:r w:rsidRPr="00266D60">
        <w:t xml:space="preserve">from nationwide public safety broadband networks to </w:t>
      </w:r>
      <w:r>
        <w:t xml:space="preserve">various </w:t>
      </w:r>
      <w:r w:rsidRPr="00266D60">
        <w:t>usage scenarios</w:t>
      </w:r>
    </w:p>
    <w:p w14:paraId="64B8CCCA" w14:textId="1D77D235" w:rsidR="003255DA" w:rsidRDefault="003255DA" w:rsidP="00EB7555">
      <w:pPr>
        <w:pStyle w:val="ListBullet"/>
        <w:keepNext w:val="0"/>
        <w:keepLines w:val="0"/>
        <w:ind w:left="284" w:hanging="284"/>
      </w:pPr>
      <w:r>
        <w:t>identifies several key challenges including the smaller cell sizes when compared with legacy networks (</w:t>
      </w:r>
      <w:r w:rsidR="002A241C">
        <w:t>for example,</w:t>
      </w:r>
      <w:r>
        <w:t xml:space="preserve"> L</w:t>
      </w:r>
      <w:r w:rsidR="00421E5B">
        <w:t>and Mobile Radio (</w:t>
      </w:r>
      <w:r>
        <w:t>LMR</w:t>
      </w:r>
      <w:r w:rsidR="00421E5B">
        <w:t>)</w:t>
      </w:r>
      <w:r>
        <w:t xml:space="preserve"> systems), funding </w:t>
      </w:r>
      <w:r w:rsidR="00474615">
        <w:t>uncertainties, competing technologies and evolving standards environment</w:t>
      </w:r>
    </w:p>
    <w:p w14:paraId="20953FDF" w14:textId="5B52E714" w:rsidR="003255DA" w:rsidRDefault="003255DA" w:rsidP="003255DA">
      <w:pPr>
        <w:pStyle w:val="ListBulletLast"/>
        <w:ind w:left="284" w:hanging="284"/>
      </w:pPr>
      <w:r>
        <w:t>made a pre-COVID-19 projection that private network revenues for the Asia</w:t>
      </w:r>
      <w:r w:rsidR="002A241C">
        <w:t>–</w:t>
      </w:r>
      <w:r>
        <w:t xml:space="preserve">Pacific </w:t>
      </w:r>
      <w:r w:rsidR="00474615">
        <w:t xml:space="preserve">would reach </w:t>
      </w:r>
      <w:r>
        <w:t>$12.2 billion in revenues by 2030.</w:t>
      </w:r>
      <w:r w:rsidRPr="00776BF2">
        <w:t xml:space="preserve"> </w:t>
      </w:r>
    </w:p>
    <w:p w14:paraId="78568DC4" w14:textId="2212C0E0" w:rsidR="00321721" w:rsidRDefault="00321721" w:rsidP="00321721">
      <w:r w:rsidRPr="00776BF2">
        <w:t xml:space="preserve">Other industries where standalone networks have been used include manufacturing, transportation, airports, utilities, primary </w:t>
      </w:r>
      <w:r w:rsidR="002A241C" w:rsidRPr="00776BF2">
        <w:t>industries,</w:t>
      </w:r>
      <w:r>
        <w:t xml:space="preserve"> and</w:t>
      </w:r>
      <w:r w:rsidRPr="00776BF2">
        <w:t xml:space="preserve"> stadiums. Ericsson identifies the two main drivers for growth in private networks as the need for modernising land mobile radio systems (</w:t>
      </w:r>
      <w:r>
        <w:t>for example,</w:t>
      </w:r>
      <w:r w:rsidRPr="00776BF2">
        <w:t xml:space="preserve"> taxis, trains, ambulances) and industry digit</w:t>
      </w:r>
      <w:r w:rsidR="00421E5B">
        <w:t>ali</w:t>
      </w:r>
      <w:r w:rsidRPr="00776BF2">
        <w:t>sation.</w:t>
      </w:r>
      <w:r w:rsidRPr="00776BF2">
        <w:rPr>
          <w:vertAlign w:val="superscript"/>
        </w:rPr>
        <w:footnoteReference w:id="14"/>
      </w:r>
      <w:r w:rsidRPr="00776BF2">
        <w:t xml:space="preserve"> </w:t>
      </w:r>
    </w:p>
    <w:p w14:paraId="2B897E2F" w14:textId="0A33E568" w:rsidR="00321721" w:rsidRPr="00776BF2" w:rsidRDefault="00321721" w:rsidP="0075739E">
      <w:pPr>
        <w:pStyle w:val="Paragraphbeforelist"/>
      </w:pPr>
      <w:r w:rsidRPr="00776BF2">
        <w:t xml:space="preserve">Presently, </w:t>
      </w:r>
      <w:r w:rsidR="001061B2">
        <w:t>several</w:t>
      </w:r>
      <w:r w:rsidR="001061B2" w:rsidRPr="00776BF2">
        <w:t xml:space="preserve"> </w:t>
      </w:r>
      <w:r w:rsidR="00EB7555">
        <w:t>network deployment models are in use</w:t>
      </w:r>
      <w:r w:rsidR="00EB7555" w:rsidDel="00D26AF2">
        <w:t xml:space="preserve"> </w:t>
      </w:r>
      <w:r w:rsidRPr="00776BF2">
        <w:t xml:space="preserve">by </w:t>
      </w:r>
      <w:r>
        <w:t>industry operators</w:t>
      </w:r>
      <w:r w:rsidRPr="00776BF2">
        <w:t>:</w:t>
      </w:r>
    </w:p>
    <w:p w14:paraId="54BA8CCB" w14:textId="20015954" w:rsidR="00776BF2" w:rsidRPr="00776BF2" w:rsidRDefault="001061B2" w:rsidP="0075739E">
      <w:pPr>
        <w:pStyle w:val="ListNumber"/>
        <w:numPr>
          <w:ilvl w:val="0"/>
          <w:numId w:val="284"/>
        </w:numPr>
      </w:pPr>
      <w:r>
        <w:t>U</w:t>
      </w:r>
      <w:r w:rsidR="00266D60" w:rsidRPr="00776BF2">
        <w:t xml:space="preserve">sing </w:t>
      </w:r>
      <w:r w:rsidR="00776BF2" w:rsidRPr="00776BF2">
        <w:t>their own equipment and class</w:t>
      </w:r>
      <w:r w:rsidR="003F2B7B">
        <w:t>-</w:t>
      </w:r>
      <w:r w:rsidR="00776BF2" w:rsidRPr="00776BF2">
        <w:t>licensed spectrum to operate.</w:t>
      </w:r>
    </w:p>
    <w:p w14:paraId="13B818AC" w14:textId="5A7F9C63" w:rsidR="00321721" w:rsidRPr="00776BF2" w:rsidRDefault="00321721" w:rsidP="0075739E">
      <w:pPr>
        <w:pStyle w:val="ListNumber"/>
        <w:numPr>
          <w:ilvl w:val="0"/>
          <w:numId w:val="284"/>
        </w:numPr>
      </w:pPr>
      <w:r w:rsidRPr="00776BF2">
        <w:t>Using their own equipment and spectrum to run their own network (</w:t>
      </w:r>
      <w:r>
        <w:t>for example,</w:t>
      </w:r>
      <w:r w:rsidRPr="00776BF2">
        <w:t xml:space="preserve"> </w:t>
      </w:r>
      <w:r w:rsidR="001061B2">
        <w:t>public safety</w:t>
      </w:r>
      <w:r w:rsidRPr="00776BF2">
        <w:t xml:space="preserve">). </w:t>
      </w:r>
    </w:p>
    <w:p w14:paraId="1897388E" w14:textId="03137D49" w:rsidR="00321721" w:rsidRDefault="00321721" w:rsidP="0075739E">
      <w:pPr>
        <w:pStyle w:val="ListNumberLast"/>
      </w:pPr>
      <w:r w:rsidRPr="00776BF2">
        <w:t xml:space="preserve">Having a private network built </w:t>
      </w:r>
      <w:r w:rsidR="001061B2">
        <w:t xml:space="preserve">and designed </w:t>
      </w:r>
      <w:r w:rsidRPr="00776BF2">
        <w:t xml:space="preserve">by a </w:t>
      </w:r>
      <w:r w:rsidR="001061B2">
        <w:t>third party (for example</w:t>
      </w:r>
      <w:r w:rsidR="002A241C">
        <w:t>,</w:t>
      </w:r>
      <w:r w:rsidR="001061B2">
        <w:t xml:space="preserve"> a telecommunications company or network design business) with equipment sourced from vendors (for example</w:t>
      </w:r>
      <w:r w:rsidR="002A241C">
        <w:t>,</w:t>
      </w:r>
      <w:r w:rsidR="001061B2">
        <w:t xml:space="preserve"> base stations and core network</w:t>
      </w:r>
      <w:r w:rsidR="002A241C">
        <w:t xml:space="preserve">), </w:t>
      </w:r>
      <w:r w:rsidRPr="00776BF2">
        <w:t>which is separate to other mobile networks (</w:t>
      </w:r>
      <w:r w:rsidR="001061B2">
        <w:t>for example</w:t>
      </w:r>
      <w:r w:rsidR="002A241C">
        <w:t>,</w:t>
      </w:r>
      <w:r w:rsidR="001061B2">
        <w:t xml:space="preserve"> mining companies</w:t>
      </w:r>
      <w:r w:rsidRPr="00776BF2">
        <w:t>).</w:t>
      </w:r>
    </w:p>
    <w:p w14:paraId="1DBA1D2F" w14:textId="64D070DB" w:rsidR="006D70AE" w:rsidRDefault="006D70AE" w:rsidP="00CA28A9">
      <w:pPr>
        <w:pStyle w:val="ListNumberLast"/>
        <w:numPr>
          <w:ilvl w:val="0"/>
          <w:numId w:val="0"/>
        </w:numPr>
      </w:pPr>
      <w:r>
        <w:t xml:space="preserve">Spectrum considerations for these uses are discussed above in the broader discussion on wireless broadband. </w:t>
      </w:r>
    </w:p>
    <w:p w14:paraId="5DF0D005" w14:textId="46E623A1" w:rsidR="00660F86" w:rsidRDefault="00660F86" w:rsidP="00660F86">
      <w:pPr>
        <w:pStyle w:val="Heading3"/>
      </w:pPr>
      <w:bookmarkStart w:id="152" w:name="_Toc51864293"/>
      <w:bookmarkStart w:id="153" w:name="_Toc36207399"/>
      <w:r w:rsidRPr="00B53F89">
        <w:t xml:space="preserve">Machine-to-machine communications and the </w:t>
      </w:r>
      <w:r w:rsidR="002A241C">
        <w:t>I</w:t>
      </w:r>
      <w:r w:rsidR="004E2657">
        <w:t>nternet of Things</w:t>
      </w:r>
      <w:bookmarkEnd w:id="152"/>
      <w:r w:rsidRPr="00B53F89">
        <w:t xml:space="preserve"> </w:t>
      </w:r>
      <w:bookmarkEnd w:id="153"/>
    </w:p>
    <w:p w14:paraId="507E4175" w14:textId="28F5828A" w:rsidR="00F43EB6" w:rsidRPr="00776BF2" w:rsidRDefault="00776BF2" w:rsidP="00776BF2">
      <w:r w:rsidRPr="00776BF2">
        <w:t>A key element in several private networks to enable automated processes (</w:t>
      </w:r>
      <w:r w:rsidR="0018164A">
        <w:t>for example,</w:t>
      </w:r>
      <w:r w:rsidRPr="00776BF2">
        <w:t xml:space="preserve"> factories) is machine-to-machine (M2M) communications</w:t>
      </w:r>
      <w:r w:rsidR="00C16949">
        <w:rPr>
          <w:rStyle w:val="FootnoteReference"/>
        </w:rPr>
        <w:footnoteReference w:id="15"/>
      </w:r>
      <w:r w:rsidRPr="00776BF2">
        <w:t xml:space="preserve"> and IoT</w:t>
      </w:r>
      <w:r w:rsidR="00030C7E">
        <w:t>.</w:t>
      </w:r>
      <w:r w:rsidR="00C16949">
        <w:rPr>
          <w:rStyle w:val="FootnoteReference"/>
        </w:rPr>
        <w:footnoteReference w:id="16"/>
      </w:r>
      <w:r w:rsidRPr="00776BF2">
        <w:t xml:space="preserve"> </w:t>
      </w:r>
    </w:p>
    <w:p w14:paraId="22C37466" w14:textId="3CC27383" w:rsidR="00321721" w:rsidRDefault="00321721" w:rsidP="00321721">
      <w:r w:rsidRPr="0075739E">
        <w:t>The</w:t>
      </w:r>
      <w:r w:rsidRPr="00B53F89">
        <w:t xml:space="preserve"> IoT </w:t>
      </w:r>
      <w:r>
        <w:t xml:space="preserve">also </w:t>
      </w:r>
      <w:r w:rsidRPr="00B53F89">
        <w:t xml:space="preserve">involves unprecedented numbers of wireless and wired interconnections of personal, consumer and industrial devices supporting a range of applications. </w:t>
      </w:r>
      <w:r w:rsidR="00293325">
        <w:t>GlobalData</w:t>
      </w:r>
      <w:r w:rsidR="00293325" w:rsidRPr="00776BF2">
        <w:t xml:space="preserve"> </w:t>
      </w:r>
      <w:r w:rsidR="00827819" w:rsidRPr="00776BF2">
        <w:t xml:space="preserve">forecasts that the number of </w:t>
      </w:r>
      <w:r w:rsidR="00293325">
        <w:t>IoT/</w:t>
      </w:r>
      <w:r w:rsidR="00827819" w:rsidRPr="00776BF2">
        <w:t xml:space="preserve">M2M subscriptions associated with </w:t>
      </w:r>
      <w:r w:rsidR="00827819">
        <w:t>Australian</w:t>
      </w:r>
      <w:r w:rsidR="00827819" w:rsidRPr="00776BF2">
        <w:t xml:space="preserve"> mobile network operators will increase from </w:t>
      </w:r>
      <w:r w:rsidR="00293325">
        <w:t>6.8</w:t>
      </w:r>
      <w:r w:rsidR="002A241C">
        <w:t xml:space="preserve"> million in 2019</w:t>
      </w:r>
      <w:r w:rsidR="00827819" w:rsidRPr="00776BF2">
        <w:t xml:space="preserve"> to </w:t>
      </w:r>
      <w:r w:rsidR="00293325">
        <w:t>18.</w:t>
      </w:r>
      <w:r w:rsidR="003F2B7B">
        <w:t>3 </w:t>
      </w:r>
      <w:r w:rsidR="00827819" w:rsidRPr="00776BF2">
        <w:t xml:space="preserve">million </w:t>
      </w:r>
      <w:r w:rsidR="002A241C">
        <w:t>in</w:t>
      </w:r>
      <w:r w:rsidR="00827819" w:rsidRPr="00776BF2">
        <w:t xml:space="preserve"> </w:t>
      </w:r>
      <w:r w:rsidR="00293325" w:rsidRPr="00776BF2">
        <w:t>202</w:t>
      </w:r>
      <w:r w:rsidR="00293325">
        <w:t>5</w:t>
      </w:r>
      <w:r w:rsidR="00827819" w:rsidRPr="00776BF2">
        <w:t>.</w:t>
      </w:r>
      <w:r w:rsidR="00827819" w:rsidRPr="00776BF2">
        <w:rPr>
          <w:vertAlign w:val="superscript"/>
        </w:rPr>
        <w:footnoteReference w:id="17"/>
      </w:r>
      <w:r w:rsidR="00827819" w:rsidRPr="00776BF2">
        <w:t xml:space="preserve"> </w:t>
      </w:r>
    </w:p>
    <w:p w14:paraId="367AF7AD" w14:textId="5F315098" w:rsidR="00321721" w:rsidRPr="00776BF2" w:rsidRDefault="00321721" w:rsidP="00321721">
      <w:r w:rsidRPr="0075739E">
        <w:t>IoT</w:t>
      </w:r>
      <w:r>
        <w:t xml:space="preserve"> is</w:t>
      </w:r>
      <w:r w:rsidRPr="00B53F89">
        <w:t xml:space="preserve"> not limited to any specific technology platform and is likely to use frequency allocations across the entire spectrum. For example, 4G and 5G standards have made—or are in the process of making</w:t>
      </w:r>
      <w:r w:rsidRPr="0075739E">
        <w:t xml:space="preserve">—specific provisions for dedicated IoT service delivery </w:t>
      </w:r>
      <w:r w:rsidR="00540A65">
        <w:t xml:space="preserve">and </w:t>
      </w:r>
      <w:r w:rsidRPr="0075739E">
        <w:t>dedicated terrestrial IoT technologies have been developed and deployed that usually utilise class-licensed bands.</w:t>
      </w:r>
    </w:p>
    <w:p w14:paraId="267C7301" w14:textId="77777777" w:rsidR="00321721" w:rsidRPr="00B53F89" w:rsidRDefault="00321721" w:rsidP="00321721">
      <w:r w:rsidRPr="00B53F89">
        <w:lastRenderedPageBreak/>
        <w:t xml:space="preserve">Devices providing industrial metering, switching and/or control (including smart infrastructure) are a subset of IoT communications technologies that have </w:t>
      </w:r>
      <w:r>
        <w:t>seen substantial deployments in</w:t>
      </w:r>
      <w:r w:rsidRPr="00B53F89">
        <w:t xml:space="preserve"> recent years. They require very low data rates and/or very low duty cycles and operate in low-power wide-area (</w:t>
      </w:r>
      <w:r w:rsidRPr="0075739E">
        <w:t>LPWA</w:t>
      </w:r>
      <w:r w:rsidRPr="00B53F89">
        <w:t>) networks.</w:t>
      </w:r>
      <w:r w:rsidRPr="00B53F89">
        <w:rPr>
          <w:rStyle w:val="FootnoteReference"/>
        </w:rPr>
        <w:footnoteReference w:id="18"/>
      </w:r>
      <w:r w:rsidRPr="00B53F89">
        <w:t xml:space="preserve"> An international market has emerged for LPWA networks and devices that operate in the 900 MHz band. </w:t>
      </w:r>
    </w:p>
    <w:p w14:paraId="0F54A7F6" w14:textId="0E44A8B5" w:rsidR="00A96482" w:rsidRPr="00B53F89" w:rsidRDefault="00321721" w:rsidP="00D7755E">
      <w:r>
        <w:t>In Australia, m</w:t>
      </w:r>
      <w:r w:rsidRPr="00776BF2">
        <w:t>obile network operators have positioned themselves in the Australian market to offer IoT and M2M services to customers</w:t>
      </w:r>
      <w:r>
        <w:t>. MNOs</w:t>
      </w:r>
      <w:r w:rsidR="00D16385" w:rsidRPr="00B53F89">
        <w:t xml:space="preserve"> have been deploying IoT-specific variants of the 4G standard</w:t>
      </w:r>
      <w:r w:rsidR="002C6A94" w:rsidRPr="00B53F89">
        <w:t>,</w:t>
      </w:r>
      <w:r w:rsidR="00D16385" w:rsidRPr="00B53F89">
        <w:t xml:space="preserve"> such as Narrowband IoT</w:t>
      </w:r>
      <w:r w:rsidR="00D16385" w:rsidRPr="00B53F89" w:rsidDel="006F4C38">
        <w:t xml:space="preserve"> </w:t>
      </w:r>
      <w:r w:rsidR="00D16385" w:rsidRPr="00B53F89">
        <w:t xml:space="preserve">and </w:t>
      </w:r>
      <w:r w:rsidR="004C110B" w:rsidRPr="00B53F89">
        <w:t xml:space="preserve">Category </w:t>
      </w:r>
      <w:r w:rsidR="00D16385" w:rsidRPr="00B53F89">
        <w:t>M1</w:t>
      </w:r>
      <w:r w:rsidR="004C110B" w:rsidRPr="00B53F89">
        <w:t xml:space="preserve">, commonly known as </w:t>
      </w:r>
      <w:r w:rsidR="00D16385" w:rsidRPr="00B53F89">
        <w:t>Cat-M1</w:t>
      </w:r>
      <w:r w:rsidR="00381F16" w:rsidRPr="00B53F89">
        <w:t>.</w:t>
      </w:r>
      <w:bookmarkStart w:id="154" w:name="_Toc494115153"/>
      <w:bookmarkStart w:id="155" w:name="_Toc509581803"/>
      <w:bookmarkStart w:id="156" w:name="_Toc509585119"/>
      <w:bookmarkStart w:id="157" w:name="_Toc509585655"/>
      <w:r w:rsidR="00BE7AFE" w:rsidRPr="00B53F89">
        <w:t xml:space="preserve"> </w:t>
      </w:r>
      <w:r w:rsidR="00A96482" w:rsidRPr="00B53F89">
        <w:t>In both cases</w:t>
      </w:r>
      <w:r w:rsidR="003F2B7B">
        <w:t>,</w:t>
      </w:r>
      <w:r w:rsidR="00A96482" w:rsidRPr="00B53F89">
        <w:t xml:space="preserve"> services are, or </w:t>
      </w:r>
      <w:r w:rsidR="00D90F28" w:rsidRPr="00B53F89">
        <w:t xml:space="preserve">are expected to </w:t>
      </w:r>
      <w:r w:rsidR="00A96482" w:rsidRPr="00B53F89">
        <w:t xml:space="preserve">be, largely deployed </w:t>
      </w:r>
      <w:r w:rsidR="00D90F28" w:rsidRPr="00B53F89">
        <w:t xml:space="preserve">using </w:t>
      </w:r>
      <w:r w:rsidR="00A96482" w:rsidRPr="00B53F89">
        <w:t>existing spectrum management framework</w:t>
      </w:r>
      <w:r w:rsidR="00D90F28" w:rsidRPr="00B53F89">
        <w:t>s</w:t>
      </w:r>
      <w:r w:rsidR="00A96482" w:rsidRPr="00B53F89">
        <w:t xml:space="preserve"> and established bands.</w:t>
      </w:r>
    </w:p>
    <w:p w14:paraId="62A7C3CA" w14:textId="0AD64308" w:rsidR="00F43EB6" w:rsidRDefault="00A96482" w:rsidP="00D7755E">
      <w:r w:rsidRPr="00B53F89">
        <w:t>Given the unique capabilities of satellite systems, for example in terms of coverage, multiple companies are delivering or pursuing new space</w:t>
      </w:r>
      <w:r w:rsidR="004C110B" w:rsidRPr="00B53F89">
        <w:t>-</w:t>
      </w:r>
      <w:r w:rsidRPr="00B53F89">
        <w:t>based IoT services</w:t>
      </w:r>
      <w:r w:rsidR="00875697" w:rsidRPr="00B53F89">
        <w:t>—</w:t>
      </w:r>
      <w:r w:rsidRPr="00B53F89">
        <w:t xml:space="preserve">in some cases enabled </w:t>
      </w:r>
      <w:r w:rsidR="00AA6EE0" w:rsidRPr="00B53F89">
        <w:t xml:space="preserve">through </w:t>
      </w:r>
      <w:r w:rsidRPr="00B53F89">
        <w:t>new small</w:t>
      </w:r>
      <w:r w:rsidR="003F2B7B">
        <w:t>-</w:t>
      </w:r>
      <w:r w:rsidRPr="00B53F89">
        <w:t xml:space="preserve">satellite technology. </w:t>
      </w:r>
    </w:p>
    <w:p w14:paraId="4D9FE17F" w14:textId="79B701F1" w:rsidR="005B0532" w:rsidRPr="00B53F89" w:rsidRDefault="00A96482" w:rsidP="00D7755E">
      <w:r w:rsidRPr="00B53F89">
        <w:t xml:space="preserve">Some of these services are being pursued or delivered within established satellite bands </w:t>
      </w:r>
      <w:r w:rsidR="00A02AE2" w:rsidRPr="00B53F89">
        <w:t xml:space="preserve">in </w:t>
      </w:r>
      <w:r w:rsidRPr="00B53F89">
        <w:t>the existing regulatory framework. However</w:t>
      </w:r>
      <w:r w:rsidRPr="00B53F89" w:rsidDel="00EA6BBC">
        <w:t xml:space="preserve">, </w:t>
      </w:r>
      <w:r w:rsidRPr="00B53F89">
        <w:t>in some cases</w:t>
      </w:r>
      <w:r w:rsidR="00F95170" w:rsidRPr="00B53F89">
        <w:t>,</w:t>
      </w:r>
      <w:r w:rsidRPr="00B53F89">
        <w:t xml:space="preserve"> enabling satellite IoT </w:t>
      </w:r>
      <w:r w:rsidR="00EA6BBC" w:rsidRPr="00B53F89">
        <w:t xml:space="preserve">may require </w:t>
      </w:r>
      <w:r w:rsidRPr="00B53F89">
        <w:t>specific changes to the regulatory regime</w:t>
      </w:r>
      <w:r w:rsidR="00321721" w:rsidRPr="00B53F89">
        <w:t xml:space="preserve">. </w:t>
      </w:r>
    </w:p>
    <w:p w14:paraId="408EB3F6" w14:textId="25CBC7BE" w:rsidR="001B4FA5" w:rsidRDefault="001B4FA5" w:rsidP="00513FDE">
      <w:pPr>
        <w:pStyle w:val="ACMATableHeader"/>
      </w:pPr>
      <w:r>
        <w:t xml:space="preserve">Bands listed </w:t>
      </w:r>
      <w:r w:rsidRPr="0056521A">
        <w:t>in</w:t>
      </w:r>
      <w:r>
        <w:t xml:space="preserve"> the LIPD </w:t>
      </w:r>
      <w:r w:rsidR="0056521A">
        <w:t>c</w:t>
      </w:r>
      <w:r>
        <w:t xml:space="preserve">lass </w:t>
      </w:r>
      <w:r w:rsidR="0056521A">
        <w:t>l</w:t>
      </w:r>
      <w:r>
        <w:t>icence that currently support IoT</w:t>
      </w:r>
      <w:r w:rsidR="0056521A">
        <w:t xml:space="preserve"> </w:t>
      </w:r>
      <w:r>
        <w:t>services</w:t>
      </w:r>
    </w:p>
    <w:tbl>
      <w:tblPr>
        <w:tblStyle w:val="GridTable4-Accent1"/>
        <w:tblW w:w="8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4A0" w:firstRow="1" w:lastRow="0" w:firstColumn="1" w:lastColumn="0" w:noHBand="0" w:noVBand="1"/>
      </w:tblPr>
      <w:tblGrid>
        <w:gridCol w:w="1980"/>
        <w:gridCol w:w="6237"/>
      </w:tblGrid>
      <w:tr w:rsidR="001B4FA5" w14:paraId="2F2D210D" w14:textId="77777777" w:rsidTr="000B3CC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cBorders>
            <w:shd w:val="clear" w:color="auto" w:fill="404040" w:themeFill="text1" w:themeFillTint="BF"/>
          </w:tcPr>
          <w:p w14:paraId="71C36D12" w14:textId="77777777" w:rsidR="001B4FA5" w:rsidRPr="002774E6" w:rsidRDefault="001B4FA5" w:rsidP="0056521A">
            <w:pPr>
              <w:spacing w:after="0"/>
              <w:rPr>
                <w:color w:val="FFFFFF"/>
              </w:rPr>
            </w:pPr>
            <w:r w:rsidRPr="002774E6">
              <w:rPr>
                <w:color w:val="FFFFFF"/>
              </w:rPr>
              <w:t>Frequency band (MHz)</w:t>
            </w:r>
          </w:p>
        </w:tc>
        <w:tc>
          <w:tcPr>
            <w:tcW w:w="6237" w:type="dxa"/>
            <w:tcBorders>
              <w:top w:val="none" w:sz="0" w:space="0" w:color="auto"/>
              <w:left w:val="none" w:sz="0" w:space="0" w:color="auto"/>
              <w:bottom w:val="none" w:sz="0" w:space="0" w:color="auto"/>
              <w:right w:val="none" w:sz="0" w:space="0" w:color="auto"/>
            </w:tcBorders>
            <w:shd w:val="clear" w:color="auto" w:fill="404040" w:themeFill="text1" w:themeFillTint="BF"/>
          </w:tcPr>
          <w:p w14:paraId="713C3E40" w14:textId="77777777" w:rsidR="001B4FA5" w:rsidRPr="002774E6" w:rsidRDefault="001B4FA5" w:rsidP="0056521A">
            <w:pPr>
              <w:spacing w:after="0"/>
              <w:cnfStyle w:val="100000000000" w:firstRow="1" w:lastRow="0" w:firstColumn="0" w:lastColumn="0" w:oddVBand="0" w:evenVBand="0" w:oddHBand="0" w:evenHBand="0" w:firstRowFirstColumn="0" w:firstRowLastColumn="0" w:lastRowFirstColumn="0" w:lastRowLastColumn="0"/>
              <w:rPr>
                <w:color w:val="FFFFFF"/>
              </w:rPr>
            </w:pPr>
            <w:r w:rsidRPr="002774E6">
              <w:rPr>
                <w:color w:val="FFFFFF"/>
              </w:rPr>
              <w:t>Description</w:t>
            </w:r>
          </w:p>
        </w:tc>
      </w:tr>
      <w:tr w:rsidR="001B4FA5" w14:paraId="4442E2A4"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7159B6AD" w14:textId="77777777" w:rsidR="001B4FA5" w:rsidRPr="000E2EA5" w:rsidRDefault="001B4FA5" w:rsidP="0056521A">
            <w:pPr>
              <w:spacing w:after="0"/>
              <w:rPr>
                <w:b w:val="0"/>
              </w:rPr>
            </w:pPr>
            <w:r w:rsidRPr="000E2EA5">
              <w:rPr>
                <w:rStyle w:val="charpartno"/>
                <w:b w:val="0"/>
                <w:sz w:val="19"/>
                <w:szCs w:val="19"/>
              </w:rPr>
              <w:t>472.0125–472.1125</w:t>
            </w:r>
          </w:p>
        </w:tc>
        <w:tc>
          <w:tcPr>
            <w:tcW w:w="6237" w:type="dxa"/>
            <w:shd w:val="clear" w:color="auto" w:fill="FFFFFF" w:themeFill="background1"/>
          </w:tcPr>
          <w:p w14:paraId="19C20B94" w14:textId="77777777" w:rsidR="001B4FA5" w:rsidRPr="000E2EA5" w:rsidRDefault="001B4FA5" w:rsidP="0056521A">
            <w:pPr>
              <w:spacing w:after="0"/>
              <w:cnfStyle w:val="000000100000" w:firstRow="0" w:lastRow="0" w:firstColumn="0" w:lastColumn="0" w:oddVBand="0" w:evenVBand="0" w:oddHBand="1" w:evenHBand="0" w:firstRowFirstColumn="0" w:firstRowLastColumn="0" w:lastRowFirstColumn="0" w:lastRowLastColumn="0"/>
            </w:pPr>
            <w:r w:rsidRPr="000E2EA5">
              <w:t>Telecommand or teleme</w:t>
            </w:r>
            <w:r>
              <w:t>try transmitters (max power 100 </w:t>
            </w:r>
            <w:r w:rsidRPr="000E2EA5">
              <w:t>mW</w:t>
            </w:r>
            <w:r>
              <w:t xml:space="preserve"> EIRP</w:t>
            </w:r>
            <w:r w:rsidRPr="000E2EA5">
              <w:t>)</w:t>
            </w:r>
          </w:p>
        </w:tc>
      </w:tr>
      <w:tr w:rsidR="001B4FA5" w14:paraId="0F50134E"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54FD780E" w14:textId="77777777" w:rsidR="001B4FA5" w:rsidRPr="000E2EA5" w:rsidRDefault="001B4FA5" w:rsidP="0056521A">
            <w:pPr>
              <w:spacing w:after="0"/>
              <w:rPr>
                <w:b w:val="0"/>
              </w:rPr>
            </w:pPr>
            <w:r w:rsidRPr="000E2EA5">
              <w:rPr>
                <w:rStyle w:val="charpartno"/>
                <w:b w:val="0"/>
                <w:sz w:val="19"/>
                <w:szCs w:val="19"/>
              </w:rPr>
              <w:t>0.07–0.119</w:t>
            </w:r>
          </w:p>
        </w:tc>
        <w:tc>
          <w:tcPr>
            <w:tcW w:w="6237" w:type="dxa"/>
            <w:shd w:val="clear" w:color="auto" w:fill="FFFFFF" w:themeFill="background1"/>
          </w:tcPr>
          <w:p w14:paraId="1AF3A00F" w14:textId="77777777" w:rsidR="001B4FA5" w:rsidRPr="000E2EA5" w:rsidRDefault="001B4FA5" w:rsidP="0056521A">
            <w:pPr>
              <w:spacing w:after="0"/>
              <w:cnfStyle w:val="000000000000" w:firstRow="0" w:lastRow="0" w:firstColumn="0" w:lastColumn="0" w:oddVBand="0" w:evenVBand="0" w:oddHBand="0" w:evenHBand="0" w:firstRowFirstColumn="0" w:firstRowLastColumn="0" w:lastRowFirstColumn="0" w:lastRowLastColumn="0"/>
            </w:pPr>
            <w:r>
              <w:t>T</w:t>
            </w:r>
            <w:r w:rsidRPr="000E2EA5">
              <w:t>elecommand or telemetry transmitters (max power 10</w:t>
            </w:r>
            <w:r>
              <w:t> </w:t>
            </w:r>
            <w:r w:rsidRPr="000E2EA5">
              <w:t>mW</w:t>
            </w:r>
            <w:r>
              <w:t xml:space="preserve"> EIRP)</w:t>
            </w:r>
          </w:p>
        </w:tc>
      </w:tr>
      <w:tr w:rsidR="001B4FA5" w14:paraId="775B533D"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0E013F20" w14:textId="77777777" w:rsidR="001B4FA5" w:rsidRPr="000E2EA5" w:rsidRDefault="001B4FA5" w:rsidP="0056521A">
            <w:pPr>
              <w:spacing w:after="0"/>
              <w:rPr>
                <w:b w:val="0"/>
              </w:rPr>
            </w:pPr>
            <w:r w:rsidRPr="000E2EA5">
              <w:rPr>
                <w:rStyle w:val="charpartno"/>
                <w:b w:val="0"/>
                <w:sz w:val="14"/>
                <w:szCs w:val="14"/>
              </w:rPr>
              <w:t xml:space="preserve"> </w:t>
            </w:r>
            <w:r w:rsidRPr="000E2EA5">
              <w:rPr>
                <w:rStyle w:val="charpartno"/>
                <w:b w:val="0"/>
                <w:sz w:val="19"/>
                <w:szCs w:val="19"/>
              </w:rPr>
              <w:t>0.135–0.160</w:t>
            </w:r>
          </w:p>
        </w:tc>
        <w:tc>
          <w:tcPr>
            <w:tcW w:w="6237" w:type="dxa"/>
            <w:shd w:val="clear" w:color="auto" w:fill="FFFFFF" w:themeFill="background1"/>
          </w:tcPr>
          <w:p w14:paraId="60DF7368" w14:textId="77777777" w:rsidR="001B4FA5" w:rsidRPr="000E2EA5" w:rsidRDefault="001B4FA5" w:rsidP="0056521A">
            <w:pPr>
              <w:spacing w:after="0"/>
              <w:cnfStyle w:val="000000100000" w:firstRow="0" w:lastRow="0" w:firstColumn="0" w:lastColumn="0" w:oddVBand="0" w:evenVBand="0" w:oddHBand="1" w:evenHBand="0" w:firstRowFirstColumn="0" w:firstRowLastColumn="0" w:lastRowFirstColumn="0" w:lastRowLastColumn="0"/>
            </w:pPr>
            <w:r w:rsidRPr="000E2EA5">
              <w:t xml:space="preserve">Telecommand or telemetry transmitters (max power </w:t>
            </w:r>
            <w:r>
              <w:t>10 mW EIRP</w:t>
            </w:r>
            <w:r w:rsidRPr="000E2EA5">
              <w:t>)</w:t>
            </w:r>
          </w:p>
        </w:tc>
      </w:tr>
      <w:tr w:rsidR="001B4FA5" w14:paraId="528E3229"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05955209" w14:textId="77777777" w:rsidR="001B4FA5" w:rsidRPr="000E2EA5" w:rsidRDefault="001B4FA5" w:rsidP="0056521A">
            <w:pPr>
              <w:spacing w:after="0"/>
              <w:rPr>
                <w:b w:val="0"/>
              </w:rPr>
            </w:pPr>
            <w:r w:rsidRPr="000E2EA5">
              <w:rPr>
                <w:rStyle w:val="charpartno"/>
                <w:b w:val="0"/>
                <w:sz w:val="19"/>
                <w:szCs w:val="19"/>
              </w:rPr>
              <w:t>0.119–0.135</w:t>
            </w:r>
          </w:p>
        </w:tc>
        <w:tc>
          <w:tcPr>
            <w:tcW w:w="6237" w:type="dxa"/>
            <w:shd w:val="clear" w:color="auto" w:fill="FFFFFF" w:themeFill="background1"/>
          </w:tcPr>
          <w:p w14:paraId="4C78D4F2" w14:textId="77777777" w:rsidR="001B4FA5" w:rsidRPr="000E2EA5" w:rsidRDefault="001B4FA5" w:rsidP="0056521A">
            <w:pPr>
              <w:spacing w:after="0"/>
              <w:cnfStyle w:val="000000000000" w:firstRow="0" w:lastRow="0" w:firstColumn="0" w:lastColumn="0" w:oddVBand="0" w:evenVBand="0" w:oddHBand="0" w:evenHBand="0" w:firstRowFirstColumn="0" w:firstRowLastColumn="0" w:lastRowFirstColumn="0" w:lastRowLastColumn="0"/>
            </w:pPr>
            <w:r>
              <w:t>T</w:t>
            </w:r>
            <w:r w:rsidRPr="000E2EA5">
              <w:t>elecommand or tele</w:t>
            </w:r>
            <w:r>
              <w:t>metry transmitters (max power 1.5 </w:t>
            </w:r>
            <w:r w:rsidRPr="000E2EA5">
              <w:t>W</w:t>
            </w:r>
            <w:r>
              <w:t xml:space="preserve"> EIRP)</w:t>
            </w:r>
          </w:p>
        </w:tc>
      </w:tr>
      <w:tr w:rsidR="001B4FA5" w14:paraId="2DAE48C7"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34273E77" w14:textId="77777777" w:rsidR="001B4FA5" w:rsidRPr="000E2EA5" w:rsidRDefault="001B4FA5" w:rsidP="0056521A">
            <w:pPr>
              <w:spacing w:after="0"/>
              <w:rPr>
                <w:b w:val="0"/>
              </w:rPr>
            </w:pPr>
            <w:r w:rsidRPr="000E2EA5">
              <w:rPr>
                <w:b w:val="0"/>
                <w:sz w:val="19"/>
                <w:szCs w:val="19"/>
              </w:rPr>
              <w:t>0.160</w:t>
            </w:r>
            <w:r w:rsidRPr="000E2EA5">
              <w:rPr>
                <w:rStyle w:val="charpartno"/>
                <w:b w:val="0"/>
                <w:sz w:val="19"/>
                <w:szCs w:val="19"/>
              </w:rPr>
              <w:t>–</w:t>
            </w:r>
            <w:r w:rsidRPr="000E2EA5">
              <w:rPr>
                <w:b w:val="0"/>
                <w:sz w:val="19"/>
                <w:szCs w:val="19"/>
              </w:rPr>
              <w:t>0.190</w:t>
            </w:r>
          </w:p>
        </w:tc>
        <w:tc>
          <w:tcPr>
            <w:tcW w:w="6237" w:type="dxa"/>
            <w:shd w:val="clear" w:color="auto" w:fill="FFFFFF" w:themeFill="background1"/>
          </w:tcPr>
          <w:p w14:paraId="60942076" w14:textId="39AB6D08" w:rsidR="001B4FA5" w:rsidRDefault="001B4FA5" w:rsidP="0056521A">
            <w:pPr>
              <w:spacing w:after="0"/>
              <w:cnfStyle w:val="000000100000" w:firstRow="0" w:lastRow="0" w:firstColumn="0" w:lastColumn="0" w:oddVBand="0" w:evenVBand="0" w:oddHBand="1" w:evenHBand="0" w:firstRowFirstColumn="0" w:firstRowLastColumn="0" w:lastRowFirstColumn="0" w:lastRowLastColumn="0"/>
            </w:pPr>
            <w:r w:rsidRPr="000E2EA5">
              <w:t>Telecommand or telemetry transmitters (</w:t>
            </w:r>
            <w:r>
              <w:t>see details for limitations</w:t>
            </w:r>
            <w:r w:rsidRPr="000E2EA5">
              <w:t>)</w:t>
            </w:r>
          </w:p>
        </w:tc>
      </w:tr>
      <w:tr w:rsidR="001B4FA5" w14:paraId="572685EB"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122AC214" w14:textId="77777777" w:rsidR="001B4FA5" w:rsidRPr="000E2EA5" w:rsidRDefault="001B4FA5" w:rsidP="0056521A">
            <w:pPr>
              <w:spacing w:after="0"/>
              <w:rPr>
                <w:b w:val="0"/>
              </w:rPr>
            </w:pPr>
            <w:r w:rsidRPr="000E2EA5">
              <w:rPr>
                <w:rStyle w:val="charpartno"/>
                <w:b w:val="0"/>
                <w:sz w:val="19"/>
                <w:szCs w:val="19"/>
              </w:rPr>
              <w:t>2400–2450</w:t>
            </w:r>
          </w:p>
        </w:tc>
        <w:tc>
          <w:tcPr>
            <w:tcW w:w="6237" w:type="dxa"/>
            <w:shd w:val="clear" w:color="auto" w:fill="FFFFFF" w:themeFill="background1"/>
          </w:tcPr>
          <w:p w14:paraId="0D642D32" w14:textId="77777777" w:rsidR="001B4FA5" w:rsidRDefault="001B4FA5" w:rsidP="0056521A">
            <w:pPr>
              <w:spacing w:after="0"/>
              <w:cnfStyle w:val="000000000000" w:firstRow="0" w:lastRow="0" w:firstColumn="0" w:lastColumn="0" w:oddVBand="0" w:evenVBand="0" w:oddHBand="0" w:evenHBand="0" w:firstRowFirstColumn="0" w:firstRowLastColumn="0" w:lastRowFirstColumn="0" w:lastRowLastColumn="0"/>
            </w:pPr>
            <w:r>
              <w:t>T</w:t>
            </w:r>
            <w:r w:rsidRPr="000E2EA5">
              <w:t>elecommand or telemetry transmitters (max power 1</w:t>
            </w:r>
            <w:r>
              <w:t> </w:t>
            </w:r>
            <w:r w:rsidRPr="000E2EA5">
              <w:t>W</w:t>
            </w:r>
            <w:r>
              <w:t xml:space="preserve"> EIRP)</w:t>
            </w:r>
          </w:p>
        </w:tc>
      </w:tr>
      <w:tr w:rsidR="001B4FA5" w14:paraId="4BA2542E"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7BEC6F65" w14:textId="77777777" w:rsidR="001B4FA5" w:rsidRPr="000E2EA5" w:rsidRDefault="001B4FA5" w:rsidP="0056521A">
            <w:pPr>
              <w:spacing w:after="0"/>
              <w:rPr>
                <w:b w:val="0"/>
              </w:rPr>
            </w:pPr>
            <w:r w:rsidRPr="000E2EA5">
              <w:rPr>
                <w:rStyle w:val="charpartno"/>
                <w:b w:val="0"/>
                <w:sz w:val="19"/>
                <w:szCs w:val="19"/>
              </w:rPr>
              <w:t>5725–5795</w:t>
            </w:r>
          </w:p>
        </w:tc>
        <w:tc>
          <w:tcPr>
            <w:tcW w:w="6237" w:type="dxa"/>
            <w:shd w:val="clear" w:color="auto" w:fill="FFFFFF" w:themeFill="background1"/>
          </w:tcPr>
          <w:p w14:paraId="387A6C87" w14:textId="77777777" w:rsidR="001B4FA5" w:rsidRDefault="001B4FA5" w:rsidP="0056521A">
            <w:pPr>
              <w:spacing w:after="0"/>
              <w:cnfStyle w:val="000000100000" w:firstRow="0" w:lastRow="0" w:firstColumn="0" w:lastColumn="0" w:oddVBand="0" w:evenVBand="0" w:oddHBand="1" w:evenHBand="0" w:firstRowFirstColumn="0" w:firstRowLastColumn="0" w:lastRowFirstColumn="0" w:lastRowLastColumn="0"/>
            </w:pPr>
            <w:r w:rsidRPr="000E2EA5">
              <w:t>Telecommand or telemetry transmitters (max power 1</w:t>
            </w:r>
            <w:r>
              <w:t> </w:t>
            </w:r>
            <w:r w:rsidRPr="000E2EA5">
              <w:t>W</w:t>
            </w:r>
            <w:r>
              <w:t xml:space="preserve"> EIRP</w:t>
            </w:r>
            <w:r w:rsidRPr="000E2EA5">
              <w:t>)</w:t>
            </w:r>
          </w:p>
        </w:tc>
      </w:tr>
      <w:tr w:rsidR="001B4FA5" w14:paraId="72ED28EF"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2D843A16" w14:textId="77777777" w:rsidR="001B4FA5" w:rsidRPr="000E2EA5" w:rsidRDefault="001B4FA5" w:rsidP="0056521A">
            <w:pPr>
              <w:spacing w:after="0"/>
              <w:rPr>
                <w:b w:val="0"/>
              </w:rPr>
            </w:pPr>
            <w:r w:rsidRPr="000E2EA5">
              <w:rPr>
                <w:rStyle w:val="charpartno"/>
                <w:b w:val="0"/>
                <w:sz w:val="19"/>
                <w:szCs w:val="19"/>
              </w:rPr>
              <w:t>5815–5875</w:t>
            </w:r>
          </w:p>
        </w:tc>
        <w:tc>
          <w:tcPr>
            <w:tcW w:w="6237" w:type="dxa"/>
            <w:shd w:val="clear" w:color="auto" w:fill="FFFFFF" w:themeFill="background1"/>
          </w:tcPr>
          <w:p w14:paraId="44B51B82" w14:textId="77777777" w:rsidR="001B4FA5" w:rsidRDefault="001B4FA5" w:rsidP="0056521A">
            <w:pPr>
              <w:spacing w:after="0"/>
              <w:cnfStyle w:val="000000000000" w:firstRow="0" w:lastRow="0" w:firstColumn="0" w:lastColumn="0" w:oddVBand="0" w:evenVBand="0" w:oddHBand="0" w:evenHBand="0" w:firstRowFirstColumn="0" w:firstRowLastColumn="0" w:lastRowFirstColumn="0" w:lastRowLastColumn="0"/>
            </w:pPr>
            <w:r>
              <w:t>T</w:t>
            </w:r>
            <w:r w:rsidRPr="000E2EA5">
              <w:t>elecommand or telemetry transmitters (max power 1</w:t>
            </w:r>
            <w:r>
              <w:t> </w:t>
            </w:r>
            <w:r w:rsidRPr="000E2EA5">
              <w:t>W</w:t>
            </w:r>
            <w:r>
              <w:t xml:space="preserve"> EIRP)</w:t>
            </w:r>
          </w:p>
        </w:tc>
      </w:tr>
      <w:tr w:rsidR="001B4FA5" w14:paraId="356274FC"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0F484972" w14:textId="77777777" w:rsidR="001B4FA5" w:rsidRPr="000E2EA5" w:rsidRDefault="001B4FA5" w:rsidP="0056521A">
            <w:pPr>
              <w:spacing w:after="0"/>
              <w:rPr>
                <w:b w:val="0"/>
              </w:rPr>
            </w:pPr>
            <w:r w:rsidRPr="000E2EA5">
              <w:rPr>
                <w:rStyle w:val="charpartno"/>
                <w:b w:val="0"/>
                <w:sz w:val="19"/>
                <w:szCs w:val="19"/>
              </w:rPr>
              <w:t>5795–5815</w:t>
            </w:r>
          </w:p>
        </w:tc>
        <w:tc>
          <w:tcPr>
            <w:tcW w:w="6237" w:type="dxa"/>
            <w:shd w:val="clear" w:color="auto" w:fill="FFFFFF" w:themeFill="background1"/>
          </w:tcPr>
          <w:p w14:paraId="63364E30" w14:textId="77777777" w:rsidR="001B4FA5" w:rsidRDefault="001B4FA5" w:rsidP="0056521A">
            <w:pPr>
              <w:spacing w:after="0"/>
              <w:cnfStyle w:val="000000100000" w:firstRow="0" w:lastRow="0" w:firstColumn="0" w:lastColumn="0" w:oddVBand="0" w:evenVBand="0" w:oddHBand="1" w:evenHBand="0" w:firstRowFirstColumn="0" w:firstRowLastColumn="0" w:lastRowFirstColumn="0" w:lastRowLastColumn="0"/>
            </w:pPr>
            <w:r w:rsidRPr="000E2EA5">
              <w:t>Telecommand or telemetry transmitters (max power 2</w:t>
            </w:r>
            <w:r>
              <w:t> </w:t>
            </w:r>
            <w:r w:rsidRPr="000E2EA5">
              <w:t>W</w:t>
            </w:r>
            <w:r>
              <w:t xml:space="preserve"> EIRP</w:t>
            </w:r>
            <w:r w:rsidRPr="000E2EA5">
              <w:t>)</w:t>
            </w:r>
          </w:p>
        </w:tc>
      </w:tr>
      <w:tr w:rsidR="001B4FA5" w14:paraId="2203FF51"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1D2EB074" w14:textId="15BA8477" w:rsidR="001B4FA5" w:rsidRPr="000E2EA5" w:rsidRDefault="001B4FA5" w:rsidP="0056521A">
            <w:pPr>
              <w:spacing w:after="0"/>
              <w:rPr>
                <w:b w:val="0"/>
              </w:rPr>
            </w:pPr>
            <w:r>
              <w:rPr>
                <w:b w:val="0"/>
              </w:rPr>
              <w:t>915</w:t>
            </w:r>
            <w:r w:rsidR="0056521A" w:rsidRPr="000E2EA5">
              <w:rPr>
                <w:rStyle w:val="charpartno"/>
                <w:b w:val="0"/>
                <w:sz w:val="19"/>
                <w:szCs w:val="19"/>
              </w:rPr>
              <w:t>–</w:t>
            </w:r>
            <w:r>
              <w:rPr>
                <w:b w:val="0"/>
              </w:rPr>
              <w:t>928</w:t>
            </w:r>
          </w:p>
        </w:tc>
        <w:tc>
          <w:tcPr>
            <w:tcW w:w="6237" w:type="dxa"/>
            <w:shd w:val="clear" w:color="auto" w:fill="FFFFFF" w:themeFill="background1"/>
          </w:tcPr>
          <w:p w14:paraId="233421DE" w14:textId="77777777" w:rsidR="001B4FA5" w:rsidRDefault="001B4FA5" w:rsidP="0056521A">
            <w:pPr>
              <w:spacing w:after="0"/>
              <w:cnfStyle w:val="000000000000" w:firstRow="0" w:lastRow="0" w:firstColumn="0" w:lastColumn="0" w:oddVBand="0" w:evenVBand="0" w:oddHBand="0" w:evenHBand="0" w:firstRowFirstColumn="0" w:firstRowLastColumn="0" w:lastRowFirstColumn="0" w:lastRowLastColumn="0"/>
            </w:pPr>
            <w:r>
              <w:t>Frequency hopping transmitters (max power 1 W EIRP)</w:t>
            </w:r>
          </w:p>
        </w:tc>
      </w:tr>
      <w:tr w:rsidR="001B4FA5" w14:paraId="61ACA0CD"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0E668CB6" w14:textId="2F78904D" w:rsidR="001B4FA5" w:rsidRPr="000E2EA5" w:rsidRDefault="001B4FA5" w:rsidP="0056521A">
            <w:pPr>
              <w:spacing w:after="0"/>
              <w:rPr>
                <w:b w:val="0"/>
              </w:rPr>
            </w:pPr>
            <w:r>
              <w:rPr>
                <w:b w:val="0"/>
              </w:rPr>
              <w:t>2400</w:t>
            </w:r>
            <w:r w:rsidR="0056521A" w:rsidRPr="000E2EA5">
              <w:rPr>
                <w:rStyle w:val="charpartno"/>
                <w:b w:val="0"/>
                <w:sz w:val="19"/>
                <w:szCs w:val="19"/>
              </w:rPr>
              <w:t>–</w:t>
            </w:r>
            <w:r>
              <w:rPr>
                <w:b w:val="0"/>
              </w:rPr>
              <w:t>2483.5</w:t>
            </w:r>
          </w:p>
        </w:tc>
        <w:tc>
          <w:tcPr>
            <w:tcW w:w="6237" w:type="dxa"/>
            <w:shd w:val="clear" w:color="auto" w:fill="FFFFFF" w:themeFill="background1"/>
          </w:tcPr>
          <w:p w14:paraId="0F30E422" w14:textId="77777777" w:rsidR="001B4FA5" w:rsidRDefault="001B4FA5" w:rsidP="0056521A">
            <w:pPr>
              <w:spacing w:after="0"/>
              <w:cnfStyle w:val="000000100000" w:firstRow="0" w:lastRow="0" w:firstColumn="0" w:lastColumn="0" w:oddVBand="0" w:evenVBand="0" w:oddHBand="1" w:evenHBand="0" w:firstRowFirstColumn="0" w:firstRowLastColumn="0" w:lastRowFirstColumn="0" w:lastRowLastColumn="0"/>
            </w:pPr>
            <w:r>
              <w:t>Frequency hopping transmitters (max power 500 mW EIRP)</w:t>
            </w:r>
          </w:p>
        </w:tc>
      </w:tr>
      <w:tr w:rsidR="001B4FA5" w14:paraId="72060D60"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36A1B802" w14:textId="3F44AB9B" w:rsidR="001B4FA5" w:rsidRPr="000E2EA5" w:rsidRDefault="001B4FA5" w:rsidP="0056521A">
            <w:pPr>
              <w:spacing w:after="0"/>
              <w:rPr>
                <w:b w:val="0"/>
              </w:rPr>
            </w:pPr>
            <w:r>
              <w:rPr>
                <w:b w:val="0"/>
              </w:rPr>
              <w:t>2400</w:t>
            </w:r>
            <w:r w:rsidR="0056521A" w:rsidRPr="000E2EA5">
              <w:rPr>
                <w:rStyle w:val="charpartno"/>
                <w:b w:val="0"/>
                <w:sz w:val="19"/>
                <w:szCs w:val="19"/>
              </w:rPr>
              <w:t>–</w:t>
            </w:r>
            <w:r>
              <w:rPr>
                <w:b w:val="0"/>
              </w:rPr>
              <w:t>2483.5</w:t>
            </w:r>
          </w:p>
        </w:tc>
        <w:tc>
          <w:tcPr>
            <w:tcW w:w="6237" w:type="dxa"/>
            <w:shd w:val="clear" w:color="auto" w:fill="FFFFFF" w:themeFill="background1"/>
          </w:tcPr>
          <w:p w14:paraId="751CEEE7" w14:textId="77777777" w:rsidR="001B4FA5" w:rsidRDefault="001B4FA5" w:rsidP="0056521A">
            <w:pPr>
              <w:spacing w:after="0"/>
              <w:cnfStyle w:val="000000000000" w:firstRow="0" w:lastRow="0" w:firstColumn="0" w:lastColumn="0" w:oddVBand="0" w:evenVBand="0" w:oddHBand="0" w:evenHBand="0" w:firstRowFirstColumn="0" w:firstRowLastColumn="0" w:lastRowFirstColumn="0" w:lastRowLastColumn="0"/>
            </w:pPr>
            <w:r>
              <w:t>Frequency hopping transmitters (max power 4 W EIRP)</w:t>
            </w:r>
          </w:p>
        </w:tc>
      </w:tr>
      <w:tr w:rsidR="001B4FA5" w14:paraId="1F05EFCC"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6D3C06A5" w14:textId="48784265" w:rsidR="001B4FA5" w:rsidRDefault="001B4FA5" w:rsidP="0056521A">
            <w:pPr>
              <w:spacing w:after="0"/>
            </w:pPr>
            <w:r>
              <w:rPr>
                <w:b w:val="0"/>
              </w:rPr>
              <w:t>5725</w:t>
            </w:r>
            <w:r w:rsidR="0056521A" w:rsidRPr="000E2EA5">
              <w:rPr>
                <w:rStyle w:val="charpartno"/>
                <w:b w:val="0"/>
                <w:sz w:val="19"/>
                <w:szCs w:val="19"/>
              </w:rPr>
              <w:t>–</w:t>
            </w:r>
            <w:r>
              <w:rPr>
                <w:b w:val="0"/>
              </w:rPr>
              <w:t>5850</w:t>
            </w:r>
          </w:p>
        </w:tc>
        <w:tc>
          <w:tcPr>
            <w:tcW w:w="6237" w:type="dxa"/>
            <w:shd w:val="clear" w:color="auto" w:fill="FFFFFF" w:themeFill="background1"/>
          </w:tcPr>
          <w:p w14:paraId="32D7E200" w14:textId="77777777" w:rsidR="001B4FA5" w:rsidRDefault="001B4FA5" w:rsidP="0056521A">
            <w:pPr>
              <w:spacing w:after="0"/>
              <w:cnfStyle w:val="000000100000" w:firstRow="0" w:lastRow="0" w:firstColumn="0" w:lastColumn="0" w:oddVBand="0" w:evenVBand="0" w:oddHBand="1" w:evenHBand="0" w:firstRowFirstColumn="0" w:firstRowLastColumn="0" w:lastRowFirstColumn="0" w:lastRowLastColumn="0"/>
            </w:pPr>
            <w:r>
              <w:t>Frequency hopping transmitters (max power 4 W EIRP)</w:t>
            </w:r>
          </w:p>
        </w:tc>
      </w:tr>
      <w:tr w:rsidR="001B4FA5" w14:paraId="73E70BD9"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41CD17C3" w14:textId="48980032" w:rsidR="001B4FA5" w:rsidRPr="00811596" w:rsidRDefault="001B4FA5" w:rsidP="0056521A">
            <w:pPr>
              <w:spacing w:after="0"/>
              <w:rPr>
                <w:b w:val="0"/>
              </w:rPr>
            </w:pPr>
            <w:r w:rsidRPr="00811596">
              <w:rPr>
                <w:b w:val="0"/>
              </w:rPr>
              <w:t>915</w:t>
            </w:r>
            <w:r w:rsidR="0056521A" w:rsidRPr="000E2EA5">
              <w:rPr>
                <w:rStyle w:val="charpartno"/>
                <w:b w:val="0"/>
                <w:sz w:val="19"/>
                <w:szCs w:val="19"/>
              </w:rPr>
              <w:t>–</w:t>
            </w:r>
            <w:r w:rsidRPr="00811596">
              <w:rPr>
                <w:b w:val="0"/>
              </w:rPr>
              <w:t>928</w:t>
            </w:r>
          </w:p>
        </w:tc>
        <w:tc>
          <w:tcPr>
            <w:tcW w:w="6237" w:type="dxa"/>
            <w:shd w:val="clear" w:color="auto" w:fill="FFFFFF" w:themeFill="background1"/>
          </w:tcPr>
          <w:p w14:paraId="74156595" w14:textId="77777777" w:rsidR="001B4FA5" w:rsidRDefault="001B4FA5" w:rsidP="0056521A">
            <w:pPr>
              <w:spacing w:after="0"/>
              <w:cnfStyle w:val="000000000000" w:firstRow="0" w:lastRow="0" w:firstColumn="0" w:lastColumn="0" w:oddVBand="0" w:evenVBand="0" w:oddHBand="0" w:evenHBand="0" w:firstRowFirstColumn="0" w:firstRowLastColumn="0" w:lastRowFirstColumn="0" w:lastRowLastColumn="0"/>
            </w:pPr>
            <w:r>
              <w:t>Digital modulation transmitters (max power 1 W EIRP)</w:t>
            </w:r>
          </w:p>
        </w:tc>
      </w:tr>
      <w:tr w:rsidR="001B4FA5" w14:paraId="7268B38D"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01BE7474" w14:textId="0A4C6066" w:rsidR="001B4FA5" w:rsidRPr="00811596" w:rsidRDefault="001B4FA5" w:rsidP="0056521A">
            <w:pPr>
              <w:spacing w:after="0"/>
              <w:rPr>
                <w:b w:val="0"/>
              </w:rPr>
            </w:pPr>
            <w:r>
              <w:rPr>
                <w:b w:val="0"/>
              </w:rPr>
              <w:t>2400</w:t>
            </w:r>
            <w:r w:rsidR="0056521A" w:rsidRPr="000E2EA5">
              <w:rPr>
                <w:rStyle w:val="charpartno"/>
                <w:b w:val="0"/>
                <w:sz w:val="19"/>
                <w:szCs w:val="19"/>
              </w:rPr>
              <w:t>–</w:t>
            </w:r>
            <w:r>
              <w:rPr>
                <w:b w:val="0"/>
              </w:rPr>
              <w:t>2483.5</w:t>
            </w:r>
          </w:p>
        </w:tc>
        <w:tc>
          <w:tcPr>
            <w:tcW w:w="6237" w:type="dxa"/>
            <w:shd w:val="clear" w:color="auto" w:fill="FFFFFF" w:themeFill="background1"/>
          </w:tcPr>
          <w:p w14:paraId="028639EC" w14:textId="77777777" w:rsidR="001B4FA5" w:rsidRDefault="001B4FA5" w:rsidP="0056521A">
            <w:pPr>
              <w:spacing w:after="0"/>
              <w:cnfStyle w:val="000000100000" w:firstRow="0" w:lastRow="0" w:firstColumn="0" w:lastColumn="0" w:oddVBand="0" w:evenVBand="0" w:oddHBand="1" w:evenHBand="0" w:firstRowFirstColumn="0" w:firstRowLastColumn="0" w:lastRowFirstColumn="0" w:lastRowLastColumn="0"/>
            </w:pPr>
            <w:r>
              <w:t>Digital modulation transmitters (max power 4 W EIRP)</w:t>
            </w:r>
          </w:p>
        </w:tc>
      </w:tr>
      <w:tr w:rsidR="001B4FA5" w14:paraId="55ED13BF"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35BD2E7E" w14:textId="2F1AE18D" w:rsidR="001B4FA5" w:rsidRPr="00811596" w:rsidRDefault="001B4FA5" w:rsidP="0056521A">
            <w:pPr>
              <w:spacing w:after="0"/>
              <w:rPr>
                <w:b w:val="0"/>
              </w:rPr>
            </w:pPr>
            <w:r>
              <w:rPr>
                <w:b w:val="0"/>
              </w:rPr>
              <w:t>5725</w:t>
            </w:r>
            <w:r w:rsidR="0056521A" w:rsidRPr="000E2EA5">
              <w:rPr>
                <w:rStyle w:val="charpartno"/>
                <w:b w:val="0"/>
                <w:sz w:val="19"/>
                <w:szCs w:val="19"/>
              </w:rPr>
              <w:t>–</w:t>
            </w:r>
            <w:r>
              <w:rPr>
                <w:b w:val="0"/>
              </w:rPr>
              <w:t>5850</w:t>
            </w:r>
          </w:p>
        </w:tc>
        <w:tc>
          <w:tcPr>
            <w:tcW w:w="6237" w:type="dxa"/>
            <w:shd w:val="clear" w:color="auto" w:fill="FFFFFF" w:themeFill="background1"/>
          </w:tcPr>
          <w:p w14:paraId="35AD56F0" w14:textId="77777777" w:rsidR="001B4FA5" w:rsidRDefault="001B4FA5" w:rsidP="0056521A">
            <w:pPr>
              <w:spacing w:after="0"/>
              <w:cnfStyle w:val="000000000000" w:firstRow="0" w:lastRow="0" w:firstColumn="0" w:lastColumn="0" w:oddVBand="0" w:evenVBand="0" w:oddHBand="0" w:evenHBand="0" w:firstRowFirstColumn="0" w:firstRowLastColumn="0" w:lastRowFirstColumn="0" w:lastRowLastColumn="0"/>
            </w:pPr>
            <w:r>
              <w:t>Digital modulation transmitters (max power 4 W EIRP)</w:t>
            </w:r>
          </w:p>
        </w:tc>
      </w:tr>
      <w:tr w:rsidR="001B4FA5" w14:paraId="3E18BB84"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031B6912" w14:textId="354BB66A" w:rsidR="001B4FA5" w:rsidRPr="00811596" w:rsidRDefault="001B4FA5" w:rsidP="0056521A">
            <w:pPr>
              <w:spacing w:after="0"/>
              <w:rPr>
                <w:b w:val="0"/>
              </w:rPr>
            </w:pPr>
            <w:r>
              <w:rPr>
                <w:b w:val="0"/>
              </w:rPr>
              <w:t>5150</w:t>
            </w:r>
            <w:r w:rsidR="0056521A" w:rsidRPr="000E2EA5">
              <w:rPr>
                <w:rStyle w:val="charpartno"/>
                <w:b w:val="0"/>
                <w:sz w:val="19"/>
                <w:szCs w:val="19"/>
              </w:rPr>
              <w:t>–</w:t>
            </w:r>
            <w:r>
              <w:rPr>
                <w:b w:val="0"/>
              </w:rPr>
              <w:t>5250</w:t>
            </w:r>
          </w:p>
        </w:tc>
        <w:tc>
          <w:tcPr>
            <w:tcW w:w="6237" w:type="dxa"/>
            <w:shd w:val="clear" w:color="auto" w:fill="FFFFFF" w:themeFill="background1"/>
          </w:tcPr>
          <w:p w14:paraId="4D9A937B" w14:textId="77777777" w:rsidR="001B4FA5" w:rsidRDefault="001B4FA5" w:rsidP="0056521A">
            <w:pPr>
              <w:spacing w:after="0"/>
              <w:cnfStyle w:val="000000100000" w:firstRow="0" w:lastRow="0" w:firstColumn="0" w:lastColumn="0" w:oddVBand="0" w:evenVBand="0" w:oddHBand="1" w:evenHBand="0" w:firstRowFirstColumn="0" w:firstRowLastColumn="0" w:lastRowFirstColumn="0" w:lastRowLastColumn="0"/>
            </w:pPr>
            <w:r>
              <w:t>Radio local area network transmitters (max power 200 mW EIRP)</w:t>
            </w:r>
          </w:p>
        </w:tc>
      </w:tr>
      <w:tr w:rsidR="001B4FA5" w14:paraId="175E7619"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55DE7BA9" w14:textId="34A1D255" w:rsidR="001B4FA5" w:rsidRPr="00811596" w:rsidRDefault="001B4FA5" w:rsidP="0056521A">
            <w:pPr>
              <w:spacing w:after="0"/>
              <w:rPr>
                <w:b w:val="0"/>
              </w:rPr>
            </w:pPr>
            <w:r>
              <w:rPr>
                <w:b w:val="0"/>
              </w:rPr>
              <w:t>5250</w:t>
            </w:r>
            <w:r w:rsidR="0056521A" w:rsidRPr="000E2EA5">
              <w:rPr>
                <w:rStyle w:val="charpartno"/>
                <w:b w:val="0"/>
                <w:sz w:val="19"/>
                <w:szCs w:val="19"/>
              </w:rPr>
              <w:t>–</w:t>
            </w:r>
            <w:r>
              <w:rPr>
                <w:b w:val="0"/>
              </w:rPr>
              <w:t>5350</w:t>
            </w:r>
          </w:p>
        </w:tc>
        <w:tc>
          <w:tcPr>
            <w:tcW w:w="6237" w:type="dxa"/>
            <w:shd w:val="clear" w:color="auto" w:fill="FFFFFF" w:themeFill="background1"/>
          </w:tcPr>
          <w:p w14:paraId="533AF1E3" w14:textId="77777777" w:rsidR="001B4FA5" w:rsidRDefault="001B4FA5" w:rsidP="0056521A">
            <w:pPr>
              <w:spacing w:after="0"/>
              <w:cnfStyle w:val="000000000000" w:firstRow="0" w:lastRow="0" w:firstColumn="0" w:lastColumn="0" w:oddVBand="0" w:evenVBand="0" w:oddHBand="0" w:evenHBand="0" w:firstRowFirstColumn="0" w:firstRowLastColumn="0" w:lastRowFirstColumn="0" w:lastRowLastColumn="0"/>
            </w:pPr>
            <w:r>
              <w:t>Radio local area network transmitters (max power 200 mW EIRP)</w:t>
            </w:r>
          </w:p>
        </w:tc>
      </w:tr>
      <w:tr w:rsidR="001B4FA5" w14:paraId="03116153"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1DE54E63" w14:textId="3F0EC7D8" w:rsidR="001B4FA5" w:rsidRDefault="001B4FA5" w:rsidP="0056521A">
            <w:pPr>
              <w:spacing w:after="0"/>
              <w:rPr>
                <w:b w:val="0"/>
              </w:rPr>
            </w:pPr>
            <w:r>
              <w:rPr>
                <w:b w:val="0"/>
              </w:rPr>
              <w:lastRenderedPageBreak/>
              <w:t>5470</w:t>
            </w:r>
            <w:r w:rsidR="0056521A" w:rsidRPr="000E2EA5">
              <w:rPr>
                <w:rStyle w:val="charpartno"/>
                <w:b w:val="0"/>
                <w:sz w:val="19"/>
                <w:szCs w:val="19"/>
              </w:rPr>
              <w:t>–</w:t>
            </w:r>
            <w:r>
              <w:rPr>
                <w:b w:val="0"/>
              </w:rPr>
              <w:t>5600</w:t>
            </w:r>
          </w:p>
        </w:tc>
        <w:tc>
          <w:tcPr>
            <w:tcW w:w="6237" w:type="dxa"/>
            <w:shd w:val="clear" w:color="auto" w:fill="FFFFFF" w:themeFill="background1"/>
          </w:tcPr>
          <w:p w14:paraId="00FCF360" w14:textId="77777777" w:rsidR="001B4FA5" w:rsidRDefault="001B4FA5" w:rsidP="0056521A">
            <w:pPr>
              <w:spacing w:after="0"/>
              <w:cnfStyle w:val="000000100000" w:firstRow="0" w:lastRow="0" w:firstColumn="0" w:lastColumn="0" w:oddVBand="0" w:evenVBand="0" w:oddHBand="1" w:evenHBand="0" w:firstRowFirstColumn="0" w:firstRowLastColumn="0" w:lastRowFirstColumn="0" w:lastRowLastColumn="0"/>
            </w:pPr>
            <w:r>
              <w:t>Radio local area network transmitters (max power 1 W EIRP)</w:t>
            </w:r>
          </w:p>
        </w:tc>
      </w:tr>
      <w:tr w:rsidR="001B4FA5" w14:paraId="50261E49"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4CCF7083" w14:textId="35156F74" w:rsidR="001B4FA5" w:rsidRDefault="001B4FA5" w:rsidP="0056521A">
            <w:pPr>
              <w:spacing w:after="0"/>
              <w:rPr>
                <w:b w:val="0"/>
              </w:rPr>
            </w:pPr>
            <w:r>
              <w:rPr>
                <w:b w:val="0"/>
              </w:rPr>
              <w:t>5650</w:t>
            </w:r>
            <w:r w:rsidR="0056521A" w:rsidRPr="000E2EA5">
              <w:rPr>
                <w:rStyle w:val="charpartno"/>
                <w:b w:val="0"/>
                <w:sz w:val="19"/>
                <w:szCs w:val="19"/>
              </w:rPr>
              <w:t>–</w:t>
            </w:r>
            <w:r>
              <w:rPr>
                <w:b w:val="0"/>
              </w:rPr>
              <w:t>5725</w:t>
            </w:r>
          </w:p>
        </w:tc>
        <w:tc>
          <w:tcPr>
            <w:tcW w:w="6237" w:type="dxa"/>
            <w:shd w:val="clear" w:color="auto" w:fill="FFFFFF" w:themeFill="background1"/>
          </w:tcPr>
          <w:p w14:paraId="4D1C423E" w14:textId="77777777" w:rsidR="001B4FA5" w:rsidRDefault="001B4FA5" w:rsidP="0056521A">
            <w:pPr>
              <w:spacing w:after="0"/>
              <w:cnfStyle w:val="000000000000" w:firstRow="0" w:lastRow="0" w:firstColumn="0" w:lastColumn="0" w:oddVBand="0" w:evenVBand="0" w:oddHBand="0" w:evenHBand="0" w:firstRowFirstColumn="0" w:firstRowLastColumn="0" w:lastRowFirstColumn="0" w:lastRowLastColumn="0"/>
            </w:pPr>
            <w:r>
              <w:t>Radio local area network transmitters (max power 1 W EIRP)</w:t>
            </w:r>
          </w:p>
        </w:tc>
      </w:tr>
      <w:tr w:rsidR="001B4FA5" w14:paraId="0DFF2B38" w14:textId="77777777" w:rsidTr="000B3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6164C796" w14:textId="126181A5" w:rsidR="001B4FA5" w:rsidRDefault="001B4FA5" w:rsidP="0056521A">
            <w:pPr>
              <w:spacing w:after="0"/>
              <w:rPr>
                <w:b w:val="0"/>
              </w:rPr>
            </w:pPr>
            <w:r>
              <w:rPr>
                <w:b w:val="0"/>
              </w:rPr>
              <w:t>59000</w:t>
            </w:r>
            <w:r w:rsidR="0056521A" w:rsidRPr="000E2EA5">
              <w:rPr>
                <w:rStyle w:val="charpartno"/>
                <w:b w:val="0"/>
                <w:sz w:val="19"/>
                <w:szCs w:val="19"/>
              </w:rPr>
              <w:t>–</w:t>
            </w:r>
            <w:r>
              <w:rPr>
                <w:b w:val="0"/>
              </w:rPr>
              <w:t>63000</w:t>
            </w:r>
          </w:p>
        </w:tc>
        <w:tc>
          <w:tcPr>
            <w:tcW w:w="6237" w:type="dxa"/>
            <w:shd w:val="clear" w:color="auto" w:fill="FFFFFF" w:themeFill="background1"/>
          </w:tcPr>
          <w:p w14:paraId="7249A300" w14:textId="77777777" w:rsidR="001B4FA5" w:rsidRDefault="001B4FA5" w:rsidP="0056521A">
            <w:pPr>
              <w:spacing w:after="0"/>
              <w:cnfStyle w:val="000000100000" w:firstRow="0" w:lastRow="0" w:firstColumn="0" w:lastColumn="0" w:oddVBand="0" w:evenVBand="0" w:oddHBand="1" w:evenHBand="0" w:firstRowFirstColumn="0" w:firstRowLastColumn="0" w:lastRowFirstColumn="0" w:lastRowLastColumn="0"/>
            </w:pPr>
            <w:r>
              <w:t>Data communication transmitters outdoors (max power 150 W EIRP)</w:t>
            </w:r>
          </w:p>
        </w:tc>
      </w:tr>
      <w:tr w:rsidR="001B4FA5" w14:paraId="4DBA3910" w14:textId="77777777" w:rsidTr="000B3CC5">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1129AC55" w14:textId="41B75BE0" w:rsidR="001B4FA5" w:rsidRDefault="001B4FA5" w:rsidP="0056521A">
            <w:pPr>
              <w:spacing w:after="0"/>
              <w:rPr>
                <w:b w:val="0"/>
              </w:rPr>
            </w:pPr>
            <w:r>
              <w:rPr>
                <w:b w:val="0"/>
              </w:rPr>
              <w:t>57000</w:t>
            </w:r>
            <w:r w:rsidR="0056521A" w:rsidRPr="000E2EA5">
              <w:rPr>
                <w:rStyle w:val="charpartno"/>
                <w:b w:val="0"/>
                <w:sz w:val="19"/>
                <w:szCs w:val="19"/>
              </w:rPr>
              <w:t>–</w:t>
            </w:r>
            <w:r w:rsidR="00330DCE">
              <w:rPr>
                <w:b w:val="0"/>
              </w:rPr>
              <w:t>71000</w:t>
            </w:r>
          </w:p>
        </w:tc>
        <w:tc>
          <w:tcPr>
            <w:tcW w:w="6237" w:type="dxa"/>
            <w:shd w:val="clear" w:color="auto" w:fill="FFFFFF" w:themeFill="background1"/>
          </w:tcPr>
          <w:p w14:paraId="06C4FA12" w14:textId="77777777" w:rsidR="001B4FA5" w:rsidRDefault="001B4FA5" w:rsidP="0056521A">
            <w:pPr>
              <w:spacing w:after="0"/>
              <w:cnfStyle w:val="000000000000" w:firstRow="0" w:lastRow="0" w:firstColumn="0" w:lastColumn="0" w:oddVBand="0" w:evenVBand="0" w:oddHBand="0" w:evenHBand="0" w:firstRowFirstColumn="0" w:firstRowLastColumn="0" w:lastRowFirstColumn="0" w:lastRowLastColumn="0"/>
            </w:pPr>
            <w:r>
              <w:t>Data communication transmitters indoors (max power 20 W EIRP)</w:t>
            </w:r>
          </w:p>
        </w:tc>
      </w:tr>
    </w:tbl>
    <w:p w14:paraId="0F1FAF2B" w14:textId="2F6A3D92" w:rsidR="00E76085" w:rsidRPr="00B53F89" w:rsidRDefault="00E76085" w:rsidP="00D7755E"/>
    <w:p w14:paraId="0B9B2E06" w14:textId="4B01A740" w:rsidR="00776BF2" w:rsidRPr="00776BF2" w:rsidRDefault="001B5127" w:rsidP="00513FDE">
      <w:pPr>
        <w:pStyle w:val="Heading3"/>
        <w:keepLines/>
        <w:rPr>
          <w:b w:val="0"/>
        </w:rPr>
      </w:pPr>
      <w:bookmarkStart w:id="158" w:name="_Toc36207400"/>
      <w:bookmarkStart w:id="159" w:name="_Toc51864294"/>
      <w:bookmarkStart w:id="160" w:name="_Toc510104934"/>
      <w:bookmarkStart w:id="161" w:name="_Toc510105731"/>
      <w:bookmarkStart w:id="162" w:name="_Toc31892779"/>
      <w:r>
        <w:t>Broadcasting services</w:t>
      </w:r>
      <w:bookmarkEnd w:id="158"/>
      <w:bookmarkEnd w:id="159"/>
    </w:p>
    <w:p w14:paraId="4FF770ED" w14:textId="5C48D97D" w:rsidR="005137C1" w:rsidRDefault="005137C1" w:rsidP="00513FDE">
      <w:pPr>
        <w:keepNext/>
        <w:keepLines/>
      </w:pPr>
      <w:r>
        <w:t>Broadcasting services are delivered using radiocommunications spectrum, including</w:t>
      </w:r>
      <w:r w:rsidDel="00D357B4">
        <w:t xml:space="preserve"> </w:t>
      </w:r>
      <w:r>
        <w:t>AM and FM frequencies (for radio), UHF and satellite frequencies (for television)</w:t>
      </w:r>
      <w:r w:rsidDel="002A7E6D">
        <w:t xml:space="preserve"> and other parts of the spectrum deliver broadcasting services </w:t>
      </w:r>
      <w:r w:rsidR="00E36513">
        <w:t>(</w:t>
      </w:r>
      <w:r w:rsidDel="002A7E6D">
        <w:t xml:space="preserve">using </w:t>
      </w:r>
      <w:r>
        <w:t>mobile broadband and other wireless delivery systems</w:t>
      </w:r>
      <w:r w:rsidR="00E36513">
        <w:t>)</w:t>
      </w:r>
      <w:r>
        <w:t xml:space="preserve">. </w:t>
      </w:r>
    </w:p>
    <w:p w14:paraId="217B4198" w14:textId="6799AD9C" w:rsidR="00D91CDA" w:rsidRPr="00D91CDA" w:rsidRDefault="00D91CDA" w:rsidP="00513FDE">
      <w:pPr>
        <w:pStyle w:val="Heading4"/>
        <w:keepNext/>
        <w:keepLines/>
      </w:pPr>
      <w:r w:rsidRPr="00D91CDA">
        <w:t>Commercial radio broadcasting</w:t>
      </w:r>
    </w:p>
    <w:p w14:paraId="5A9C6424" w14:textId="03D94176" w:rsidR="005B1A7A" w:rsidRPr="005B1A7A" w:rsidRDefault="00D91CDA" w:rsidP="00513FDE">
      <w:pPr>
        <w:keepNext/>
        <w:keepLines/>
      </w:pPr>
      <w:r w:rsidRPr="00D91CDA">
        <w:t>The commercial radio sector comprises an extensive infrastructure base of AM and FM transmitters servicing metropolitan, regional and remote communities</w:t>
      </w:r>
      <w:r w:rsidR="005B1A7A">
        <w:t>.</w:t>
      </w:r>
      <w:r w:rsidR="005B1A7A" w:rsidRPr="005B1A7A">
        <w:t xml:space="preserve"> </w:t>
      </w:r>
      <w:r w:rsidR="003F2B7B">
        <w:t>R</w:t>
      </w:r>
      <w:r w:rsidR="005B1A7A" w:rsidRPr="005B1A7A">
        <w:t>ecent</w:t>
      </w:r>
      <w:r w:rsidR="003F2B7B">
        <w:t>ly,</w:t>
      </w:r>
      <w:r w:rsidR="005B1A7A" w:rsidRPr="005B1A7A">
        <w:t xml:space="preserve"> AM</w:t>
      </w:r>
      <w:r w:rsidR="00BB23E5">
        <w:t>–</w:t>
      </w:r>
      <w:r w:rsidR="005B1A7A" w:rsidRPr="005B1A7A">
        <w:t xml:space="preserve">FM conversions have been completed in </w:t>
      </w:r>
      <w:r w:rsidR="005B1A7A">
        <w:t>19</w:t>
      </w:r>
      <w:r w:rsidR="005B1A7A" w:rsidRPr="005B1A7A">
        <w:t xml:space="preserve"> </w:t>
      </w:r>
      <w:r w:rsidR="00E36513">
        <w:t>single-licensee</w:t>
      </w:r>
      <w:r w:rsidR="005B1A7A" w:rsidRPr="005B1A7A">
        <w:t xml:space="preserve"> markets.</w:t>
      </w:r>
    </w:p>
    <w:p w14:paraId="06BB2D5E" w14:textId="2AB5BBBF" w:rsidR="00D91CDA" w:rsidRPr="00D91CDA" w:rsidRDefault="00D91CDA" w:rsidP="00D91CDA">
      <w:r w:rsidRPr="00D91CDA">
        <w:t>Commercial digital radio is also delivered via a network of shared DAB+ digital radio multiplex transmitters in each capital city</w:t>
      </w:r>
      <w:r w:rsidR="005B1A7A">
        <w:t>, as well as in Mandurah, Western Australia.</w:t>
      </w:r>
      <w:r w:rsidR="00C97ADF">
        <w:t xml:space="preserve"> DAB+ uses spectrum in VHF television Band III.</w:t>
      </w:r>
    </w:p>
    <w:p w14:paraId="7C914704" w14:textId="77777777" w:rsidR="00D91CDA" w:rsidRPr="005B1A7A" w:rsidRDefault="00D91CDA" w:rsidP="006C024F">
      <w:pPr>
        <w:pStyle w:val="Heading4"/>
        <w:keepNext/>
      </w:pPr>
      <w:r w:rsidRPr="005B1A7A">
        <w:t>National broadcasting</w:t>
      </w:r>
    </w:p>
    <w:p w14:paraId="78F5790E" w14:textId="40B0EEB6" w:rsidR="00D91CDA" w:rsidRPr="00D91CDA" w:rsidRDefault="00D91CDA" w:rsidP="00D91CDA">
      <w:r w:rsidRPr="00D91CDA">
        <w:t xml:space="preserve">The ABC and SBS operate an extensive high-power network of AM and FM transmitters, which covers metropolitan, regional and remote areas. SBS delivers most of its regional services </w:t>
      </w:r>
      <w:r w:rsidR="00C97ADF">
        <w:t xml:space="preserve">through </w:t>
      </w:r>
      <w:r w:rsidRPr="00D91CDA">
        <w:t>retransmission</w:t>
      </w:r>
      <w:r w:rsidR="00C97ADF">
        <w:t>s</w:t>
      </w:r>
      <w:r w:rsidRPr="00D91CDA">
        <w:t xml:space="preserve"> </w:t>
      </w:r>
      <w:r w:rsidR="00C97ADF">
        <w:t xml:space="preserve">licensed </w:t>
      </w:r>
      <w:r w:rsidRPr="00D91CDA">
        <w:t>by third parties such as local councils.</w:t>
      </w:r>
      <w:r w:rsidRPr="00D91CDA">
        <w:rPr>
          <w:vertAlign w:val="superscript"/>
        </w:rPr>
        <w:footnoteReference w:id="19"/>
      </w:r>
      <w:r w:rsidRPr="00D91CDA">
        <w:t xml:space="preserve"> The ABC and SBS share DAB+ digital transmitters in all capital cities. </w:t>
      </w:r>
    </w:p>
    <w:p w14:paraId="7C320D16" w14:textId="3DF56004" w:rsidR="00D91CDA" w:rsidRPr="00D91CDA" w:rsidRDefault="00D91CDA" w:rsidP="00D91CDA">
      <w:r w:rsidRPr="00D91CDA">
        <w:t xml:space="preserve">Compared with commercial radio, the national broadcasters’ radio services face different </w:t>
      </w:r>
      <w:r w:rsidR="003F2B7B">
        <w:t xml:space="preserve">coverage </w:t>
      </w:r>
      <w:r w:rsidRPr="00D91CDA">
        <w:t>conditions and often have different coverage areas. While commercial and community services are restricted to their geographic licence areas in a way that national broadcasting services and radio streaming services are not, licence areas assist in delivering relevant local content and services to local communities. As they are restricted only by power, high-powered national AM services may serve much larger areas than commercial radio broadcasting services. The ABC’s highest power regional AM services provide unique and critical wide-area coverage to regional listeners, including listeners in cars outside of populated areas.</w:t>
      </w:r>
    </w:p>
    <w:p w14:paraId="272D00B3" w14:textId="77777777" w:rsidR="00D91CDA" w:rsidRPr="00D91CDA" w:rsidRDefault="00D91CDA" w:rsidP="003773F3">
      <w:pPr>
        <w:pStyle w:val="Heading4"/>
      </w:pPr>
      <w:r w:rsidRPr="00D91CDA">
        <w:t>Community radio broadcasting</w:t>
      </w:r>
    </w:p>
    <w:p w14:paraId="5BE9F5ED" w14:textId="4F3161D4" w:rsidR="001B3EF6" w:rsidRDefault="00D91CDA" w:rsidP="00D91CDA">
      <w:r w:rsidRPr="00D91CDA">
        <w:t>The community radio sector is diverse, providing local, community and niche services mainly via FM to metropolitan and regional audiences. Indigenous broadcasting transmissions serve remote communities as well as many regional and urban areas. In the capital cities, there are wide-area community services</w:t>
      </w:r>
      <w:r w:rsidR="002A7E6D">
        <w:t>,</w:t>
      </w:r>
      <w:r w:rsidRPr="00D91CDA">
        <w:t xml:space="preserve"> as well as more localised services covering sub-metropolitan regions of each city.</w:t>
      </w:r>
      <w:r w:rsidR="001B3EF6">
        <w:t xml:space="preserve"> </w:t>
      </w:r>
    </w:p>
    <w:p w14:paraId="1F968009" w14:textId="63CC48CD" w:rsidR="00D91CDA" w:rsidRDefault="002768C4" w:rsidP="008731FB">
      <w:pPr>
        <w:pStyle w:val="Heading4"/>
      </w:pPr>
      <w:r w:rsidRPr="006A2F04">
        <w:rPr>
          <w:noProof/>
        </w:rPr>
        <w:drawing>
          <wp:inline distT="0" distB="0" distL="0" distR="0" wp14:anchorId="2F11BD4F" wp14:editId="56985B8F">
            <wp:extent cx="244475" cy="140335"/>
            <wp:effectExtent l="0" t="0" r="3175" b="0"/>
            <wp:docPr id="234" name="Picture 234"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85004E">
        <w:t>Economic</w:t>
      </w:r>
      <w:r w:rsidR="00C97ADF">
        <w:t xml:space="preserve"> pressures</w:t>
      </w:r>
    </w:p>
    <w:p w14:paraId="56FD3E90" w14:textId="14D4C92D" w:rsidR="008410C6" w:rsidRDefault="008410C6" w:rsidP="001B5127">
      <w:r>
        <w:t>T</w:t>
      </w:r>
      <w:r w:rsidR="00673C7B">
        <w:t>he television and radio broadcasting environment is under pressure</w:t>
      </w:r>
      <w:r w:rsidR="00827819">
        <w:t>. Ongoing</w:t>
      </w:r>
      <w:r>
        <w:t xml:space="preserve"> technology developments and changing audience preferences </w:t>
      </w:r>
      <w:r w:rsidR="00827819">
        <w:t xml:space="preserve">are affecting </w:t>
      </w:r>
      <w:r>
        <w:t xml:space="preserve">future demand for spectrum. </w:t>
      </w:r>
      <w:r w:rsidR="005B3C74">
        <w:t>T</w:t>
      </w:r>
      <w:r w:rsidR="00827819">
        <w:t>he environment f</w:t>
      </w:r>
      <w:r>
        <w:t xml:space="preserve">or commercial </w:t>
      </w:r>
      <w:r w:rsidR="00264AC8">
        <w:t xml:space="preserve">TV and radio </w:t>
      </w:r>
      <w:r>
        <w:t xml:space="preserve">broadcasters </w:t>
      </w:r>
      <w:r w:rsidR="00827819">
        <w:t xml:space="preserve">has </w:t>
      </w:r>
      <w:r w:rsidR="00827819">
        <w:lastRenderedPageBreak/>
        <w:t>seen a marked</w:t>
      </w:r>
      <w:r>
        <w:t xml:space="preserve"> decline of advertising revenues</w:t>
      </w:r>
      <w:r w:rsidR="002A7E6D">
        <w:t>,</w:t>
      </w:r>
      <w:r>
        <w:t xml:space="preserve"> </w:t>
      </w:r>
      <w:r w:rsidR="00827819">
        <w:t xml:space="preserve">which is likely </w:t>
      </w:r>
      <w:r w:rsidR="00127CAB">
        <w:t>to constrain</w:t>
      </w:r>
      <w:r>
        <w:t xml:space="preserve"> the capacity for future network investment. </w:t>
      </w:r>
    </w:p>
    <w:p w14:paraId="65067FE2" w14:textId="43A1990E" w:rsidR="00457471" w:rsidRDefault="005B3C74" w:rsidP="00856C29">
      <w:pPr>
        <w:keepNext/>
        <w:keepLines/>
      </w:pPr>
      <w:bookmarkStart w:id="163" w:name="_Hlk36823607"/>
      <w:r>
        <w:t xml:space="preserve">Free TV has reported a decline in industry </w:t>
      </w:r>
      <w:r w:rsidRPr="004B3FAC">
        <w:t>revenue</w:t>
      </w:r>
      <w:r>
        <w:t xml:space="preserve"> of 9.2 per cent over 2013</w:t>
      </w:r>
      <w:r w:rsidR="002A7E6D">
        <w:t>–</w:t>
      </w:r>
      <w:r>
        <w:t xml:space="preserve">18 from $3.88 billion to $3.52 </w:t>
      </w:r>
      <w:r w:rsidRPr="001A7C2A">
        <w:t>billion</w:t>
      </w:r>
      <w:r w:rsidR="000B1F7D">
        <w:t>.</w:t>
      </w:r>
      <w:bookmarkStart w:id="164" w:name="_Hlk36823634"/>
      <w:bookmarkEnd w:id="163"/>
      <w:r w:rsidRPr="00435A9F">
        <w:t xml:space="preserve"> </w:t>
      </w:r>
      <w:r w:rsidR="00457471">
        <w:t xml:space="preserve">Commercial television broadcasters have seen further declines under the COVID-19 pandemic. </w:t>
      </w:r>
      <w:r w:rsidR="00457471" w:rsidRPr="00457471">
        <w:t>In the June</w:t>
      </w:r>
      <w:r w:rsidR="001C4AB5">
        <w:t xml:space="preserve"> 2020</w:t>
      </w:r>
      <w:r w:rsidR="00457471" w:rsidRPr="00457471">
        <w:t xml:space="preserve"> half, TV advertising revenues were $1.49 billion, a decrease of 22.1</w:t>
      </w:r>
      <w:r w:rsidR="00457471">
        <w:t xml:space="preserve"> per cent</w:t>
      </w:r>
      <w:r w:rsidR="00457471" w:rsidRPr="00457471">
        <w:t xml:space="preserve"> when compared to the same period ending June 2019.</w:t>
      </w:r>
      <w:r w:rsidR="00457471">
        <w:rPr>
          <w:rStyle w:val="FootnoteReference"/>
        </w:rPr>
        <w:footnoteReference w:id="20"/>
      </w:r>
      <w:r w:rsidR="00457471">
        <w:t xml:space="preserve"> However, ThinkTV also reports that television outperformed the broader advertising market</w:t>
      </w:r>
      <w:r w:rsidR="00264AC8">
        <w:t>,</w:t>
      </w:r>
      <w:r w:rsidR="00457471">
        <w:t xml:space="preserve"> recording a 13.7 per cent drop in the 12 months to June 30.</w:t>
      </w:r>
      <w:r w:rsidR="00457471" w:rsidRPr="00457471">
        <w:t xml:space="preserve"> </w:t>
      </w:r>
      <w:r w:rsidR="00457471">
        <w:t>In addition, content availability due to the shutdown of television production and suspension of major sporting events has had further impacts. Citing these factors, in March 2020, Nine Entertainment and Seven West Media each withdrew their profit guidance for the financial year.</w:t>
      </w:r>
      <w:r w:rsidR="00457471">
        <w:rPr>
          <w:rStyle w:val="FootnoteReference"/>
        </w:rPr>
        <w:footnoteReference w:id="21"/>
      </w:r>
    </w:p>
    <w:p w14:paraId="047EC514" w14:textId="656B45CC" w:rsidR="009F2F47" w:rsidRDefault="00D20965" w:rsidP="001F29C3">
      <w:pPr>
        <w:keepNext/>
        <w:keepLines/>
      </w:pPr>
      <w:r w:rsidRPr="008731FB">
        <w:t xml:space="preserve">The commercial radio industry </w:t>
      </w:r>
      <w:r>
        <w:t xml:space="preserve">experienced a drop of </w:t>
      </w:r>
      <w:r w:rsidR="001D63A8">
        <w:t>20</w:t>
      </w:r>
      <w:r>
        <w:t>.</w:t>
      </w:r>
      <w:r w:rsidR="001D63A8">
        <w:t xml:space="preserve">4 </w:t>
      </w:r>
      <w:r>
        <w:t>per cent in metropolitan advertising revenue ($</w:t>
      </w:r>
      <w:r w:rsidR="001D63A8">
        <w:t>643</w:t>
      </w:r>
      <w:r>
        <w:t>.</w:t>
      </w:r>
      <w:r w:rsidR="001D63A8">
        <w:t xml:space="preserve">046 </w:t>
      </w:r>
      <w:r>
        <w:t xml:space="preserve">million) for the </w:t>
      </w:r>
      <w:r w:rsidR="00264AC8">
        <w:t>20</w:t>
      </w:r>
      <w:r w:rsidR="001D63A8">
        <w:t>19</w:t>
      </w:r>
      <w:r w:rsidR="00264AC8">
        <w:t>–</w:t>
      </w:r>
      <w:r w:rsidR="001D63A8">
        <w:t xml:space="preserve">20 financial </w:t>
      </w:r>
      <w:r>
        <w:t>year</w:t>
      </w:r>
      <w:r w:rsidR="001D63A8">
        <w:t>.</w:t>
      </w:r>
      <w:r w:rsidR="00030C7E" w:rsidRPr="00414D67">
        <w:rPr>
          <w:rStyle w:val="FootnoteReference"/>
        </w:rPr>
        <w:footnoteReference w:id="22"/>
      </w:r>
      <w:r w:rsidR="00030C7E" w:rsidRPr="00414D67">
        <w:t xml:space="preserve"> </w:t>
      </w:r>
      <w:r w:rsidR="00D22297" w:rsidRPr="00414D67">
        <w:t xml:space="preserve">In the quarter to </w:t>
      </w:r>
      <w:r w:rsidR="001D63A8">
        <w:t>June</w:t>
      </w:r>
      <w:r w:rsidR="001D63A8" w:rsidRPr="00414D67">
        <w:t xml:space="preserve"> </w:t>
      </w:r>
      <w:r w:rsidR="009B5A37" w:rsidRPr="00414D67">
        <w:t>2020</w:t>
      </w:r>
      <w:r w:rsidR="002A7E6D" w:rsidRPr="00414D67">
        <w:t>,</w:t>
      </w:r>
      <w:r w:rsidR="009B5A37" w:rsidRPr="00414D67">
        <w:t xml:space="preserve"> metropolitan radio advertising revenue was do</w:t>
      </w:r>
      <w:r w:rsidR="002A7E6D" w:rsidRPr="00414D67">
        <w:t>wn</w:t>
      </w:r>
      <w:r w:rsidR="009B5A37" w:rsidRPr="00414D67">
        <w:t xml:space="preserve"> </w:t>
      </w:r>
      <w:r w:rsidR="001D63A8">
        <w:t>46</w:t>
      </w:r>
      <w:r w:rsidR="009B5A37" w:rsidRPr="00414D67">
        <w:t>.</w:t>
      </w:r>
      <w:r w:rsidR="001D63A8">
        <w:t>6</w:t>
      </w:r>
      <w:r w:rsidR="001D63A8" w:rsidRPr="00414D67">
        <w:t xml:space="preserve"> </w:t>
      </w:r>
      <w:r w:rsidR="009B5A37" w:rsidRPr="00414D67">
        <w:t>per cent on the same period last year.</w:t>
      </w:r>
      <w:r w:rsidR="009B5A37" w:rsidRPr="00414D67">
        <w:rPr>
          <w:rStyle w:val="FootnoteReference"/>
        </w:rPr>
        <w:footnoteReference w:id="23"/>
      </w:r>
      <w:r w:rsidR="005137C1">
        <w:t xml:space="preserve"> </w:t>
      </w:r>
      <w:r w:rsidR="00341272">
        <w:t xml:space="preserve">In </w:t>
      </w:r>
      <w:r w:rsidR="001D63A8">
        <w:t>response to these pressures from the COVID-19 pandemic</w:t>
      </w:r>
      <w:r w:rsidR="00987BA2">
        <w:t>,</w:t>
      </w:r>
      <w:r w:rsidR="00341272">
        <w:t xml:space="preserve"> several radio networks announced cost</w:t>
      </w:r>
      <w:r w:rsidR="00264AC8">
        <w:t>-</w:t>
      </w:r>
      <w:r w:rsidR="00341272">
        <w:t>cutting</w:t>
      </w:r>
      <w:r w:rsidR="005137C1">
        <w:t xml:space="preserve"> measures.</w:t>
      </w:r>
      <w:r w:rsidR="00B33E10">
        <w:rPr>
          <w:rStyle w:val="FootnoteReference"/>
        </w:rPr>
        <w:footnoteReference w:id="24"/>
      </w:r>
    </w:p>
    <w:p w14:paraId="19D9F253" w14:textId="6FCF3D79" w:rsidR="009B5A37" w:rsidRDefault="009B5A37" w:rsidP="000B1F7D">
      <w:pPr>
        <w:rPr>
          <w:color w:val="000000"/>
          <w:shd w:val="clear" w:color="auto" w:fill="FFFFFF"/>
        </w:rPr>
      </w:pPr>
      <w:r>
        <w:t>In April 2020</w:t>
      </w:r>
      <w:r w:rsidR="00987BA2">
        <w:t xml:space="preserve">, </w:t>
      </w:r>
      <w:r>
        <w:t>in response to</w:t>
      </w:r>
      <w:r w:rsidRPr="009B5A37">
        <w:rPr>
          <w:color w:val="000000"/>
          <w:shd w:val="clear" w:color="auto" w:fill="FFFFFF"/>
        </w:rPr>
        <w:t xml:space="preserve"> </w:t>
      </w:r>
      <w:r>
        <w:rPr>
          <w:color w:val="000000"/>
          <w:shd w:val="clear" w:color="auto" w:fill="FFFFFF"/>
        </w:rPr>
        <w:t>representations from a number of affected</w:t>
      </w:r>
      <w:r w:rsidR="005A170A">
        <w:rPr>
          <w:color w:val="000000"/>
          <w:shd w:val="clear" w:color="auto" w:fill="FFFFFF"/>
        </w:rPr>
        <w:t xml:space="preserve"> commercial </w:t>
      </w:r>
      <w:r>
        <w:rPr>
          <w:color w:val="000000"/>
          <w:shd w:val="clear" w:color="auto" w:fill="FFFFFF"/>
        </w:rPr>
        <w:t xml:space="preserve">broadcasters seeking relief from transmitter licence taxes </w:t>
      </w:r>
      <w:r w:rsidR="00987BA2">
        <w:rPr>
          <w:color w:val="000000"/>
          <w:shd w:val="clear" w:color="auto" w:fill="FFFFFF"/>
        </w:rPr>
        <w:t>due to</w:t>
      </w:r>
      <w:r>
        <w:rPr>
          <w:color w:val="000000"/>
          <w:shd w:val="clear" w:color="auto" w:fill="FFFFFF"/>
        </w:rPr>
        <w:t xml:space="preserve"> the impacts of the COVID-19 pandemic</w:t>
      </w:r>
      <w:r w:rsidR="00987BA2">
        <w:rPr>
          <w:color w:val="000000"/>
          <w:shd w:val="clear" w:color="auto" w:fill="FFFFFF"/>
        </w:rPr>
        <w:t xml:space="preserve">, </w:t>
      </w:r>
      <w:r>
        <w:rPr>
          <w:color w:val="000000"/>
          <w:shd w:val="clear" w:color="auto" w:fill="FFFFFF"/>
        </w:rPr>
        <w:t xml:space="preserve">the </w:t>
      </w:r>
      <w:r w:rsidR="00987BA2">
        <w:rPr>
          <w:color w:val="000000"/>
          <w:shd w:val="clear" w:color="auto" w:fill="FFFFFF"/>
        </w:rPr>
        <w:t>g</w:t>
      </w:r>
      <w:r>
        <w:rPr>
          <w:color w:val="000000"/>
          <w:shd w:val="clear" w:color="auto" w:fill="FFFFFF"/>
        </w:rPr>
        <w:t>overnment made rules that provided a 100</w:t>
      </w:r>
      <w:r w:rsidR="00987BA2">
        <w:rPr>
          <w:color w:val="000000"/>
          <w:shd w:val="clear" w:color="auto" w:fill="FFFFFF"/>
        </w:rPr>
        <w:t xml:space="preserve"> per cent</w:t>
      </w:r>
      <w:r>
        <w:rPr>
          <w:color w:val="000000"/>
          <w:shd w:val="clear" w:color="auto" w:fill="FFFFFF"/>
        </w:rPr>
        <w:t xml:space="preserve"> rebate </w:t>
      </w:r>
      <w:r w:rsidR="009F2F47">
        <w:rPr>
          <w:color w:val="000000"/>
          <w:shd w:val="clear" w:color="auto" w:fill="FFFFFF"/>
        </w:rPr>
        <w:t>of the commercial</w:t>
      </w:r>
      <w:r>
        <w:rPr>
          <w:color w:val="000000"/>
          <w:shd w:val="clear" w:color="auto" w:fill="FFFFFF"/>
        </w:rPr>
        <w:t xml:space="preserve"> broadcasting tax</w:t>
      </w:r>
      <w:r w:rsidR="009F2F47">
        <w:rPr>
          <w:color w:val="000000"/>
          <w:shd w:val="clear" w:color="auto" w:fill="FFFFFF"/>
        </w:rPr>
        <w:t xml:space="preserve"> for the 12 months </w:t>
      </w:r>
      <w:r w:rsidR="009F2F47" w:rsidRPr="009F2F47">
        <w:rPr>
          <w:color w:val="000000"/>
          <w:shd w:val="clear" w:color="auto" w:fill="FFFFFF"/>
        </w:rPr>
        <w:t>beginning 14 February 2020 and ending 13 February 2021</w:t>
      </w:r>
      <w:r w:rsidR="009F2F47">
        <w:rPr>
          <w:color w:val="000000"/>
          <w:shd w:val="clear" w:color="auto" w:fill="FFFFFF"/>
        </w:rPr>
        <w:t>.</w:t>
      </w:r>
      <w:r w:rsidR="009F2F47">
        <w:rPr>
          <w:rStyle w:val="FootnoteReference"/>
          <w:color w:val="000000"/>
          <w:shd w:val="clear" w:color="auto" w:fill="FFFFFF"/>
        </w:rPr>
        <w:footnoteReference w:id="25"/>
      </w:r>
      <w:r>
        <w:rPr>
          <w:color w:val="000000"/>
          <w:shd w:val="clear" w:color="auto" w:fill="FFFFFF"/>
        </w:rPr>
        <w:t xml:space="preserve"> </w:t>
      </w:r>
      <w:r w:rsidR="009F2F47">
        <w:rPr>
          <w:color w:val="000000"/>
          <w:shd w:val="clear" w:color="auto" w:fill="FFFFFF"/>
        </w:rPr>
        <w:t xml:space="preserve">This is discussed further in the </w:t>
      </w:r>
      <w:r w:rsidR="006F7B07" w:rsidRPr="00A37111">
        <w:rPr>
          <w:i/>
          <w:iCs/>
        </w:rPr>
        <w:t>Pricing</w:t>
      </w:r>
      <w:r w:rsidR="006F7B07">
        <w:t xml:space="preserve"> </w:t>
      </w:r>
      <w:r w:rsidR="009F2F47">
        <w:rPr>
          <w:color w:val="000000"/>
          <w:shd w:val="clear" w:color="auto" w:fill="FFFFFF"/>
        </w:rPr>
        <w:t>section.</w:t>
      </w:r>
    </w:p>
    <w:p w14:paraId="2CE914FC" w14:textId="78128A2D" w:rsidR="0085004E" w:rsidRDefault="0085004E" w:rsidP="008731FB">
      <w:pPr>
        <w:pStyle w:val="Heading4"/>
      </w:pPr>
      <w:r>
        <w:t xml:space="preserve">Spectrum </w:t>
      </w:r>
      <w:r w:rsidR="000E7B4F">
        <w:t>demand</w:t>
      </w:r>
    </w:p>
    <w:p w14:paraId="676AAE0C" w14:textId="582CC89A" w:rsidR="00FF71C0" w:rsidRDefault="00987BA2" w:rsidP="00FF71C0">
      <w:bookmarkStart w:id="165" w:name="_Hlk36823797"/>
      <w:bookmarkEnd w:id="164"/>
      <w:r>
        <w:t>C</w:t>
      </w:r>
      <w:r w:rsidR="0085004E">
        <w:t>hanging spectrum requirements</w:t>
      </w:r>
      <w:r>
        <w:t xml:space="preserve"> are</w:t>
      </w:r>
      <w:r w:rsidR="0085004E">
        <w:t xml:space="preserve"> needed to support the ongoing evolution of broadcasting services and their audiences. </w:t>
      </w:r>
      <w:r w:rsidR="00FF71C0">
        <w:t>Evolving digital transmission technology and changes in viewer and listener behaviour are altering the modes of delivery and consequently</w:t>
      </w:r>
      <w:r w:rsidR="00FF71C0" w:rsidDel="00C8052B">
        <w:t xml:space="preserve"> </w:t>
      </w:r>
      <w:r w:rsidR="00FF71C0">
        <w:t xml:space="preserve">changing the broadcasting demand for spectrum. </w:t>
      </w:r>
    </w:p>
    <w:p w14:paraId="02A3EDBC" w14:textId="714A5EC0" w:rsidR="00FF71C0" w:rsidRDefault="00FF71C0" w:rsidP="00FF71C0">
      <w:r w:rsidRPr="00E12E45">
        <w:t xml:space="preserve">In recognition of the technological evolution occurring in broadcasting, </w:t>
      </w:r>
      <w:r w:rsidR="004275BC">
        <w:t>we</w:t>
      </w:r>
      <w:r w:rsidR="004B3FAC">
        <w:t xml:space="preserve"> have</w:t>
      </w:r>
      <w:r w:rsidRPr="00E12E45">
        <w:t xml:space="preserve"> actively supported new technology trials, such as the DVB-T2 trials for television</w:t>
      </w:r>
      <w:r>
        <w:t>.</w:t>
      </w:r>
      <w:r w:rsidR="00296BE9">
        <w:t xml:space="preserve"> </w:t>
      </w:r>
    </w:p>
    <w:p w14:paraId="65E403EF" w14:textId="5EEA5327" w:rsidR="00FF71C0" w:rsidRDefault="00FF71C0" w:rsidP="00FF71C0">
      <w:r w:rsidRPr="00835B8C">
        <w:t xml:space="preserve">In radio, the work </w:t>
      </w:r>
      <w:r w:rsidR="004275BC" w:rsidRPr="00835B8C">
        <w:t>we have</w:t>
      </w:r>
      <w:r w:rsidRPr="00835B8C">
        <w:t xml:space="preserve"> done with the radio industry through the </w:t>
      </w:r>
      <w:hyperlink r:id="rId51" w:history="1">
        <w:r w:rsidRPr="00835B8C">
          <w:rPr>
            <w:rStyle w:val="Hyperlink"/>
            <w:i/>
            <w:iCs/>
          </w:rPr>
          <w:t>Future delivery of radio</w:t>
        </w:r>
      </w:hyperlink>
      <w:r w:rsidR="00835B8C" w:rsidRPr="00835B8C">
        <w:t xml:space="preserve"> report</w:t>
      </w:r>
      <w:r w:rsidRPr="00835B8C">
        <w:t xml:space="preserve">, </w:t>
      </w:r>
      <w:r w:rsidR="00987BA2" w:rsidRPr="00835B8C">
        <w:t xml:space="preserve">has provided </w:t>
      </w:r>
      <w:r w:rsidRPr="00835B8C">
        <w:t>an ongoing transition path for the industry to evolve in response to new technologies and changing audience preferences, with the prioritisation of frequency planning arrangements designed to support radio broadcasters in making the best choices about their future service delivery.</w:t>
      </w:r>
    </w:p>
    <w:p w14:paraId="0FB1088B" w14:textId="16A68361" w:rsidR="00FF71C0" w:rsidRPr="00776BF2" w:rsidRDefault="00987BA2" w:rsidP="000B1F7D">
      <w:r>
        <w:t>Our</w:t>
      </w:r>
      <w:r w:rsidR="00FF71C0">
        <w:t xml:space="preserve"> priorities outlined in the report include the continued transitioning of commercial, community and national services in regional areas from AM to FM where spectrum is readily available, arrangements to allow further rollout of digital radio where this is feasible, coverage improvements for national, commercial and community </w:t>
      </w:r>
      <w:r w:rsidR="00FF71C0">
        <w:lastRenderedPageBreak/>
        <w:t>broadcasting where spectrum is available</w:t>
      </w:r>
      <w:r w:rsidR="00264AC8">
        <w:t>,</w:t>
      </w:r>
      <w:r w:rsidR="00FF71C0">
        <w:t xml:space="preserve"> and support for trials of new types of broadcasting technology.</w:t>
      </w:r>
      <w:r w:rsidR="00EA6D18">
        <w:t xml:space="preserve"> </w:t>
      </w:r>
    </w:p>
    <w:p w14:paraId="54BE0AE9" w14:textId="77777777" w:rsidR="00335C95" w:rsidRPr="00B53F89" w:rsidRDefault="00465725" w:rsidP="0010018E">
      <w:pPr>
        <w:keepNext/>
        <w:keepLines/>
        <w:spacing w:after="0"/>
      </w:pPr>
      <w:bookmarkStart w:id="166" w:name="_Toc494115154"/>
      <w:bookmarkStart w:id="167" w:name="_Toc510104935"/>
      <w:bookmarkStart w:id="168" w:name="_Toc510105732"/>
      <w:bookmarkStart w:id="169" w:name="_Toc511716273"/>
      <w:bookmarkStart w:id="170" w:name="_Toc511719084"/>
      <w:bookmarkStart w:id="171" w:name="_Toc522794080"/>
      <w:bookmarkStart w:id="172" w:name="_Toc509581804"/>
      <w:bookmarkStart w:id="173" w:name="_Toc509585120"/>
      <w:bookmarkStart w:id="174" w:name="_Toc509585656"/>
      <w:bookmarkStart w:id="175" w:name="_Toc510795072"/>
      <w:bookmarkStart w:id="176" w:name="_Hlk2582851"/>
      <w:bookmarkEnd w:id="154"/>
      <w:bookmarkEnd w:id="155"/>
      <w:bookmarkEnd w:id="156"/>
      <w:bookmarkEnd w:id="157"/>
      <w:bookmarkEnd w:id="160"/>
      <w:bookmarkEnd w:id="161"/>
      <w:bookmarkEnd w:id="162"/>
      <w:bookmarkEnd w:id="165"/>
      <w:r w:rsidRPr="006A2F04">
        <w:rPr>
          <w:noProof/>
        </w:rPr>
        <w:drawing>
          <wp:inline distT="0" distB="0" distL="0" distR="0" wp14:anchorId="7C749D18" wp14:editId="20BBA512">
            <wp:extent cx="341630" cy="359410"/>
            <wp:effectExtent l="0" t="0" r="1270" b="2540"/>
            <wp:docPr id="138" name="Picture 138"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7152E04D" w14:textId="411E09C0" w:rsidR="005A2067" w:rsidRDefault="00835321" w:rsidP="0010018E">
      <w:pPr>
        <w:pStyle w:val="Heading3"/>
        <w:keepLines/>
      </w:pPr>
      <w:bookmarkStart w:id="177" w:name="_Toc31892780"/>
      <w:bookmarkStart w:id="178" w:name="_Toc36207403"/>
      <w:bookmarkStart w:id="179" w:name="_Toc51864295"/>
      <w:r w:rsidRPr="00B53F89">
        <w:t>Satellite communications</w:t>
      </w:r>
      <w:bookmarkEnd w:id="166"/>
      <w:bookmarkEnd w:id="167"/>
      <w:bookmarkEnd w:id="168"/>
      <w:bookmarkEnd w:id="169"/>
      <w:bookmarkEnd w:id="170"/>
      <w:bookmarkEnd w:id="171"/>
      <w:bookmarkEnd w:id="177"/>
      <w:bookmarkEnd w:id="178"/>
      <w:bookmarkEnd w:id="179"/>
      <w:r w:rsidR="00F45C16" w:rsidRPr="00B53F89">
        <w:t xml:space="preserve"> </w:t>
      </w:r>
      <w:bookmarkEnd w:id="172"/>
      <w:bookmarkEnd w:id="173"/>
      <w:bookmarkEnd w:id="174"/>
      <w:bookmarkEnd w:id="175"/>
    </w:p>
    <w:p w14:paraId="0EEEE7A0" w14:textId="02898190" w:rsidR="00D24E23" w:rsidRDefault="00D24E23" w:rsidP="0010018E">
      <w:pPr>
        <w:keepNext/>
        <w:keepLines/>
      </w:pPr>
      <w:r>
        <w:t>Satellite communications are experiencing a significant period of technolog</w:t>
      </w:r>
      <w:r w:rsidR="00987BA2">
        <w:t>ical</w:t>
      </w:r>
      <w:r>
        <w:t xml:space="preserve"> innovation and disruption in the provision and delivery of communications and space-based science services.</w:t>
      </w:r>
      <w:r w:rsidR="00E34733">
        <w:t xml:space="preserve"> </w:t>
      </w:r>
    </w:p>
    <w:p w14:paraId="5A2BC870" w14:textId="703C2CE1" w:rsidR="00E34733" w:rsidRDefault="00776BF2">
      <w:r w:rsidRPr="00776BF2">
        <w:t xml:space="preserve">IBIS World estimates revenue for the industry at $5.6 billion in 2020, growing annually at </w:t>
      </w:r>
      <w:r w:rsidR="00987BA2">
        <w:t>eight</w:t>
      </w:r>
      <w:r w:rsidRPr="00776BF2">
        <w:t xml:space="preserve"> per cent over the past five years.</w:t>
      </w:r>
      <w:r w:rsidRPr="00776BF2">
        <w:rPr>
          <w:vertAlign w:val="superscript"/>
        </w:rPr>
        <w:footnoteReference w:id="26"/>
      </w:r>
      <w:r w:rsidR="00D24E23" w:rsidRPr="00776BF2">
        <w:t xml:space="preserve"> </w:t>
      </w:r>
      <w:r w:rsidR="007D15D8">
        <w:t>Globally though, some satellite operators are experiencing difficult financial conditions that may constrain future network expansion plans and demand for spectrum.</w:t>
      </w:r>
    </w:p>
    <w:p w14:paraId="36349DF6" w14:textId="4DA6F7E2" w:rsidR="00E34733" w:rsidRDefault="001B07AF">
      <w:r w:rsidRPr="00776BF2">
        <w:t>The Australian space industry is projected to grow at 7.4 per cent annually over the next five years</w:t>
      </w:r>
      <w:r w:rsidR="00127CAB">
        <w:t>.</w:t>
      </w:r>
      <w:r w:rsidR="00E34733">
        <w:rPr>
          <w:rStyle w:val="FootnoteReference"/>
        </w:rPr>
        <w:footnoteReference w:id="27"/>
      </w:r>
      <w:r w:rsidR="00E34733" w:rsidRPr="00E34733">
        <w:t xml:space="preserve"> The Australian Civil Space Strategy 2019</w:t>
      </w:r>
      <w:r w:rsidR="00987BA2">
        <w:t>–</w:t>
      </w:r>
      <w:r w:rsidR="00E34733" w:rsidRPr="00E34733">
        <w:t>2028 sets a clear path to take the space sector into the next decade and beyond.</w:t>
      </w:r>
    </w:p>
    <w:p w14:paraId="7E389C32" w14:textId="5CB566C6" w:rsidR="00776BF2" w:rsidRPr="00776BF2" w:rsidRDefault="00776BF2" w:rsidP="00513FDE">
      <w:pPr>
        <w:pStyle w:val="Paragraphbeforelist"/>
      </w:pPr>
      <w:r w:rsidRPr="00776BF2">
        <w:t>Key market segments in Australia include:</w:t>
      </w:r>
    </w:p>
    <w:p w14:paraId="5CCD1768" w14:textId="19807B09" w:rsidR="00776BF2" w:rsidRPr="00776BF2" w:rsidRDefault="00987BA2" w:rsidP="00D24E23">
      <w:pPr>
        <w:pStyle w:val="ListBullet"/>
        <w:keepNext w:val="0"/>
        <w:keepLines w:val="0"/>
        <w:ind w:left="284" w:hanging="284"/>
      </w:pPr>
      <w:r>
        <w:t>s</w:t>
      </w:r>
      <w:r w:rsidR="00776BF2" w:rsidRPr="00776BF2">
        <w:t>atellite communications</w:t>
      </w:r>
      <w:r w:rsidR="0077670E">
        <w:t xml:space="preserve"> (including broadband)</w:t>
      </w:r>
    </w:p>
    <w:p w14:paraId="4307EAB1" w14:textId="29F82CCC" w:rsidR="00776BF2" w:rsidRPr="00776BF2" w:rsidRDefault="00987BA2" w:rsidP="00D24E23">
      <w:pPr>
        <w:pStyle w:val="ListBullet"/>
        <w:keepNext w:val="0"/>
        <w:keepLines w:val="0"/>
        <w:ind w:left="284" w:hanging="284"/>
      </w:pPr>
      <w:r>
        <w:t>p</w:t>
      </w:r>
      <w:r w:rsidR="00776BF2" w:rsidRPr="00776BF2">
        <w:t>ay television (</w:t>
      </w:r>
      <w:r w:rsidR="0018164A">
        <w:t>for example,</w:t>
      </w:r>
      <w:r w:rsidR="00776BF2" w:rsidRPr="00776BF2">
        <w:t xml:space="preserve"> Singtel Optus and Foxtel)</w:t>
      </w:r>
      <w:r w:rsidR="008D17B2">
        <w:t>,</w:t>
      </w:r>
      <w:r w:rsidR="00776BF2" w:rsidRPr="00776BF2">
        <w:t xml:space="preserve"> otherwise known as direct to home (DTH) services </w:t>
      </w:r>
    </w:p>
    <w:p w14:paraId="21C35016" w14:textId="51262052" w:rsidR="00776BF2" w:rsidRPr="00776BF2" w:rsidRDefault="00987BA2" w:rsidP="00D24E23">
      <w:pPr>
        <w:pStyle w:val="ListBullet"/>
        <w:keepNext w:val="0"/>
        <w:keepLines w:val="0"/>
        <w:ind w:left="284" w:hanging="284"/>
      </w:pPr>
      <w:r>
        <w:t>g</w:t>
      </w:r>
      <w:r w:rsidR="00776BF2" w:rsidRPr="00776BF2">
        <w:t>round station infrastructure</w:t>
      </w:r>
      <w:r w:rsidR="008D17B2">
        <w:t>,</w:t>
      </w:r>
      <w:r w:rsidR="00776BF2" w:rsidRPr="00776BF2">
        <w:t xml:space="preserve"> which enables uplink, supports launch activities, satellite operation and tracking systems</w:t>
      </w:r>
    </w:p>
    <w:p w14:paraId="5CE40FEB" w14:textId="1C509849" w:rsidR="00776BF2" w:rsidRPr="00776BF2" w:rsidRDefault="00987BA2" w:rsidP="00D24E23">
      <w:pPr>
        <w:pStyle w:val="ListBullet"/>
        <w:keepNext w:val="0"/>
        <w:keepLines w:val="0"/>
        <w:ind w:left="284" w:hanging="284"/>
      </w:pPr>
      <w:r>
        <w:t>g</w:t>
      </w:r>
      <w:r w:rsidR="00776BF2" w:rsidRPr="00776BF2">
        <w:t>lobal navigation satellite services (GNSS)</w:t>
      </w:r>
    </w:p>
    <w:p w14:paraId="34437F7E" w14:textId="5AEED82C" w:rsidR="00776BF2" w:rsidRPr="00776BF2" w:rsidRDefault="00987BA2" w:rsidP="00D24E23">
      <w:pPr>
        <w:pStyle w:val="ListBullet"/>
        <w:keepNext w:val="0"/>
        <w:keepLines w:val="0"/>
        <w:ind w:left="284" w:hanging="284"/>
      </w:pPr>
      <w:r>
        <w:t>s</w:t>
      </w:r>
      <w:r w:rsidR="00776BF2" w:rsidRPr="00776BF2">
        <w:t>pace technology and manufacturing of high-tech components, nanosatellites, components</w:t>
      </w:r>
    </w:p>
    <w:p w14:paraId="1C7EC570" w14:textId="17E7FDE8" w:rsidR="00776BF2" w:rsidRPr="00776BF2" w:rsidRDefault="00987BA2" w:rsidP="00513FDE">
      <w:pPr>
        <w:pStyle w:val="ListBulletLast"/>
      </w:pPr>
      <w:r>
        <w:t>o</w:t>
      </w:r>
      <w:r w:rsidR="00776BF2" w:rsidRPr="00776BF2">
        <w:t>ther satellite services include space research.</w:t>
      </w:r>
    </w:p>
    <w:p w14:paraId="05CFF88A" w14:textId="78E438EF" w:rsidR="00D24E23" w:rsidRPr="00776BF2" w:rsidRDefault="00D24E23" w:rsidP="00D24E23">
      <w:r w:rsidRPr="00776BF2">
        <w:t>Other new satellite business models</w:t>
      </w:r>
      <w:r w:rsidR="00CC3332">
        <w:t>,</w:t>
      </w:r>
      <w:r w:rsidRPr="00776BF2">
        <w:t xml:space="preserve"> which are largely considered emerging (</w:t>
      </w:r>
      <w:r>
        <w:t>that is,</w:t>
      </w:r>
      <w:r w:rsidRPr="00776BF2">
        <w:t xml:space="preserve"> currently not generating significant revenues) but do not have significant operations in Australia</w:t>
      </w:r>
      <w:r w:rsidR="00CC3332">
        <w:t>,</w:t>
      </w:r>
      <w:r w:rsidRPr="00776BF2">
        <w:t xml:space="preserve"> include satellite servicing, platforms, space mining/resource utilisation, situational awareness, in-space research and manufacturing. </w:t>
      </w:r>
      <w:r>
        <w:t>L</w:t>
      </w:r>
      <w:r w:rsidRPr="00776BF2">
        <w:t xml:space="preserve">ow-earth-orbit (LEO) satellites </w:t>
      </w:r>
      <w:r>
        <w:t>are also being trialled</w:t>
      </w:r>
      <w:r w:rsidR="008D17B2">
        <w:t>,</w:t>
      </w:r>
      <w:r>
        <w:t xml:space="preserve"> </w:t>
      </w:r>
      <w:r w:rsidRPr="00776BF2">
        <w:t xml:space="preserve">with the intention of </w:t>
      </w:r>
      <w:r>
        <w:t>using</w:t>
      </w:r>
      <w:r w:rsidRPr="00776BF2">
        <w:t xml:space="preserve"> thousands of small satellites to offer an alternative to fibre or towers in regional or rural areas. </w:t>
      </w:r>
      <w:r>
        <w:t xml:space="preserve">While trials have commenced, there are currently no </w:t>
      </w:r>
      <w:r w:rsidRPr="00776BF2">
        <w:t>commercial services</w:t>
      </w:r>
      <w:r>
        <w:t xml:space="preserve"> </w:t>
      </w:r>
      <w:r w:rsidRPr="00776BF2">
        <w:t xml:space="preserve">in Australia. </w:t>
      </w:r>
    </w:p>
    <w:p w14:paraId="167E8BE5" w14:textId="3028CFB1" w:rsidR="00A96482" w:rsidRPr="00B53F89" w:rsidRDefault="00A96482" w:rsidP="00D7755E">
      <w:r w:rsidRPr="00B53F89">
        <w:t>The development of lower-cost, miniaturised space hardware (often referred to as nanosats, cubesats or smallsats) and reduced launch costs are supporting growth in the diversity and capability of services delivered by satellite. In some case</w:t>
      </w:r>
      <w:r w:rsidR="003360A4" w:rsidRPr="00B53F89">
        <w:t>s</w:t>
      </w:r>
      <w:r w:rsidR="00BC5180" w:rsidRPr="00B53F89">
        <w:t>,</w:t>
      </w:r>
      <w:r w:rsidRPr="00B53F89">
        <w:t xml:space="preserve"> smallsats are allowing commercial broadband business models and services requiring constellations of satellites in non-geostationary orbit that were once cost prohibitive to now be viable. Some proposed </w:t>
      </w:r>
      <w:r w:rsidR="00B84A97" w:rsidRPr="00B53F89">
        <w:t>non-geostationary orbit</w:t>
      </w:r>
      <w:r w:rsidRPr="00B53F89">
        <w:t xml:space="preserve"> broadband systems require the deployment of very large numbers</w:t>
      </w:r>
      <w:r w:rsidR="00990D9B" w:rsidRPr="00B53F89">
        <w:t>—for example,</w:t>
      </w:r>
      <w:r w:rsidR="00B53F89">
        <w:t xml:space="preserve"> </w:t>
      </w:r>
      <w:r w:rsidRPr="00B53F89">
        <w:t>hundreds or thousands</w:t>
      </w:r>
      <w:r w:rsidRPr="00B53F89" w:rsidDel="00126CB6">
        <w:t xml:space="preserve"> </w:t>
      </w:r>
      <w:r w:rsidRPr="00B53F89">
        <w:t xml:space="preserve">of satellites. </w:t>
      </w:r>
      <w:r w:rsidR="007764A2">
        <w:t>2019</w:t>
      </w:r>
      <w:r w:rsidR="00CC3332">
        <w:t>–</w:t>
      </w:r>
      <w:r w:rsidR="007764A2">
        <w:t xml:space="preserve">20 saw multiple launches of satellites supporting these constellations. </w:t>
      </w:r>
      <w:r w:rsidRPr="00B53F89">
        <w:t xml:space="preserve">This changed environment has also increased the opportunity for academic and scientific space missions, often of short duration. </w:t>
      </w:r>
    </w:p>
    <w:p w14:paraId="0FC987CB" w14:textId="7F09B46C" w:rsidR="00A96482" w:rsidRPr="00B53F89" w:rsidRDefault="00A96482" w:rsidP="00D7755E">
      <w:r w:rsidRPr="00B53F89">
        <w:lastRenderedPageBreak/>
        <w:t>Collectively</w:t>
      </w:r>
      <w:r w:rsidR="00CC3332">
        <w:t>,</w:t>
      </w:r>
      <w:r w:rsidRPr="00B53F89">
        <w:t xml:space="preserve"> these environmental changes are driving several spectrum management challenges</w:t>
      </w:r>
      <w:r w:rsidR="00A97E6D" w:rsidRPr="00B53F89">
        <w:t>.</w:t>
      </w:r>
      <w:r w:rsidRPr="00B53F89">
        <w:t xml:space="preserve"> </w:t>
      </w:r>
      <w:r w:rsidR="00A97E6D" w:rsidRPr="00B53F89">
        <w:rPr>
          <w:rStyle w:val="CommentReference"/>
          <w:sz w:val="20"/>
          <w:szCs w:val="20"/>
        </w:rPr>
        <w:t>M</w:t>
      </w:r>
      <w:r w:rsidRPr="00B53F89">
        <w:t>any of</w:t>
      </w:r>
      <w:r w:rsidRPr="00B53F89" w:rsidDel="00A97E6D">
        <w:t xml:space="preserve"> </w:t>
      </w:r>
      <w:r w:rsidR="00A97E6D" w:rsidRPr="00B53F89">
        <w:t xml:space="preserve">these </w:t>
      </w:r>
      <w:r w:rsidRPr="00B53F89">
        <w:t>are being addressed</w:t>
      </w:r>
      <w:r w:rsidR="00A97E6D" w:rsidRPr="00B53F89">
        <w:t>, to some extent,</w:t>
      </w:r>
      <w:r w:rsidRPr="00B53F89">
        <w:t xml:space="preserve"> on an international basis given the nature of satellite systems. For example, for reasons of economy and equipment availability, short duration smallsat missions often utilise systems operating in bands not allocated for space services </w:t>
      </w:r>
      <w:r w:rsidR="00EE1971" w:rsidRPr="00B53F89">
        <w:t>in the</w:t>
      </w:r>
      <w:r w:rsidR="008E6685" w:rsidRPr="00B53F89">
        <w:t xml:space="preserve"> </w:t>
      </w:r>
      <w:hyperlink r:id="rId52" w:history="1">
        <w:r w:rsidR="00D24E23" w:rsidRPr="00FA5B95">
          <w:rPr>
            <w:rStyle w:val="Hyperlink"/>
            <w:rFonts w:cs="Arial"/>
          </w:rPr>
          <w:t xml:space="preserve">Australian Radiofrequency </w:t>
        </w:r>
        <w:r w:rsidR="00D24E23" w:rsidRPr="00FA5B95">
          <w:rPr>
            <w:rStyle w:val="Hyperlink"/>
          </w:rPr>
          <w:t>Spectrum Plan 2017</w:t>
        </w:r>
      </w:hyperlink>
      <w:r w:rsidR="00D24E23" w:rsidRPr="00B53F89">
        <w:t xml:space="preserve"> (ARSP) and/or are not filed and coordinated internationally for interference management purposes. This creates practical challenges for national spectrum managers, such as the ACMA, which are generally eager to support these missions but need to ensure practical interference management considerations are addressed</w:t>
      </w:r>
      <w:r w:rsidRPr="00B53F89">
        <w:t xml:space="preserve">. </w:t>
      </w:r>
    </w:p>
    <w:p w14:paraId="416B21AE" w14:textId="451345D9" w:rsidR="004C0AFC" w:rsidRPr="00B53F89" w:rsidRDefault="00D24E23">
      <w:r w:rsidRPr="00B53F89">
        <w:t>There has also</w:t>
      </w:r>
      <w:r w:rsidR="006A45A2" w:rsidRPr="00B53F89">
        <w:t xml:space="preserve"> been</w:t>
      </w:r>
      <w:r w:rsidR="009962F3" w:rsidRPr="00B53F89">
        <w:t xml:space="preserve"> </w:t>
      </w:r>
      <w:r w:rsidR="007764A2">
        <w:t xml:space="preserve">ongoing </w:t>
      </w:r>
      <w:r w:rsidR="009962F3" w:rsidRPr="00B53F89">
        <w:t xml:space="preserve">growth in satellite broadband high throughput systems (HTS) </w:t>
      </w:r>
      <w:r w:rsidR="007764A2">
        <w:t>and very high throughput systems (VHTS)</w:t>
      </w:r>
      <w:r w:rsidR="009962F3" w:rsidRPr="00B53F89">
        <w:t xml:space="preserve"> that increase the demand for spectrum arrangements to support ubiquitous earth stations for user terminals and gateway earth stations</w:t>
      </w:r>
      <w:r w:rsidR="006A45A2" w:rsidRPr="00B53F89">
        <w:t xml:space="preserve">. </w:t>
      </w:r>
    </w:p>
    <w:p w14:paraId="069B2B14" w14:textId="77777777" w:rsidR="001B07AF" w:rsidRDefault="009962F3" w:rsidP="00FB4F24">
      <w:r w:rsidRPr="00B53F89">
        <w:t xml:space="preserve">The current Australian spectrum management framework already provides for ubiquitous, uncoordinated </w:t>
      </w:r>
      <w:r w:rsidR="005F5045" w:rsidRPr="00B53F89">
        <w:t>e</w:t>
      </w:r>
      <w:r w:rsidRPr="00B53F89">
        <w:t>arth stations suitable for broadband HTS</w:t>
      </w:r>
      <w:r w:rsidR="00FB4F24">
        <w:t>/VHTS</w:t>
      </w:r>
      <w:r w:rsidR="002713EE">
        <w:t xml:space="preserve">. </w:t>
      </w:r>
    </w:p>
    <w:p w14:paraId="45F7ED1F" w14:textId="7C89114C" w:rsidR="00FB4F24" w:rsidRPr="000D7E14" w:rsidRDefault="00FB4F24" w:rsidP="00FB4F24">
      <w:r>
        <w:t xml:space="preserve">Decisions </w:t>
      </w:r>
      <w:r w:rsidRPr="000D7E14">
        <w:t xml:space="preserve">by the </w:t>
      </w:r>
      <w:r w:rsidRPr="004B3FAC">
        <w:t>ACMA</w:t>
      </w:r>
      <w:r w:rsidRPr="000D7E14">
        <w:t xml:space="preserve"> in February 2020 </w:t>
      </w:r>
      <w:r>
        <w:t>have significantly</w:t>
      </w:r>
      <w:r w:rsidRPr="000D7E14">
        <w:t xml:space="preserve"> increased </w:t>
      </w:r>
      <w:r>
        <w:t xml:space="preserve">this </w:t>
      </w:r>
      <w:r w:rsidRPr="000D7E14">
        <w:t xml:space="preserve">spectrum access. Combined, an additional 2.6 GHz of spectrum has </w:t>
      </w:r>
      <w:r w:rsidR="00020E80">
        <w:t xml:space="preserve">been </w:t>
      </w:r>
      <w:r w:rsidRPr="000D7E14">
        <w:t>made available</w:t>
      </w:r>
      <w:r w:rsidR="00AD6ACE">
        <w:t>,</w:t>
      </w:r>
      <w:r w:rsidRPr="000D7E14">
        <w:t xml:space="preserve"> expanding the amount of continuous spectrum available for ubiquitous earth stations to 2.05 GHz in the 10.7</w:t>
      </w:r>
      <w:r w:rsidR="00CC3332">
        <w:t>–</w:t>
      </w:r>
      <w:r w:rsidRPr="000D7E14">
        <w:t xml:space="preserve">12.75 GHz band, 2.5 GHz in </w:t>
      </w:r>
      <w:r w:rsidR="008D17B2">
        <w:t xml:space="preserve">the </w:t>
      </w:r>
      <w:r w:rsidRPr="000D7E14">
        <w:t>17.7</w:t>
      </w:r>
      <w:r w:rsidR="00CC3332">
        <w:t>–</w:t>
      </w:r>
      <w:r w:rsidRPr="000D7E14">
        <w:t>20.2 GHz band and 1.</w:t>
      </w:r>
      <w:r w:rsidR="00CC3332" w:rsidRPr="000D7E14">
        <w:t>7</w:t>
      </w:r>
      <w:r w:rsidR="00CC3332">
        <w:t> </w:t>
      </w:r>
      <w:r w:rsidRPr="000D7E14">
        <w:t>GHz in the 28.3</w:t>
      </w:r>
      <w:r w:rsidR="00CC3332">
        <w:t>–</w:t>
      </w:r>
      <w:r w:rsidRPr="000D7E14">
        <w:t xml:space="preserve">30 GHz band. In </w:t>
      </w:r>
      <w:r w:rsidRPr="004B3FAC">
        <w:t>parallel</w:t>
      </w:r>
      <w:r w:rsidR="00CC3332" w:rsidRPr="004B3FAC">
        <w:t>,</w:t>
      </w:r>
      <w:r w:rsidRPr="004B3FAC">
        <w:t xml:space="preserve"> </w:t>
      </w:r>
      <w:r w:rsidR="004B3FAC">
        <w:t>we have</w:t>
      </w:r>
      <w:r w:rsidRPr="000D7E14">
        <w:t xml:space="preserve"> </w:t>
      </w:r>
      <w:r>
        <w:t xml:space="preserve">also </w:t>
      </w:r>
      <w:r w:rsidRPr="000D7E14">
        <w:t>decreased licence taxes for space licences in the 10.7</w:t>
      </w:r>
      <w:r w:rsidR="00CC3332">
        <w:t>–</w:t>
      </w:r>
      <w:r w:rsidRPr="000D7E14">
        <w:t>11.7 GHz, 18.2</w:t>
      </w:r>
      <w:r w:rsidR="00CC3332">
        <w:t>–</w:t>
      </w:r>
      <w:r w:rsidRPr="000D7E14">
        <w:t>18.8 GHz and 19.3</w:t>
      </w:r>
      <w:r w:rsidR="00CC3332">
        <w:t>–</w:t>
      </w:r>
      <w:r w:rsidRPr="000D7E14">
        <w:t>19.7 GHz bands (shared with terrestrial fixed services) to the minimum amount.</w:t>
      </w:r>
    </w:p>
    <w:p w14:paraId="153FE1C3" w14:textId="13F18A2A" w:rsidR="009962F3" w:rsidRPr="00B53F89" w:rsidRDefault="00D24E23" w:rsidP="00D7755E">
      <w:r w:rsidRPr="00B53F89">
        <w:t>One of the traditional strengths of satellite services is mobility. Recently, there has been increased interest in delivering broadband to moving earth stations from satellites. This</w:t>
      </w:r>
      <w:r w:rsidRPr="00B53F89" w:rsidDel="004E3739">
        <w:t xml:space="preserve"> </w:t>
      </w:r>
      <w:r w:rsidRPr="00B53F89">
        <w:t>innovation has resulted from technology developments that enable moving earth stations (also referred to as ‘earth stations in motion’</w:t>
      </w:r>
      <w:r w:rsidR="0071208E">
        <w:t xml:space="preserve"> or </w:t>
      </w:r>
      <w:r w:rsidRPr="00B53F89">
        <w:t xml:space="preserve">ESIMs) communicating with space stations in the fixed satellite service </w:t>
      </w:r>
      <w:r w:rsidR="00A06D46">
        <w:t xml:space="preserve">(FSS) </w:t>
      </w:r>
      <w:r w:rsidRPr="00B53F89">
        <w:t>bands</w:t>
      </w:r>
      <w:r w:rsidR="00CC3332">
        <w:t>.</w:t>
      </w:r>
      <w:r w:rsidRPr="00B53F89">
        <w:rPr>
          <w:vertAlign w:val="superscript"/>
        </w:rPr>
        <w:footnoteReference w:id="28"/>
      </w:r>
      <w:r w:rsidRPr="00B53F89">
        <w:t xml:space="preserve"> The ACMA has, on two occasions</w:t>
      </w:r>
      <w:r w:rsidRPr="00B53F89">
        <w:rPr>
          <w:rStyle w:val="FootnoteReference"/>
        </w:rPr>
        <w:footnoteReference w:id="29"/>
      </w:r>
      <w:r w:rsidRPr="00B53F89">
        <w:t>,</w:t>
      </w:r>
      <w:r w:rsidRPr="00B53F89" w:rsidDel="000B0939">
        <w:t xml:space="preserve"> </w:t>
      </w:r>
      <w:r w:rsidRPr="00B53F89">
        <w:t xml:space="preserve">established interim arrangements supporting ESIMs in parts of the </w:t>
      </w:r>
      <w:r w:rsidRPr="00835B8C">
        <w:t>Ka ban</w:t>
      </w:r>
      <w:r w:rsidRPr="00B53F89">
        <w:t xml:space="preserve">d prior to international regulatory arrangements being established. </w:t>
      </w:r>
      <w:r>
        <w:t>A</w:t>
      </w:r>
      <w:r w:rsidRPr="00B53F89">
        <w:t xml:space="preserve">rrangements supporting ESIMs </w:t>
      </w:r>
      <w:r>
        <w:t xml:space="preserve">have also been developed </w:t>
      </w:r>
      <w:r w:rsidRPr="00B53F89">
        <w:t xml:space="preserve">in </w:t>
      </w:r>
      <w:r w:rsidR="00020E80">
        <w:t>the</w:t>
      </w:r>
      <w:r w:rsidRPr="00B53F89">
        <w:t xml:space="preserve"> </w:t>
      </w:r>
      <w:r w:rsidR="0071208E" w:rsidRPr="00835B8C">
        <w:t>Ku</w:t>
      </w:r>
      <w:r w:rsidR="0071208E">
        <w:t> </w:t>
      </w:r>
      <w:r w:rsidRPr="00835B8C">
        <w:t>band</w:t>
      </w:r>
      <w:r w:rsidR="00FE3587">
        <w:t>,</w:t>
      </w:r>
      <w:r>
        <w:t xml:space="preserve"> which were expanded to include the 10.7</w:t>
      </w:r>
      <w:r w:rsidR="00FE3587">
        <w:t>–</w:t>
      </w:r>
      <w:r>
        <w:t xml:space="preserve">11.7 GHz band in </w:t>
      </w:r>
      <w:r w:rsidR="00974F2E">
        <w:t xml:space="preserve">February </w:t>
      </w:r>
      <w:r>
        <w:t>2020</w:t>
      </w:r>
      <w:r w:rsidRPr="00B53F89">
        <w:t>.</w:t>
      </w:r>
      <w:r w:rsidRPr="00B53F89">
        <w:rPr>
          <w:rStyle w:val="FootnoteReference"/>
        </w:rPr>
        <w:footnoteReference w:id="30"/>
      </w:r>
    </w:p>
    <w:p w14:paraId="28633F96" w14:textId="58E98423" w:rsidR="00D65A4D" w:rsidRPr="00B53F89" w:rsidRDefault="00D65A4D" w:rsidP="008843E8">
      <w:pPr>
        <w:keepNext/>
        <w:keepLines/>
        <w:spacing w:before="60" w:after="0"/>
      </w:pPr>
      <w:bookmarkStart w:id="180" w:name="_Toc510795073"/>
      <w:bookmarkStart w:id="181" w:name="_Toc509581805"/>
      <w:bookmarkStart w:id="182" w:name="_Toc509585121"/>
      <w:bookmarkStart w:id="183" w:name="_Toc509585657"/>
      <w:bookmarkStart w:id="184" w:name="_Toc510104937"/>
      <w:bookmarkStart w:id="185" w:name="_Toc510105734"/>
      <w:bookmarkStart w:id="186" w:name="_Toc511716274"/>
      <w:bookmarkStart w:id="187" w:name="_Toc511719085"/>
      <w:bookmarkStart w:id="188" w:name="_Toc522794081"/>
      <w:bookmarkStart w:id="189" w:name="_Toc491854101"/>
      <w:bookmarkStart w:id="190" w:name="_Toc494115155"/>
      <w:bookmarkEnd w:id="176"/>
      <w:r w:rsidRPr="006A2F04">
        <w:rPr>
          <w:noProof/>
        </w:rPr>
        <w:drawing>
          <wp:inline distT="0" distB="0" distL="0" distR="0" wp14:anchorId="5936F25F" wp14:editId="2BFD04D9">
            <wp:extent cx="342900" cy="361950"/>
            <wp:effectExtent l="0" t="0" r="0" b="0"/>
            <wp:docPr id="18" name="Picture 18"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D830A52" wp14:editId="372FD4C4">
            <wp:extent cx="342900" cy="361950"/>
            <wp:effectExtent l="0" t="0" r="0" b="0"/>
            <wp:docPr id="19" name="Picture 19"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17F1BC4" wp14:editId="5458FB01">
            <wp:extent cx="342900" cy="361950"/>
            <wp:effectExtent l="0" t="0" r="0" b="0"/>
            <wp:docPr id="20" name="Picture 2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0025A72" w14:textId="2A100044" w:rsidR="00B14DB9" w:rsidRPr="00B53F89" w:rsidRDefault="00CF081A" w:rsidP="008843E8">
      <w:pPr>
        <w:pStyle w:val="Heading3"/>
        <w:keepLines/>
      </w:pPr>
      <w:bookmarkStart w:id="191" w:name="_Toc36207404"/>
      <w:bookmarkStart w:id="192" w:name="_Toc51864296"/>
      <w:r>
        <w:t>S</w:t>
      </w:r>
      <w:r w:rsidR="00F36B41" w:rsidRPr="00B53F89">
        <w:t>pectrum</w:t>
      </w:r>
      <w:bookmarkEnd w:id="180"/>
      <w:bookmarkEnd w:id="181"/>
      <w:bookmarkEnd w:id="182"/>
      <w:bookmarkEnd w:id="183"/>
      <w:bookmarkEnd w:id="184"/>
      <w:bookmarkEnd w:id="185"/>
      <w:bookmarkEnd w:id="186"/>
      <w:bookmarkEnd w:id="187"/>
      <w:bookmarkEnd w:id="188"/>
      <w:r>
        <w:t xml:space="preserve"> for government requirements</w:t>
      </w:r>
      <w:bookmarkEnd w:id="191"/>
      <w:bookmarkEnd w:id="192"/>
    </w:p>
    <w:bookmarkEnd w:id="189"/>
    <w:bookmarkEnd w:id="190"/>
    <w:p w14:paraId="2B199340" w14:textId="1B488EFD" w:rsidR="00C86BA1" w:rsidRPr="00B53F89" w:rsidRDefault="00776BF2" w:rsidP="008843E8">
      <w:pPr>
        <w:keepNext/>
        <w:keepLines/>
      </w:pPr>
      <w:r w:rsidRPr="00776BF2">
        <w:t>The Australian Government is a large user of spectrum for important public service provision</w:t>
      </w:r>
      <w:r w:rsidR="00DB41FF">
        <w:t>s</w:t>
      </w:r>
      <w:r w:rsidRPr="00776BF2">
        <w:t xml:space="preserve">. </w:t>
      </w:r>
      <w:r w:rsidR="00C86BA1" w:rsidRPr="00B53F89">
        <w:t xml:space="preserve">Government spectrum users primarily incorporate </w:t>
      </w:r>
      <w:r w:rsidR="004B3FAC">
        <w:t>C</w:t>
      </w:r>
      <w:r w:rsidR="00C86BA1" w:rsidRPr="004B3FAC">
        <w:t>ommonwealth</w:t>
      </w:r>
      <w:r w:rsidR="00C86BA1" w:rsidRPr="00B53F89">
        <w:t xml:space="preserve"> and state agencies responsible for the provision of defence, national security, law enforcement, and emergency services, as well as scientific, meteorological and transport services. </w:t>
      </w:r>
    </w:p>
    <w:p w14:paraId="0F32C8F5" w14:textId="39888A9C" w:rsidR="00C86BA1" w:rsidRDefault="003A5CF0" w:rsidP="00776BF2">
      <w:r w:rsidRPr="00B53F89">
        <w:t xml:space="preserve">Generally, government spectrum users operate within the same spectrum management framework as all other users. However, in recognising their unique </w:t>
      </w:r>
      <w:r w:rsidRPr="00B53F89">
        <w:lastRenderedPageBreak/>
        <w:t>needs and responsibilities, on some occasions government spectrum needs require specific consideration</w:t>
      </w:r>
      <w:r>
        <w:t xml:space="preserve"> and regulatory arrangements</w:t>
      </w:r>
      <w:r w:rsidRPr="00B53F89">
        <w:t>.</w:t>
      </w:r>
    </w:p>
    <w:p w14:paraId="0ECE842E" w14:textId="3071359B" w:rsidR="004E50BB" w:rsidRDefault="00D24E23" w:rsidP="00D24E23">
      <w:r w:rsidRPr="00776BF2">
        <w:t>As at April 2019, 32 Australian Government departments and agencies across seven different portfolios hold spectrum and/or apparatus licences.</w:t>
      </w:r>
      <w:r w:rsidRPr="00776BF2">
        <w:rPr>
          <w:vertAlign w:val="superscript"/>
        </w:rPr>
        <w:footnoteReference w:id="31"/>
      </w:r>
      <w:r w:rsidRPr="00776BF2">
        <w:t xml:space="preserve"> </w:t>
      </w:r>
      <w:r w:rsidR="00AD07D6">
        <w:t>T</w:t>
      </w:r>
      <w:r w:rsidRPr="00776BF2">
        <w:t xml:space="preserve">he three largest government spectrum users are the Department of Defence with 7,793 </w:t>
      </w:r>
      <w:r w:rsidR="00BA72BD">
        <w:t xml:space="preserve">frequency </w:t>
      </w:r>
      <w:r w:rsidRPr="00776BF2">
        <w:t>assignments, Airservices Australia</w:t>
      </w:r>
      <w:r w:rsidRPr="00776BF2">
        <w:rPr>
          <w:vertAlign w:val="superscript"/>
        </w:rPr>
        <w:footnoteReference w:id="32"/>
      </w:r>
      <w:r w:rsidRPr="00776BF2">
        <w:t xml:space="preserve"> with 2,603, and the Bureau of Meteorology with 1,310.</w:t>
      </w:r>
      <w:r w:rsidRPr="00776BF2">
        <w:rPr>
          <w:vertAlign w:val="superscript"/>
        </w:rPr>
        <w:footnoteReference w:id="33"/>
      </w:r>
      <w:r w:rsidRPr="00776BF2">
        <w:t xml:space="preserve"> </w:t>
      </w:r>
      <w:r w:rsidR="00A77F9A">
        <w:t>Government users’ access to spectrum can broadly be categorised as either ordinary licen</w:t>
      </w:r>
      <w:r w:rsidR="003B3FE8">
        <w:t>s</w:t>
      </w:r>
      <w:r w:rsidR="00A77F9A">
        <w:t>ed access on equal footing with other non-government users, or access under purpose</w:t>
      </w:r>
      <w:r w:rsidR="003A1DC8">
        <w:t>-</w:t>
      </w:r>
      <w:r w:rsidR="00A77F9A">
        <w:t>specific planning arrangements.</w:t>
      </w:r>
      <w:r w:rsidR="004E50BB">
        <w:t xml:space="preserve"> </w:t>
      </w:r>
    </w:p>
    <w:p w14:paraId="652950EC" w14:textId="77777777" w:rsidR="00C604FC" w:rsidRDefault="00EA1EDC" w:rsidP="00D24E23">
      <w:r>
        <w:t>As an example of the latter</w:t>
      </w:r>
      <w:r w:rsidR="004E50BB">
        <w:t>, a significant portion of Defence spectrum access is authorised under the Defence apparatus licence, which can be issued in bands with certain footnotes ascribed in the Table of Allocations in the ARSP</w:t>
      </w:r>
      <w:r w:rsidR="00CD45E0">
        <w:t xml:space="preserve"> (colloquially termed ‘Defence bands’)</w:t>
      </w:r>
      <w:r w:rsidR="004E50BB">
        <w:t xml:space="preserve">. </w:t>
      </w:r>
      <w:r w:rsidR="00CD45E0">
        <w:t xml:space="preserve">These footnoted bands are not to be confused with spectrum that Defence accesses under ordinary, non-Defence licences. For example, access to S-band frequencies to support aeronautical mobile telemetry is authorised under </w:t>
      </w:r>
      <w:r w:rsidR="00C604FC">
        <w:t>aeronautical apparatus licences.</w:t>
      </w:r>
    </w:p>
    <w:p w14:paraId="389D532C" w14:textId="260F2F12" w:rsidR="00D24E23" w:rsidRPr="00776BF2" w:rsidRDefault="004E50BB" w:rsidP="00D24E23">
      <w:r>
        <w:t>Similarly, bands accessed by Airservices Australia for the provision of aeronautical communications, navigation and surveillance services, in particular VHF (108</w:t>
      </w:r>
      <w:r w:rsidR="00FE3587">
        <w:t>–</w:t>
      </w:r>
      <w:r>
        <w:t>137 MHz) and L-band (960</w:t>
      </w:r>
      <w:r w:rsidR="00FE3587">
        <w:t>–</w:t>
      </w:r>
      <w:r>
        <w:t>1215 MHz)</w:t>
      </w:r>
      <w:r w:rsidR="00EA1EDC">
        <w:t>, are set aside through ARSP footnotes.</w:t>
      </w:r>
    </w:p>
    <w:p w14:paraId="76E2A404" w14:textId="77777777" w:rsidR="00D24E23" w:rsidRPr="00776BF2" w:rsidRDefault="00D24E23" w:rsidP="00D24E23">
      <w:r w:rsidRPr="00776BF2">
        <w:t>Airservices Australia is currently going through a program of modernising its communications and safety systems.</w:t>
      </w:r>
      <w:r w:rsidRPr="00776BF2">
        <w:rPr>
          <w:vertAlign w:val="superscript"/>
        </w:rPr>
        <w:footnoteReference w:id="34"/>
      </w:r>
      <w:r w:rsidRPr="00776BF2">
        <w:t xml:space="preserve"> </w:t>
      </w:r>
      <w:r>
        <w:t>It</w:t>
      </w:r>
      <w:r w:rsidRPr="00776BF2">
        <w:t xml:space="preserve"> identifies the emergence of a more dense airspace </w:t>
      </w:r>
      <w:r>
        <w:t>as</w:t>
      </w:r>
      <w:r w:rsidRPr="00776BF2">
        <w:t xml:space="preserve"> point</w:t>
      </w:r>
      <w:r>
        <w:t>ing</w:t>
      </w:r>
      <w:r w:rsidRPr="00776BF2">
        <w:t xml:space="preserve"> to the need to invest in and upgrade systems, part of which will rely on wireless technologies to communicate with aircraft.</w:t>
      </w:r>
    </w:p>
    <w:p w14:paraId="6FBB2317" w14:textId="12A8AE38" w:rsidR="00D24E23" w:rsidRPr="00776BF2" w:rsidRDefault="00B4483C" w:rsidP="00D24E23">
      <w:r>
        <w:t>Other</w:t>
      </w:r>
      <w:r w:rsidR="00D24E23" w:rsidRPr="00776BF2">
        <w:t xml:space="preserve"> key spectrum user</w:t>
      </w:r>
      <w:r>
        <w:t>s</w:t>
      </w:r>
      <w:r w:rsidR="00D24E23" w:rsidRPr="00776BF2">
        <w:t xml:space="preserve"> </w:t>
      </w:r>
      <w:r w:rsidR="004B3FAC">
        <w:t>are</w:t>
      </w:r>
      <w:r w:rsidR="004B3FAC" w:rsidRPr="00776BF2">
        <w:t xml:space="preserve"> </w:t>
      </w:r>
      <w:r w:rsidR="004B3FAC">
        <w:t>p</w:t>
      </w:r>
      <w:r w:rsidR="00D24E23" w:rsidRPr="00776BF2">
        <w:t xml:space="preserve">ublic </w:t>
      </w:r>
      <w:r w:rsidR="004B3FAC">
        <w:t>s</w:t>
      </w:r>
      <w:r w:rsidR="00D24E23" w:rsidRPr="00776BF2">
        <w:t xml:space="preserve">afety </w:t>
      </w:r>
      <w:r w:rsidR="004B3FAC">
        <w:t>a</w:t>
      </w:r>
      <w:r w:rsidR="00D24E23" w:rsidRPr="00776BF2">
        <w:t>gencies (PSAs)</w:t>
      </w:r>
      <w:r w:rsidR="00D24E23">
        <w:t>.</w:t>
      </w:r>
      <w:r w:rsidR="00D24E23" w:rsidRPr="00776BF2">
        <w:t xml:space="preserve"> </w:t>
      </w:r>
      <w:r w:rsidR="00D24E23">
        <w:t>The</w:t>
      </w:r>
      <w:r w:rsidR="00D24E23" w:rsidRPr="00776BF2">
        <w:t xml:space="preserve"> Productivity Commission notes that greater use of mobile broadband could fundamentally change how PSAs deliver services.</w:t>
      </w:r>
      <w:r w:rsidR="006B4A65">
        <w:rPr>
          <w:rStyle w:val="FootnoteReference"/>
        </w:rPr>
        <w:footnoteReference w:id="35"/>
      </w:r>
    </w:p>
    <w:p w14:paraId="70F0209C" w14:textId="5EB20565" w:rsidR="00F9560D" w:rsidRPr="00B53F89" w:rsidRDefault="00F9560D" w:rsidP="00D7755E">
      <w:r w:rsidRPr="00B53F89">
        <w:t>The ACMA works closely with</w:t>
      </w:r>
      <w:r w:rsidR="00557853" w:rsidRPr="00B53F89">
        <w:t xml:space="preserve"> the Department of</w:t>
      </w:r>
      <w:r w:rsidRPr="00B53F89">
        <w:t xml:space="preserve"> Defence’s Chief Information Officer Group to </w:t>
      </w:r>
      <w:r w:rsidR="009D3560" w:rsidRPr="00B53F89">
        <w:t>en</w:t>
      </w:r>
      <w:r w:rsidRPr="00B53F89">
        <w:t xml:space="preserve">sure </w:t>
      </w:r>
      <w:r w:rsidR="00557853" w:rsidRPr="00B53F89">
        <w:t xml:space="preserve">its </w:t>
      </w:r>
      <w:r w:rsidRPr="00B53F89">
        <w:t>ongoing access to spectrum to support a range of key capabilities.</w:t>
      </w:r>
      <w:r w:rsidR="00B53F89">
        <w:t xml:space="preserve"> </w:t>
      </w:r>
      <w:r w:rsidR="00FE3587">
        <w:t>We</w:t>
      </w:r>
      <w:r w:rsidR="00661F34" w:rsidRPr="00B53F89">
        <w:t xml:space="preserve"> also work with </w:t>
      </w:r>
      <w:r w:rsidR="004B3FAC" w:rsidRPr="004B3FAC">
        <w:t>C</w:t>
      </w:r>
      <w:r w:rsidR="00661F34" w:rsidRPr="004B3FAC">
        <w:t>ommonwealth</w:t>
      </w:r>
      <w:r w:rsidR="00661F34" w:rsidRPr="00B53F89">
        <w:t xml:space="preserve"> and state-based law enforcement and emergency services bodies to accommodate their critical, and often unique spectrum needs.</w:t>
      </w:r>
      <w:r w:rsidRPr="00B53F89">
        <w:t xml:space="preserve"> </w:t>
      </w:r>
      <w:r w:rsidR="00FE3587">
        <w:t>We</w:t>
      </w:r>
      <w:r w:rsidR="00047473">
        <w:t xml:space="preserve"> also continue to work with Defence to consider options </w:t>
      </w:r>
      <w:r w:rsidR="00FE3587">
        <w:t xml:space="preserve">to </w:t>
      </w:r>
      <w:r w:rsidR="00047473">
        <w:t xml:space="preserve">enable the ongoing operation of military </w:t>
      </w:r>
      <w:r w:rsidR="00047473" w:rsidRPr="004B3FAC">
        <w:t>Ka</w:t>
      </w:r>
      <w:r w:rsidR="004B3FAC">
        <w:t xml:space="preserve"> </w:t>
      </w:r>
      <w:r w:rsidR="00047473" w:rsidRPr="004B3FAC">
        <w:t>band</w:t>
      </w:r>
      <w:r w:rsidR="00047473">
        <w:t xml:space="preserve"> satellite services in anticipation of the expiry of the Defence 20/30 GHz spectrum licence in April 2021.</w:t>
      </w:r>
    </w:p>
    <w:p w14:paraId="4720067E" w14:textId="71402906" w:rsidR="00F9560D" w:rsidRPr="00B53F89" w:rsidRDefault="00D81EAB" w:rsidP="00D7755E">
      <w:bookmarkStart w:id="193" w:name="_Hlk37061503"/>
      <w:r w:rsidRPr="00B53F89">
        <w:t xml:space="preserve">The ACMA supports </w:t>
      </w:r>
      <w:r w:rsidR="00CA501F">
        <w:t xml:space="preserve">the </w:t>
      </w:r>
      <w:r w:rsidR="00CA501F" w:rsidRPr="0048118B">
        <w:t>Department</w:t>
      </w:r>
      <w:r w:rsidRPr="0048118B">
        <w:t>’s</w:t>
      </w:r>
      <w:r w:rsidRPr="00B53F89">
        <w:t xml:space="preserve"> leadership of the </w:t>
      </w:r>
      <w:bookmarkStart w:id="194" w:name="_Hlk37061460"/>
      <w:r w:rsidRPr="00B53F89">
        <w:t>Government Spectrum Steering Committee</w:t>
      </w:r>
      <w:bookmarkEnd w:id="194"/>
      <w:r w:rsidRPr="00B53F89">
        <w:t xml:space="preserve"> (GS</w:t>
      </w:r>
      <w:r w:rsidR="00F74B7B" w:rsidRPr="00B53F89">
        <w:t>S</w:t>
      </w:r>
      <w:r w:rsidRPr="00B53F89">
        <w:t>C) in a technical advisory capacity.</w:t>
      </w:r>
      <w:r w:rsidRPr="00B53F89" w:rsidDel="00D81EAB">
        <w:t xml:space="preserve"> </w:t>
      </w:r>
      <w:r w:rsidRPr="00B53F89">
        <w:t>The GS</w:t>
      </w:r>
      <w:r w:rsidR="00F74B7B" w:rsidRPr="00B53F89">
        <w:t>S</w:t>
      </w:r>
      <w:r w:rsidRPr="00B53F89">
        <w:t>C</w:t>
      </w:r>
      <w:r w:rsidR="00F9560D" w:rsidRPr="00B53F89">
        <w:t xml:space="preserve"> comprises </w:t>
      </w:r>
      <w:r w:rsidR="004B3FAC">
        <w:t>C</w:t>
      </w:r>
      <w:r w:rsidR="00F9560D" w:rsidRPr="004B3FAC">
        <w:t>ommonwealth</w:t>
      </w:r>
      <w:r w:rsidR="00F9560D" w:rsidRPr="00B53F89">
        <w:t xml:space="preserve"> agencies that rely on spectrum access to meet their business </w:t>
      </w:r>
      <w:r w:rsidR="00F9560D" w:rsidRPr="00B53F89">
        <w:lastRenderedPageBreak/>
        <w:t>objectives. The GS</w:t>
      </w:r>
      <w:r w:rsidR="00F74B7B" w:rsidRPr="00B53F89">
        <w:t>S</w:t>
      </w:r>
      <w:r w:rsidR="00F9560D" w:rsidRPr="00B53F89">
        <w:t>C was set</w:t>
      </w:r>
      <w:r w:rsidR="009D3560" w:rsidRPr="00B53F89">
        <w:t xml:space="preserve"> </w:t>
      </w:r>
      <w:r w:rsidR="00F9560D" w:rsidRPr="00B53F89">
        <w:t>up to improve transparency around the nature and management of commonwealth-held spectrum</w:t>
      </w:r>
      <w:r w:rsidR="00F9560D" w:rsidRPr="00B53F89" w:rsidDel="0000676B">
        <w:t>.</w:t>
      </w:r>
    </w:p>
    <w:bookmarkEnd w:id="193"/>
    <w:p w14:paraId="32A5F980" w14:textId="7C9BE177" w:rsidR="00F9560D" w:rsidRPr="00B53F89" w:rsidRDefault="00F9560D" w:rsidP="0071208E">
      <w:pPr>
        <w:keepNext/>
        <w:keepLines/>
      </w:pPr>
      <w:r w:rsidRPr="00B53F89">
        <w:t xml:space="preserve">We continue to work with law enforcement agencies to assist with operation under the </w:t>
      </w:r>
      <w:hyperlink r:id="rId53" w:history="1">
        <w:r w:rsidR="004D1C26" w:rsidRPr="006A2F04">
          <w:rPr>
            <w:rStyle w:val="Hyperlink"/>
          </w:rPr>
          <w:t>Radiocommunications (Prohibited Devices) (Use of Electronic Counter Measures for Bomb Disposal Activities) Exemption Determination 2010</w:t>
        </w:r>
      </w:hyperlink>
      <w:r w:rsidRPr="00B53F89">
        <w:t xml:space="preserve"> and are working with </w:t>
      </w:r>
      <w:r w:rsidR="00CA501F">
        <w:t>the Department</w:t>
      </w:r>
      <w:r w:rsidRPr="00B53F89">
        <w:t xml:space="preserve"> and the Department of Home Affairs </w:t>
      </w:r>
      <w:r w:rsidR="00303D34">
        <w:t xml:space="preserve">and law enforcement agencies to </w:t>
      </w:r>
      <w:r w:rsidRPr="00B53F89">
        <w:t>put in</w:t>
      </w:r>
      <w:r w:rsidR="003B7A71">
        <w:t>to</w:t>
      </w:r>
      <w:r w:rsidRPr="00B53F89">
        <w:t xml:space="preserve"> place similar </w:t>
      </w:r>
      <w:r w:rsidR="003B7A71">
        <w:t>arrangements</w:t>
      </w:r>
      <w:r w:rsidRPr="00B53F89">
        <w:t xml:space="preserve"> to support countermeasures against remote</w:t>
      </w:r>
      <w:r w:rsidR="003B7A71">
        <w:t>ly</w:t>
      </w:r>
      <w:r w:rsidRPr="00B53F89">
        <w:t xml:space="preserve"> piloted aircraft systems (RPAS, </w:t>
      </w:r>
      <w:r w:rsidR="00B14E2B">
        <w:t>also known as</w:t>
      </w:r>
      <w:r w:rsidR="00B14E2B" w:rsidRPr="00B53F89">
        <w:t xml:space="preserve"> </w:t>
      </w:r>
      <w:r w:rsidRPr="00B53F89">
        <w:t xml:space="preserve">drones). </w:t>
      </w:r>
    </w:p>
    <w:p w14:paraId="2461624B" w14:textId="56F64945" w:rsidR="00844615" w:rsidRPr="00B53F89" w:rsidRDefault="006D2D98" w:rsidP="00D7755E">
      <w:r w:rsidRPr="006D2D98">
        <w:t xml:space="preserve">The ACMA has also been engaged in a whole-of-government working group, led by the </w:t>
      </w:r>
      <w:r w:rsidRPr="0048118B">
        <w:t>Department</w:t>
      </w:r>
      <w:r w:rsidRPr="006D2D98">
        <w:t xml:space="preserve">, to develop the appropriate policy settings to support the growth of RPAS in Australia. As part of this work, </w:t>
      </w:r>
      <w:r w:rsidR="00FE3587">
        <w:t>we have</w:t>
      </w:r>
      <w:r w:rsidR="00F9560D" w:rsidRPr="00B53F89">
        <w:t xml:space="preserve"> been monitoring RPAS regulatory arrangements, both internationally and within the Civil Aviation Safety Authority (CASA), as a precursor to reviewing planning and licensing arrangements for RPAS command and control radiocommunications systems. </w:t>
      </w:r>
    </w:p>
    <w:p w14:paraId="470492F7" w14:textId="1100BDE9" w:rsidR="00F9560D" w:rsidRPr="00B53F89" w:rsidRDefault="00D24E23" w:rsidP="00D7755E">
      <w:r w:rsidRPr="00B53F89">
        <w:t xml:space="preserve">Currently, these </w:t>
      </w:r>
      <w:r w:rsidR="00B14E2B">
        <w:t xml:space="preserve">RPAS </w:t>
      </w:r>
      <w:r w:rsidRPr="00B53F89">
        <w:t>systems are generally authorised under the LIPD class licence, however</w:t>
      </w:r>
      <w:r w:rsidR="00F9560D" w:rsidRPr="00B53F89">
        <w:t xml:space="preserve"> </w:t>
      </w:r>
      <w:r w:rsidR="00FE3587">
        <w:t>we are</w:t>
      </w:r>
      <w:r w:rsidR="00CF081A">
        <w:t xml:space="preserve"> working towards</w:t>
      </w:r>
      <w:r w:rsidR="00F9560D" w:rsidRPr="00B53F89">
        <w:t xml:space="preserve"> creating new RPAS-specific planning and apparatus licen</w:t>
      </w:r>
      <w:r w:rsidR="001820EF" w:rsidRPr="00B53F89">
        <w:t>sing arrangements</w:t>
      </w:r>
      <w:r w:rsidR="00F9560D" w:rsidRPr="00B53F89">
        <w:t xml:space="preserve"> in bands allocated</w:t>
      </w:r>
      <w:r w:rsidR="008720AB" w:rsidRPr="00B53F89">
        <w:t xml:space="preserve"> in the </w:t>
      </w:r>
      <w:r w:rsidR="00FC5A44" w:rsidRPr="00B53F89">
        <w:t xml:space="preserve">ITU’s </w:t>
      </w:r>
      <w:r w:rsidR="00FC5A44" w:rsidRPr="0048118B">
        <w:t>Radio Regulation</w:t>
      </w:r>
      <w:r w:rsidR="00DB0ECD" w:rsidRPr="0048118B">
        <w:t>s</w:t>
      </w:r>
      <w:r w:rsidR="00FC5A44" w:rsidRPr="0048118B">
        <w:t xml:space="preserve"> (</w:t>
      </w:r>
      <w:r w:rsidR="008720AB" w:rsidRPr="0048118B">
        <w:t>RR</w:t>
      </w:r>
      <w:r w:rsidR="00DB0ECD" w:rsidRPr="0048118B">
        <w:t>s</w:t>
      </w:r>
      <w:r w:rsidR="00FC5A44" w:rsidRPr="00B53F89">
        <w:t>)</w:t>
      </w:r>
      <w:r w:rsidR="00F9560D" w:rsidRPr="00B53F89">
        <w:t xml:space="preserve"> to the </w:t>
      </w:r>
      <w:r w:rsidR="00FE3587">
        <w:t>a</w:t>
      </w:r>
      <w:r w:rsidR="00F9560D" w:rsidRPr="00B53F89">
        <w:t xml:space="preserve">eronautical </w:t>
      </w:r>
      <w:r w:rsidR="00FE3587">
        <w:t>m</w:t>
      </w:r>
      <w:r w:rsidR="00F9560D" w:rsidRPr="00B53F89">
        <w:t xml:space="preserve">obile </w:t>
      </w:r>
      <w:r w:rsidR="00FE3587">
        <w:t>s</w:t>
      </w:r>
      <w:r w:rsidR="00F9560D" w:rsidRPr="00B53F89">
        <w:t>ervices in the 5 GHz band (specifically in the range 5030</w:t>
      </w:r>
      <w:r w:rsidR="00004D7C" w:rsidRPr="00B53F89">
        <w:t>–</w:t>
      </w:r>
      <w:r w:rsidR="00F9560D" w:rsidRPr="00B53F89">
        <w:t>5091 MHz)</w:t>
      </w:r>
      <w:r w:rsidRPr="00B53F89">
        <w:t>.</w:t>
      </w:r>
      <w:r w:rsidR="00F9560D" w:rsidRPr="00B53F89">
        <w:t xml:space="preserve"> </w:t>
      </w:r>
      <w:r w:rsidR="00ED3C52" w:rsidRPr="0048118B">
        <w:t xml:space="preserve">In doing this, </w:t>
      </w:r>
      <w:r w:rsidR="0048118B">
        <w:t>we are</w:t>
      </w:r>
      <w:r w:rsidR="00ED3C52" w:rsidRPr="0048118B">
        <w:t xml:space="preserve"> working closely with international regulators.</w:t>
      </w:r>
      <w:r w:rsidR="00ED3C52">
        <w:t xml:space="preserve"> </w:t>
      </w:r>
    </w:p>
    <w:p w14:paraId="1586DEA8" w14:textId="4244D6A1" w:rsidR="00F9560D" w:rsidRPr="00B53F89" w:rsidRDefault="00F9560D" w:rsidP="00D7755E">
      <w:r w:rsidRPr="00B53F89">
        <w:t>The necessity</w:t>
      </w:r>
      <w:r w:rsidR="00F722A0" w:rsidRPr="00B53F89">
        <w:t xml:space="preserve"> of,</w:t>
      </w:r>
      <w:r w:rsidRPr="00B53F89">
        <w:t xml:space="preserve"> and planning for</w:t>
      </w:r>
      <w:r w:rsidR="00F722A0" w:rsidRPr="00B53F89">
        <w:t>,</w:t>
      </w:r>
      <w:r w:rsidRPr="00B53F89">
        <w:t xml:space="preserve"> these licensing arrangements will be informed by CASA’s consideration of availability and protection requirements for these communications. It is likely that apparatus licensing would only be required for command and control of </w:t>
      </w:r>
      <w:r w:rsidRPr="0048118B">
        <w:t>certain</w:t>
      </w:r>
      <w:r w:rsidRPr="00B53F89">
        <w:t xml:space="preserve"> classes of RPAS operating in </w:t>
      </w:r>
      <w:r w:rsidR="0048118B">
        <w:t>particular</w:t>
      </w:r>
      <w:r w:rsidR="0048118B" w:rsidRPr="00B53F89">
        <w:t xml:space="preserve"> </w:t>
      </w:r>
      <w:r w:rsidRPr="00B53F89">
        <w:t>classes of airspace</w:t>
      </w:r>
      <w:r w:rsidR="009D3560" w:rsidRPr="00B53F89">
        <w:t>—</w:t>
      </w:r>
      <w:r w:rsidRPr="00B53F89">
        <w:t xml:space="preserve">other consumer RPAS would continue to operate </w:t>
      </w:r>
      <w:r w:rsidR="006E243C" w:rsidRPr="00B53F89">
        <w:t xml:space="preserve">under the LIPD class licence. </w:t>
      </w:r>
    </w:p>
    <w:p w14:paraId="797FCDD4" w14:textId="3872FF37" w:rsidR="00EE0BFC" w:rsidRPr="00B53F89" w:rsidRDefault="00EE0BFC" w:rsidP="00FA7446">
      <w:pPr>
        <w:keepNext/>
        <w:spacing w:before="60" w:after="0"/>
      </w:pPr>
      <w:bookmarkStart w:id="195" w:name="_New_approaches_to"/>
      <w:bookmarkStart w:id="196" w:name="_Toc511716275"/>
      <w:bookmarkStart w:id="197" w:name="_Toc511719086"/>
      <w:bookmarkStart w:id="198" w:name="_Toc522794082"/>
      <w:bookmarkEnd w:id="195"/>
      <w:r w:rsidRPr="006A2F04">
        <w:rPr>
          <w:noProof/>
        </w:rPr>
        <w:drawing>
          <wp:inline distT="0" distB="0" distL="0" distR="0" wp14:anchorId="77E55027" wp14:editId="3340D2A4">
            <wp:extent cx="342900" cy="361950"/>
            <wp:effectExtent l="0" t="0" r="0" b="0"/>
            <wp:docPr id="21" name="Picture 21"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42C49159" wp14:editId="0A08E797">
            <wp:extent cx="342900" cy="361950"/>
            <wp:effectExtent l="0" t="0" r="0" b="0"/>
            <wp:docPr id="45" name="Picture 4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2EB5AADD" wp14:editId="0A68A2FA">
            <wp:extent cx="342900" cy="361950"/>
            <wp:effectExtent l="0" t="0" r="0" b="0"/>
            <wp:docPr id="101" name="Picture 101"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nternet of Things icon"/>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7FB4D70" w14:textId="01367B0B" w:rsidR="001B763E" w:rsidRDefault="00417BCD" w:rsidP="001B763E">
      <w:pPr>
        <w:pStyle w:val="Heading3"/>
      </w:pPr>
      <w:bookmarkStart w:id="199" w:name="_Toc36207405"/>
      <w:bookmarkStart w:id="200" w:name="_Toc51864297"/>
      <w:r w:rsidRPr="006A2F04">
        <w:rPr>
          <w:noProof/>
        </w:rPr>
        <w:drawing>
          <wp:inline distT="0" distB="0" distL="0" distR="0" wp14:anchorId="221AF8D0" wp14:editId="7FC816A8">
            <wp:extent cx="244475" cy="140335"/>
            <wp:effectExtent l="0" t="0" r="3175" b="0"/>
            <wp:docPr id="237" name="Picture 237"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1B763E">
        <w:t>Spectrum sharing</w:t>
      </w:r>
      <w:bookmarkEnd w:id="199"/>
      <w:bookmarkEnd w:id="200"/>
    </w:p>
    <w:p w14:paraId="4A2B9B17" w14:textId="09AEF50B" w:rsidR="0010188F" w:rsidRPr="00B53F89" w:rsidRDefault="00EA54D5">
      <w:r w:rsidRPr="00B53F89">
        <w:t xml:space="preserve">Spectrum sharing is fundamental to effective spectrum management and a key tool in maximising the benefits achieved through use of the spectrum resource. </w:t>
      </w:r>
    </w:p>
    <w:p w14:paraId="05E9B007" w14:textId="169E3B09" w:rsidR="00EA54D5" w:rsidRPr="00B53F89" w:rsidRDefault="00EA54D5">
      <w:r w:rsidRPr="00B53F89">
        <w:rPr>
          <w:rFonts w:cs="Arial"/>
        </w:rPr>
        <w:t xml:space="preserve">The ACMA, like many national spectrum managers, </w:t>
      </w:r>
      <w:r w:rsidR="00CF5999" w:rsidRPr="00B53F89">
        <w:rPr>
          <w:rFonts w:cs="Arial"/>
        </w:rPr>
        <w:t>implements a range of spectrum</w:t>
      </w:r>
      <w:r w:rsidR="009D460C">
        <w:rPr>
          <w:rFonts w:cs="Arial"/>
        </w:rPr>
        <w:t>-</w:t>
      </w:r>
      <w:r w:rsidRPr="00B53F89">
        <w:rPr>
          <w:rFonts w:cs="Arial"/>
        </w:rPr>
        <w:t xml:space="preserve">sharing </w:t>
      </w:r>
      <w:r w:rsidR="00CF5999" w:rsidRPr="00B53F89">
        <w:rPr>
          <w:rFonts w:cs="Arial"/>
        </w:rPr>
        <w:t xml:space="preserve">approaches </w:t>
      </w:r>
      <w:r w:rsidRPr="00B53F89">
        <w:rPr>
          <w:rFonts w:cs="Arial"/>
        </w:rPr>
        <w:t>to maximise the overall public benefit</w:t>
      </w:r>
      <w:r w:rsidR="00CF5999" w:rsidRPr="00B53F89">
        <w:rPr>
          <w:rFonts w:cs="Arial"/>
        </w:rPr>
        <w:t xml:space="preserve"> derived from using spectrum</w:t>
      </w:r>
      <w:r w:rsidRPr="00B53F89">
        <w:rPr>
          <w:rFonts w:cs="Arial"/>
        </w:rPr>
        <w:t xml:space="preserve">. </w:t>
      </w:r>
      <w:r w:rsidRPr="00B53F89">
        <w:t>As with all forms of resource sharing, spectrum sharing requires some degree of compromise between multiple spectrum</w:t>
      </w:r>
      <w:r w:rsidR="009D460C">
        <w:t>-</w:t>
      </w:r>
      <w:r w:rsidRPr="00B53F89">
        <w:t xml:space="preserve">use services or applications </w:t>
      </w:r>
      <w:r w:rsidR="00CF5999" w:rsidRPr="00B53F89">
        <w:t xml:space="preserve">and </w:t>
      </w:r>
      <w:r w:rsidRPr="00B53F89">
        <w:t xml:space="preserve">users (individual licensees) accessing the shared spectrum. </w:t>
      </w:r>
    </w:p>
    <w:p w14:paraId="7112BAE1" w14:textId="77777777" w:rsidR="00EA54D5" w:rsidRPr="00B53F89" w:rsidRDefault="00EA54D5">
      <w:r w:rsidRPr="00B53F89">
        <w:t>Traditionally, spectrum sharing has largely focused on static approaches that establish coexistence arrangements defined through fixed geographic and spectral boundaries. More recently</w:t>
      </w:r>
      <w:r w:rsidR="00A56FF3" w:rsidRPr="00B53F89">
        <w:t>,</w:t>
      </w:r>
      <w:r w:rsidRPr="00B53F89">
        <w:t xml:space="preserve"> new technologies and techniques have been developed that mak</w:t>
      </w:r>
      <w:r w:rsidR="00CF5999" w:rsidRPr="00B53F89">
        <w:t>e</w:t>
      </w:r>
      <w:r w:rsidRPr="00B53F89">
        <w:t xml:space="preserve"> new approaches to spectrum sharing </w:t>
      </w:r>
      <w:r w:rsidR="00CF5999" w:rsidRPr="00B53F89">
        <w:t xml:space="preserve">more </w:t>
      </w:r>
      <w:r w:rsidRPr="00B53F89">
        <w:t>viable</w:t>
      </w:r>
      <w:r w:rsidR="00CF5999" w:rsidRPr="00B53F89">
        <w:t xml:space="preserve">. These include </w:t>
      </w:r>
      <w:r w:rsidRPr="00B53F89">
        <w:t xml:space="preserve">dynamic </w:t>
      </w:r>
      <w:r w:rsidR="00CF5999" w:rsidRPr="00B53F89">
        <w:t xml:space="preserve">sharing approaches </w:t>
      </w:r>
      <w:r w:rsidRPr="00B53F89">
        <w:t xml:space="preserve">sometimes referred to collectively as dynamic spectrum access (DSA) or dynamic spectrum management. These techniques typically take advantage of time-based changes in spectrum use by spectrum users—that is, some spectrum users may not use all the spectrum, in all geographic areas, all the time. </w:t>
      </w:r>
    </w:p>
    <w:p w14:paraId="76984EBC" w14:textId="69406A98" w:rsidR="00EA54D5" w:rsidRPr="00B53F89" w:rsidRDefault="00EA54D5">
      <w:r w:rsidRPr="00B53F89">
        <w:t xml:space="preserve">DSA </w:t>
      </w:r>
      <w:r w:rsidR="00B57D57" w:rsidRPr="00B53F89">
        <w:t xml:space="preserve">implementations to date have been limited, </w:t>
      </w:r>
      <w:r w:rsidRPr="00B53F89" w:rsidDel="00B57D57">
        <w:t xml:space="preserve">in </w:t>
      </w:r>
      <w:r w:rsidRPr="00B53F89">
        <w:t xml:space="preserve">part due to technological </w:t>
      </w:r>
      <w:r w:rsidR="00B57D57" w:rsidRPr="00B53F89">
        <w:t>constraints</w:t>
      </w:r>
      <w:r w:rsidRPr="00B53F89">
        <w:t xml:space="preserve">, spectrum availability factors and user expectations. </w:t>
      </w:r>
      <w:r w:rsidR="002263B2" w:rsidRPr="00B53F89">
        <w:t>To date, r</w:t>
      </w:r>
      <w:r w:rsidRPr="00B53F89">
        <w:t xml:space="preserve">egulatory </w:t>
      </w:r>
      <w:r w:rsidRPr="009906C8">
        <w:t>frameworks ha</w:t>
      </w:r>
      <w:r w:rsidR="002263B2" w:rsidRPr="009906C8">
        <w:t>ve</w:t>
      </w:r>
      <w:r w:rsidRPr="009906C8">
        <w:t xml:space="preserve"> not been widely developed to facilitate DSA</w:t>
      </w:r>
      <w:r w:rsidR="00050C4F" w:rsidRPr="009906C8">
        <w:t xml:space="preserve"> arrangements</w:t>
      </w:r>
      <w:r w:rsidRPr="009906C8">
        <w:t xml:space="preserve">. </w:t>
      </w:r>
      <w:r w:rsidR="00050C4F" w:rsidRPr="009906C8">
        <w:t>More recently, h</w:t>
      </w:r>
      <w:r w:rsidRPr="009906C8">
        <w:t xml:space="preserve">owever, </w:t>
      </w:r>
      <w:r w:rsidR="0010188F" w:rsidRPr="009906C8">
        <w:t>several</w:t>
      </w:r>
      <w:r w:rsidRPr="009906C8">
        <w:t xml:space="preserve"> DSA frameworks have been proposed or </w:t>
      </w:r>
      <w:r w:rsidR="00050C4F" w:rsidRPr="009906C8">
        <w:t xml:space="preserve">trialled </w:t>
      </w:r>
      <w:r w:rsidRPr="009906C8">
        <w:t xml:space="preserve">by </w:t>
      </w:r>
      <w:r w:rsidRPr="009906C8">
        <w:lastRenderedPageBreak/>
        <w:t>overseas spectrum regulators</w:t>
      </w:r>
      <w:r w:rsidR="00326C3D" w:rsidRPr="009906C8">
        <w:t>—</w:t>
      </w:r>
      <w:r w:rsidR="007F7991" w:rsidRPr="009906C8">
        <w:t>for example</w:t>
      </w:r>
      <w:r w:rsidR="007C0B07" w:rsidRPr="009906C8">
        <w:t>,</w:t>
      </w:r>
      <w:r w:rsidR="007F7991" w:rsidRPr="009906C8">
        <w:t xml:space="preserve"> the F</w:t>
      </w:r>
      <w:r w:rsidR="00FF1179" w:rsidRPr="009906C8">
        <w:t>ederal Communications Commission</w:t>
      </w:r>
      <w:r w:rsidR="007F7991" w:rsidRPr="009906C8">
        <w:t xml:space="preserve"> </w:t>
      </w:r>
      <w:r w:rsidR="003E3FDF" w:rsidRPr="009906C8">
        <w:t>(FCC)</w:t>
      </w:r>
      <w:r w:rsidR="003072AC">
        <w:t xml:space="preserve"> </w:t>
      </w:r>
      <w:r w:rsidR="004A65AA">
        <w:t>in the US</w:t>
      </w:r>
      <w:r w:rsidR="003E3FDF" w:rsidRPr="009906C8">
        <w:t xml:space="preserve"> </w:t>
      </w:r>
      <w:r w:rsidR="007F7991" w:rsidRPr="009906C8">
        <w:t>and Ofcom</w:t>
      </w:r>
      <w:r w:rsidR="004A65AA">
        <w:t xml:space="preserve"> in the UK</w:t>
      </w:r>
      <w:r w:rsidRPr="009906C8">
        <w:t>.</w:t>
      </w:r>
      <w:r w:rsidRPr="00B53F89">
        <w:t xml:space="preserve"> </w:t>
      </w:r>
    </w:p>
    <w:p w14:paraId="5369E10B" w14:textId="022FD168" w:rsidR="00D24E23" w:rsidRPr="00B53F89" w:rsidRDefault="004A65AA" w:rsidP="00D24E23">
      <w:r>
        <w:t>T</w:t>
      </w:r>
      <w:r w:rsidR="00EA54D5" w:rsidRPr="00B53F89">
        <w:t xml:space="preserve">o share ideas </w:t>
      </w:r>
      <w:r>
        <w:t xml:space="preserve">with industry </w:t>
      </w:r>
      <w:r w:rsidR="00EA54D5" w:rsidRPr="00B53F89">
        <w:t>and develop a common understanding on the issues and opportunities with new sharing approaches, the ACMA</w:t>
      </w:r>
      <w:r w:rsidR="00E47AFA" w:rsidRPr="00B53F89">
        <w:t xml:space="preserve"> host</w:t>
      </w:r>
      <w:r w:rsidR="008854C3" w:rsidRPr="00B53F89">
        <w:t>ed</w:t>
      </w:r>
      <w:r w:rsidR="00E47AFA" w:rsidRPr="00B53F89">
        <w:t xml:space="preserve"> a</w:t>
      </w:r>
      <w:r w:rsidR="00BA48AA" w:rsidRPr="00B53F89">
        <w:t xml:space="preserve"> </w:t>
      </w:r>
      <w:r w:rsidR="00397DC6" w:rsidRPr="00B53F89">
        <w:t>s</w:t>
      </w:r>
      <w:r w:rsidR="00EA54D5" w:rsidRPr="00B53F89">
        <w:t xml:space="preserve">pectrum </w:t>
      </w:r>
      <w:r w:rsidR="009D460C">
        <w:t>‘</w:t>
      </w:r>
      <w:r w:rsidR="00397DC6" w:rsidRPr="00B53F89">
        <w:t>t</w:t>
      </w:r>
      <w:r w:rsidR="00EA54D5" w:rsidRPr="00B53F89">
        <w:t>une-up</w:t>
      </w:r>
      <w:r w:rsidR="00397DC6" w:rsidRPr="00B53F89">
        <w:t>’</w:t>
      </w:r>
      <w:r w:rsidR="00EA54D5" w:rsidRPr="00B53F89">
        <w:t xml:space="preserve"> on th</w:t>
      </w:r>
      <w:r w:rsidR="008854C3" w:rsidRPr="00B53F89">
        <w:t>is</w:t>
      </w:r>
      <w:r w:rsidR="00EA54D5" w:rsidRPr="00B53F89">
        <w:t xml:space="preserve"> issue</w:t>
      </w:r>
      <w:r w:rsidR="008854C3" w:rsidRPr="00B53F89">
        <w:t xml:space="preserve"> </w:t>
      </w:r>
      <w:r w:rsidR="00896E1C" w:rsidRPr="00B53F89">
        <w:t>in</w:t>
      </w:r>
      <w:r w:rsidR="008854C3" w:rsidRPr="00B53F89">
        <w:t xml:space="preserve"> August 2019</w:t>
      </w:r>
      <w:r w:rsidR="003A0E21">
        <w:t xml:space="preserve"> and release</w:t>
      </w:r>
      <w:r w:rsidR="003A1DC8">
        <w:t>d</w:t>
      </w:r>
      <w:r w:rsidR="003A0E21">
        <w:t xml:space="preserve"> an associated discussion paper</w:t>
      </w:r>
      <w:r w:rsidR="00D24E23" w:rsidRPr="00B53F89">
        <w:t xml:space="preserve">. </w:t>
      </w:r>
    </w:p>
    <w:p w14:paraId="06094E36" w14:textId="7F81344E" w:rsidR="003A0E21" w:rsidRDefault="006F6D2D" w:rsidP="00513FDE">
      <w:pPr>
        <w:rPr>
          <w:rFonts w:eastAsiaTheme="minorHAnsi"/>
        </w:rPr>
      </w:pPr>
      <w:r>
        <w:rPr>
          <w:rFonts w:eastAsiaTheme="minorHAnsi"/>
        </w:rPr>
        <w:t>W</w:t>
      </w:r>
      <w:r w:rsidR="003A0E21">
        <w:rPr>
          <w:rFonts w:eastAsiaTheme="minorHAnsi"/>
        </w:rPr>
        <w:t>hile there is momentum in some international jurisdictions, and we recognise general interest in th</w:t>
      </w:r>
      <w:r w:rsidR="003A0E21" w:rsidRPr="00294DB6">
        <w:rPr>
          <w:rFonts w:eastAsiaTheme="minorHAnsi"/>
        </w:rPr>
        <w:t xml:space="preserve">e Australian market, </w:t>
      </w:r>
      <w:r w:rsidR="00294DB6">
        <w:rPr>
          <w:rFonts w:eastAsiaTheme="minorHAnsi"/>
        </w:rPr>
        <w:t>we ha</w:t>
      </w:r>
      <w:r w:rsidR="009D460C" w:rsidRPr="00294DB6">
        <w:rPr>
          <w:rFonts w:eastAsiaTheme="minorHAnsi"/>
        </w:rPr>
        <w:t>ve</w:t>
      </w:r>
      <w:r w:rsidR="003A0E21" w:rsidRPr="00294DB6">
        <w:rPr>
          <w:rFonts w:eastAsiaTheme="minorHAnsi"/>
        </w:rPr>
        <w:t xml:space="preserve"> not received an</w:t>
      </w:r>
      <w:r w:rsidR="003A0E21">
        <w:rPr>
          <w:rFonts w:eastAsiaTheme="minorHAnsi"/>
        </w:rPr>
        <w:t>y detailed sharing proposals for consideration. Therefore, the development of a formal, ongoing DSA regime has not be</w:t>
      </w:r>
      <w:r w:rsidR="003A1DC8">
        <w:rPr>
          <w:rFonts w:eastAsiaTheme="minorHAnsi"/>
        </w:rPr>
        <w:t>en</w:t>
      </w:r>
      <w:r w:rsidR="003A0E21">
        <w:rPr>
          <w:rFonts w:eastAsiaTheme="minorHAnsi"/>
        </w:rPr>
        <w:t xml:space="preserve"> prioritised by the ACMA at this time. Additional evidence and information from industry to inform the possible development of ongoing domestic DSA regulatory arrangements is welcomed as progress is made. Importantly, this approach will help Australia to best benefit from international experience (for example</w:t>
      </w:r>
      <w:r w:rsidR="004A65AA">
        <w:rPr>
          <w:rFonts w:eastAsiaTheme="minorHAnsi"/>
        </w:rPr>
        <w:t>,</w:t>
      </w:r>
      <w:r w:rsidR="003A0E21">
        <w:rPr>
          <w:rFonts w:eastAsiaTheme="minorHAnsi"/>
        </w:rPr>
        <w:t xml:space="preserve"> lessons learned from the US Citizens Broadband Radio Service (CBRS) rollout), and for domestic trials to be supported where possible. Both opportunities will help bridge the knowledge gap and inform future considerations. </w:t>
      </w:r>
    </w:p>
    <w:p w14:paraId="6037FBAD" w14:textId="51878472" w:rsidR="00EA54D5" w:rsidRDefault="003A0E21" w:rsidP="000650FB">
      <w:pPr>
        <w:rPr>
          <w:rFonts w:eastAsiaTheme="minorHAnsi" w:cs="Arial"/>
        </w:rPr>
      </w:pPr>
      <w:r>
        <w:rPr>
          <w:rFonts w:eastAsiaTheme="minorHAnsi" w:cs="Arial"/>
        </w:rPr>
        <w:t>We remain open to considering proposals as they are developed by the industry. If feasible</w:t>
      </w:r>
      <w:r w:rsidR="00E51A3F">
        <w:rPr>
          <w:rFonts w:eastAsiaTheme="minorHAnsi" w:cs="Arial"/>
        </w:rPr>
        <w:t>,</w:t>
      </w:r>
      <w:r>
        <w:rPr>
          <w:rFonts w:eastAsiaTheme="minorHAnsi" w:cs="Arial"/>
        </w:rPr>
        <w:t xml:space="preserve"> the ACMA is prepared to both facilitate discussions between affected/interested operators and assist with licensing arrangements to help enable such </w:t>
      </w:r>
      <w:r w:rsidRPr="000650FB">
        <w:t>trials</w:t>
      </w:r>
      <w:r>
        <w:rPr>
          <w:rFonts w:eastAsiaTheme="minorHAnsi" w:cs="Arial"/>
        </w:rPr>
        <w:t>.</w:t>
      </w:r>
    </w:p>
    <w:p w14:paraId="56F0F90E" w14:textId="696E369D" w:rsidR="006F6D2D" w:rsidRDefault="006F6D2D" w:rsidP="000650FB">
      <w:pPr>
        <w:rPr>
          <w:rFonts w:eastAsiaTheme="minorHAnsi" w:cs="Arial"/>
        </w:rPr>
      </w:pPr>
      <w:r>
        <w:rPr>
          <w:rFonts w:eastAsiaTheme="minorHAnsi" w:cs="Arial"/>
        </w:rPr>
        <w:t>We note that some submissions to the sharing consultation floated the idea of more static geographic, rather than dynamic time-based sharing approaches, particular</w:t>
      </w:r>
      <w:r w:rsidR="009D460C">
        <w:rPr>
          <w:rFonts w:eastAsiaTheme="minorHAnsi" w:cs="Arial"/>
        </w:rPr>
        <w:t>ly</w:t>
      </w:r>
      <w:r>
        <w:rPr>
          <w:rFonts w:eastAsiaTheme="minorHAnsi" w:cs="Arial"/>
        </w:rPr>
        <w:t xml:space="preserve"> access to spectrum-licen</w:t>
      </w:r>
      <w:r w:rsidR="0065076F">
        <w:rPr>
          <w:rFonts w:eastAsiaTheme="minorHAnsi" w:cs="Arial"/>
        </w:rPr>
        <w:t>s</w:t>
      </w:r>
      <w:r>
        <w:rPr>
          <w:rFonts w:eastAsiaTheme="minorHAnsi" w:cs="Arial"/>
        </w:rPr>
        <w:t xml:space="preserve">ed bands in </w:t>
      </w:r>
      <w:r w:rsidR="001457D6">
        <w:rPr>
          <w:rFonts w:eastAsiaTheme="minorHAnsi" w:cs="Arial"/>
        </w:rPr>
        <w:t xml:space="preserve">areas where </w:t>
      </w:r>
      <w:r w:rsidR="00AB5635">
        <w:rPr>
          <w:rFonts w:eastAsiaTheme="minorHAnsi" w:cs="Arial"/>
        </w:rPr>
        <w:t>services may not have been deployed. This idea was raised in the context of smaller commercial or private wireless broadband operators potentially servicing remote townships or private industrial (</w:t>
      </w:r>
      <w:r w:rsidR="0091309B">
        <w:rPr>
          <w:rFonts w:eastAsiaTheme="minorHAnsi" w:cs="Arial"/>
        </w:rPr>
        <w:t>for example,</w:t>
      </w:r>
      <w:r w:rsidR="00AB5635">
        <w:rPr>
          <w:rFonts w:eastAsiaTheme="minorHAnsi" w:cs="Arial"/>
        </w:rPr>
        <w:t xml:space="preserve"> mining) concerns. </w:t>
      </w:r>
    </w:p>
    <w:p w14:paraId="7122746D" w14:textId="0B4C4ADC" w:rsidR="00AB5635" w:rsidRDefault="00AB5635" w:rsidP="000650FB">
      <w:pPr>
        <w:rPr>
          <w:rFonts w:eastAsiaTheme="minorHAnsi" w:cs="Arial"/>
        </w:rPr>
      </w:pPr>
      <w:r>
        <w:rPr>
          <w:rFonts w:eastAsiaTheme="minorHAnsi" w:cs="Arial"/>
        </w:rPr>
        <w:t xml:space="preserve">Under current legislation, </w:t>
      </w:r>
      <w:r w:rsidR="00492795">
        <w:rPr>
          <w:rFonts w:eastAsiaTheme="minorHAnsi" w:cs="Arial"/>
        </w:rPr>
        <w:t>access to spectrum</w:t>
      </w:r>
      <w:r w:rsidR="009D460C">
        <w:rPr>
          <w:rFonts w:eastAsiaTheme="minorHAnsi" w:cs="Arial"/>
        </w:rPr>
        <w:t>-</w:t>
      </w:r>
      <w:r w:rsidR="00492795">
        <w:rPr>
          <w:rFonts w:eastAsiaTheme="minorHAnsi" w:cs="Arial"/>
        </w:rPr>
        <w:t>licen</w:t>
      </w:r>
      <w:r w:rsidR="0065076F">
        <w:rPr>
          <w:rFonts w:eastAsiaTheme="minorHAnsi" w:cs="Arial"/>
        </w:rPr>
        <w:t>s</w:t>
      </w:r>
      <w:r w:rsidR="00492795">
        <w:rPr>
          <w:rFonts w:eastAsiaTheme="minorHAnsi" w:cs="Arial"/>
        </w:rPr>
        <w:t>ed frequencies by third parties is only possible through agreement with the licensee. Access via such means is always an option, and the ACMA can play an intermediary role in discussions around prospective third-part access arrangements</w:t>
      </w:r>
      <w:r w:rsidR="009D460C">
        <w:rPr>
          <w:rFonts w:eastAsiaTheme="minorHAnsi" w:cs="Arial"/>
        </w:rPr>
        <w:t>. H</w:t>
      </w:r>
      <w:r w:rsidR="00492795">
        <w:rPr>
          <w:rFonts w:eastAsiaTheme="minorHAnsi" w:cs="Arial"/>
        </w:rPr>
        <w:t>owever</w:t>
      </w:r>
      <w:r w:rsidR="009D460C">
        <w:rPr>
          <w:rFonts w:eastAsiaTheme="minorHAnsi" w:cs="Arial"/>
        </w:rPr>
        <w:t>,</w:t>
      </w:r>
      <w:r w:rsidR="00492795">
        <w:rPr>
          <w:rFonts w:eastAsiaTheme="minorHAnsi" w:cs="Arial"/>
        </w:rPr>
        <w:t xml:space="preserve"> unless agreement can be obtained</w:t>
      </w:r>
      <w:r w:rsidR="009D460C">
        <w:rPr>
          <w:rFonts w:eastAsiaTheme="minorHAnsi" w:cs="Arial"/>
        </w:rPr>
        <w:t>,</w:t>
      </w:r>
      <w:r w:rsidR="00492795">
        <w:rPr>
          <w:rFonts w:eastAsiaTheme="minorHAnsi" w:cs="Arial"/>
        </w:rPr>
        <w:t xml:space="preserve"> this access is not possible (except under very limited ‘special’ circumstances).</w:t>
      </w:r>
    </w:p>
    <w:p w14:paraId="502D22A7" w14:textId="145AE09B" w:rsidR="00D76132" w:rsidRDefault="001F41ED" w:rsidP="000650FB">
      <w:pPr>
        <w:rPr>
          <w:rFonts w:eastAsiaTheme="minorHAnsi" w:cs="Arial"/>
        </w:rPr>
      </w:pPr>
      <w:r>
        <w:rPr>
          <w:rFonts w:eastAsiaTheme="minorHAnsi" w:cs="Arial"/>
        </w:rPr>
        <w:t xml:space="preserve">That said, the advent of </w:t>
      </w:r>
      <w:r w:rsidR="00692F9E">
        <w:rPr>
          <w:rFonts w:eastAsiaTheme="minorHAnsi" w:cs="Arial"/>
        </w:rPr>
        <w:t>area-wide licences (</w:t>
      </w:r>
      <w:r w:rsidRPr="00835B8C">
        <w:rPr>
          <w:rFonts w:eastAsiaTheme="minorHAnsi" w:cs="Arial"/>
        </w:rPr>
        <w:t>AWLs</w:t>
      </w:r>
      <w:r w:rsidR="00692F9E">
        <w:rPr>
          <w:rFonts w:eastAsiaTheme="minorHAnsi" w:cs="Arial"/>
        </w:rPr>
        <w:t>)</w:t>
      </w:r>
      <w:r>
        <w:rPr>
          <w:rFonts w:eastAsiaTheme="minorHAnsi" w:cs="Arial"/>
        </w:rPr>
        <w:t xml:space="preserve"> is also expected to provide new opportunities for smaller, private wireless broadband operations, given that the size and scalability of these licences</w:t>
      </w:r>
      <w:r w:rsidR="0039331C">
        <w:rPr>
          <w:rFonts w:eastAsiaTheme="minorHAnsi" w:cs="Arial"/>
        </w:rPr>
        <w:t xml:space="preserve"> very much</w:t>
      </w:r>
      <w:r>
        <w:rPr>
          <w:rFonts w:eastAsiaTheme="minorHAnsi" w:cs="Arial"/>
        </w:rPr>
        <w:t xml:space="preserve"> lend themselves to the deployment of such services. The initial focus of AWLs has been in the 26 and 28 GHz bands, however</w:t>
      </w:r>
      <w:r w:rsidR="009D460C">
        <w:rPr>
          <w:rFonts w:eastAsiaTheme="minorHAnsi" w:cs="Arial"/>
        </w:rPr>
        <w:t>,</w:t>
      </w:r>
      <w:r>
        <w:rPr>
          <w:rFonts w:eastAsiaTheme="minorHAnsi" w:cs="Arial"/>
        </w:rPr>
        <w:t xml:space="preserve"> </w:t>
      </w:r>
      <w:r w:rsidR="009D460C">
        <w:rPr>
          <w:rFonts w:eastAsiaTheme="minorHAnsi" w:cs="Arial"/>
        </w:rPr>
        <w:t xml:space="preserve">we </w:t>
      </w:r>
      <w:r>
        <w:rPr>
          <w:rFonts w:eastAsiaTheme="minorHAnsi" w:cs="Arial"/>
        </w:rPr>
        <w:t xml:space="preserve">may consider their application in other frequency bands in future. </w:t>
      </w:r>
      <w:r w:rsidR="00D76132">
        <w:rPr>
          <w:rFonts w:eastAsiaTheme="minorHAnsi" w:cs="Arial"/>
        </w:rPr>
        <w:t xml:space="preserve">Additionally, we will be exploring additional frequencies for </w:t>
      </w:r>
      <w:r w:rsidR="0091309B">
        <w:rPr>
          <w:rFonts w:eastAsiaTheme="minorHAnsi" w:cs="Arial"/>
        </w:rPr>
        <w:t>wi-fi</w:t>
      </w:r>
      <w:r w:rsidR="00D76132">
        <w:rPr>
          <w:rFonts w:eastAsiaTheme="minorHAnsi" w:cs="Arial"/>
        </w:rPr>
        <w:t xml:space="preserve">-like services in the bands around </w:t>
      </w:r>
      <w:r w:rsidR="009D460C">
        <w:rPr>
          <w:rFonts w:eastAsiaTheme="minorHAnsi" w:cs="Arial"/>
        </w:rPr>
        <w:t>6 </w:t>
      </w:r>
      <w:r w:rsidR="00D76132">
        <w:rPr>
          <w:rFonts w:eastAsiaTheme="minorHAnsi" w:cs="Arial"/>
        </w:rPr>
        <w:t xml:space="preserve">GHz and continue to review and replan frequency bands for a range of applications and licence types. </w:t>
      </w:r>
    </w:p>
    <w:p w14:paraId="2BA6961D" w14:textId="7D674829" w:rsidR="00492795" w:rsidRPr="00B53F89" w:rsidRDefault="00D76132" w:rsidP="000650FB">
      <w:r>
        <w:rPr>
          <w:rFonts w:eastAsiaTheme="minorHAnsi" w:cs="Arial"/>
        </w:rPr>
        <w:t xml:space="preserve">So while non-traditional shared access to spectrum will continue to be one possible means of enabling smaller private wireless broadband network deployments, there is also a significant amount of work being done on more traditional static approaches to providing access that </w:t>
      </w:r>
      <w:r w:rsidR="0039331C">
        <w:rPr>
          <w:rFonts w:eastAsiaTheme="minorHAnsi" w:cs="Arial"/>
        </w:rPr>
        <w:t>are expected to</w:t>
      </w:r>
      <w:r>
        <w:rPr>
          <w:rFonts w:eastAsiaTheme="minorHAnsi" w:cs="Arial"/>
        </w:rPr>
        <w:t xml:space="preserve"> generate significant opportunities for these use</w:t>
      </w:r>
      <w:r w:rsidR="00CC5C49">
        <w:rPr>
          <w:rFonts w:eastAsiaTheme="minorHAnsi" w:cs="Arial"/>
        </w:rPr>
        <w:t>-</w:t>
      </w:r>
      <w:r>
        <w:rPr>
          <w:rFonts w:eastAsiaTheme="minorHAnsi" w:cs="Arial"/>
        </w:rPr>
        <w:t xml:space="preserve">cases. </w:t>
      </w:r>
    </w:p>
    <w:p w14:paraId="3A489473" w14:textId="058860A3" w:rsidR="00EE0BFC" w:rsidRPr="00B53F89" w:rsidRDefault="00EE0BFC" w:rsidP="00835B8C">
      <w:pPr>
        <w:keepNext/>
        <w:keepLines/>
        <w:spacing w:before="60" w:after="0"/>
      </w:pPr>
      <w:r w:rsidRPr="006A2F04">
        <w:rPr>
          <w:noProof/>
        </w:rPr>
        <w:lastRenderedPageBreak/>
        <w:drawing>
          <wp:inline distT="0" distB="0" distL="0" distR="0" wp14:anchorId="2BDE23A0" wp14:editId="04097397">
            <wp:extent cx="342900" cy="361950"/>
            <wp:effectExtent l="0" t="0" r="0" b="0"/>
            <wp:docPr id="22" name="Picture 22"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231928F" wp14:editId="32D04799">
            <wp:extent cx="342900" cy="361950"/>
            <wp:effectExtent l="0" t="0" r="0" b="0"/>
            <wp:docPr id="23" name="Picture 23"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1F0DA9A8" wp14:editId="6A3253AB">
            <wp:extent cx="341630" cy="359410"/>
            <wp:effectExtent l="0" t="0" r="1270" b="2540"/>
            <wp:docPr id="139" name="Picture 13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5C556C94" wp14:editId="54334182">
            <wp:extent cx="342900" cy="361950"/>
            <wp:effectExtent l="0" t="0" r="0" b="0"/>
            <wp:docPr id="25" name="Picture 25"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EBF0592" w14:textId="455DF33F" w:rsidR="00EA54D5" w:rsidRPr="00B53F89" w:rsidRDefault="00A25038" w:rsidP="00835B8C">
      <w:pPr>
        <w:pStyle w:val="Heading3"/>
        <w:keepLines/>
        <w:rPr>
          <w:b w:val="0"/>
        </w:rPr>
      </w:pPr>
      <w:bookmarkStart w:id="201" w:name="_Toc31892783"/>
      <w:bookmarkStart w:id="202" w:name="_Toc36207406"/>
      <w:bookmarkStart w:id="203" w:name="_Toc51864298"/>
      <w:r w:rsidRPr="006A2F04">
        <w:rPr>
          <w:noProof/>
        </w:rPr>
        <w:drawing>
          <wp:inline distT="0" distB="0" distL="0" distR="0" wp14:anchorId="40499C37" wp14:editId="62FACC22">
            <wp:extent cx="244475" cy="140335"/>
            <wp:effectExtent l="0" t="0" r="3175" b="0"/>
            <wp:docPr id="42" name="Picture 42"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EA54D5" w:rsidRPr="00B53F89">
        <w:t>Class licensing and the spectrum commons</w:t>
      </w:r>
      <w:bookmarkEnd w:id="201"/>
      <w:bookmarkEnd w:id="202"/>
      <w:bookmarkEnd w:id="203"/>
    </w:p>
    <w:p w14:paraId="450333DE" w14:textId="354AAA95" w:rsidR="00E50661" w:rsidRPr="00B53F89" w:rsidRDefault="00EA54D5" w:rsidP="00835B8C">
      <w:pPr>
        <w:keepNext/>
        <w:keepLines/>
      </w:pPr>
      <w:r w:rsidRPr="00B53F89">
        <w:t xml:space="preserve">Class licensing is the approach used in Australia to implement </w:t>
      </w:r>
      <w:r w:rsidR="003D2F51" w:rsidRPr="00B53F89">
        <w:t>less closely managed spectrum arrangements, including</w:t>
      </w:r>
      <w:r w:rsidRPr="00B53F89">
        <w:t xml:space="preserve"> ‘spectrum commons</w:t>
      </w:r>
      <w:r w:rsidR="00B45DAB" w:rsidRPr="00B53F89">
        <w:t>’</w:t>
      </w:r>
      <w:r w:rsidR="003D2F51" w:rsidRPr="00B53F89">
        <w:t>.</w:t>
      </w:r>
      <w:r w:rsidRPr="00B53F89">
        <w:t xml:space="preserve"> </w:t>
      </w:r>
      <w:r w:rsidR="00E50661" w:rsidRPr="00B53F89">
        <w:t>The fundamental idea of a spectrum commons is that anyone can use commons spectrum, so long as they follow the set rules</w:t>
      </w:r>
      <w:r w:rsidR="005F6C41" w:rsidRPr="00B53F89">
        <w:rPr>
          <w:rStyle w:val="FootnoteReference"/>
        </w:rPr>
        <w:footnoteReference w:id="36"/>
      </w:r>
      <w:r w:rsidR="007C0B07" w:rsidRPr="00B53F89">
        <w:t>—</w:t>
      </w:r>
      <w:r w:rsidR="00E50661" w:rsidRPr="00B53F89">
        <w:t xml:space="preserve">in </w:t>
      </w:r>
      <w:r w:rsidR="004A65AA" w:rsidRPr="00B53F89">
        <w:t>Australia,</w:t>
      </w:r>
      <w:r w:rsidR="00E50661" w:rsidRPr="00B53F89">
        <w:t xml:space="preserve"> those r</w:t>
      </w:r>
      <w:r w:rsidR="0010188F" w:rsidRPr="00B53F89">
        <w:t>u</w:t>
      </w:r>
      <w:r w:rsidR="00E50661" w:rsidRPr="00B53F89">
        <w:t>les are set out in class licences.</w:t>
      </w:r>
    </w:p>
    <w:p w14:paraId="772C0694" w14:textId="7659B432" w:rsidR="005E24B8" w:rsidRDefault="003D2F51" w:rsidP="00835B8C">
      <w:pPr>
        <w:pStyle w:val="Paragraph"/>
      </w:pPr>
      <w:r w:rsidRPr="00B53F89">
        <w:t>Class licences</w:t>
      </w:r>
      <w:r w:rsidR="00EA54D5" w:rsidRPr="00B53F89" w:rsidDel="003D2F51">
        <w:t xml:space="preserve"> </w:t>
      </w:r>
      <w:r w:rsidRPr="00B53F89">
        <w:t xml:space="preserve">make available </w:t>
      </w:r>
      <w:r w:rsidR="00EA54D5" w:rsidRPr="00B53F89">
        <w:t xml:space="preserve">spectrum used by services which </w:t>
      </w:r>
      <w:r w:rsidR="001D376C" w:rsidRPr="00B53F89">
        <w:t xml:space="preserve">operate on a </w:t>
      </w:r>
      <w:r w:rsidR="00EA54D5" w:rsidRPr="00B53F89">
        <w:t>limited set of common frequencies under a common set of conditions</w:t>
      </w:r>
      <w:r w:rsidR="001D376C" w:rsidRPr="00B53F89">
        <w:t xml:space="preserve"> and </w:t>
      </w:r>
      <w:r w:rsidR="00347EE1">
        <w:t xml:space="preserve">which must </w:t>
      </w:r>
      <w:r w:rsidR="00A64DB5" w:rsidRPr="00B53F89">
        <w:t xml:space="preserve">often comply with industry or legislative </w:t>
      </w:r>
      <w:r w:rsidR="001D376C" w:rsidRPr="00B53F89">
        <w:t>standards</w:t>
      </w:r>
      <w:r w:rsidR="00EA54D5" w:rsidRPr="00B53F89">
        <w:t xml:space="preserve">. Class licences authorise users of designated segments of spectrum to operate on a shared basis. </w:t>
      </w:r>
      <w:r w:rsidRPr="00B53F89">
        <w:t xml:space="preserve">Class licences do </w:t>
      </w:r>
      <w:r w:rsidR="00EA54D5" w:rsidRPr="00B53F89">
        <w:t xml:space="preserve">not involve licence fees, and there is minimal regulatory overhead </w:t>
      </w:r>
      <w:r w:rsidR="0090224F" w:rsidRPr="00B53F89">
        <w:t xml:space="preserve">for </w:t>
      </w:r>
      <w:r w:rsidR="00EA54D5" w:rsidRPr="00B53F89">
        <w:t xml:space="preserve">spectrum users. </w:t>
      </w:r>
      <w:r w:rsidR="007E18F0">
        <w:t>Most class licences authorise ubiquitous access to commons</w:t>
      </w:r>
      <w:r w:rsidR="00A35137">
        <w:t xml:space="preserve"> spectrum</w:t>
      </w:r>
      <w:r w:rsidR="007E18F0">
        <w:t>, although there are exceptions that limit access to certain classes of use/user (</w:t>
      </w:r>
      <w:r w:rsidR="003A1DC8">
        <w:t>for example,</w:t>
      </w:r>
      <w:r w:rsidR="007E18F0">
        <w:t xml:space="preserve"> the </w:t>
      </w:r>
      <w:r w:rsidR="005E24B8">
        <w:t>p</w:t>
      </w:r>
      <w:r w:rsidR="00A35137">
        <w:t>ublic safety and e</w:t>
      </w:r>
      <w:r w:rsidR="007E18F0">
        <w:t xml:space="preserve">mergency </w:t>
      </w:r>
      <w:r w:rsidR="00A35137">
        <w:t>response class licence</w:t>
      </w:r>
      <w:r w:rsidR="007E18F0">
        <w:t xml:space="preserve"> authorising PSA access to the 4.9 GHz band). </w:t>
      </w:r>
    </w:p>
    <w:p w14:paraId="26E996CE" w14:textId="20A1B867" w:rsidR="00CD61C3" w:rsidRPr="00B53F89" w:rsidRDefault="007E18F0" w:rsidP="00835B8C">
      <w:pPr>
        <w:pStyle w:val="Paragraphbeforelist"/>
      </w:pPr>
      <w:r>
        <w:t>Currently, there are</w:t>
      </w:r>
      <w:r w:rsidDel="00EF6E43">
        <w:t xml:space="preserve"> </w:t>
      </w:r>
      <w:r w:rsidR="00EF6E43">
        <w:t xml:space="preserve">15 </w:t>
      </w:r>
      <w:r>
        <w:t>class licences in force, which authorise the use of:</w:t>
      </w:r>
    </w:p>
    <w:p w14:paraId="772B985E" w14:textId="77777777" w:rsidR="007E18F0" w:rsidRDefault="004C08FF" w:rsidP="000650FB">
      <w:pPr>
        <w:pStyle w:val="Bulletlevel1"/>
      </w:pPr>
      <w:hyperlink r:id="rId54" w:history="1">
        <w:r w:rsidR="007E18F0" w:rsidRPr="003A1DC8">
          <w:rPr>
            <w:rStyle w:val="Hyperlink"/>
          </w:rPr>
          <w:t>27 MHz handphone stations</w:t>
        </w:r>
      </w:hyperlink>
    </w:p>
    <w:p w14:paraId="435D8E60" w14:textId="0C7EF2F9" w:rsidR="007E18F0" w:rsidRDefault="004C08FF" w:rsidP="000650FB">
      <w:pPr>
        <w:pStyle w:val="Bulletlevel1"/>
      </w:pPr>
      <w:hyperlink r:id="rId55" w:history="1">
        <w:r w:rsidR="004A65AA">
          <w:rPr>
            <w:rStyle w:val="Hyperlink"/>
          </w:rPr>
          <w:t>a</w:t>
        </w:r>
        <w:r w:rsidR="007E18F0" w:rsidRPr="003A1DC8">
          <w:rPr>
            <w:rStyle w:val="Hyperlink"/>
          </w:rPr>
          <w:t>ircraft and aeronautical mobile stations</w:t>
        </w:r>
      </w:hyperlink>
      <w:r w:rsidR="007E18F0" w:rsidRPr="00A35137">
        <w:t> </w:t>
      </w:r>
    </w:p>
    <w:p w14:paraId="190D394A" w14:textId="7C89D814" w:rsidR="007E18F0" w:rsidRDefault="004C08FF" w:rsidP="000650FB">
      <w:pPr>
        <w:pStyle w:val="Bulletlevel1"/>
      </w:pPr>
      <w:hyperlink r:id="rId56" w:history="1">
        <w:r w:rsidR="004A65AA">
          <w:rPr>
            <w:rStyle w:val="Hyperlink"/>
          </w:rPr>
          <w:t>b</w:t>
        </w:r>
        <w:r w:rsidR="007E18F0" w:rsidRPr="003A1DC8">
          <w:rPr>
            <w:rStyle w:val="Hyperlink"/>
          </w:rPr>
          <w:t>ody scanners</w:t>
        </w:r>
      </w:hyperlink>
      <w:r w:rsidR="007E18F0" w:rsidRPr="00A35137">
        <w:t> </w:t>
      </w:r>
    </w:p>
    <w:p w14:paraId="68016325" w14:textId="4F3383AE" w:rsidR="007E18F0" w:rsidRDefault="004C08FF" w:rsidP="000650FB">
      <w:pPr>
        <w:pStyle w:val="Bulletlevel1"/>
      </w:pPr>
      <w:hyperlink r:id="rId57" w:history="1">
        <w:r w:rsidR="004A65AA">
          <w:rPr>
            <w:rStyle w:val="Hyperlink"/>
          </w:rPr>
          <w:t>c</w:t>
        </w:r>
        <w:r w:rsidR="007E18F0" w:rsidRPr="003A1DC8">
          <w:rPr>
            <w:rStyle w:val="Hyperlink"/>
          </w:rPr>
          <w:t>ellular mobile telecom devices</w:t>
        </w:r>
      </w:hyperlink>
      <w:r w:rsidR="007E18F0" w:rsidRPr="00A35137">
        <w:t> </w:t>
      </w:r>
    </w:p>
    <w:p w14:paraId="3C86A5FA" w14:textId="064F9357" w:rsidR="007E18F0" w:rsidRDefault="004C08FF" w:rsidP="000650FB">
      <w:pPr>
        <w:pStyle w:val="Bulletlevel1"/>
      </w:pPr>
      <w:hyperlink r:id="rId58" w:history="1">
        <w:r w:rsidR="004A65AA">
          <w:rPr>
            <w:rStyle w:val="Hyperlink"/>
          </w:rPr>
          <w:t>c</w:t>
        </w:r>
        <w:r w:rsidR="007E18F0" w:rsidRPr="003A1DC8">
          <w:rPr>
            <w:rStyle w:val="Hyperlink"/>
          </w:rPr>
          <w:t>itizen band radio stations</w:t>
        </w:r>
      </w:hyperlink>
      <w:r w:rsidR="007E18F0" w:rsidRPr="00A35137">
        <w:t> </w:t>
      </w:r>
    </w:p>
    <w:p w14:paraId="690C261C" w14:textId="35D41E03" w:rsidR="007E18F0" w:rsidRDefault="004A65AA" w:rsidP="000650FB">
      <w:pPr>
        <w:pStyle w:val="Bulletlevel1"/>
      </w:pPr>
      <w:r>
        <w:t>e</w:t>
      </w:r>
      <w:r w:rsidR="007E18F0">
        <w:t xml:space="preserve">arth stations </w:t>
      </w:r>
      <w:hyperlink r:id="rId59" w:history="1">
        <w:r w:rsidR="007E18F0">
          <w:rPr>
            <w:rStyle w:val="Hyperlink"/>
          </w:rPr>
          <w:t>communication with a space object</w:t>
        </w:r>
      </w:hyperlink>
      <w:r w:rsidR="007E18F0" w:rsidRPr="00A35137">
        <w:t> </w:t>
      </w:r>
    </w:p>
    <w:p w14:paraId="5C230D2D" w14:textId="259035C7" w:rsidR="00A35137" w:rsidRDefault="004C08FF" w:rsidP="000650FB">
      <w:pPr>
        <w:pStyle w:val="Bulletlevel1"/>
      </w:pPr>
      <w:hyperlink r:id="rId60" w:history="1">
        <w:r w:rsidR="004A65AA">
          <w:rPr>
            <w:rStyle w:val="Hyperlink"/>
          </w:rPr>
          <w:t>c</w:t>
        </w:r>
        <w:r w:rsidR="007E18F0" w:rsidRPr="003A1DC8">
          <w:rPr>
            <w:rStyle w:val="Hyperlink"/>
          </w:rPr>
          <w:t>ordless communications devices </w:t>
        </w:r>
      </w:hyperlink>
    </w:p>
    <w:p w14:paraId="3343CE66" w14:textId="286BE138" w:rsidR="00A35137" w:rsidRDefault="004C08FF" w:rsidP="000650FB">
      <w:pPr>
        <w:pStyle w:val="Bulletlevel1"/>
      </w:pPr>
      <w:hyperlink r:id="rId61" w:history="1">
        <w:r w:rsidR="004A65AA">
          <w:rPr>
            <w:rStyle w:val="Hyperlink"/>
          </w:rPr>
          <w:t>e</w:t>
        </w:r>
        <w:r w:rsidR="007E18F0" w:rsidRPr="003A1DC8">
          <w:rPr>
            <w:rStyle w:val="Hyperlink"/>
          </w:rPr>
          <w:t>mergency locating devices</w:t>
        </w:r>
      </w:hyperlink>
      <w:r w:rsidR="007E18F0" w:rsidRPr="00A35137">
        <w:t> </w:t>
      </w:r>
    </w:p>
    <w:p w14:paraId="0D0EE504" w14:textId="4DABF796" w:rsidR="00A35137" w:rsidRDefault="004C08FF" w:rsidP="000650FB">
      <w:pPr>
        <w:pStyle w:val="Bulletlevel1"/>
      </w:pPr>
      <w:hyperlink r:id="rId62" w:history="1">
        <w:r w:rsidR="004A65AA">
          <w:rPr>
            <w:rStyle w:val="Hyperlink"/>
          </w:rPr>
          <w:t>i</w:t>
        </w:r>
        <w:r w:rsidR="007E18F0" w:rsidRPr="003A1DC8">
          <w:rPr>
            <w:rStyle w:val="Hyperlink"/>
          </w:rPr>
          <w:t>ntelligent transport systems</w:t>
        </w:r>
      </w:hyperlink>
      <w:r w:rsidR="007E18F0" w:rsidRPr="00A35137">
        <w:t> </w:t>
      </w:r>
    </w:p>
    <w:p w14:paraId="44B6715B" w14:textId="594611F4" w:rsidR="00A35137" w:rsidRDefault="004C08FF" w:rsidP="000650FB">
      <w:pPr>
        <w:pStyle w:val="Bulletlevel1"/>
      </w:pPr>
      <w:hyperlink r:id="rId63" w:history="1">
        <w:r w:rsidR="004A65AA">
          <w:rPr>
            <w:rStyle w:val="Hyperlink"/>
          </w:rPr>
          <w:t>l</w:t>
        </w:r>
        <w:r w:rsidR="007E18F0" w:rsidRPr="003A1DC8">
          <w:rPr>
            <w:rStyle w:val="Hyperlink"/>
          </w:rPr>
          <w:t>ow interference potential devices (LIPD) </w:t>
        </w:r>
      </w:hyperlink>
    </w:p>
    <w:p w14:paraId="32A7C84A" w14:textId="702B9D06" w:rsidR="00A35137" w:rsidRDefault="004C08FF" w:rsidP="000650FB">
      <w:pPr>
        <w:pStyle w:val="Bulletlevel1"/>
      </w:pPr>
      <w:hyperlink r:id="rId64" w:history="1">
        <w:r w:rsidR="004A65AA">
          <w:rPr>
            <w:rStyle w:val="Hyperlink"/>
          </w:rPr>
          <w:t>m</w:t>
        </w:r>
        <w:r w:rsidR="007E18F0" w:rsidRPr="003A1DC8">
          <w:rPr>
            <w:rStyle w:val="Hyperlink"/>
          </w:rPr>
          <w:t>aritime ship station</w:t>
        </w:r>
        <w:r w:rsidR="00A35137">
          <w:rPr>
            <w:rStyle w:val="Hyperlink"/>
          </w:rPr>
          <w:t>s</w:t>
        </w:r>
        <w:r w:rsidR="007E18F0" w:rsidRPr="003A1DC8">
          <w:rPr>
            <w:rStyle w:val="Hyperlink"/>
          </w:rPr>
          <w:t xml:space="preserve"> – 27 MHz and VHF</w:t>
        </w:r>
      </w:hyperlink>
      <w:r w:rsidR="007E18F0" w:rsidRPr="00A35137">
        <w:t> </w:t>
      </w:r>
    </w:p>
    <w:p w14:paraId="5E746177" w14:textId="5433D1C9" w:rsidR="00A35137" w:rsidRDefault="004A65AA" w:rsidP="000650FB">
      <w:pPr>
        <w:pStyle w:val="Bulletlevel1"/>
      </w:pPr>
      <w:r>
        <w:t>e</w:t>
      </w:r>
      <w:r w:rsidR="00A35137">
        <w:t xml:space="preserve">quipment used by </w:t>
      </w:r>
      <w:hyperlink r:id="rId65" w:history="1">
        <w:r w:rsidR="00A35137">
          <w:rPr>
            <w:rStyle w:val="Hyperlink"/>
          </w:rPr>
          <w:t>o</w:t>
        </w:r>
        <w:r w:rsidR="007E18F0" w:rsidRPr="003A1DC8">
          <w:rPr>
            <w:rStyle w:val="Hyperlink"/>
          </w:rPr>
          <w:t>verseas amateur</w:t>
        </w:r>
        <w:r w:rsidR="00A35137">
          <w:rPr>
            <w:rStyle w:val="Hyperlink"/>
          </w:rPr>
          <w:t>s</w:t>
        </w:r>
        <w:r w:rsidR="007E18F0" w:rsidRPr="003A1DC8">
          <w:rPr>
            <w:rStyle w:val="Hyperlink"/>
          </w:rPr>
          <w:t xml:space="preserve"> visiting Australia</w:t>
        </w:r>
      </w:hyperlink>
      <w:r w:rsidR="007E18F0" w:rsidRPr="00A35137">
        <w:t> </w:t>
      </w:r>
    </w:p>
    <w:p w14:paraId="44C559F5" w14:textId="463B00A9" w:rsidR="00A35137" w:rsidRDefault="004C08FF" w:rsidP="007E73B7">
      <w:pPr>
        <w:pStyle w:val="Bulletlevel1"/>
      </w:pPr>
      <w:hyperlink r:id="rId66" w:history="1">
        <w:r w:rsidR="004A65AA">
          <w:rPr>
            <w:rStyle w:val="Hyperlink"/>
          </w:rPr>
          <w:t>p</w:t>
        </w:r>
        <w:r w:rsidR="007E18F0" w:rsidRPr="003A1DC8">
          <w:rPr>
            <w:rStyle w:val="Hyperlink"/>
          </w:rPr>
          <w:t>ublic safety and emergency response</w:t>
        </w:r>
      </w:hyperlink>
      <w:r w:rsidR="00A35137">
        <w:t xml:space="preserve"> communications in the 4.9 GHz (4.94</w:t>
      </w:r>
      <w:r w:rsidR="007E73B7" w:rsidRPr="007E73B7">
        <w:t>–</w:t>
      </w:r>
      <w:r w:rsidR="00A35137">
        <w:t>4.99 GHz) frequency band</w:t>
      </w:r>
    </w:p>
    <w:p w14:paraId="41D86E8B" w14:textId="5AE23DD1" w:rsidR="00A35137" w:rsidRDefault="004C08FF" w:rsidP="000650FB">
      <w:pPr>
        <w:pStyle w:val="Bulletlevel1"/>
      </w:pPr>
      <w:hyperlink r:id="rId67" w:history="1">
        <w:r w:rsidR="004A65AA">
          <w:rPr>
            <w:rStyle w:val="Hyperlink"/>
          </w:rPr>
          <w:t>r</w:t>
        </w:r>
        <w:r w:rsidR="007E18F0" w:rsidRPr="003A1DC8">
          <w:rPr>
            <w:rStyle w:val="Hyperlink"/>
          </w:rPr>
          <w:t>adio-controlled models </w:t>
        </w:r>
      </w:hyperlink>
    </w:p>
    <w:p w14:paraId="012B2505" w14:textId="64CA325F" w:rsidR="007E18F0" w:rsidRPr="00A35137" w:rsidRDefault="004C08FF" w:rsidP="000650FB">
      <w:pPr>
        <w:pStyle w:val="Bulletlevel1last"/>
      </w:pPr>
      <w:hyperlink r:id="rId68" w:history="1">
        <w:r w:rsidR="004A65AA">
          <w:rPr>
            <w:rStyle w:val="Hyperlink"/>
          </w:rPr>
          <w:t>r</w:t>
        </w:r>
        <w:r w:rsidR="007E18F0" w:rsidRPr="003A1DC8">
          <w:rPr>
            <w:rStyle w:val="Hyperlink"/>
          </w:rPr>
          <w:t>adio navigation satellite service </w:t>
        </w:r>
      </w:hyperlink>
      <w:r w:rsidR="00A35137">
        <w:t>receivers (</w:t>
      </w:r>
      <w:r w:rsidR="00A35137" w:rsidRPr="000650FB">
        <w:t>including</w:t>
      </w:r>
      <w:r w:rsidR="00A35137">
        <w:t xml:space="preserve"> those embedded in mobile phones)</w:t>
      </w:r>
      <w:r w:rsidR="00E05C8C">
        <w:t>.</w:t>
      </w:r>
    </w:p>
    <w:p w14:paraId="6A4B176D" w14:textId="4618669B" w:rsidR="00EA54D5" w:rsidRPr="00B53F89" w:rsidRDefault="00B136B3">
      <w:r w:rsidRPr="00B53F89">
        <w:t>In Australia, the</w:t>
      </w:r>
      <w:r w:rsidR="00A56FF3" w:rsidRPr="00B53F89">
        <w:t xml:space="preserve"> </w:t>
      </w:r>
      <w:r w:rsidR="00A35137">
        <w:t>most widely used class licences by everyday consumers are the LIPD, cellular mobile and RNSS class licences. T</w:t>
      </w:r>
      <w:r w:rsidRPr="00B53F89">
        <w:t>he</w:t>
      </w:r>
      <w:r w:rsidR="00A56FF3" w:rsidRPr="00B53F89">
        <w:t xml:space="preserve"> LIPD class licence</w:t>
      </w:r>
      <w:r w:rsidRPr="00B53F89">
        <w:t xml:space="preserve"> </w:t>
      </w:r>
      <w:r w:rsidR="00CC2FB3" w:rsidRPr="00B53F89">
        <w:t xml:space="preserve">authorises </w:t>
      </w:r>
      <w:r w:rsidR="00A35137">
        <w:t>the widest range of</w:t>
      </w:r>
      <w:r w:rsidR="00CC2FB3" w:rsidRPr="00B53F89">
        <w:t xml:space="preserve"> class</w:t>
      </w:r>
      <w:r w:rsidR="007C0B07" w:rsidRPr="00B53F89">
        <w:t>-</w:t>
      </w:r>
      <w:r w:rsidR="00CC2FB3" w:rsidRPr="00B53F89">
        <w:t>licen</w:t>
      </w:r>
      <w:r w:rsidR="00DF6126" w:rsidRPr="00B53F89">
        <w:t>s</w:t>
      </w:r>
      <w:r w:rsidR="00CC2FB3" w:rsidRPr="00B53F89">
        <w:t xml:space="preserve">ed devices, including </w:t>
      </w:r>
      <w:r w:rsidR="004A65AA">
        <w:t>w</w:t>
      </w:r>
      <w:r w:rsidR="00CC2FB3" w:rsidRPr="00B53F89">
        <w:t>i-</w:t>
      </w:r>
      <w:r w:rsidR="004A65AA">
        <w:t>f</w:t>
      </w:r>
      <w:r w:rsidR="00CC2FB3" w:rsidRPr="00B53F89">
        <w:t>i and Bluetooth services</w:t>
      </w:r>
      <w:r w:rsidR="005E24B8">
        <w:t>,</w:t>
      </w:r>
      <w:r w:rsidR="00CC2FB3" w:rsidRPr="00B53F89">
        <w:t xml:space="preserve"> along with a range of other uses including certain spread spectrum and ultra-wideband transmitters.</w:t>
      </w:r>
      <w:r w:rsidR="00A35137">
        <w:t xml:space="preserve"> </w:t>
      </w:r>
      <w:r w:rsidR="00C27491">
        <w:t xml:space="preserve">The LIPD class licence is reviewed regularly. </w:t>
      </w:r>
      <w:r w:rsidR="0082023C">
        <w:t>An update consultation is</w:t>
      </w:r>
      <w:r w:rsidR="00347EE1">
        <w:t xml:space="preserve"> </w:t>
      </w:r>
      <w:r w:rsidR="00A35137">
        <w:t xml:space="preserve">in </w:t>
      </w:r>
      <w:r w:rsidR="00062E88">
        <w:t>Q3</w:t>
      </w:r>
      <w:r w:rsidR="00A35137">
        <w:t xml:space="preserve"> 2020.</w:t>
      </w:r>
    </w:p>
    <w:p w14:paraId="5DCEB272" w14:textId="412B9DA0" w:rsidR="00281E49" w:rsidRPr="00B53F89" w:rsidRDefault="00CF505E">
      <w:r w:rsidRPr="00B53F89">
        <w:t>I</w:t>
      </w:r>
      <w:r w:rsidR="00281E49" w:rsidRPr="00B53F89">
        <w:t>n many class</w:t>
      </w:r>
      <w:r w:rsidR="007C0B07" w:rsidRPr="00B53F89">
        <w:t>-</w:t>
      </w:r>
      <w:r w:rsidR="00281E49" w:rsidRPr="00B53F89">
        <w:t xml:space="preserve">licensed bands, particularly those included in </w:t>
      </w:r>
      <w:r w:rsidR="00365C08" w:rsidRPr="00B53F89">
        <w:t xml:space="preserve">the </w:t>
      </w:r>
      <w:r w:rsidR="00281E49" w:rsidRPr="00B53F89">
        <w:t xml:space="preserve">LIPD class licence, use of the spectrum is on an uncoordinated basis </w:t>
      </w:r>
      <w:r w:rsidR="000D1444" w:rsidRPr="00B53F89">
        <w:t xml:space="preserve">and </w:t>
      </w:r>
      <w:r w:rsidR="00281E49" w:rsidRPr="00B53F89">
        <w:t>sharing mechanisms are implemented via technical and operational conditions on device usage</w:t>
      </w:r>
      <w:r w:rsidR="000D1444" w:rsidRPr="00B53F89">
        <w:t>, and, in some cases, network or system design considerations</w:t>
      </w:r>
      <w:r w:rsidR="00281E49" w:rsidRPr="00B53F89">
        <w:t xml:space="preserve">. In </w:t>
      </w:r>
      <w:r w:rsidR="009162AA" w:rsidRPr="00B53F89">
        <w:t>such bands</w:t>
      </w:r>
      <w:r w:rsidR="00281E49" w:rsidRPr="00B53F89">
        <w:t xml:space="preserve">, protection of </w:t>
      </w:r>
      <w:r w:rsidR="00281E49" w:rsidRPr="00B53F89">
        <w:lastRenderedPageBreak/>
        <w:t xml:space="preserve">individual devices from interference cannot be guaranteed. This </w:t>
      </w:r>
      <w:r w:rsidR="00365C08" w:rsidRPr="00B53F89">
        <w:t xml:space="preserve">relatively low </w:t>
      </w:r>
      <w:r w:rsidR="00281E49" w:rsidRPr="00B53F89">
        <w:t xml:space="preserve">level of interference protection means that these bands are </w:t>
      </w:r>
      <w:r w:rsidR="0049086C" w:rsidRPr="00B53F89">
        <w:t xml:space="preserve">not </w:t>
      </w:r>
      <w:r w:rsidR="00281E49" w:rsidRPr="00B53F89">
        <w:t xml:space="preserve">useful for </w:t>
      </w:r>
      <w:r w:rsidR="0049086C" w:rsidRPr="00B53F89">
        <w:t xml:space="preserve">all </w:t>
      </w:r>
      <w:r w:rsidR="00281E49" w:rsidRPr="00B53F89">
        <w:t>applications</w:t>
      </w:r>
      <w:r w:rsidR="004A65AA">
        <w:t>—</w:t>
      </w:r>
      <w:r w:rsidR="001A7C80">
        <w:t>though in some cases</w:t>
      </w:r>
      <w:r w:rsidR="004A65AA">
        <w:t>,</w:t>
      </w:r>
      <w:r w:rsidR="001A7C80">
        <w:t xml:space="preserve"> system engineering approaches can improve the utility of these bands for uses not immediately associated with a low interference protection environment</w:t>
      </w:r>
      <w:r w:rsidR="00281E49" w:rsidRPr="00B53F89">
        <w:t xml:space="preserve">. </w:t>
      </w:r>
      <w:r w:rsidRPr="00B53F89">
        <w:t>T</w:t>
      </w:r>
      <w:r w:rsidR="0049086C" w:rsidRPr="00B53F89">
        <w:t xml:space="preserve">his </w:t>
      </w:r>
      <w:r w:rsidR="00281E49" w:rsidRPr="00B53F89">
        <w:t xml:space="preserve">is balanced by </w:t>
      </w:r>
      <w:r w:rsidR="000D1444" w:rsidRPr="00B53F89">
        <w:t xml:space="preserve">the </w:t>
      </w:r>
      <w:r w:rsidR="00281E49" w:rsidRPr="00B53F89">
        <w:t xml:space="preserve">high degree of flexibility </w:t>
      </w:r>
      <w:r w:rsidR="000D1444" w:rsidRPr="00B53F89">
        <w:t xml:space="preserve">that is </w:t>
      </w:r>
      <w:r w:rsidR="00281E49" w:rsidRPr="00B53F89">
        <w:t xml:space="preserve">possible in </w:t>
      </w:r>
      <w:r w:rsidR="000D1444" w:rsidRPr="00B53F89">
        <w:t xml:space="preserve">the </w:t>
      </w:r>
      <w:r w:rsidR="00281E49" w:rsidRPr="00B53F89">
        <w:t xml:space="preserve">use of these </w:t>
      </w:r>
      <w:r w:rsidR="00281E49" w:rsidRPr="0048118B">
        <w:t>class</w:t>
      </w:r>
      <w:r w:rsidR="00D1527A" w:rsidRPr="0048118B">
        <w:t>-</w:t>
      </w:r>
      <w:r w:rsidR="00281E49" w:rsidRPr="0048118B">
        <w:t>licensed bands</w:t>
      </w:r>
      <w:r w:rsidR="00281E49" w:rsidRPr="00B53F89">
        <w:t xml:space="preserve">. </w:t>
      </w:r>
    </w:p>
    <w:p w14:paraId="5DA0B74C" w14:textId="0CA6AF5F" w:rsidR="00EA54D5" w:rsidRPr="00B53F89" w:rsidRDefault="00EA54D5">
      <w:r w:rsidRPr="00B53F89">
        <w:t>This flexibility</w:t>
      </w:r>
      <w:r w:rsidR="009228B8" w:rsidRPr="00B53F89">
        <w:t xml:space="preserve">, </w:t>
      </w:r>
      <w:r w:rsidRPr="00B53F89">
        <w:t>and</w:t>
      </w:r>
      <w:r w:rsidR="009228B8" w:rsidRPr="00B53F89">
        <w:t xml:space="preserve"> the absence of licensing fees, </w:t>
      </w:r>
      <w:r w:rsidRPr="00B53F89">
        <w:t xml:space="preserve">has </w:t>
      </w:r>
      <w:r w:rsidR="009228B8" w:rsidRPr="00B53F89">
        <w:t xml:space="preserve">enabled </w:t>
      </w:r>
      <w:r w:rsidRPr="00B53F89">
        <w:t>massive innovation both in technology use and deployment approaches</w:t>
      </w:r>
      <w:r w:rsidR="009228B8" w:rsidRPr="00B53F89">
        <w:t xml:space="preserve"> in some class</w:t>
      </w:r>
      <w:r w:rsidR="007C0B07" w:rsidRPr="00B53F89">
        <w:t>-</w:t>
      </w:r>
      <w:r w:rsidR="009228B8" w:rsidRPr="00B53F89">
        <w:t>licensed bands</w:t>
      </w:r>
      <w:r w:rsidRPr="00B53F89">
        <w:t>. There is no greater example of this than the 2.4</w:t>
      </w:r>
      <w:r w:rsidR="00801E32" w:rsidRPr="00B53F89">
        <w:t xml:space="preserve"> GHz (2400–2</w:t>
      </w:r>
      <w:r w:rsidR="00663E68" w:rsidRPr="00B53F89">
        <w:t>483.5</w:t>
      </w:r>
      <w:r w:rsidR="00801E32" w:rsidRPr="00B53F89">
        <w:t xml:space="preserve"> MHz) </w:t>
      </w:r>
      <w:r w:rsidRPr="00B53F89">
        <w:t>and 5</w:t>
      </w:r>
      <w:r w:rsidR="00801E32" w:rsidRPr="00B53F89">
        <w:t> </w:t>
      </w:r>
      <w:r w:rsidRPr="00B53F89">
        <w:t xml:space="preserve">GHz </w:t>
      </w:r>
      <w:r w:rsidR="00801E32" w:rsidRPr="00B53F89">
        <w:t>(</w:t>
      </w:r>
      <w:r w:rsidR="00DA07D2">
        <w:t>various parts of 5150</w:t>
      </w:r>
      <w:r w:rsidR="00801E32" w:rsidRPr="00B53F89">
        <w:t xml:space="preserve">–5875 MHz) </w:t>
      </w:r>
      <w:r w:rsidRPr="00B53F89">
        <w:t xml:space="preserve">bands </w:t>
      </w:r>
      <w:r w:rsidR="003360A4" w:rsidRPr="00B53F89">
        <w:t xml:space="preserve">that are </w:t>
      </w:r>
      <w:r w:rsidRPr="00B53F89">
        <w:t xml:space="preserve">class licensed </w:t>
      </w:r>
      <w:r w:rsidR="003360A4" w:rsidRPr="00B53F89">
        <w:t xml:space="preserve">and </w:t>
      </w:r>
      <w:r w:rsidRPr="00B53F89">
        <w:t>used for radio local area networks (RLANs)</w:t>
      </w:r>
      <w:r w:rsidR="007C0B07" w:rsidRPr="00B53F89">
        <w:t>—</w:t>
      </w:r>
      <w:r w:rsidRPr="00B53F89">
        <w:t xml:space="preserve">especially </w:t>
      </w:r>
      <w:r w:rsidR="004A65AA">
        <w:t>wi-fi</w:t>
      </w:r>
      <w:r w:rsidRPr="00B53F89">
        <w:t>.</w:t>
      </w:r>
    </w:p>
    <w:p w14:paraId="79A4D06C" w14:textId="4BDE3BB4" w:rsidR="00EA54D5" w:rsidRPr="00B53F89" w:rsidRDefault="00EA54D5" w:rsidP="00E26672">
      <w:r w:rsidRPr="00B53F89">
        <w:t>Wi-</w:t>
      </w:r>
      <w:r w:rsidR="004A65AA">
        <w:t>f</w:t>
      </w:r>
      <w:r w:rsidRPr="00B53F89">
        <w:t>i devices now carry approximately half of all global Internet Protocol (IP) traffic</w:t>
      </w:r>
      <w:r w:rsidRPr="00B53F89">
        <w:rPr>
          <w:rStyle w:val="FootnoteReference"/>
        </w:rPr>
        <w:footnoteReference w:id="37"/>
      </w:r>
      <w:r w:rsidR="004A65AA">
        <w:t>,</w:t>
      </w:r>
      <w:r w:rsidRPr="00B53F89">
        <w:t xml:space="preserve"> with </w:t>
      </w:r>
      <w:r w:rsidR="004A65AA">
        <w:t>wi-fi</w:t>
      </w:r>
      <w:r w:rsidRPr="00B53F89">
        <w:t xml:space="preserve"> networks almost ubiquitous in homes and business</w:t>
      </w:r>
      <w:r w:rsidR="00A23463" w:rsidRPr="00B53F89">
        <w:t>es</w:t>
      </w:r>
      <w:r w:rsidRPr="00B53F89">
        <w:t xml:space="preserve"> along with many public space</w:t>
      </w:r>
      <w:r w:rsidR="003B46D3" w:rsidRPr="00B53F89">
        <w:t>s</w:t>
      </w:r>
      <w:r w:rsidRPr="00B53F89">
        <w:t xml:space="preserve">. </w:t>
      </w:r>
      <w:r w:rsidR="003B46D3" w:rsidRPr="00B53F89">
        <w:t>W</w:t>
      </w:r>
      <w:r w:rsidRPr="00B53F89">
        <w:t>hile there are anecdotal reports of congestion events</w:t>
      </w:r>
      <w:r w:rsidR="00142A5B">
        <w:t xml:space="preserve"> (</w:t>
      </w:r>
      <w:r w:rsidR="00EA60DE" w:rsidRPr="00B53F89">
        <w:t>for example,</w:t>
      </w:r>
      <w:r w:rsidR="003B46D3" w:rsidRPr="00B53F89">
        <w:t xml:space="preserve"> poor </w:t>
      </w:r>
      <w:r w:rsidRPr="00B53F89">
        <w:t xml:space="preserve">or no </w:t>
      </w:r>
      <w:r w:rsidR="004A65AA">
        <w:t>wi-fi</w:t>
      </w:r>
      <w:r w:rsidRPr="00B53F89">
        <w:t xml:space="preserve"> coverage</w:t>
      </w:r>
      <w:r w:rsidR="00142A5B">
        <w:t>)</w:t>
      </w:r>
      <w:r w:rsidR="007C0B07" w:rsidRPr="00B53F89">
        <w:t>,</w:t>
      </w:r>
      <w:r w:rsidRPr="00B53F89">
        <w:t xml:space="preserve"> it is </w:t>
      </w:r>
      <w:r w:rsidR="003B46D3" w:rsidRPr="00B53F89">
        <w:t xml:space="preserve">difficult </w:t>
      </w:r>
      <w:r w:rsidRPr="00B53F89">
        <w:t>to determine the cause</w:t>
      </w:r>
      <w:r w:rsidR="003B46D3" w:rsidRPr="00B53F89">
        <w:t>, which could be</w:t>
      </w:r>
      <w:r w:rsidRPr="00B53F89">
        <w:t xml:space="preserve"> spectrum interference</w:t>
      </w:r>
      <w:r w:rsidR="007C0B07" w:rsidRPr="00B53F89">
        <w:t>,</w:t>
      </w:r>
      <w:r w:rsidR="003B46D3" w:rsidRPr="00B53F89">
        <w:t xml:space="preserve"> </w:t>
      </w:r>
      <w:r w:rsidRPr="00B53F89">
        <w:t>congestion</w:t>
      </w:r>
      <w:r w:rsidR="003B46D3" w:rsidRPr="00B53F89">
        <w:t xml:space="preserve"> </w:t>
      </w:r>
      <w:r w:rsidRPr="00B53F89">
        <w:t>or</w:t>
      </w:r>
      <w:r w:rsidR="0038436D" w:rsidRPr="00B53F89">
        <w:t xml:space="preserve"> a range of</w:t>
      </w:r>
      <w:r w:rsidRPr="00B53F89">
        <w:t xml:space="preserve"> other factors</w:t>
      </w:r>
      <w:r w:rsidR="001A7C80">
        <w:t xml:space="preserve"> </w:t>
      </w:r>
      <w:r w:rsidR="00142A5B">
        <w:t>including</w:t>
      </w:r>
      <w:r w:rsidR="001A7C80">
        <w:t xml:space="preserve"> infrastructure factors (</w:t>
      </w:r>
      <w:r w:rsidR="003A24C8">
        <w:t>for example,</w:t>
      </w:r>
      <w:r w:rsidR="001A7C80">
        <w:t xml:space="preserve"> insufficient or poorly engineer</w:t>
      </w:r>
      <w:r w:rsidR="003A24C8">
        <w:t>ed</w:t>
      </w:r>
      <w:r w:rsidR="001A7C80">
        <w:t xml:space="preserve"> access points)</w:t>
      </w:r>
      <w:r w:rsidR="003B46D3" w:rsidRPr="00B53F89">
        <w:t>.</w:t>
      </w:r>
      <w:r w:rsidRPr="00B53F89">
        <w:t xml:space="preserve"> </w:t>
      </w:r>
    </w:p>
    <w:p w14:paraId="42DCBC11" w14:textId="410589B3" w:rsidR="00CC78AD" w:rsidRPr="00B53F89" w:rsidRDefault="004A65AA" w:rsidP="00E26672">
      <w:r>
        <w:t>We</w:t>
      </w:r>
      <w:r w:rsidR="00EA54D5" w:rsidRPr="00B53F89">
        <w:t xml:space="preserve"> </w:t>
      </w:r>
      <w:r w:rsidR="00CC78AD" w:rsidRPr="00B53F89">
        <w:t>will continue to</w:t>
      </w:r>
      <w:r w:rsidR="00EA54D5" w:rsidRPr="00B53F89">
        <w:t xml:space="preserve"> review </w:t>
      </w:r>
      <w:r w:rsidR="00954440" w:rsidRPr="00B53F89">
        <w:t>class</w:t>
      </w:r>
      <w:r>
        <w:t>-</w:t>
      </w:r>
      <w:r w:rsidR="00954440" w:rsidRPr="00B53F89">
        <w:t xml:space="preserve">licensing </w:t>
      </w:r>
      <w:r w:rsidR="00EA54D5" w:rsidRPr="00B53F89">
        <w:t>arrangement</w:t>
      </w:r>
      <w:r w:rsidR="00954440" w:rsidRPr="00B53F89">
        <w:t>s</w:t>
      </w:r>
      <w:r w:rsidR="00EA54D5" w:rsidRPr="00B53F89">
        <w:t xml:space="preserve"> to assess whether regulatory settings can be changed to support RL</w:t>
      </w:r>
      <w:r w:rsidR="00890FAA">
        <w:t>A</w:t>
      </w:r>
      <w:r w:rsidR="00EA54D5" w:rsidRPr="00B53F89">
        <w:t xml:space="preserve">Ns and </w:t>
      </w:r>
      <w:r>
        <w:t>wi-fi</w:t>
      </w:r>
      <w:r w:rsidR="00EA54D5" w:rsidRPr="00B53F89">
        <w:t xml:space="preserve">. </w:t>
      </w:r>
      <w:r w:rsidR="00C61187" w:rsidRPr="00B53F89">
        <w:t>C</w:t>
      </w:r>
      <w:r w:rsidR="00CC78AD" w:rsidRPr="00B53F89">
        <w:t>onsider</w:t>
      </w:r>
      <w:r w:rsidR="00C61187" w:rsidRPr="00B53F89">
        <w:t>ations will include</w:t>
      </w:r>
      <w:r w:rsidR="00EA54D5" w:rsidRPr="00B53F89">
        <w:t xml:space="preserve"> whether more spectrum is required and </w:t>
      </w:r>
      <w:r w:rsidR="00CC78AD" w:rsidRPr="00B53F89">
        <w:t xml:space="preserve">if </w:t>
      </w:r>
      <w:r w:rsidR="00EA54D5" w:rsidRPr="00B53F89">
        <w:t xml:space="preserve">changes to existing arrangements are necessary. </w:t>
      </w:r>
      <w:r w:rsidR="00CC78AD" w:rsidRPr="00B53F89">
        <w:t xml:space="preserve">For example, </w:t>
      </w:r>
      <w:r w:rsidR="00107C45">
        <w:t>we</w:t>
      </w:r>
      <w:r w:rsidR="00400A7B" w:rsidRPr="00B53F89">
        <w:t xml:space="preserve"> can consider whether</w:t>
      </w:r>
      <w:r w:rsidR="00EA54D5" w:rsidRPr="00B53F89">
        <w:t xml:space="preserve"> existing class licence conditions</w:t>
      </w:r>
      <w:r w:rsidR="00BD28D6" w:rsidRPr="00B53F89">
        <w:t>,</w:t>
      </w:r>
      <w:r w:rsidR="00EA54D5" w:rsidRPr="00B53F89">
        <w:t xml:space="preserve"> such as power</w:t>
      </w:r>
      <w:r w:rsidR="003360A4" w:rsidRPr="00B53F89">
        <w:t xml:space="preserve"> level</w:t>
      </w:r>
      <w:r w:rsidR="00EA54D5" w:rsidRPr="00B53F89">
        <w:t>s and other operating conditions</w:t>
      </w:r>
      <w:r w:rsidR="006A69C3">
        <w:t xml:space="preserve"> (</w:t>
      </w:r>
      <w:r w:rsidR="00637B9F" w:rsidRPr="00B53F89">
        <w:t>for example,</w:t>
      </w:r>
      <w:r w:rsidR="00EA54D5" w:rsidRPr="00B53F89">
        <w:t xml:space="preserve"> indoor usage limitations in some frequency ranges</w:t>
      </w:r>
      <w:r w:rsidR="006A69C3">
        <w:t>)</w:t>
      </w:r>
      <w:r w:rsidR="001C3B42" w:rsidRPr="00B53F89">
        <w:t>,</w:t>
      </w:r>
      <w:r w:rsidR="00EA54D5" w:rsidRPr="00B53F89">
        <w:t xml:space="preserve"> </w:t>
      </w:r>
      <w:r w:rsidR="00C61187" w:rsidRPr="00B53F89">
        <w:t>should be reviewed.</w:t>
      </w:r>
    </w:p>
    <w:p w14:paraId="70B1AE78" w14:textId="20973C5B" w:rsidR="00EA54D5" w:rsidRPr="00B53F89" w:rsidRDefault="00C61187">
      <w:r w:rsidRPr="00B53F89">
        <w:t>There are</w:t>
      </w:r>
      <w:r w:rsidR="00EA54D5" w:rsidRPr="00B53F89">
        <w:t xml:space="preserve"> global developments in making more spectrum available for </w:t>
      </w:r>
      <w:r w:rsidR="00107C45">
        <w:t>w</w:t>
      </w:r>
      <w:r w:rsidR="003E3B37" w:rsidRPr="00B53F89">
        <w:t>i-</w:t>
      </w:r>
      <w:r w:rsidR="00107C45">
        <w:t>f</w:t>
      </w:r>
      <w:r w:rsidR="003E3B37" w:rsidRPr="00B53F89">
        <w:t>i</w:t>
      </w:r>
      <w:r w:rsidR="00EA54D5" w:rsidRPr="00B53F89">
        <w:t xml:space="preserve"> above the 5 GHz band already included in the LIPD</w:t>
      </w:r>
      <w:r w:rsidR="00A56FF3" w:rsidRPr="00B53F89">
        <w:t xml:space="preserve"> class licence</w:t>
      </w:r>
      <w:r w:rsidR="00EA54D5" w:rsidRPr="00B53F89">
        <w:t>. For example, in the US</w:t>
      </w:r>
      <w:r w:rsidR="00107C45">
        <w:t>,</w:t>
      </w:r>
      <w:r w:rsidR="00EA54D5" w:rsidRPr="00B53F89">
        <w:t xml:space="preserve"> the FCC has</w:t>
      </w:r>
      <w:r w:rsidR="00A57BD1">
        <w:t xml:space="preserve"> made</w:t>
      </w:r>
      <w:r w:rsidR="00D24E23" w:rsidRPr="00B53F89">
        <w:t xml:space="preserve"> rules in the 5925–7125 MHz band that would support </w:t>
      </w:r>
      <w:r w:rsidR="00107C45">
        <w:t>w</w:t>
      </w:r>
      <w:r w:rsidR="00D24E23" w:rsidRPr="00B53F89">
        <w:t>i-</w:t>
      </w:r>
      <w:r w:rsidR="00107C45">
        <w:t>f</w:t>
      </w:r>
      <w:r w:rsidR="00D24E23" w:rsidRPr="00B53F89">
        <w:t>i use.</w:t>
      </w:r>
      <w:r w:rsidR="00D24E23" w:rsidRPr="00B53F89">
        <w:rPr>
          <w:rStyle w:val="FootnoteReference"/>
        </w:rPr>
        <w:footnoteReference w:id="38"/>
      </w:r>
      <w:r w:rsidR="00D24E23" w:rsidRPr="00B53F89">
        <w:t xml:space="preserve"> This would create another 1</w:t>
      </w:r>
      <w:r w:rsidR="00A57BD1">
        <w:t>.2</w:t>
      </w:r>
      <w:r w:rsidR="00D24E23" w:rsidRPr="00B53F89">
        <w:t xml:space="preserve"> GHz of spectrum available for </w:t>
      </w:r>
      <w:r w:rsidR="00107C45">
        <w:t>w</w:t>
      </w:r>
      <w:r w:rsidR="00D24E23" w:rsidRPr="00B53F89">
        <w:t>i-</w:t>
      </w:r>
      <w:r w:rsidR="00107C45">
        <w:t>f</w:t>
      </w:r>
      <w:r w:rsidR="00D24E23" w:rsidRPr="00B53F89">
        <w:t>i in this band</w:t>
      </w:r>
      <w:r w:rsidR="00A57BD1">
        <w:t xml:space="preserve">, </w:t>
      </w:r>
      <w:r w:rsidR="00107C45">
        <w:t xml:space="preserve">with </w:t>
      </w:r>
      <w:r w:rsidR="00A57BD1">
        <w:t>a range of indoor and outdoor arrangements and different power levels permitted in different segments of that band.</w:t>
      </w:r>
      <w:r w:rsidR="00D24E23" w:rsidRPr="00B53F89">
        <w:t xml:space="preserve"> However, internationally</w:t>
      </w:r>
      <w:r w:rsidR="00107C45">
        <w:t>,</w:t>
      </w:r>
      <w:r w:rsidR="00D24E23" w:rsidRPr="00B53F89">
        <w:t xml:space="preserve"> both the microwave fixed link and satellite industr</w:t>
      </w:r>
      <w:r w:rsidR="00835B8C">
        <w:t>ies</w:t>
      </w:r>
      <w:r w:rsidR="00D24E23" w:rsidRPr="00B53F89">
        <w:t xml:space="preserve"> have expressed concerns about these proposals. </w:t>
      </w:r>
      <w:r w:rsidR="00107C45">
        <w:t>We</w:t>
      </w:r>
      <w:r w:rsidR="00D24E23" w:rsidRPr="00B53F89">
        <w:t xml:space="preserve"> will monitor the progress of this issue—particularly the matter of coexistence between possible </w:t>
      </w:r>
      <w:r w:rsidR="00107C45">
        <w:t>w</w:t>
      </w:r>
      <w:r w:rsidR="00D24E23" w:rsidRPr="00B53F89">
        <w:t>i-</w:t>
      </w:r>
      <w:r w:rsidR="00107C45">
        <w:t>f</w:t>
      </w:r>
      <w:r w:rsidR="00D24E23" w:rsidRPr="00B53F89">
        <w:t>i and similar uses of the band with other uses, such as satellite uplinks and fixed links</w:t>
      </w:r>
      <w:r w:rsidR="00EA54D5" w:rsidRPr="00B53F89">
        <w:t xml:space="preserve">. </w:t>
      </w:r>
    </w:p>
    <w:p w14:paraId="6B7F3371" w14:textId="76276548" w:rsidR="00D24E23" w:rsidRPr="00B53F89" w:rsidRDefault="00D24E23" w:rsidP="00D24E23">
      <w:r w:rsidRPr="00B53F89">
        <w:t xml:space="preserve">The ACMA </w:t>
      </w:r>
      <w:r w:rsidR="00853AAB">
        <w:t>has identified a work item for this FYSO period to</w:t>
      </w:r>
      <w:r w:rsidRPr="00B53F89">
        <w:t xml:space="preserve"> </w:t>
      </w:r>
      <w:r w:rsidR="00853AAB">
        <w:t xml:space="preserve">investigate possible </w:t>
      </w:r>
      <w:r w:rsidRPr="00B53F89">
        <w:t>changes to class</w:t>
      </w:r>
      <w:r w:rsidR="00107C45">
        <w:t>-</w:t>
      </w:r>
      <w:r w:rsidRPr="00B53F89">
        <w:t>licensing arrangements in Australia</w:t>
      </w:r>
      <w:r w:rsidR="00853AAB">
        <w:t xml:space="preserve"> in the exi</w:t>
      </w:r>
      <w:r w:rsidR="007E6519">
        <w:t>s</w:t>
      </w:r>
      <w:r w:rsidR="00853AAB">
        <w:t>ting 5 GHz band and the potential new 6</w:t>
      </w:r>
      <w:r w:rsidR="005E24B8">
        <w:t>–</w:t>
      </w:r>
      <w:r w:rsidR="00853AAB">
        <w:t xml:space="preserve">7 GHz band. </w:t>
      </w:r>
    </w:p>
    <w:bookmarkEnd w:id="196"/>
    <w:bookmarkEnd w:id="197"/>
    <w:bookmarkEnd w:id="198"/>
    <w:p w14:paraId="12E408DF" w14:textId="746FF5C7" w:rsidR="00C27E21" w:rsidRPr="00B53F89" w:rsidRDefault="00C27E21" w:rsidP="00FA7446">
      <w:pPr>
        <w:keepNext/>
        <w:spacing w:before="60" w:after="0"/>
      </w:pPr>
      <w:r w:rsidRPr="006A2F04">
        <w:rPr>
          <w:noProof/>
        </w:rPr>
        <w:drawing>
          <wp:inline distT="0" distB="0" distL="0" distR="0" wp14:anchorId="0634D79F" wp14:editId="344099D9">
            <wp:extent cx="342900" cy="361950"/>
            <wp:effectExtent l="0" t="0" r="0" b="0"/>
            <wp:docPr id="26" name="Picture 26"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A6E171B" w14:textId="4B2B9B8F" w:rsidR="00082A09" w:rsidRPr="00B53F89" w:rsidRDefault="00082A09" w:rsidP="002111ED">
      <w:pPr>
        <w:pStyle w:val="Heading3"/>
      </w:pPr>
      <w:bookmarkStart w:id="204" w:name="_Toc31892784"/>
      <w:bookmarkStart w:id="205" w:name="_Toc36207407"/>
      <w:bookmarkStart w:id="206" w:name="_Toc51864299"/>
      <w:r w:rsidRPr="00B53F89">
        <w:t>Amateur radio</w:t>
      </w:r>
      <w:bookmarkEnd w:id="204"/>
      <w:bookmarkEnd w:id="205"/>
      <w:bookmarkEnd w:id="206"/>
    </w:p>
    <w:p w14:paraId="429A480B" w14:textId="26577F7E" w:rsidR="00082A09" w:rsidRPr="00B53F89" w:rsidRDefault="004E53EF" w:rsidP="00DE694D">
      <w:r w:rsidRPr="006A2F04">
        <w:rPr>
          <w:noProof/>
        </w:rPr>
        <w:drawing>
          <wp:inline distT="0" distB="0" distL="0" distR="0" wp14:anchorId="60F2AC1C" wp14:editId="58C1A3BC">
            <wp:extent cx="244475" cy="140335"/>
            <wp:effectExtent l="0" t="0" r="3175" b="0"/>
            <wp:docPr id="241" name="Picture 241"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082A09" w:rsidRPr="00B53F89">
        <w:t xml:space="preserve">The amateur service is a longstanding user of radiofrequency spectrum, with a range of bands made available for qualified amateurs. The amateur service is designed primarily to facilitate hobby radiocommunications and technical experimentation. Amateur radio operators communicate using transmission modes including, but not limited to, Morse code, </w:t>
      </w:r>
      <w:r w:rsidR="006231E7" w:rsidRPr="00B53F89">
        <w:t>voice</w:t>
      </w:r>
      <w:r w:rsidR="00082A09" w:rsidRPr="00B53F89">
        <w:t xml:space="preserve"> and data.</w:t>
      </w:r>
    </w:p>
    <w:p w14:paraId="4492844A" w14:textId="24467934" w:rsidR="005B73BA" w:rsidRPr="004E509B" w:rsidRDefault="00961C0E" w:rsidP="00DE694D">
      <w:pPr>
        <w:rPr>
          <w:i/>
        </w:rPr>
      </w:pPr>
      <w:r>
        <w:t>Apparatus licences are issued authorising</w:t>
      </w:r>
      <w:r w:rsidRPr="00961C0E">
        <w:t xml:space="preserve"> </w:t>
      </w:r>
      <w:r>
        <w:t xml:space="preserve">the operation of amateur radio across a wide range of frequencies. Licence conditions applying to these licences are set under </w:t>
      </w:r>
      <w:r>
        <w:lastRenderedPageBreak/>
        <w:t xml:space="preserve">the </w:t>
      </w:r>
      <w:hyperlink r:id="rId69" w:history="1">
        <w:r w:rsidR="005B73BA" w:rsidRPr="005B73BA">
          <w:rPr>
            <w:rStyle w:val="Hyperlink"/>
          </w:rPr>
          <w:t>Radiocommunications Licence Condition</w:t>
        </w:r>
        <w:r w:rsidR="005B73BA">
          <w:rPr>
            <w:rStyle w:val="Hyperlink"/>
          </w:rPr>
          <w:t>s</w:t>
        </w:r>
        <w:r w:rsidR="005B73BA" w:rsidRPr="005B73BA">
          <w:rPr>
            <w:rStyle w:val="Hyperlink"/>
          </w:rPr>
          <w:t xml:space="preserve"> (Amateur Licence) Determination 2015</w:t>
        </w:r>
      </w:hyperlink>
      <w:r w:rsidRPr="00513FDE">
        <w:rPr>
          <w:rStyle w:val="Hyperlink"/>
          <w:color w:val="auto"/>
          <w:u w:val="none"/>
        </w:rPr>
        <w:t>,</w:t>
      </w:r>
      <w:r>
        <w:rPr>
          <w:rStyle w:val="Hyperlink"/>
        </w:rPr>
        <w:t xml:space="preserve"> </w:t>
      </w:r>
      <w:r w:rsidR="005B73BA">
        <w:t xml:space="preserve">depending on the level of qualification held and any applicable geographic limitations. </w:t>
      </w:r>
    </w:p>
    <w:p w14:paraId="33CAA98F" w14:textId="2D294D05" w:rsidR="00C61187" w:rsidRPr="00B53F89" w:rsidRDefault="00082A09" w:rsidP="00DE694D">
      <w:r w:rsidRPr="00B53F89">
        <w:t>The ACMA</w:t>
      </w:r>
      <w:r w:rsidR="006231E7" w:rsidRPr="00B53F89">
        <w:t>’s amateur</w:t>
      </w:r>
      <w:r w:rsidR="004534D7" w:rsidRPr="00B53F89">
        <w:t>-</w:t>
      </w:r>
      <w:r w:rsidR="006231E7" w:rsidRPr="00B53F89">
        <w:t xml:space="preserve">related work program is multidimensional. </w:t>
      </w:r>
      <w:r w:rsidR="00107C45">
        <w:t>We</w:t>
      </w:r>
      <w:r w:rsidRPr="00B53F89">
        <w:t xml:space="preserve"> support the amateur service through planning arrangements </w:t>
      </w:r>
      <w:r w:rsidR="00107C45">
        <w:t>that</w:t>
      </w:r>
      <w:r w:rsidR="00107C45" w:rsidRPr="00B53F89">
        <w:t xml:space="preserve"> </w:t>
      </w:r>
      <w:r w:rsidR="006231E7" w:rsidRPr="00B53F89">
        <w:t xml:space="preserve">recognise the </w:t>
      </w:r>
      <w:r w:rsidR="00E56F45" w:rsidRPr="00B53F89">
        <w:t>request</w:t>
      </w:r>
      <w:r w:rsidR="006231E7" w:rsidRPr="00B53F89">
        <w:t xml:space="preserve">s of amateur radio operators to </w:t>
      </w:r>
      <w:r w:rsidR="004A29EC" w:rsidRPr="00B53F89">
        <w:t xml:space="preserve">access </w:t>
      </w:r>
      <w:r w:rsidR="006231E7" w:rsidRPr="00B53F89">
        <w:t>frequency bands,</w:t>
      </w:r>
      <w:r w:rsidRPr="00B53F89">
        <w:t xml:space="preserve"> while balancing other demands for spectrum.</w:t>
      </w:r>
      <w:r w:rsidR="006231E7" w:rsidRPr="00B53F89">
        <w:t xml:space="preserve"> For example, this year’s work</w:t>
      </w:r>
      <w:r w:rsidR="004534D7" w:rsidRPr="00B53F89">
        <w:t xml:space="preserve"> </w:t>
      </w:r>
      <w:r w:rsidR="006231E7" w:rsidRPr="00B53F89">
        <w:t xml:space="preserve">plan includes reviewing non-assigned amateur licensing </w:t>
      </w:r>
      <w:r w:rsidR="00127CAB" w:rsidRPr="00B53F89">
        <w:t>arrangements and</w:t>
      </w:r>
      <w:r w:rsidR="006231E7" w:rsidRPr="00B53F89">
        <w:t xml:space="preserve"> considering outcomes of WRC-15 in the 5351.5–5366.5 kHz band</w:t>
      </w:r>
      <w:r w:rsidR="00643CB6" w:rsidRPr="00B53F89">
        <w:t>.</w:t>
      </w:r>
      <w:r w:rsidR="00DC630C">
        <w:t xml:space="preserve"> </w:t>
      </w:r>
      <w:r w:rsidR="006F41FB">
        <w:t xml:space="preserve">Following recent consultation, </w:t>
      </w:r>
      <w:r w:rsidR="005E24B8">
        <w:t xml:space="preserve">we are reviewing </w:t>
      </w:r>
      <w:r w:rsidR="006F41FB">
        <w:t>responses</w:t>
      </w:r>
      <w:r w:rsidR="00DC630C">
        <w:t xml:space="preserve"> </w:t>
      </w:r>
      <w:r w:rsidR="005E24B8">
        <w:t xml:space="preserve">and will release </w:t>
      </w:r>
      <w:r w:rsidR="0089221C">
        <w:t>a</w:t>
      </w:r>
      <w:r w:rsidR="00DC630C">
        <w:t xml:space="preserve"> decision on</w:t>
      </w:r>
      <w:r w:rsidR="005353F5">
        <w:t xml:space="preserve"> next steps</w:t>
      </w:r>
      <w:r w:rsidR="00DC630C">
        <w:t xml:space="preserve"> in Q4 2020.</w:t>
      </w:r>
    </w:p>
    <w:p w14:paraId="045CF0DD" w14:textId="606390D9" w:rsidR="00643CB6" w:rsidRDefault="00107C45" w:rsidP="00D24E23">
      <w:r>
        <w:t>We</w:t>
      </w:r>
      <w:r w:rsidR="00AE0256">
        <w:t xml:space="preserve"> </w:t>
      </w:r>
      <w:r w:rsidR="00A47099">
        <w:t xml:space="preserve">will </w:t>
      </w:r>
      <w:r w:rsidR="00AE0256">
        <w:t xml:space="preserve">also </w:t>
      </w:r>
      <w:r w:rsidR="00A47099">
        <w:t>consult on our</w:t>
      </w:r>
      <w:r w:rsidR="00AE0256">
        <w:t xml:space="preserve"> review of non-assigned amateur </w:t>
      </w:r>
      <w:r w:rsidR="008300F1">
        <w:t>licensing arrangements</w:t>
      </w:r>
      <w:r w:rsidR="00A47099">
        <w:t xml:space="preserve">. The consultation will include information about our assessment of </w:t>
      </w:r>
      <w:r w:rsidR="008300F1">
        <w:t xml:space="preserve">existing licensing options, whether they are fit-for-purpose and </w:t>
      </w:r>
      <w:r w:rsidR="00A47099">
        <w:t>proposed reforms</w:t>
      </w:r>
      <w:r w:rsidR="008300F1">
        <w:t xml:space="preserve"> to </w:t>
      </w:r>
      <w:r w:rsidR="00DB4374">
        <w:t xml:space="preserve">streamline and </w:t>
      </w:r>
      <w:r w:rsidR="008300F1">
        <w:t xml:space="preserve">reduce regulatory, </w:t>
      </w:r>
      <w:r>
        <w:t>administrative,</w:t>
      </w:r>
      <w:r w:rsidR="008300F1">
        <w:t xml:space="preserve"> and financial burdens on licensees and the ACMA.</w:t>
      </w:r>
    </w:p>
    <w:p w14:paraId="770EEF27" w14:textId="1419ACF0" w:rsidR="00B026E8" w:rsidRPr="0048118B" w:rsidRDefault="00B026E8" w:rsidP="0048118B">
      <w:pPr>
        <w:pStyle w:val="ACMAExecSummaryHeading"/>
        <w:pageBreakBefore/>
        <w:rPr>
          <w:rFonts w:eastAsiaTheme="majorEastAsia"/>
        </w:rPr>
      </w:pPr>
      <w:bookmarkStart w:id="207" w:name="_Part_2—Proposed_20189–1920"/>
      <w:bookmarkStart w:id="208" w:name="_Part_2—Proposed_2019–20"/>
      <w:bookmarkStart w:id="209" w:name="_Toc509581810"/>
      <w:bookmarkStart w:id="210" w:name="_Toc509585126"/>
      <w:bookmarkStart w:id="211" w:name="_Toc509585662"/>
      <w:bookmarkStart w:id="212" w:name="_Toc510104940"/>
      <w:bookmarkStart w:id="213" w:name="_Toc510105737"/>
      <w:bookmarkStart w:id="214" w:name="_Toc510795075"/>
      <w:bookmarkStart w:id="215" w:name="_Toc511716277"/>
      <w:bookmarkStart w:id="216" w:name="_Toc511719088"/>
      <w:bookmarkStart w:id="217" w:name="_Toc522794083"/>
      <w:bookmarkStart w:id="218" w:name="_Toc31892785"/>
      <w:bookmarkStart w:id="219" w:name="_Toc36207408"/>
      <w:bookmarkStart w:id="220" w:name="_Toc51846260"/>
      <w:bookmarkStart w:id="221" w:name="_Toc51864300"/>
      <w:bookmarkStart w:id="222" w:name="_Toc491854106"/>
      <w:bookmarkStart w:id="223" w:name="_Toc494115161"/>
      <w:bookmarkEnd w:id="207"/>
      <w:bookmarkEnd w:id="208"/>
      <w:r w:rsidRPr="0048118B">
        <w:rPr>
          <w:rFonts w:eastAsiaTheme="majorEastAsia"/>
        </w:rPr>
        <w:lastRenderedPageBreak/>
        <w:t>Part 2</w:t>
      </w:r>
      <w:r w:rsidR="007261F6" w:rsidRPr="0048118B">
        <w:rPr>
          <w:rFonts w:eastAsiaTheme="majorEastAsia"/>
        </w:rPr>
        <w:t>—</w:t>
      </w:r>
      <w:r w:rsidRPr="0048118B">
        <w:rPr>
          <w:rFonts w:eastAsiaTheme="majorEastAsia"/>
        </w:rPr>
        <w:t xml:space="preserve">Proposed </w:t>
      </w:r>
      <w:r w:rsidR="00C818C5" w:rsidRPr="0048118B">
        <w:rPr>
          <w:rFonts w:eastAsiaTheme="majorEastAsia"/>
        </w:rPr>
        <w:t>2020</w:t>
      </w:r>
      <w:r w:rsidRPr="0048118B">
        <w:rPr>
          <w:rFonts w:eastAsiaTheme="majorEastAsia"/>
        </w:rPr>
        <w:t>–</w:t>
      </w:r>
      <w:r w:rsidR="00C818C5" w:rsidRPr="0048118B">
        <w:rPr>
          <w:rFonts w:eastAsiaTheme="majorEastAsia"/>
        </w:rPr>
        <w:t xml:space="preserve">21 </w:t>
      </w:r>
      <w:r w:rsidR="00151518" w:rsidRPr="0048118B">
        <w:rPr>
          <w:rFonts w:eastAsiaTheme="majorEastAsia"/>
        </w:rPr>
        <w:t xml:space="preserve">annual </w:t>
      </w:r>
      <w:r w:rsidRPr="0048118B">
        <w:rPr>
          <w:rFonts w:eastAsiaTheme="majorEastAsia"/>
        </w:rPr>
        <w:t>spectrum</w:t>
      </w:r>
      <w:r w:rsidR="00151518" w:rsidRPr="0048118B">
        <w:rPr>
          <w:rFonts w:eastAsiaTheme="majorEastAsia"/>
        </w:rPr>
        <w:t xml:space="preserve"> management</w:t>
      </w:r>
      <w:r w:rsidRPr="0048118B">
        <w:rPr>
          <w:rFonts w:eastAsiaTheme="majorEastAsia"/>
        </w:rPr>
        <w:t xml:space="preserve"> work program</w:t>
      </w:r>
      <w:bookmarkEnd w:id="209"/>
      <w:bookmarkEnd w:id="210"/>
      <w:bookmarkEnd w:id="211"/>
      <w:bookmarkEnd w:id="212"/>
      <w:bookmarkEnd w:id="213"/>
      <w:bookmarkEnd w:id="214"/>
      <w:bookmarkEnd w:id="215"/>
      <w:bookmarkEnd w:id="216"/>
      <w:bookmarkEnd w:id="217"/>
      <w:bookmarkEnd w:id="218"/>
      <w:bookmarkEnd w:id="219"/>
      <w:bookmarkEnd w:id="220"/>
      <w:bookmarkEnd w:id="221"/>
    </w:p>
    <w:bookmarkEnd w:id="222"/>
    <w:bookmarkEnd w:id="223"/>
    <w:p w14:paraId="1EB019BB" w14:textId="60DFDECB" w:rsidR="00500299" w:rsidRPr="00B53F89" w:rsidRDefault="00410CC1" w:rsidP="00D7755E">
      <w:r w:rsidRPr="00B53F89">
        <w:rPr>
          <w:rFonts w:cs="Arial"/>
          <w:szCs w:val="20"/>
        </w:rPr>
        <w:t>Part 2 provide</w:t>
      </w:r>
      <w:r w:rsidR="00876A2C" w:rsidRPr="00B53F89">
        <w:rPr>
          <w:rFonts w:cs="Arial"/>
          <w:szCs w:val="20"/>
        </w:rPr>
        <w:t>s</w:t>
      </w:r>
      <w:r w:rsidRPr="00B53F89">
        <w:rPr>
          <w:rFonts w:cs="Arial"/>
          <w:szCs w:val="20"/>
        </w:rPr>
        <w:t xml:space="preserve"> information about the work</w:t>
      </w:r>
      <w:r w:rsidR="00AD35B8" w:rsidRPr="00B53F89">
        <w:rPr>
          <w:rFonts w:cs="Arial"/>
          <w:szCs w:val="20"/>
        </w:rPr>
        <w:t xml:space="preserve"> </w:t>
      </w:r>
      <w:r w:rsidRPr="00B53F89">
        <w:rPr>
          <w:rFonts w:cs="Arial"/>
          <w:szCs w:val="20"/>
        </w:rPr>
        <w:t xml:space="preserve">streams and </w:t>
      </w:r>
      <w:r w:rsidR="004F595C" w:rsidRPr="00B53F89">
        <w:t xml:space="preserve">activities that the </w:t>
      </w:r>
      <w:r w:rsidR="00835321" w:rsidRPr="00B53F89">
        <w:t xml:space="preserve">ACMA is proposing to focus on over the </w:t>
      </w:r>
      <w:r w:rsidR="00C818C5" w:rsidRPr="00B53F89">
        <w:t>20</w:t>
      </w:r>
      <w:r w:rsidR="00C818C5">
        <w:t>20</w:t>
      </w:r>
      <w:r w:rsidR="007261F6" w:rsidRPr="00B53F89">
        <w:t>–</w:t>
      </w:r>
      <w:r w:rsidR="00C818C5">
        <w:t>21</w:t>
      </w:r>
      <w:r w:rsidR="00C818C5" w:rsidRPr="00B53F89">
        <w:t xml:space="preserve"> </w:t>
      </w:r>
      <w:r w:rsidR="00835321" w:rsidRPr="00B53F89">
        <w:t>financial year</w:t>
      </w:r>
      <w:r w:rsidRPr="00B53F89">
        <w:t xml:space="preserve">. </w:t>
      </w:r>
      <w:r w:rsidR="00BE2C02" w:rsidRPr="00B53F89">
        <w:t xml:space="preserve">The planning information also reflects expected developments over a </w:t>
      </w:r>
      <w:r w:rsidR="00BE2C02" w:rsidRPr="00B53F89" w:rsidDel="00AA40BB">
        <w:t>five</w:t>
      </w:r>
      <w:r w:rsidR="00BE2C02" w:rsidRPr="00B53F89">
        <w:t>-year time</w:t>
      </w:r>
      <w:r w:rsidR="00107C45">
        <w:t xml:space="preserve"> </w:t>
      </w:r>
      <w:r w:rsidR="00BE2C02" w:rsidRPr="00B53F89">
        <w:t>frame.</w:t>
      </w:r>
    </w:p>
    <w:p w14:paraId="12F9AF92" w14:textId="66B8BBC8" w:rsidR="009A117B" w:rsidRPr="00B53F89" w:rsidRDefault="00410CC1" w:rsidP="0048118B">
      <w:pPr>
        <w:pStyle w:val="Paragraphbeforelist"/>
      </w:pPr>
      <w:r w:rsidRPr="00B53F89">
        <w:t xml:space="preserve">Where elements of planning, </w:t>
      </w:r>
      <w:r w:rsidR="00107C45" w:rsidRPr="00B53F89">
        <w:t>allocation,</w:t>
      </w:r>
      <w:r w:rsidRPr="00B53F89">
        <w:t xml:space="preserve"> and </w:t>
      </w:r>
      <w:r w:rsidR="008A21A4" w:rsidRPr="00B53F89">
        <w:t>activities to improve</w:t>
      </w:r>
      <w:r w:rsidRPr="00B53F89">
        <w:t xml:space="preserve"> </w:t>
      </w:r>
      <w:r w:rsidR="00500299" w:rsidRPr="00B53F89">
        <w:t>spectrum</w:t>
      </w:r>
      <w:r w:rsidR="008A21A4" w:rsidRPr="00B53F89">
        <w:t xml:space="preserve"> management</w:t>
      </w:r>
      <w:r w:rsidR="00500299" w:rsidRPr="00B53F89">
        <w:t xml:space="preserve"> </w:t>
      </w:r>
      <w:r w:rsidRPr="00B53F89">
        <w:t>span multiple years, we have identified the relevant timing information. Activities</w:t>
      </w:r>
      <w:r w:rsidR="004F595C" w:rsidRPr="00B53F89">
        <w:t xml:space="preserve"> </w:t>
      </w:r>
      <w:r w:rsidR="00835321" w:rsidRPr="00B53F89">
        <w:t xml:space="preserve">are grouped </w:t>
      </w:r>
      <w:r w:rsidR="00D8781E">
        <w:t xml:space="preserve">under the following headings to </w:t>
      </w:r>
      <w:r w:rsidR="00835321" w:rsidRPr="00B53F89">
        <w:t>accord</w:t>
      </w:r>
      <w:r w:rsidR="00D8781E">
        <w:t xml:space="preserve"> with</w:t>
      </w:r>
      <w:r w:rsidR="00835321" w:rsidRPr="00B53F89">
        <w:t xml:space="preserve"> </w:t>
      </w:r>
      <w:r w:rsidRPr="00B53F89">
        <w:t xml:space="preserve">the ACMA’s </w:t>
      </w:r>
      <w:r w:rsidR="00835321" w:rsidRPr="00B53F89">
        <w:t>main spectrum management functions</w:t>
      </w:r>
      <w:r w:rsidR="009A117B" w:rsidRPr="00B53F89">
        <w:t>:</w:t>
      </w:r>
    </w:p>
    <w:p w14:paraId="0FD12605" w14:textId="77777777" w:rsidR="009A117B" w:rsidRPr="00B53F89" w:rsidRDefault="001A47A9" w:rsidP="0048118B">
      <w:pPr>
        <w:pStyle w:val="Bulletlevel1"/>
      </w:pPr>
      <w:bookmarkStart w:id="224" w:name="_Hlk34222167"/>
      <w:r w:rsidRPr="00B53F89">
        <w:t>p</w:t>
      </w:r>
      <w:r w:rsidR="009A117B" w:rsidRPr="00B53F89">
        <w:t>lanning</w:t>
      </w:r>
    </w:p>
    <w:p w14:paraId="65AC4736" w14:textId="3193A53B" w:rsidR="00CF322E" w:rsidRPr="00B53F89" w:rsidRDefault="0091072D" w:rsidP="0048118B">
      <w:pPr>
        <w:pStyle w:val="Bulletlevel1"/>
      </w:pPr>
      <w:r>
        <w:t xml:space="preserve">forward </w:t>
      </w:r>
      <w:r w:rsidR="00D8781E" w:rsidRPr="00B53F89">
        <w:t>allocation</w:t>
      </w:r>
      <w:r w:rsidR="00D8781E">
        <w:t xml:space="preserve"> work plan</w:t>
      </w:r>
      <w:r w:rsidR="00D8781E" w:rsidRPr="00B53F89">
        <w:t xml:space="preserve"> </w:t>
      </w:r>
    </w:p>
    <w:p w14:paraId="0BF7DD20" w14:textId="6CAD7755" w:rsidR="00A03B91" w:rsidRPr="00B53F89" w:rsidRDefault="001A47A9" w:rsidP="0048118B">
      <w:pPr>
        <w:pStyle w:val="Bulletlevel1"/>
      </w:pPr>
      <w:r w:rsidRPr="00B53F89">
        <w:t>l</w:t>
      </w:r>
      <w:r w:rsidR="00A03B91" w:rsidRPr="00B53F89">
        <w:t>icensing</w:t>
      </w:r>
      <w:r w:rsidR="0091072D">
        <w:t xml:space="preserve"> and licensing systems</w:t>
      </w:r>
    </w:p>
    <w:p w14:paraId="3EEADA15" w14:textId="77777777" w:rsidR="00A03B91" w:rsidRPr="00B53F89" w:rsidRDefault="001A47A9" w:rsidP="0048118B">
      <w:pPr>
        <w:pStyle w:val="Bulletlevel1"/>
      </w:pPr>
      <w:r w:rsidRPr="00B53F89">
        <w:t>p</w:t>
      </w:r>
      <w:r w:rsidR="00A03B91" w:rsidRPr="00B53F89">
        <w:t xml:space="preserve">ricing </w:t>
      </w:r>
    </w:p>
    <w:p w14:paraId="5C377235" w14:textId="77777777" w:rsidR="00C16893" w:rsidRDefault="001A47A9" w:rsidP="0048118B">
      <w:pPr>
        <w:pStyle w:val="Bulletlevel1"/>
      </w:pPr>
      <w:r w:rsidRPr="00B53F89">
        <w:t>c</w:t>
      </w:r>
      <w:r w:rsidR="009A117B" w:rsidRPr="00B53F89">
        <w:t>ompliance and enforcement</w:t>
      </w:r>
    </w:p>
    <w:p w14:paraId="7B769F05" w14:textId="62ECA542" w:rsidR="00C16893" w:rsidRDefault="00C16893" w:rsidP="0048118B">
      <w:pPr>
        <w:pStyle w:val="Bulletlevel1last"/>
      </w:pPr>
      <w:r>
        <w:t>international engagement</w:t>
      </w:r>
      <w:r w:rsidR="00CC5474">
        <w:t>.</w:t>
      </w:r>
    </w:p>
    <w:bookmarkEnd w:id="224"/>
    <w:p w14:paraId="5051FE8B" w14:textId="664110C9" w:rsidR="009414DF" w:rsidRPr="00B53F89" w:rsidRDefault="002C689F" w:rsidP="00D7755E">
      <w:r w:rsidRPr="00B53F89">
        <w:t>The planned milestones,</w:t>
      </w:r>
      <w:r w:rsidRPr="00B53F89" w:rsidDel="004F00F6">
        <w:t xml:space="preserve"> </w:t>
      </w:r>
      <w:r w:rsidR="004F00F6" w:rsidRPr="00B53F89">
        <w:t xml:space="preserve">including </w:t>
      </w:r>
      <w:r w:rsidRPr="00B53F89">
        <w:t xml:space="preserve">those relating to </w:t>
      </w:r>
      <w:r w:rsidR="00C818C5" w:rsidRPr="00B53F89">
        <w:t>20</w:t>
      </w:r>
      <w:r w:rsidR="00C818C5">
        <w:t>20</w:t>
      </w:r>
      <w:r w:rsidR="005435F9" w:rsidRPr="00B53F89">
        <w:t>–</w:t>
      </w:r>
      <w:r w:rsidR="00C818C5" w:rsidRPr="00B53F89">
        <w:t>2</w:t>
      </w:r>
      <w:r w:rsidR="00C818C5">
        <w:t>1</w:t>
      </w:r>
      <w:r w:rsidRPr="00B53F89">
        <w:t xml:space="preserve">, are subject to change. </w:t>
      </w:r>
      <w:r w:rsidR="00107C45">
        <w:t>We are</w:t>
      </w:r>
      <w:r w:rsidR="00BE2C02" w:rsidRPr="00B53F89">
        <w:t xml:space="preserve"> </w:t>
      </w:r>
      <w:r w:rsidR="009414DF" w:rsidRPr="00B53F89">
        <w:t>continually monitoring factors that may impact spectrum management including any</w:t>
      </w:r>
      <w:r w:rsidR="00BE2C02" w:rsidRPr="00B53F89">
        <w:t xml:space="preserve"> </w:t>
      </w:r>
      <w:r w:rsidR="009414DF" w:rsidRPr="00B53F89">
        <w:t>short-term</w:t>
      </w:r>
      <w:r w:rsidR="00BE2C02" w:rsidRPr="00B53F89">
        <w:t xml:space="preserve"> changes in spectr</w:t>
      </w:r>
      <w:r w:rsidR="009414DF" w:rsidRPr="00B53F89">
        <w:t xml:space="preserve">um demand, technological developments, government priorities and available resourcing. </w:t>
      </w:r>
    </w:p>
    <w:p w14:paraId="3A10A4C6" w14:textId="1ED556B2" w:rsidR="002C689F" w:rsidRPr="00B53F89" w:rsidRDefault="00107C45" w:rsidP="00D7755E">
      <w:r>
        <w:t>We are</w:t>
      </w:r>
      <w:r w:rsidR="003E4159" w:rsidRPr="00B53F89">
        <w:t xml:space="preserve"> also </w:t>
      </w:r>
      <w:r w:rsidR="00314A5B">
        <w:t xml:space="preserve">continuing to work </w:t>
      </w:r>
      <w:r w:rsidR="003E4159" w:rsidRPr="00B53F89">
        <w:t xml:space="preserve">with </w:t>
      </w:r>
      <w:r w:rsidR="00155A31">
        <w:t>the Department of Infrastructure, Transport, Regional Development and Communications (</w:t>
      </w:r>
      <w:r w:rsidR="00CA501F">
        <w:t xml:space="preserve">the </w:t>
      </w:r>
      <w:r w:rsidR="00CA501F" w:rsidRPr="00155A31">
        <w:t>Department</w:t>
      </w:r>
      <w:r w:rsidR="00155A31">
        <w:t>)</w:t>
      </w:r>
      <w:r w:rsidR="003E4159" w:rsidRPr="00B53F89">
        <w:t xml:space="preserve"> </w:t>
      </w:r>
      <w:r w:rsidR="00314A5B" w:rsidRPr="00314A5B">
        <w:t xml:space="preserve">on proposals for </w:t>
      </w:r>
      <w:r w:rsidR="000E7B4F">
        <w:t>graduated</w:t>
      </w:r>
      <w:r w:rsidR="00314A5B" w:rsidRPr="00314A5B">
        <w:t xml:space="preserve"> legislative reform.</w:t>
      </w:r>
      <w:r w:rsidR="00387C46" w:rsidRPr="00B53F89">
        <w:t xml:space="preserve"> </w:t>
      </w:r>
      <w:r w:rsidR="002C689F" w:rsidRPr="00B53F89">
        <w:t xml:space="preserve">As </w:t>
      </w:r>
      <w:r w:rsidR="00B523A3" w:rsidRPr="00B53F89">
        <w:t xml:space="preserve">any changes to </w:t>
      </w:r>
      <w:r w:rsidR="002C689F" w:rsidRPr="00B53F89">
        <w:t xml:space="preserve">legislation </w:t>
      </w:r>
      <w:r w:rsidR="00B523A3" w:rsidRPr="00B53F89">
        <w:t xml:space="preserve">are </w:t>
      </w:r>
      <w:r w:rsidR="002C689F" w:rsidRPr="00B53F89">
        <w:t>settled, the timing and nature of the ACMA’s responsibilities will become clearer and may affect other milestones.</w:t>
      </w:r>
    </w:p>
    <w:p w14:paraId="0BF42631" w14:textId="3DD7F167" w:rsidR="00BE2C02" w:rsidRPr="00B53F89" w:rsidRDefault="00BE2C02" w:rsidP="00DE694D">
      <w:pPr>
        <w:pStyle w:val="Heading2"/>
        <w:keepNext w:val="0"/>
      </w:pPr>
      <w:bookmarkStart w:id="225" w:name="_Toc31892786"/>
      <w:bookmarkStart w:id="226" w:name="_Toc36207409"/>
      <w:bookmarkStart w:id="227" w:name="_Toc51846261"/>
      <w:bookmarkStart w:id="228" w:name="_Toc51864301"/>
      <w:r w:rsidRPr="00B53F89">
        <w:t>Priorities and resources</w:t>
      </w:r>
      <w:bookmarkEnd w:id="225"/>
      <w:bookmarkEnd w:id="226"/>
      <w:bookmarkEnd w:id="227"/>
      <w:bookmarkEnd w:id="228"/>
    </w:p>
    <w:p w14:paraId="2B8E0A7C" w14:textId="4B1BBABB" w:rsidR="00F029CD" w:rsidRPr="00B53F89" w:rsidRDefault="00051696" w:rsidP="00E26672">
      <w:r w:rsidRPr="00B53F89">
        <w:t>T</w:t>
      </w:r>
      <w:r w:rsidR="00F029CD" w:rsidRPr="00B53F89">
        <w:t>here</w:t>
      </w:r>
      <w:r w:rsidRPr="00B53F89">
        <w:t xml:space="preserve"> remains a continued</w:t>
      </w:r>
      <w:r w:rsidR="00F029CD" w:rsidRPr="00B53F89">
        <w:t xml:space="preserve"> demand for more activity from the ACMA than can be accommodated within our finite resources.</w:t>
      </w:r>
    </w:p>
    <w:p w14:paraId="033506A0" w14:textId="426FCB33" w:rsidR="00F029CD" w:rsidRPr="00B53F89" w:rsidRDefault="00F029CD" w:rsidP="00155A31">
      <w:pPr>
        <w:pStyle w:val="Paragraphbeforelist"/>
      </w:pPr>
      <w:r w:rsidRPr="00B53F89">
        <w:t xml:space="preserve">In responding to suggestions </w:t>
      </w:r>
      <w:r w:rsidR="007F5626" w:rsidRPr="00B53F89">
        <w:t xml:space="preserve">about revising </w:t>
      </w:r>
      <w:r w:rsidRPr="00B53F89">
        <w:t xml:space="preserve">our spectrum management priorities, </w:t>
      </w:r>
      <w:r w:rsidR="00107C45">
        <w:t>we</w:t>
      </w:r>
      <w:r w:rsidRPr="00B53F89">
        <w:t xml:space="preserve"> </w:t>
      </w:r>
      <w:r w:rsidR="00BE2C02" w:rsidRPr="00B53F89">
        <w:t>consider</w:t>
      </w:r>
      <w:r w:rsidRPr="00B53F89">
        <w:t xml:space="preserve"> a range of relevant considerations</w:t>
      </w:r>
      <w:r w:rsidR="00315B33" w:rsidRPr="00B53F89">
        <w:t>,</w:t>
      </w:r>
      <w:r w:rsidRPr="00B53F89">
        <w:t xml:space="preserve"> including:</w:t>
      </w:r>
    </w:p>
    <w:p w14:paraId="244BD7DB" w14:textId="77777777" w:rsidR="00585DA3" w:rsidRPr="00B53F89" w:rsidRDefault="00A76060" w:rsidP="002111ED">
      <w:pPr>
        <w:pStyle w:val="ListBullet"/>
        <w:keepNext w:val="0"/>
        <w:keepLines w:val="0"/>
        <w:ind w:left="284" w:hanging="284"/>
      </w:pPr>
      <w:r w:rsidRPr="00B53F89">
        <w:t xml:space="preserve">maximising the efficient allocation and use of </w:t>
      </w:r>
      <w:r w:rsidR="00585DA3" w:rsidRPr="00B53F89">
        <w:t>radiofrequency spectrum</w:t>
      </w:r>
    </w:p>
    <w:p w14:paraId="0CA4BB17" w14:textId="55D34083" w:rsidR="00F029CD" w:rsidRPr="00B53F89" w:rsidRDefault="00F029CD" w:rsidP="002111ED">
      <w:pPr>
        <w:pStyle w:val="ListBullet"/>
        <w:keepNext w:val="0"/>
        <w:keepLines w:val="0"/>
        <w:ind w:left="284" w:hanging="284"/>
      </w:pPr>
      <w:r w:rsidRPr="00B53F89">
        <w:t xml:space="preserve">changes in the development, </w:t>
      </w:r>
      <w:r w:rsidR="00107C45" w:rsidRPr="00B53F89">
        <w:t>availability,</w:t>
      </w:r>
      <w:r w:rsidRPr="00B53F89">
        <w:t xml:space="preserve"> and take-up of radiofrequency technologies</w:t>
      </w:r>
      <w:r w:rsidR="00585DA3" w:rsidRPr="00B53F89">
        <w:t>, both in Australia and internationally</w:t>
      </w:r>
    </w:p>
    <w:p w14:paraId="62EF9F79" w14:textId="2BC9F968" w:rsidR="009414DF" w:rsidRPr="00B53F89" w:rsidRDefault="00585DA3" w:rsidP="002111ED">
      <w:pPr>
        <w:pStyle w:val="ListBullet"/>
        <w:keepNext w:val="0"/>
        <w:keepLines w:val="0"/>
        <w:ind w:left="284" w:hanging="284"/>
      </w:pPr>
      <w:r w:rsidRPr="00B53F89">
        <w:t xml:space="preserve">spectrum management trends, including </w:t>
      </w:r>
      <w:r w:rsidR="00AA45B0" w:rsidRPr="00B53F89">
        <w:t xml:space="preserve">ITU-R </w:t>
      </w:r>
      <w:r w:rsidR="001C517F" w:rsidRPr="00B53F89">
        <w:t xml:space="preserve">WRC </w:t>
      </w:r>
      <w:r w:rsidR="0008326A">
        <w:t xml:space="preserve">and Study Group </w:t>
      </w:r>
      <w:r w:rsidRPr="00B53F89">
        <w:t>process</w:t>
      </w:r>
      <w:r w:rsidR="0008326A">
        <w:t>es</w:t>
      </w:r>
    </w:p>
    <w:p w14:paraId="71A0972E" w14:textId="709D8FEF" w:rsidR="00961E3F" w:rsidRPr="00B53F89" w:rsidRDefault="00BD36DA" w:rsidP="00155A31">
      <w:pPr>
        <w:pStyle w:val="Bulletlevel1last"/>
      </w:pPr>
      <w:r w:rsidRPr="00B53F89">
        <w:t>the least cost and least restrictive approach to achieve policy objectives</w:t>
      </w:r>
      <w:r w:rsidR="00315B33" w:rsidRPr="00B53F89">
        <w:t>.</w:t>
      </w:r>
    </w:p>
    <w:p w14:paraId="6AE47968" w14:textId="65765BDE" w:rsidR="00CF322E" w:rsidRPr="00B53F89" w:rsidRDefault="00CF322E" w:rsidP="00AD7013">
      <w:pPr>
        <w:pStyle w:val="Heading1"/>
      </w:pPr>
      <w:bookmarkStart w:id="229" w:name="_Toc510104942"/>
      <w:bookmarkStart w:id="230" w:name="_Toc510105739"/>
      <w:bookmarkStart w:id="231" w:name="_Toc510795076"/>
      <w:bookmarkStart w:id="232" w:name="_Toc511716278"/>
      <w:bookmarkStart w:id="233" w:name="_Toc511719089"/>
      <w:bookmarkStart w:id="234" w:name="_Toc522794084"/>
      <w:bookmarkStart w:id="235" w:name="_Toc31892790"/>
      <w:bookmarkStart w:id="236" w:name="_Toc36207410"/>
      <w:bookmarkStart w:id="237" w:name="_Toc51846262"/>
      <w:bookmarkStart w:id="238" w:name="_Toc51864302"/>
      <w:bookmarkStart w:id="239" w:name="_Toc491854085"/>
      <w:bookmarkStart w:id="240" w:name="_Toc494115131"/>
      <w:bookmarkStart w:id="241" w:name="_Toc496624990"/>
      <w:bookmarkStart w:id="242" w:name="_Toc509581812"/>
      <w:bookmarkStart w:id="243" w:name="_Toc509585128"/>
      <w:bookmarkStart w:id="244" w:name="_Toc509585664"/>
      <w:r w:rsidRPr="00B53F89">
        <w:lastRenderedPageBreak/>
        <w:t>Planning</w:t>
      </w:r>
      <w:bookmarkEnd w:id="229"/>
      <w:bookmarkEnd w:id="230"/>
      <w:bookmarkEnd w:id="231"/>
      <w:bookmarkEnd w:id="232"/>
      <w:bookmarkEnd w:id="233"/>
      <w:bookmarkEnd w:id="234"/>
      <w:bookmarkEnd w:id="235"/>
      <w:bookmarkEnd w:id="236"/>
      <w:bookmarkEnd w:id="237"/>
      <w:bookmarkEnd w:id="238"/>
    </w:p>
    <w:p w14:paraId="5F3B152E" w14:textId="30ACC4C1" w:rsidR="00CC5C65" w:rsidRPr="00B53F89" w:rsidRDefault="002C3FF9" w:rsidP="00617B4B">
      <w:pPr>
        <w:keepNext/>
        <w:keepLines/>
      </w:pPr>
      <w:r w:rsidRPr="006A2F04">
        <w:rPr>
          <w:noProof/>
        </w:rPr>
        <w:drawing>
          <wp:inline distT="0" distB="0" distL="0" distR="0" wp14:anchorId="6F050078" wp14:editId="2DEFF790">
            <wp:extent cx="244475" cy="140335"/>
            <wp:effectExtent l="0" t="0" r="3175" b="0"/>
            <wp:docPr id="235" name="Picture 235"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8A199D" w:rsidRPr="00B53F89">
        <w:t xml:space="preserve">The ACMA aims to optimise </w:t>
      </w:r>
      <w:r w:rsidR="00C75E8C">
        <w:t xml:space="preserve">spectrum </w:t>
      </w:r>
      <w:r w:rsidR="008A199D" w:rsidRPr="00B53F89">
        <w:t>planning</w:t>
      </w:r>
      <w:r w:rsidR="0008326A">
        <w:t>, licensing and allocation</w:t>
      </w:r>
      <w:r w:rsidR="008A199D" w:rsidRPr="00B53F89">
        <w:t xml:space="preserve"> arrangements in each band for the use or uses that maximise the overall public benefit. </w:t>
      </w:r>
      <w:r w:rsidR="009079DD" w:rsidRPr="00B53F89">
        <w:t xml:space="preserve">These </w:t>
      </w:r>
      <w:r w:rsidR="008A199D" w:rsidRPr="00B53F89">
        <w:t xml:space="preserve">arrangements </w:t>
      </w:r>
      <w:r w:rsidR="009079DD" w:rsidRPr="00B53F89">
        <w:t>aim to allow</w:t>
      </w:r>
      <w:r w:rsidR="008A199D" w:rsidRPr="00B53F89">
        <w:t xml:space="preserve"> the allocation (or movement) of spectrum with no, or minimal, further regulatory intervention, and may remain stable over long periods of time. </w:t>
      </w:r>
    </w:p>
    <w:p w14:paraId="0DC0E55C" w14:textId="4F058C9B" w:rsidR="009079DD" w:rsidRPr="00B53F89" w:rsidRDefault="009079DD" w:rsidP="00617B4B">
      <w:pPr>
        <w:keepNext/>
        <w:keepLines/>
      </w:pPr>
      <w:r w:rsidRPr="00B53F89">
        <w:t>However, w</w:t>
      </w:r>
      <w:r w:rsidR="008A199D" w:rsidRPr="00B53F89">
        <w:t xml:space="preserve">here there is evidence of </w:t>
      </w:r>
      <w:r w:rsidR="00FB2521" w:rsidRPr="00B53F89">
        <w:t xml:space="preserve">changing </w:t>
      </w:r>
      <w:r w:rsidR="008A199D" w:rsidRPr="00B53F89">
        <w:t xml:space="preserve">optimal use, </w:t>
      </w:r>
      <w:r w:rsidR="00107C45">
        <w:t>we</w:t>
      </w:r>
      <w:r w:rsidR="008A199D" w:rsidRPr="00B53F89">
        <w:t xml:space="preserve"> may identify a net public benefit in the band moving to a new or changed use</w:t>
      </w:r>
      <w:r w:rsidRPr="00B53F89">
        <w:t xml:space="preserve"> or</w:t>
      </w:r>
      <w:r w:rsidR="008A199D" w:rsidRPr="00B53F89">
        <w:t xml:space="preserve"> being reconfigured to better support an existing use. </w:t>
      </w:r>
      <w:r w:rsidR="00C75E8C">
        <w:t xml:space="preserve">Often a key step in achieving this is to review spectrum planning arrangements in the band in question. </w:t>
      </w:r>
    </w:p>
    <w:p w14:paraId="22EFF159" w14:textId="63DE01E2" w:rsidR="00C75E8C" w:rsidRDefault="00C75E8C" w:rsidP="00C75E8C">
      <w:pPr>
        <w:spacing w:line="256" w:lineRule="auto"/>
      </w:pPr>
      <w:r w:rsidRPr="003775FD">
        <w:rPr>
          <w:iCs/>
        </w:rPr>
        <w:t>Spectrum planning</w:t>
      </w:r>
      <w:r>
        <w:t xml:space="preserve"> consists of the investigations and decisions that determine general service and application</w:t>
      </w:r>
      <w:r w:rsidR="001C339E">
        <w:t>-</w:t>
      </w:r>
      <w:r>
        <w:t>level uses</w:t>
      </w:r>
      <w:r>
        <w:rPr>
          <w:rStyle w:val="FootnoteReference"/>
        </w:rPr>
        <w:footnoteReference w:id="39"/>
      </w:r>
      <w:r>
        <w:t xml:space="preserve"> of the spectrum. This includes the technical framework that establishes the coexistence framework between uses and users and heavily influences the ‘product’ to be allocated. This includes the licensing mechanisms that best meet these objectives. Collectively, the spectrum planning </w:t>
      </w:r>
      <w:r w:rsidR="00992C8C">
        <w:t>role</w:t>
      </w:r>
      <w:r>
        <w:t xml:space="preserve"> is often referred to as the ‘town planner’ function.</w:t>
      </w:r>
    </w:p>
    <w:p w14:paraId="117F58EC" w14:textId="15845E25" w:rsidR="008A199D" w:rsidRPr="00B53F89" w:rsidRDefault="00107C45" w:rsidP="00D7755E">
      <w:r>
        <w:t>After c</w:t>
      </w:r>
      <w:r w:rsidR="008A199D" w:rsidRPr="00B53F89">
        <w:t xml:space="preserve">onsulting where appropriate with existing and future users, </w:t>
      </w:r>
      <w:r>
        <w:t>we</w:t>
      </w:r>
      <w:r w:rsidR="008A199D" w:rsidRPr="00B53F89">
        <w:t xml:space="preserve"> then consider how best to accommodate additional uses or users within the available spectrum.</w:t>
      </w:r>
      <w:r w:rsidR="00466A9E" w:rsidRPr="00B53F89">
        <w:t xml:space="preserve"> </w:t>
      </w:r>
      <w:r w:rsidR="00CC09F5" w:rsidRPr="00B53F89">
        <w:t xml:space="preserve">In considering replanning options, </w:t>
      </w:r>
      <w:r>
        <w:t>we</w:t>
      </w:r>
      <w:r w:rsidR="00CC09F5" w:rsidRPr="00B53F89">
        <w:t xml:space="preserve"> </w:t>
      </w:r>
      <w:r w:rsidR="00466A9E" w:rsidRPr="00B53F89">
        <w:t xml:space="preserve">seek </w:t>
      </w:r>
      <w:r w:rsidR="00992C8C">
        <w:t xml:space="preserve">where possible </w:t>
      </w:r>
      <w:r w:rsidR="00311BF8" w:rsidRPr="00B53F89">
        <w:t>to identify alternative</w:t>
      </w:r>
      <w:r w:rsidR="009520A3" w:rsidRPr="00B53F89">
        <w:t xml:space="preserve"> bands</w:t>
      </w:r>
      <w:r w:rsidR="00311BF8" w:rsidRPr="00B53F89">
        <w:t xml:space="preserve"> or alternative arrangements within the same band</w:t>
      </w:r>
      <w:r w:rsidR="00CC09F5" w:rsidRPr="00B53F89">
        <w:t xml:space="preserve"> </w:t>
      </w:r>
      <w:r w:rsidR="00466A9E" w:rsidRPr="00B53F89">
        <w:t>for incumbents</w:t>
      </w:r>
      <w:r w:rsidR="00FD5CC7" w:rsidRPr="00B53F89">
        <w:t>,</w:t>
      </w:r>
      <w:r w:rsidR="00466A9E" w:rsidRPr="00B53F89">
        <w:t xml:space="preserve"> </w:t>
      </w:r>
      <w:r w:rsidR="009520A3" w:rsidRPr="00B53F89">
        <w:t xml:space="preserve">as part of our responsibilities to ensure spectrum is used and managed to maximise overall public benefit. </w:t>
      </w:r>
    </w:p>
    <w:p w14:paraId="2EF526AD" w14:textId="4004B310" w:rsidR="00657A0B" w:rsidRPr="00B53F89" w:rsidRDefault="00EA305B" w:rsidP="00657A0B">
      <w:r>
        <w:t xml:space="preserve">We </w:t>
      </w:r>
      <w:r w:rsidR="00657A0B">
        <w:t xml:space="preserve">note that planning outcomes have implications on allocations decisions. For example, planning </w:t>
      </w:r>
      <w:r w:rsidR="00064C7F">
        <w:t xml:space="preserve">outcomes </w:t>
      </w:r>
      <w:r w:rsidR="00657A0B">
        <w:t>will determine the type of user likely to be interested in an allocation simply by determining what uses are permitted and which are not. Licensing choices can also influence likely users</w:t>
      </w:r>
      <w:r w:rsidR="002A0FCF">
        <w:t>—</w:t>
      </w:r>
      <w:r w:rsidR="00657A0B">
        <w:t xml:space="preserve">for </w:t>
      </w:r>
      <w:r w:rsidR="00657A0B" w:rsidRPr="008B1A75">
        <w:t>example</w:t>
      </w:r>
      <w:r w:rsidRPr="008B1A75">
        <w:t>,</w:t>
      </w:r>
      <w:r w:rsidR="00657A0B" w:rsidRPr="008B1A75">
        <w:t xml:space="preserve"> spectrum licences issued over wide areas are often allocated by auction, both aspects not being well suited for some use</w:t>
      </w:r>
      <w:r w:rsidR="00CC5C49" w:rsidRPr="008B1A75">
        <w:t>-</w:t>
      </w:r>
      <w:r w:rsidR="00657A0B" w:rsidRPr="008B1A75">
        <w:t>cases</w:t>
      </w:r>
      <w:r w:rsidR="00657A0B" w:rsidRPr="008B1A75">
        <w:rPr>
          <w:rStyle w:val="FootnoteReference"/>
        </w:rPr>
        <w:footnoteReference w:id="40"/>
      </w:r>
      <w:r w:rsidR="00657A0B" w:rsidRPr="008B1A75">
        <w:t xml:space="preserve"> and hence users. In addition, </w:t>
      </w:r>
      <w:bookmarkStart w:id="245" w:name="_Hlk11778989"/>
      <w:r w:rsidR="00657A0B" w:rsidRPr="008B1A75">
        <w:t>i</w:t>
      </w:r>
      <w:r w:rsidR="00657A0B">
        <w:t xml:space="preserve">n </w:t>
      </w:r>
      <w:r w:rsidR="00657A0B" w:rsidRPr="008754E8">
        <w:t xml:space="preserve">order to optimise </w:t>
      </w:r>
      <w:r w:rsidR="00657A0B">
        <w:t>efficient use of the spectrum</w:t>
      </w:r>
      <w:r w:rsidR="00657A0B" w:rsidRPr="008754E8">
        <w:t xml:space="preserve">, </w:t>
      </w:r>
      <w:bookmarkStart w:id="246" w:name="_Hlk11779119"/>
      <w:r w:rsidR="00657A0B" w:rsidRPr="008754E8">
        <w:t xml:space="preserve">the interference management framework </w:t>
      </w:r>
      <w:r w:rsidR="00657A0B">
        <w:t>is often optimised for an expected use</w:t>
      </w:r>
      <w:bookmarkEnd w:id="245"/>
      <w:bookmarkEnd w:id="246"/>
      <w:r w:rsidR="00657A0B">
        <w:t xml:space="preserve"> even if such use is not mandatory. </w:t>
      </w:r>
      <w:r>
        <w:t>For example, while s</w:t>
      </w:r>
      <w:r w:rsidR="00657A0B">
        <w:t xml:space="preserve">pectrum licences </w:t>
      </w:r>
      <w:r>
        <w:t xml:space="preserve">may be </w:t>
      </w:r>
      <w:r w:rsidR="00657A0B">
        <w:t>‘technology flexible’ in that they do not explicitly preclude an</w:t>
      </w:r>
      <w:r w:rsidR="001C339E">
        <w:t>y</w:t>
      </w:r>
      <w:r w:rsidR="00657A0B">
        <w:t xml:space="preserve"> use, </w:t>
      </w:r>
      <w:r>
        <w:t xml:space="preserve">they </w:t>
      </w:r>
      <w:r w:rsidR="00657A0B">
        <w:t xml:space="preserve">are designed and optimised with </w:t>
      </w:r>
      <w:r>
        <w:t xml:space="preserve">a </w:t>
      </w:r>
      <w:r w:rsidR="00657A0B">
        <w:t>likely technology in mind</w:t>
      </w:r>
      <w:r>
        <w:t>,</w:t>
      </w:r>
      <w:r w:rsidR="00657A0B">
        <w:t xml:space="preserve"> in order to maximise the efficiency of these licences for their expected use consistent with coexistence requirements of other spectrum uses/users. </w:t>
      </w:r>
    </w:p>
    <w:p w14:paraId="5D830D08" w14:textId="5CE08634" w:rsidR="00C50635" w:rsidRPr="00B53F89" w:rsidRDefault="00C50635" w:rsidP="00EA3C40">
      <w:pPr>
        <w:pStyle w:val="Paragraphbeforelist"/>
      </w:pPr>
      <w:r w:rsidRPr="00B53F89">
        <w:t xml:space="preserve">Planning activities </w:t>
      </w:r>
      <w:r w:rsidR="0008326A">
        <w:t>are</w:t>
      </w:r>
      <w:r w:rsidR="0008326A" w:rsidRPr="00B53F89">
        <w:t xml:space="preserve"> informed by</w:t>
      </w:r>
      <w:r w:rsidR="0008326A" w:rsidRPr="00B53F89" w:rsidDel="00A56174">
        <w:t xml:space="preserve"> </w:t>
      </w:r>
      <w:r w:rsidR="0008326A" w:rsidRPr="00B53F89">
        <w:t xml:space="preserve">domestic and international trends in spectrum uses, developments in international spectrum harmonisation and technology standardisation, and evolution of communications technology. </w:t>
      </w:r>
      <w:r w:rsidR="0008326A">
        <w:t xml:space="preserve">These activities </w:t>
      </w:r>
      <w:r w:rsidRPr="00B53F89">
        <w:t>are directed into two main streams:</w:t>
      </w:r>
    </w:p>
    <w:p w14:paraId="7DBDC1EE" w14:textId="607CC927" w:rsidR="00A45CCD" w:rsidRPr="00B53F89" w:rsidRDefault="00B43510" w:rsidP="00D33B10">
      <w:pPr>
        <w:pStyle w:val="ListBullet"/>
        <w:keepNext w:val="0"/>
        <w:keepLines w:val="0"/>
        <w:ind w:left="284" w:hanging="284"/>
      </w:pPr>
      <w:r w:rsidRPr="00B53F89">
        <w:t>m</w:t>
      </w:r>
      <w:r w:rsidR="008A199D" w:rsidRPr="00B53F89">
        <w:t xml:space="preserve">ajor </w:t>
      </w:r>
      <w:r w:rsidR="00C50635" w:rsidRPr="009F36F7">
        <w:t>band</w:t>
      </w:r>
      <w:r w:rsidR="00EA305B">
        <w:t>-</w:t>
      </w:r>
      <w:r w:rsidR="00C50635" w:rsidRPr="00B53F89">
        <w:t>planning</w:t>
      </w:r>
      <w:r w:rsidR="00C1270E" w:rsidRPr="00B53F89">
        <w:t xml:space="preserve"> </w:t>
      </w:r>
      <w:bookmarkStart w:id="247" w:name="_Hlk46130916"/>
      <w:r w:rsidR="009E2FED" w:rsidRPr="00B53F89">
        <w:t xml:space="preserve">activities </w:t>
      </w:r>
      <w:r w:rsidR="00C50635" w:rsidRPr="00B53F89">
        <w:t xml:space="preserve">to support the establishment of new </w:t>
      </w:r>
      <w:r w:rsidR="00E41275" w:rsidRPr="00B53F89">
        <w:t xml:space="preserve">spectrum </w:t>
      </w:r>
      <w:r w:rsidR="00C50635" w:rsidRPr="00B53F89">
        <w:t>uses</w:t>
      </w:r>
    </w:p>
    <w:p w14:paraId="20F67DBB" w14:textId="7271A4EE" w:rsidR="00CC5C65" w:rsidRPr="00B53F89" w:rsidRDefault="00B43510" w:rsidP="002111ED">
      <w:pPr>
        <w:pStyle w:val="ListBulletLast"/>
        <w:ind w:left="284" w:hanging="284"/>
      </w:pPr>
      <w:bookmarkStart w:id="248" w:name="_Hlk46130949"/>
      <w:bookmarkEnd w:id="247"/>
      <w:r w:rsidRPr="00B53F89">
        <w:t>o</w:t>
      </w:r>
      <w:r w:rsidR="00C50635" w:rsidRPr="00B53F89">
        <w:t>ptimising</w:t>
      </w:r>
      <w:r w:rsidR="00C50635" w:rsidRPr="00B53F89" w:rsidDel="008A199D">
        <w:t xml:space="preserve"> </w:t>
      </w:r>
      <w:r w:rsidR="008A199D" w:rsidRPr="00B53F89">
        <w:t xml:space="preserve">established </w:t>
      </w:r>
      <w:r w:rsidR="00E41275" w:rsidRPr="00B53F89">
        <w:t xml:space="preserve">planning </w:t>
      </w:r>
      <w:r w:rsidR="00C50635" w:rsidRPr="00B53F89">
        <w:t xml:space="preserve">frameworks </w:t>
      </w:r>
      <w:r w:rsidR="008A199D" w:rsidRPr="00B53F89">
        <w:t>for existing spectrum use</w:t>
      </w:r>
      <w:r w:rsidR="002A0FCF">
        <w:t>/</w:t>
      </w:r>
      <w:r w:rsidR="0008326A">
        <w:t>s to reflect changes in technology or other use factors</w:t>
      </w:r>
      <w:r w:rsidR="00E3328B" w:rsidRPr="00B53F89">
        <w:t xml:space="preserve">. </w:t>
      </w:r>
    </w:p>
    <w:p w14:paraId="5AF62298" w14:textId="685A9BE4" w:rsidR="00992C8C" w:rsidRPr="00B53F89" w:rsidRDefault="00992C8C" w:rsidP="001E3C13">
      <w:pPr>
        <w:pStyle w:val="ListBulletLast"/>
        <w:numPr>
          <w:ilvl w:val="0"/>
          <w:numId w:val="0"/>
        </w:numPr>
      </w:pPr>
      <w:bookmarkStart w:id="249" w:name="_Hlk46131138"/>
      <w:bookmarkEnd w:id="248"/>
      <w:r>
        <w:lastRenderedPageBreak/>
        <w:t xml:space="preserve">While useful to provide a </w:t>
      </w:r>
      <w:r w:rsidR="00050E4D">
        <w:t>structure</w:t>
      </w:r>
      <w:r>
        <w:t xml:space="preserve"> for describing the ACMA’s planning activities, these two work streams are not definitive, in that some activities may blur or overlap between the categories. </w:t>
      </w:r>
    </w:p>
    <w:bookmarkEnd w:id="249"/>
    <w:p w14:paraId="648D6AE9" w14:textId="204B5852" w:rsidR="00783534" w:rsidRPr="00B53F89" w:rsidRDefault="00783534" w:rsidP="00D904DC">
      <w:pPr>
        <w:spacing w:before="240" w:after="0"/>
      </w:pPr>
      <w:r w:rsidRPr="006A2F04">
        <w:rPr>
          <w:noProof/>
        </w:rPr>
        <w:drawing>
          <wp:inline distT="0" distB="0" distL="0" distR="0" wp14:anchorId="0587F5F1" wp14:editId="4BF2E236">
            <wp:extent cx="342900" cy="361950"/>
            <wp:effectExtent l="0" t="0" r="0" b="0"/>
            <wp:docPr id="28" name="Picture 2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EC95F6B" w14:textId="488F46A0" w:rsidR="0059149F" w:rsidRPr="00B53F89" w:rsidRDefault="0059149F" w:rsidP="009F4093">
      <w:pPr>
        <w:pStyle w:val="Heading2"/>
        <w:keepNext w:val="0"/>
        <w:spacing w:before="60"/>
      </w:pPr>
      <w:bookmarkStart w:id="250" w:name="_Toc31892791"/>
      <w:bookmarkStart w:id="251" w:name="_Toc36207411"/>
      <w:bookmarkStart w:id="252" w:name="_Toc51846263"/>
      <w:bookmarkStart w:id="253" w:name="_Toc51864303"/>
      <w:bookmarkStart w:id="254" w:name="_Hlk17105203"/>
      <w:r w:rsidRPr="00B53F89">
        <w:t>Implementing outcomes of WRC-19</w:t>
      </w:r>
      <w:bookmarkEnd w:id="250"/>
      <w:bookmarkEnd w:id="251"/>
      <w:bookmarkEnd w:id="252"/>
      <w:bookmarkEnd w:id="253"/>
    </w:p>
    <w:p w14:paraId="1586F101" w14:textId="41E00F7F" w:rsidR="0059149F" w:rsidRPr="00B53F89" w:rsidRDefault="0059149F" w:rsidP="00D7755E">
      <w:pPr>
        <w:rPr>
          <w:rFonts w:cs="Arial"/>
        </w:rPr>
      </w:pPr>
      <w:r w:rsidRPr="00B53F89">
        <w:rPr>
          <w:rFonts w:cs="Arial"/>
        </w:rPr>
        <w:t xml:space="preserve">The outcomes of WRC-19 will affect the ACMA’s future </w:t>
      </w:r>
      <w:r w:rsidR="00387C46" w:rsidRPr="00B53F89">
        <w:rPr>
          <w:rFonts w:cs="Arial"/>
        </w:rPr>
        <w:t>planning arrangements</w:t>
      </w:r>
      <w:r w:rsidR="00CC5C65" w:rsidRPr="00B53F89">
        <w:rPr>
          <w:rFonts w:cs="Arial"/>
        </w:rPr>
        <w:t>.</w:t>
      </w:r>
      <w:r w:rsidRPr="00B53F89">
        <w:rPr>
          <w:rFonts w:cs="Arial"/>
        </w:rPr>
        <w:t xml:space="preserve"> Australia’s spectrum </w:t>
      </w:r>
      <w:r w:rsidR="00761079" w:rsidRPr="00B53F89">
        <w:rPr>
          <w:rFonts w:cs="Arial"/>
        </w:rPr>
        <w:t xml:space="preserve">arrangements </w:t>
      </w:r>
      <w:r w:rsidR="00CC5C65" w:rsidRPr="00B53F89">
        <w:rPr>
          <w:rFonts w:cs="Arial"/>
        </w:rPr>
        <w:t>will be</w:t>
      </w:r>
      <w:r w:rsidR="00761079" w:rsidRPr="00B53F89">
        <w:rPr>
          <w:rFonts w:cs="Arial"/>
        </w:rPr>
        <w:t xml:space="preserve"> reviewed and </w:t>
      </w:r>
      <w:r w:rsidRPr="00B53F89">
        <w:rPr>
          <w:rFonts w:cs="Arial"/>
        </w:rPr>
        <w:t>updated to align with revision of the ITU</w:t>
      </w:r>
      <w:r w:rsidR="005F5DC8">
        <w:rPr>
          <w:rFonts w:cs="Arial"/>
        </w:rPr>
        <w:t>’s</w:t>
      </w:r>
      <w:r w:rsidRPr="00B53F89">
        <w:rPr>
          <w:rFonts w:cs="Arial"/>
        </w:rPr>
        <w:t xml:space="preserve"> </w:t>
      </w:r>
      <w:r w:rsidR="00E94F3E" w:rsidRPr="0048118B">
        <w:rPr>
          <w:rFonts w:cs="Arial"/>
        </w:rPr>
        <w:t>Radio Regulations (</w:t>
      </w:r>
      <w:r w:rsidR="00262A29" w:rsidRPr="0048118B">
        <w:rPr>
          <w:rFonts w:cs="Arial"/>
        </w:rPr>
        <w:t>RR</w:t>
      </w:r>
      <w:r w:rsidRPr="0048118B">
        <w:rPr>
          <w:rFonts w:cs="Arial"/>
        </w:rPr>
        <w:t>s</w:t>
      </w:r>
      <w:r w:rsidR="00E94F3E">
        <w:rPr>
          <w:rFonts w:cs="Arial"/>
        </w:rPr>
        <w:t>)</w:t>
      </w:r>
      <w:r w:rsidRPr="00B53F89">
        <w:rPr>
          <w:rFonts w:cs="Arial"/>
        </w:rPr>
        <w:t xml:space="preserve"> and their impact on global and regional spectrum allocations and regulatory requirements. </w:t>
      </w:r>
    </w:p>
    <w:p w14:paraId="03EAA0C9" w14:textId="30291C97" w:rsidR="00827ECA" w:rsidRPr="00B53F89" w:rsidRDefault="0059149F" w:rsidP="00D7755E">
      <w:r w:rsidRPr="00B53F89">
        <w:rPr>
          <w:rFonts w:cs="Arial"/>
        </w:rPr>
        <w:t xml:space="preserve">A key task in this work is </w:t>
      </w:r>
      <w:r w:rsidR="007D7271" w:rsidRPr="00B53F89">
        <w:rPr>
          <w:rFonts w:cs="Arial"/>
        </w:rPr>
        <w:t xml:space="preserve">making a new </w:t>
      </w:r>
      <w:r w:rsidR="00761079" w:rsidRPr="00B53F89">
        <w:t>ARSP</w:t>
      </w:r>
      <w:r w:rsidRPr="00B53F89">
        <w:t xml:space="preserve"> </w:t>
      </w:r>
      <w:r w:rsidR="007D7271" w:rsidRPr="00B53F89">
        <w:t xml:space="preserve">to ensure that Australian spectrum arrangements take account of changes arising from the ITU WRC-19. </w:t>
      </w:r>
    </w:p>
    <w:p w14:paraId="6A78C441" w14:textId="0F563280" w:rsidR="007D7271" w:rsidRPr="00B53F89" w:rsidRDefault="007D7271" w:rsidP="00D7755E">
      <w:bookmarkStart w:id="255" w:name="_Hlk17105036"/>
      <w:r w:rsidRPr="00B53F89">
        <w:t>While timing of such work depend</w:t>
      </w:r>
      <w:r w:rsidR="009906C8">
        <w:t>s</w:t>
      </w:r>
      <w:r w:rsidRPr="00B53F89">
        <w:t xml:space="preserve"> on when WRC changes come into effect (typically </w:t>
      </w:r>
      <w:r w:rsidR="00E44D4A" w:rsidRPr="00B53F89">
        <w:t xml:space="preserve">approximately </w:t>
      </w:r>
      <w:r w:rsidR="00827ECA" w:rsidRPr="00B53F89">
        <w:t>one</w:t>
      </w:r>
      <w:r w:rsidRPr="00B53F89">
        <w:t xml:space="preserve"> year after the WRC), </w:t>
      </w:r>
      <w:r w:rsidR="00EA305B">
        <w:t>we</w:t>
      </w:r>
      <w:r w:rsidRPr="00B53F89">
        <w:t xml:space="preserve"> will </w:t>
      </w:r>
      <w:r w:rsidR="00EA305B">
        <w:t>start</w:t>
      </w:r>
      <w:r w:rsidR="00EA305B" w:rsidRPr="00B53F89">
        <w:t xml:space="preserve"> </w:t>
      </w:r>
      <w:r w:rsidRPr="00B53F89">
        <w:t xml:space="preserve">scoping this </w:t>
      </w:r>
      <w:r w:rsidRPr="009F4093">
        <w:t>work in</w:t>
      </w:r>
      <w:r w:rsidRPr="00B53F89">
        <w:t xml:space="preserve"> </w:t>
      </w:r>
      <w:r w:rsidRPr="004E509B">
        <w:t>Q</w:t>
      </w:r>
      <w:r w:rsidR="000B244F" w:rsidRPr="004E509B">
        <w:t>3</w:t>
      </w:r>
      <w:r w:rsidRPr="004E509B">
        <w:t xml:space="preserve"> 2020</w:t>
      </w:r>
      <w:r w:rsidRPr="00B53F89">
        <w:t xml:space="preserve">. </w:t>
      </w:r>
    </w:p>
    <w:bookmarkEnd w:id="254"/>
    <w:bookmarkEnd w:id="255"/>
    <w:p w14:paraId="4991CE71" w14:textId="4D44880E" w:rsidR="0059149F" w:rsidRPr="00B53F89" w:rsidRDefault="00262A29" w:rsidP="00D7755E">
      <w:r w:rsidRPr="00B53F89">
        <w:t xml:space="preserve">Amendments to the RRs </w:t>
      </w:r>
      <w:r w:rsidR="007D7271" w:rsidRPr="00B53F89">
        <w:t xml:space="preserve">agreed at WRC </w:t>
      </w:r>
      <w:r w:rsidRPr="00B53F89">
        <w:t xml:space="preserve">are subject to parliamentary review through the Joint Standing Committee on Treaties. </w:t>
      </w:r>
      <w:r w:rsidR="005A0A5C">
        <w:t>T</w:t>
      </w:r>
      <w:r w:rsidR="00CA501F">
        <w:t>he Department</w:t>
      </w:r>
      <w:r w:rsidRPr="00B53F89">
        <w:t xml:space="preserve"> administers this process of review.</w:t>
      </w:r>
      <w:r w:rsidR="007D7271" w:rsidRPr="00B53F89">
        <w:t xml:space="preserve"> </w:t>
      </w:r>
    </w:p>
    <w:p w14:paraId="38DE1CBE" w14:textId="39AA4EDF" w:rsidR="00B3792E" w:rsidRPr="00B53F89" w:rsidDel="00EA01BB" w:rsidRDefault="00EA305B" w:rsidP="00B3792E">
      <w:r>
        <w:t xml:space="preserve">We </w:t>
      </w:r>
      <w:r w:rsidR="00B3792E" w:rsidRPr="00B53F89" w:rsidDel="00EA01BB">
        <w:t>will continue to manage and provide technical expertise for Australian engagement in international spectrum management forums</w:t>
      </w:r>
      <w:r w:rsidR="00B3792E">
        <w:t>,</w:t>
      </w:r>
      <w:r w:rsidR="00B3792E" w:rsidRPr="00B53F89" w:rsidDel="00EA01BB">
        <w:t xml:space="preserve"> through domestic and international consultative frameworks. </w:t>
      </w:r>
      <w:r w:rsidR="00B3792E">
        <w:t xml:space="preserve">This will include </w:t>
      </w:r>
      <w:r w:rsidR="00B3792E" w:rsidRPr="00B53F89" w:rsidDel="00EA01BB">
        <w:t xml:space="preserve">input into </w:t>
      </w:r>
      <w:r>
        <w:t xml:space="preserve">the </w:t>
      </w:r>
      <w:r w:rsidR="00B3792E" w:rsidRPr="00B53F89" w:rsidDel="00EA01BB">
        <w:t xml:space="preserve">development of Australian positions for key ITU and </w:t>
      </w:r>
      <w:r w:rsidR="00B3792E">
        <w:t>Asia-Pacific Telecommunity (</w:t>
      </w:r>
      <w:r w:rsidR="00B3792E" w:rsidRPr="00B53F89" w:rsidDel="00EA01BB">
        <w:t>APT</w:t>
      </w:r>
      <w:r w:rsidR="00B3792E">
        <w:t>)</w:t>
      </w:r>
      <w:r w:rsidR="00B3792E" w:rsidRPr="00B53F89" w:rsidDel="00EA01BB">
        <w:t xml:space="preserve"> radiocommunication meetings</w:t>
      </w:r>
      <w:r w:rsidR="00B3792E">
        <w:t>, including meetings of A</w:t>
      </w:r>
      <w:r w:rsidR="00B3792E" w:rsidRPr="00D40D18">
        <w:t>PG</w:t>
      </w:r>
      <w:r w:rsidR="00B3792E">
        <w:t>23</w:t>
      </w:r>
      <w:r w:rsidR="00B3792E" w:rsidRPr="00B53F89">
        <w:t xml:space="preserve"> </w:t>
      </w:r>
      <w:r w:rsidR="00B3792E">
        <w:t xml:space="preserve">as we </w:t>
      </w:r>
      <w:r w:rsidR="005A0A5C">
        <w:t xml:space="preserve">start </w:t>
      </w:r>
      <w:r w:rsidR="00B3792E">
        <w:t>the new WRC-23 study cycle. The Department</w:t>
      </w:r>
      <w:r w:rsidR="00B3792E" w:rsidRPr="00B53F89" w:rsidDel="00EA01BB">
        <w:t xml:space="preserve"> will lead the delegation to these meetings</w:t>
      </w:r>
      <w:r>
        <w:t>,</w:t>
      </w:r>
      <w:r w:rsidR="00B3792E" w:rsidRPr="00B53F89" w:rsidDel="00EA01BB">
        <w:t xml:space="preserve"> with the ACMA supporting Australian preparatory processes and providing technical expertise from </w:t>
      </w:r>
      <w:r w:rsidR="005A0A5C">
        <w:t>our</w:t>
      </w:r>
      <w:r w:rsidR="005A0A5C" w:rsidRPr="00B53F89" w:rsidDel="00EA01BB">
        <w:t xml:space="preserve"> </w:t>
      </w:r>
      <w:r w:rsidR="00B3792E" w:rsidRPr="00B53F89" w:rsidDel="00EA01BB">
        <w:t>planning and engineering staff</w:t>
      </w:r>
      <w:r w:rsidR="00B3792E">
        <w:t>.</w:t>
      </w:r>
    </w:p>
    <w:p w14:paraId="6D532D1F" w14:textId="00F94D13" w:rsidR="00B3792E" w:rsidRPr="00B53F89" w:rsidRDefault="00B3792E" w:rsidP="00D7755E">
      <w:r>
        <w:t>The ACMA will also lead Australian engagement</w:t>
      </w:r>
      <w:r w:rsidRPr="00B53F89" w:rsidDel="00EA01BB">
        <w:t xml:space="preserve"> in other ITU-R and APT forums, including </w:t>
      </w:r>
      <w:r>
        <w:t xml:space="preserve">meetings of the AWG and ITU-R </w:t>
      </w:r>
      <w:r w:rsidR="0008326A">
        <w:t>S</w:t>
      </w:r>
      <w:r>
        <w:t xml:space="preserve">tudy </w:t>
      </w:r>
      <w:r w:rsidR="0008326A">
        <w:t>G</w:t>
      </w:r>
      <w:r>
        <w:t>roups 4 and 5 and their respective working parties.</w:t>
      </w:r>
    </w:p>
    <w:p w14:paraId="2ED836DC" w14:textId="54107EB3" w:rsidR="00783534" w:rsidRPr="00B53F89" w:rsidRDefault="00783534" w:rsidP="00FA7446">
      <w:pPr>
        <w:keepNext/>
        <w:spacing w:before="320" w:after="0"/>
      </w:pPr>
      <w:bookmarkStart w:id="256" w:name="_Toc522794087"/>
      <w:r w:rsidRPr="009F4093">
        <w:rPr>
          <w:noProof/>
        </w:rPr>
        <w:drawing>
          <wp:inline distT="0" distB="0" distL="0" distR="0" wp14:anchorId="24AB7B68" wp14:editId="61A9FA34">
            <wp:extent cx="342900" cy="361950"/>
            <wp:effectExtent l="0" t="0" r="0" b="0"/>
            <wp:docPr id="29" name="Picture 2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9F4093">
        <w:rPr>
          <w:noProof/>
        </w:rPr>
        <w:drawing>
          <wp:inline distT="0" distB="0" distL="0" distR="0" wp14:anchorId="09F19818" wp14:editId="146494AF">
            <wp:extent cx="342900" cy="361950"/>
            <wp:effectExtent l="0" t="0" r="0" b="0"/>
            <wp:docPr id="30" name="Picture 30"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9F4093">
        <w:rPr>
          <w:noProof/>
        </w:rPr>
        <w:drawing>
          <wp:inline distT="0" distB="0" distL="0" distR="0" wp14:anchorId="208C0994" wp14:editId="37582FE8">
            <wp:extent cx="342900" cy="361950"/>
            <wp:effectExtent l="0" t="0" r="0" b="0"/>
            <wp:docPr id="31" name="Picture 31"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9F4093">
        <w:rPr>
          <w:noProof/>
        </w:rPr>
        <w:drawing>
          <wp:inline distT="0" distB="0" distL="0" distR="0" wp14:anchorId="44E19AF0" wp14:editId="1E01C43A">
            <wp:extent cx="341630" cy="359410"/>
            <wp:effectExtent l="0" t="0" r="1270" b="2540"/>
            <wp:docPr id="140" name="Picture 140"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9F4093">
        <w:rPr>
          <w:noProof/>
        </w:rPr>
        <w:drawing>
          <wp:inline distT="0" distB="0" distL="0" distR="0" wp14:anchorId="32C0A638" wp14:editId="23B583DE">
            <wp:extent cx="342900" cy="361950"/>
            <wp:effectExtent l="0" t="0" r="0" b="0"/>
            <wp:docPr id="33" name="Picture 3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BB62756" w14:textId="55A08CEA" w:rsidR="00516EAC" w:rsidRPr="006A2F04" w:rsidRDefault="00874FB3" w:rsidP="000650FB">
      <w:pPr>
        <w:pStyle w:val="Heading2"/>
        <w:spacing w:before="60"/>
        <w:rPr>
          <w:rStyle w:val="Heading2Char"/>
        </w:rPr>
      </w:pPr>
      <w:bookmarkStart w:id="257" w:name="_Toc31892793"/>
      <w:bookmarkStart w:id="258" w:name="_Toc36207412"/>
      <w:bookmarkStart w:id="259" w:name="_Toc51846264"/>
      <w:bookmarkStart w:id="260" w:name="_Toc51864304"/>
      <w:bookmarkStart w:id="261" w:name="_Hlk2180539"/>
      <w:bookmarkEnd w:id="256"/>
      <w:r w:rsidRPr="006A2F04">
        <w:rPr>
          <w:noProof/>
        </w:rPr>
        <w:drawing>
          <wp:inline distT="0" distB="0" distL="0" distR="0" wp14:anchorId="28C75D6D" wp14:editId="0357E3B0">
            <wp:extent cx="244475" cy="140335"/>
            <wp:effectExtent l="0" t="0" r="3175" b="0"/>
            <wp:docPr id="243" name="Picture 243"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Pr>
          <w:rStyle w:val="Heading2Char"/>
          <w:b/>
          <w:bCs/>
          <w:iCs/>
        </w:rPr>
        <w:t xml:space="preserve">  </w:t>
      </w:r>
      <w:r w:rsidR="00516EAC" w:rsidRPr="00B53F89">
        <w:rPr>
          <w:rStyle w:val="Heading2Char"/>
          <w:b/>
          <w:bCs/>
          <w:iCs/>
        </w:rPr>
        <w:t>Major band</w:t>
      </w:r>
      <w:r w:rsidR="00EA305B">
        <w:rPr>
          <w:rStyle w:val="Heading2Char"/>
          <w:b/>
          <w:bCs/>
          <w:iCs/>
        </w:rPr>
        <w:t>-</w:t>
      </w:r>
      <w:r w:rsidR="0070084E" w:rsidRPr="00B53F89">
        <w:rPr>
          <w:rStyle w:val="Heading2Char"/>
          <w:b/>
          <w:bCs/>
          <w:iCs/>
        </w:rPr>
        <w:t xml:space="preserve">planning </w:t>
      </w:r>
      <w:r w:rsidR="00516EAC" w:rsidRPr="00B53F89">
        <w:rPr>
          <w:rStyle w:val="Heading2Char"/>
          <w:b/>
          <w:bCs/>
          <w:iCs/>
        </w:rPr>
        <w:t>activities</w:t>
      </w:r>
      <w:bookmarkEnd w:id="257"/>
      <w:bookmarkEnd w:id="258"/>
      <w:bookmarkEnd w:id="259"/>
      <w:bookmarkEnd w:id="260"/>
      <w:r w:rsidR="00516EAC" w:rsidRPr="00B53F89">
        <w:rPr>
          <w:rStyle w:val="Heading2Char"/>
          <w:b/>
          <w:bCs/>
          <w:iCs/>
        </w:rPr>
        <w:t xml:space="preserve"> </w:t>
      </w:r>
    </w:p>
    <w:p w14:paraId="460FF6D8" w14:textId="59331F91" w:rsidR="00516EAC" w:rsidRPr="00B53F89" w:rsidRDefault="00516EAC" w:rsidP="00D7755E">
      <w:bookmarkStart w:id="262" w:name="_Hlk4141764"/>
      <w:bookmarkStart w:id="263" w:name="_Hlk46131170"/>
      <w:bookmarkEnd w:id="261"/>
      <w:r w:rsidRPr="00B53F89">
        <w:t xml:space="preserve">This section provides an overview of the ACMA’s work in </w:t>
      </w:r>
      <w:r w:rsidR="00050E4D" w:rsidRPr="00B53F89">
        <w:t>major</w:t>
      </w:r>
      <w:r w:rsidR="00050E4D">
        <w:t xml:space="preserve"> spectrum </w:t>
      </w:r>
      <w:r w:rsidR="00050E4D" w:rsidRPr="00B53F89">
        <w:t xml:space="preserve">planning activities to </w:t>
      </w:r>
      <w:r w:rsidR="00050E4D">
        <w:t xml:space="preserve">investigate and, where appropriate, </w:t>
      </w:r>
      <w:r w:rsidR="00050E4D" w:rsidRPr="00B53F89">
        <w:t>support the establishment of new spectrum uses</w:t>
      </w:r>
      <w:r w:rsidR="00A9119B">
        <w:t xml:space="preserve"> in bands</w:t>
      </w:r>
      <w:r w:rsidR="00050E4D">
        <w:t>.</w:t>
      </w:r>
      <w:bookmarkEnd w:id="262"/>
    </w:p>
    <w:p w14:paraId="6D7D85D2" w14:textId="0B4AC6ED" w:rsidR="00516EAC" w:rsidRPr="00B53F89" w:rsidRDefault="004B065E" w:rsidP="00D7755E">
      <w:r w:rsidRPr="00B53F89">
        <w:t xml:space="preserve">For </w:t>
      </w:r>
      <w:r w:rsidR="00516EAC" w:rsidRPr="00B53F89">
        <w:t>allocation of spectrum resulting from major band</w:t>
      </w:r>
      <w:r w:rsidR="00EA305B">
        <w:t>-</w:t>
      </w:r>
      <w:r w:rsidR="00516EAC" w:rsidRPr="00B53F89">
        <w:t>planning activities</w:t>
      </w:r>
      <w:r w:rsidR="00446847" w:rsidRPr="00B53F89">
        <w:t>,</w:t>
      </w:r>
      <w:r w:rsidR="00516EAC" w:rsidRPr="00B53F89">
        <w:t xml:space="preserve"> </w:t>
      </w:r>
      <w:r w:rsidRPr="00B53F89">
        <w:t>see</w:t>
      </w:r>
      <w:r w:rsidR="00D25046" w:rsidRPr="00B53F89">
        <w:t xml:space="preserve"> </w:t>
      </w:r>
      <w:r w:rsidR="003C4953">
        <w:t xml:space="preserve">the </w:t>
      </w:r>
      <w:r w:rsidR="003C4953" w:rsidRPr="00513FDE">
        <w:rPr>
          <w:rStyle w:val="Hyperlink"/>
          <w:i/>
          <w:iCs/>
          <w:color w:val="auto"/>
          <w:u w:val="none"/>
        </w:rPr>
        <w:t>F</w:t>
      </w:r>
      <w:r w:rsidR="00E463B3" w:rsidRPr="00513FDE">
        <w:rPr>
          <w:rStyle w:val="Hyperlink"/>
          <w:i/>
          <w:iCs/>
          <w:color w:val="auto"/>
          <w:u w:val="none"/>
        </w:rPr>
        <w:t>orward allocation work plan</w:t>
      </w:r>
      <w:r w:rsidRPr="00B53F89">
        <w:t xml:space="preserve"> </w:t>
      </w:r>
      <w:r w:rsidR="003406B8">
        <w:t xml:space="preserve">section </w:t>
      </w:r>
      <w:r w:rsidRPr="00B53F89">
        <w:t>below</w:t>
      </w:r>
      <w:r w:rsidR="00516EAC" w:rsidRPr="00B53F89">
        <w:t xml:space="preserve">. </w:t>
      </w:r>
    </w:p>
    <w:p w14:paraId="49C6C0DF" w14:textId="2BC8ED7C" w:rsidR="00C75E8C" w:rsidRDefault="00C75E8C" w:rsidP="00C75E8C">
      <w:bookmarkStart w:id="264" w:name="_Hlk2248565"/>
      <w:r>
        <w:t xml:space="preserve">In order to provide transparency to all parties, </w:t>
      </w:r>
      <w:r w:rsidR="00EA305B">
        <w:t xml:space="preserve">our </w:t>
      </w:r>
      <w:r>
        <w:t>process</w:t>
      </w:r>
      <w:r w:rsidRPr="00B53F89">
        <w:t xml:space="preserve"> in establishing new planning frameworks</w:t>
      </w:r>
      <w:r>
        <w:t xml:space="preserve"> is built around considering bands at four distinct stages: </w:t>
      </w:r>
      <w:r w:rsidRPr="008F3AF8">
        <w:rPr>
          <w:i/>
          <w:iCs/>
        </w:rPr>
        <w:t>monitoring</w:t>
      </w:r>
      <w:r>
        <w:t xml:space="preserve">, </w:t>
      </w:r>
      <w:r w:rsidRPr="008F3AF8">
        <w:rPr>
          <w:i/>
          <w:iCs/>
        </w:rPr>
        <w:t>initial investigation</w:t>
      </w:r>
      <w:r>
        <w:t xml:space="preserve">, </w:t>
      </w:r>
      <w:r w:rsidRPr="008F3AF8">
        <w:rPr>
          <w:i/>
          <w:iCs/>
        </w:rPr>
        <w:t>preliminary replanning</w:t>
      </w:r>
      <w:r>
        <w:t xml:space="preserve"> and </w:t>
      </w:r>
      <w:r w:rsidR="00050E4D" w:rsidRPr="008F3AF8">
        <w:rPr>
          <w:i/>
          <w:iCs/>
        </w:rPr>
        <w:t>implementation</w:t>
      </w:r>
      <w:r>
        <w:t xml:space="preserve">. These are shown below in </w:t>
      </w:r>
      <w:r w:rsidRPr="00B53F89">
        <w:t>shown in Figure 1</w:t>
      </w:r>
      <w:r>
        <w:t xml:space="preserve">. </w:t>
      </w:r>
    </w:p>
    <w:p w14:paraId="54FE642F" w14:textId="2747A811" w:rsidR="00C75E8C" w:rsidRDefault="00C75E8C" w:rsidP="0071208E">
      <w:pPr>
        <w:pStyle w:val="Paragraph"/>
      </w:pPr>
      <w:r>
        <w:t>A band’s possible progression through each stage will depend on a range of factors and, in some cases, may move ‘backwards’ if consultation processes, information gathering, or work program prioritisation suggest this is appropriate. Similarly</w:t>
      </w:r>
      <w:r w:rsidR="00954629">
        <w:t>,</w:t>
      </w:r>
      <w:r>
        <w:t xml:space="preserve"> bands may ‘jump’ stages if circumstances warrant doing so. In other words, these planning </w:t>
      </w:r>
      <w:r>
        <w:lastRenderedPageBreak/>
        <w:t xml:space="preserve">stages are </w:t>
      </w:r>
      <w:r w:rsidR="00954629">
        <w:t xml:space="preserve">descriptive of a general, common framework but not prescriptive. </w:t>
      </w:r>
      <w:r w:rsidR="00BC14C2">
        <w:t>Furthermore</w:t>
      </w:r>
      <w:r w:rsidR="001E1AE6">
        <w:t>,</w:t>
      </w:r>
      <w:r w:rsidR="00BC14C2">
        <w:t xml:space="preserve"> there is no set period a band must remain at a particular stage. </w:t>
      </w:r>
      <w:r w:rsidR="00A6229E">
        <w:t>Timing of any progression is based on the circumstances at hand and not on any predetermined cadence.</w:t>
      </w:r>
    </w:p>
    <w:p w14:paraId="1BA05942" w14:textId="06940A9C" w:rsidR="00C75E8C" w:rsidRDefault="00C75E8C" w:rsidP="00C75E8C">
      <w:r>
        <w:t>In addition, only a relatively small number of bands are subject to active consideration (</w:t>
      </w:r>
      <w:r w:rsidR="00B26CA1">
        <w:t xml:space="preserve">that is, </w:t>
      </w:r>
      <w:r>
        <w:t>being considered beyond the monitoring stage) under this process at any one time</w:t>
      </w:r>
      <w:r w:rsidR="006E1022">
        <w:t>—</w:t>
      </w:r>
      <w:r>
        <w:t xml:space="preserve">most spectrum is subject to a relatively stable environment that does not necessitate replanning considerations. </w:t>
      </w:r>
    </w:p>
    <w:bookmarkEnd w:id="263"/>
    <w:p w14:paraId="7ED0EDFC" w14:textId="139BDB90" w:rsidR="00C837A5" w:rsidRDefault="00FF0C2E" w:rsidP="007A0ED8">
      <w:pPr>
        <w:pStyle w:val="ACMAFigureHeader"/>
        <w:keepNext/>
        <w:rPr>
          <w:noProof/>
        </w:rPr>
      </w:pPr>
      <w:r w:rsidRPr="00B53F89">
        <w:t>Four stages in spectrum management band planning</w:t>
      </w:r>
      <w:bookmarkEnd w:id="264"/>
    </w:p>
    <w:p w14:paraId="5FEBAA03" w14:textId="02C55331" w:rsidR="007A0ED8" w:rsidRDefault="007A0ED8">
      <w:pPr>
        <w:rPr>
          <w:b/>
          <w:bCs/>
        </w:rPr>
      </w:pPr>
      <w:r>
        <w:rPr>
          <w:noProof/>
        </w:rPr>
        <w:drawing>
          <wp:inline distT="0" distB="0" distL="0" distR="0" wp14:anchorId="67153F76" wp14:editId="4DBD887F">
            <wp:extent cx="3992854" cy="3558746"/>
            <wp:effectExtent l="0" t="0" r="8255" b="3810"/>
            <wp:docPr id="164" name="Picture 1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Picture 164">
                      <a:extLst>
                        <a:ext uri="{C183D7F6-B498-43B3-948B-1728B52AA6E4}">
                          <adec:decorative xmlns:adec="http://schemas.microsoft.com/office/drawing/2017/decorative" val="1"/>
                        </a:ext>
                      </a:extLst>
                    </pic:cNvPr>
                    <pic:cNvPicPr/>
                  </pic:nvPicPr>
                  <pic:blipFill>
                    <a:blip r:embed="rId70"/>
                    <a:stretch>
                      <a:fillRect/>
                    </a:stretch>
                  </pic:blipFill>
                  <pic:spPr>
                    <a:xfrm>
                      <a:off x="0" y="0"/>
                      <a:ext cx="3994808" cy="3560488"/>
                    </a:xfrm>
                    <a:prstGeom prst="rect">
                      <a:avLst/>
                    </a:prstGeom>
                  </pic:spPr>
                </pic:pic>
              </a:graphicData>
            </a:graphic>
          </wp:inline>
        </w:drawing>
      </w:r>
    </w:p>
    <w:p w14:paraId="4433767D" w14:textId="209E42DB" w:rsidR="009009FD" w:rsidRDefault="00B977A2" w:rsidP="00617B4B">
      <w:pPr>
        <w:pStyle w:val="Heading2"/>
        <w:keepNext w:val="0"/>
      </w:pPr>
      <w:bookmarkStart w:id="265" w:name="_Toc51846276"/>
      <w:bookmarkStart w:id="266" w:name="_Toc51864305"/>
      <w:r>
        <w:t>Monitoring</w:t>
      </w:r>
      <w:bookmarkEnd w:id="265"/>
      <w:bookmarkEnd w:id="266"/>
    </w:p>
    <w:p w14:paraId="328F407F" w14:textId="7016076D" w:rsidR="002E33A6" w:rsidRPr="00B53F89" w:rsidRDefault="002E33A6" w:rsidP="00617B4B">
      <w:r>
        <w:rPr>
          <w:rFonts w:eastAsia="Calibri"/>
        </w:rPr>
        <w:t xml:space="preserve">The </w:t>
      </w:r>
      <w:r w:rsidRPr="00932A1F">
        <w:rPr>
          <w:rFonts w:eastAsia="Calibri"/>
        </w:rPr>
        <w:t>monitoring</w:t>
      </w:r>
      <w:r>
        <w:rPr>
          <w:rFonts w:eastAsia="Calibri"/>
          <w:i/>
          <w:iCs/>
        </w:rPr>
        <w:t xml:space="preserve"> </w:t>
      </w:r>
      <w:r w:rsidRPr="002C3E83">
        <w:rPr>
          <w:rFonts w:eastAsia="Calibri"/>
        </w:rPr>
        <w:t>stage</w:t>
      </w:r>
      <w:r>
        <w:rPr>
          <w:rFonts w:eastAsia="Calibri"/>
        </w:rPr>
        <w:t xml:space="preserve"> consists of b</w:t>
      </w:r>
      <w:r w:rsidRPr="002E33A6">
        <w:rPr>
          <w:rFonts w:eastAsia="Calibri"/>
        </w:rPr>
        <w:t>usiness</w:t>
      </w:r>
      <w:r w:rsidRPr="005A4DAE">
        <w:rPr>
          <w:rFonts w:eastAsia="Calibri"/>
        </w:rPr>
        <w:t>-as-usual monitoring of international and domestic spectrum</w:t>
      </w:r>
      <w:r w:rsidR="006E1022">
        <w:rPr>
          <w:rFonts w:eastAsia="Calibri"/>
        </w:rPr>
        <w:t>-</w:t>
      </w:r>
      <w:r w:rsidR="006B5086">
        <w:rPr>
          <w:rFonts w:eastAsia="Calibri"/>
        </w:rPr>
        <w:t>related</w:t>
      </w:r>
      <w:r w:rsidRPr="005A4DAE">
        <w:rPr>
          <w:rFonts w:eastAsia="Calibri"/>
        </w:rPr>
        <w:t xml:space="preserve"> </w:t>
      </w:r>
      <w:r w:rsidR="006B5086">
        <w:rPr>
          <w:rFonts w:eastAsia="Calibri"/>
        </w:rPr>
        <w:t>developments</w:t>
      </w:r>
      <w:r w:rsidRPr="005A4DAE">
        <w:rPr>
          <w:rFonts w:eastAsia="Calibri"/>
        </w:rPr>
        <w:t xml:space="preserve">. </w:t>
      </w:r>
      <w:r w:rsidRPr="008D5491">
        <w:t xml:space="preserve">At this </w:t>
      </w:r>
      <w:r w:rsidR="006E1022" w:rsidRPr="008D5491">
        <w:t>stage,</w:t>
      </w:r>
      <w:r w:rsidRPr="008D5491">
        <w:t xml:space="preserve"> </w:t>
      </w:r>
      <w:r w:rsidR="006E1022">
        <w:t>we</w:t>
      </w:r>
      <w:r w:rsidRPr="008D5491">
        <w:t xml:space="preserve"> maintain an awareness of developments and interest in potential changes to the use of the band that may require substantial planning activities. </w:t>
      </w:r>
    </w:p>
    <w:p w14:paraId="72338A1E" w14:textId="303EB0EB" w:rsidR="00B977A2" w:rsidRPr="00B53F89" w:rsidRDefault="00B977A2" w:rsidP="00617B4B">
      <w:r w:rsidRPr="00B53F89">
        <w:t xml:space="preserve">There is no direct action required by stakeholders at this stage. However, there is an opportunity for stakeholders to keep </w:t>
      </w:r>
      <w:r w:rsidR="006E1022">
        <w:t>us</w:t>
      </w:r>
      <w:r w:rsidRPr="00B53F89">
        <w:t xml:space="preserve"> appraised of relevant developments and issues. </w:t>
      </w:r>
    </w:p>
    <w:p w14:paraId="72777C2F" w14:textId="53E058C2" w:rsidR="00B977A2" w:rsidRDefault="00B977A2" w:rsidP="00617B4B">
      <w:r w:rsidRPr="00B53F89">
        <w:t xml:space="preserve">In general, bands and issues included at the </w:t>
      </w:r>
      <w:r w:rsidRPr="00932A1F">
        <w:t>monitoring</w:t>
      </w:r>
      <w:r w:rsidRPr="00B53F89">
        <w:t xml:space="preserve"> stage represent potential work items beyond </w:t>
      </w:r>
      <w:r w:rsidR="006E1022">
        <w:t>our</w:t>
      </w:r>
      <w:r w:rsidR="006E1022" w:rsidRPr="00B53F89">
        <w:t xml:space="preserve"> </w:t>
      </w:r>
      <w:r w:rsidRPr="00B53F89">
        <w:t>immediate 12-month work program.</w:t>
      </w:r>
      <w:r w:rsidR="003A2C1B">
        <w:t xml:space="preserve"> Importantly, not every band being monitored will subsequently be considered in detail. </w:t>
      </w:r>
    </w:p>
    <w:p w14:paraId="09B899BD" w14:textId="3D0D014D" w:rsidR="00B977A2" w:rsidRDefault="00B977A2" w:rsidP="00513FDE">
      <w:pPr>
        <w:keepNext/>
        <w:keepLines/>
        <w:spacing w:after="0"/>
      </w:pPr>
      <w:r w:rsidRPr="006A2F04">
        <w:rPr>
          <w:noProof/>
        </w:rPr>
        <w:lastRenderedPageBreak/>
        <w:drawing>
          <wp:inline distT="0" distB="0" distL="0" distR="0" wp14:anchorId="782E6B88" wp14:editId="27E02F14">
            <wp:extent cx="342900" cy="361950"/>
            <wp:effectExtent l="0" t="0" r="0" b="0"/>
            <wp:docPr id="32" name="Picture 32"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139768B" wp14:editId="64857D6C">
            <wp:extent cx="342900" cy="361950"/>
            <wp:effectExtent l="0" t="0" r="0" b="0"/>
            <wp:docPr id="49" name="Picture 49"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441E8BA" wp14:editId="0F89F460">
            <wp:extent cx="342900" cy="361950"/>
            <wp:effectExtent l="0" t="0" r="0" b="0"/>
            <wp:docPr id="50" name="Picture 50"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9FCB675" wp14:editId="0EF062AD">
            <wp:extent cx="342900" cy="361950"/>
            <wp:effectExtent l="0" t="0" r="0" b="0"/>
            <wp:docPr id="51" name="Picture 51"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6F7ABAF" w14:textId="17F87FC3" w:rsidR="00B977A2" w:rsidRPr="00B977A2" w:rsidRDefault="00B977A2" w:rsidP="00513FDE">
      <w:pPr>
        <w:pStyle w:val="Heading3"/>
        <w:keepLines/>
      </w:pPr>
      <w:bookmarkStart w:id="267" w:name="_Toc51864306"/>
      <w:bookmarkStart w:id="268" w:name="_Hlk38958347"/>
      <w:r w:rsidRPr="00B977A2">
        <w:t>600 MHz (617–698</w:t>
      </w:r>
      <w:r w:rsidRPr="00B977A2">
        <w:rPr>
          <w:rStyle w:val="FootnoteReference"/>
          <w:b w:val="0"/>
          <w:bCs w:val="0"/>
        </w:rPr>
        <w:footnoteReference w:id="41"/>
      </w:r>
      <w:r w:rsidRPr="00B977A2">
        <w:t xml:space="preserve"> MHz)</w:t>
      </w:r>
      <w:bookmarkEnd w:id="267"/>
    </w:p>
    <w:p w14:paraId="59118F69" w14:textId="716DFF49" w:rsidR="00B977A2" w:rsidRDefault="00B977A2" w:rsidP="00B977A2">
      <w:r w:rsidRPr="00B53F89">
        <w:t>The 600 MHz band is currently used by digital television services in Australia and is available for some services under the LIPD class licence.</w:t>
      </w:r>
    </w:p>
    <w:p w14:paraId="2FE6E8D6" w14:textId="1A6E789B" w:rsidR="00B977A2" w:rsidRDefault="00B977A2" w:rsidP="00B977A2">
      <w:pPr>
        <w:pStyle w:val="BodySubHeader"/>
        <w:rPr>
          <w:b w:val="0"/>
          <w:i w:val="0"/>
        </w:rPr>
      </w:pPr>
      <w:r w:rsidRPr="004439B6">
        <w:rPr>
          <w:b w:val="0"/>
          <w:i w:val="0"/>
        </w:rPr>
        <w:t xml:space="preserve">Current television channel arrangements include spectrum both inside and outside of the 600 MHz band and would require a further restack (sometimes referred to as a ‘second digital dividend’) to yield a contiguous block of spectrum in the 600 MHz range. The sixth channel is currently available for trials of more advanced digital television technology. </w:t>
      </w:r>
      <w:r w:rsidR="00615D50" w:rsidRPr="00615D50">
        <w:rPr>
          <w:b w:val="0"/>
          <w:i w:val="0"/>
        </w:rPr>
        <w:t>We note previous trials of DVB-T2 technologies conducted in 2018 and 2019 and will continue to support industry-driven initiatives for trials of the new TV transmission technologies in the future.</w:t>
      </w:r>
    </w:p>
    <w:bookmarkEnd w:id="268"/>
    <w:p w14:paraId="7451329F" w14:textId="77777777" w:rsidR="00B977A2" w:rsidRPr="00B53F89" w:rsidRDefault="00B977A2" w:rsidP="00513FDE">
      <w:pPr>
        <w:pStyle w:val="Heading4"/>
      </w:pPr>
      <w:r w:rsidRPr="00B53F89">
        <w:t>Recent developments</w:t>
      </w:r>
    </w:p>
    <w:p w14:paraId="6A0FFD10" w14:textId="77777777" w:rsidR="00B977A2" w:rsidRDefault="00B977A2" w:rsidP="00B977A2">
      <w:r>
        <w:t>In 2017, an</w:t>
      </w:r>
      <w:r w:rsidRPr="00B53F89">
        <w:t xml:space="preserve"> FCC incentive auction </w:t>
      </w:r>
      <w:r>
        <w:t>in the 600 MHz band</w:t>
      </w:r>
      <w:r w:rsidRPr="00B53F89">
        <w:t xml:space="preserve"> resulted in a repurposing of 84 MHz of spectrum—70 MHz for licensed use and another 14 MHz for wireless microphones and unlicensed use.</w:t>
      </w:r>
      <w:r w:rsidRPr="00B53F89">
        <w:rPr>
          <w:rStyle w:val="FootnoteReference"/>
        </w:rPr>
        <w:footnoteReference w:id="42"/>
      </w:r>
      <w:r w:rsidRPr="00B53F89">
        <w:t xml:space="preserve"> </w:t>
      </w:r>
      <w:r>
        <w:t>In December 2019, an operator in the US was the first to deploy a 5G service in the band.</w:t>
      </w:r>
      <w:r>
        <w:rPr>
          <w:rStyle w:val="FootnoteReference"/>
        </w:rPr>
        <w:footnoteReference w:id="43"/>
      </w:r>
      <w:r>
        <w:t xml:space="preserve"> </w:t>
      </w:r>
    </w:p>
    <w:p w14:paraId="4FE6A75D" w14:textId="1EBE7B97" w:rsidR="00B977A2" w:rsidRPr="00B53F89" w:rsidRDefault="00B977A2" w:rsidP="00B977A2">
      <w:r>
        <w:t>In 2019, Canada issued licences for use of the 600 MHz band. In September 2019, Mexico announced it would auction spectrum in the 600 MHz band for use by mobile broadband including 5G.</w:t>
      </w:r>
      <w:r>
        <w:rPr>
          <w:rStyle w:val="FootnoteReference"/>
          <w:rFonts w:cs="Arial"/>
        </w:rPr>
        <w:footnoteReference w:id="44"/>
      </w:r>
    </w:p>
    <w:p w14:paraId="5EAF8050" w14:textId="06D740B0" w:rsidR="00B977A2" w:rsidRDefault="00B977A2" w:rsidP="00B977A2">
      <w:r w:rsidRPr="00B53F89">
        <w:t xml:space="preserve">In addition, the Radio Spectrum Policy Group (RSPG) of the European Commission (EC) has also provided a </w:t>
      </w:r>
      <w:hyperlink r:id="rId71" w:history="1">
        <w:r w:rsidRPr="00B53F89">
          <w:rPr>
            <w:rStyle w:val="Hyperlink"/>
            <w:rFonts w:eastAsiaTheme="majorEastAsia" w:cs="Arial"/>
          </w:rPr>
          <w:t>long-term strategy for the future of the UHF band</w:t>
        </w:r>
      </w:hyperlink>
      <w:r w:rsidRPr="00B53F89">
        <w:rPr>
          <w:rStyle w:val="Hyperlink"/>
          <w:rFonts w:eastAsiaTheme="majorEastAsia" w:cs="Arial"/>
        </w:rPr>
        <w:t>,</w:t>
      </w:r>
      <w:r w:rsidRPr="00B53F89">
        <w:t xml:space="preserve"> which suggests the band remain available for broadcasting services until at least 2030. It also recommends that the band should be available for downlink-only broadband services on a secondary basis. This outcome is reflected in the </w:t>
      </w:r>
      <w:hyperlink r:id="rId72" w:history="1">
        <w:r w:rsidRPr="00B53F89">
          <w:rPr>
            <w:rStyle w:val="Hyperlink"/>
            <w:rFonts w:eastAsiaTheme="majorEastAsia" w:cs="Arial"/>
          </w:rPr>
          <w:t>EC’s inception assessment</w:t>
        </w:r>
      </w:hyperlink>
      <w:r w:rsidRPr="00B53F89">
        <w:t>, but a final decision is still pending.</w:t>
      </w:r>
    </w:p>
    <w:p w14:paraId="720351B8" w14:textId="144DCEA5" w:rsidR="00B977A2" w:rsidRPr="005E1990" w:rsidRDefault="00B977A2" w:rsidP="00B977A2">
      <w:r>
        <w:t>WRC-23 agenda item 1.5 will review spectrum use and spectrum needs of existing services in the frequency band 470</w:t>
      </w:r>
      <w:r w:rsidR="00B31774" w:rsidRPr="00B31774">
        <w:t>–</w:t>
      </w:r>
      <w:r>
        <w:t>960 MHz in Region 1 and consider possible regulatory actions in the frequency band 470</w:t>
      </w:r>
      <w:r w:rsidR="00B31774" w:rsidRPr="00B31774">
        <w:t>–</w:t>
      </w:r>
      <w:r>
        <w:t xml:space="preserve">694 MHz in Region 1 on the basis of the review in accordance with Resolution </w:t>
      </w:r>
      <w:r w:rsidRPr="009A435B">
        <w:rPr>
          <w:b/>
          <w:bCs/>
        </w:rPr>
        <w:t>235 (WRC-15)</w:t>
      </w:r>
      <w:r>
        <w:t>.</w:t>
      </w:r>
    </w:p>
    <w:p w14:paraId="04630106" w14:textId="6857079D" w:rsidR="00B977A2" w:rsidRDefault="00B977A2" w:rsidP="00B977A2">
      <w:r w:rsidRPr="00B53F89">
        <w:rPr>
          <w:rFonts w:eastAsia="SimSun"/>
          <w:lang w:eastAsia="zh-CN"/>
        </w:rPr>
        <w:t>Recommendation ITU-</w:t>
      </w:r>
      <w:r w:rsidRPr="00B53F89">
        <w:t xml:space="preserve">R M.1036 </w:t>
      </w:r>
      <w:r>
        <w:t xml:space="preserve">was recently amended to include </w:t>
      </w:r>
      <w:r w:rsidRPr="00B53F89">
        <w:t xml:space="preserve">frequency arrangements for </w:t>
      </w:r>
      <w:r>
        <w:t xml:space="preserve">the </w:t>
      </w:r>
      <w:r w:rsidRPr="00B53F89">
        <w:t xml:space="preserve">implementation of the terrestrial component of IMT in the </w:t>
      </w:r>
      <w:r w:rsidR="00A25629">
        <w:t>600 </w:t>
      </w:r>
      <w:r>
        <w:t xml:space="preserve">MHz </w:t>
      </w:r>
      <w:r w:rsidRPr="00B53F89">
        <w:t>band</w:t>
      </w:r>
      <w:r>
        <w:t xml:space="preserve">. </w:t>
      </w:r>
    </w:p>
    <w:p w14:paraId="03FCBF81" w14:textId="77777777" w:rsidR="00B977A2" w:rsidRPr="00B53F89" w:rsidRDefault="00B977A2" w:rsidP="00B977A2">
      <w:pPr>
        <w:pStyle w:val="BodySubHeader"/>
      </w:pPr>
      <w:r w:rsidRPr="00B53F89">
        <w:t>Next steps</w:t>
      </w:r>
    </w:p>
    <w:p w14:paraId="124B7409" w14:textId="77777777" w:rsidR="00B977A2" w:rsidRPr="00B53F89" w:rsidRDefault="00B977A2" w:rsidP="00B977A2">
      <w:r w:rsidRPr="00B53F89">
        <w:t xml:space="preserve">The ACMA will continue to monitor international developments. </w:t>
      </w:r>
    </w:p>
    <w:p w14:paraId="73AF2B46" w14:textId="68CAD51C" w:rsidR="00B977A2" w:rsidRPr="00B53F89" w:rsidRDefault="00A25629" w:rsidP="00B977A2">
      <w:bookmarkStart w:id="270" w:name="_Hlk16244594"/>
      <w:r>
        <w:lastRenderedPageBreak/>
        <w:t>We</w:t>
      </w:r>
      <w:r w:rsidR="00B977A2" w:rsidRPr="00B53F89">
        <w:t xml:space="preserve"> will continue to engage with industry and government as required on </w:t>
      </w:r>
      <w:r w:rsidR="00B977A2">
        <w:t>the technology transition path for</w:t>
      </w:r>
      <w:r w:rsidR="00B977A2" w:rsidRPr="00B53F89">
        <w:t xml:space="preserve"> terrestrial digital television, </w:t>
      </w:r>
      <w:r w:rsidR="00B977A2">
        <w:t>which may include options to migrate to newer</w:t>
      </w:r>
      <w:r w:rsidR="00B977A2" w:rsidRPr="00B53F89">
        <w:t xml:space="preserve"> DVB-T2 and HEVC standards. </w:t>
      </w:r>
      <w:bookmarkEnd w:id="270"/>
    </w:p>
    <w:p w14:paraId="0F0E365D" w14:textId="35CA1500" w:rsidR="00B977A2" w:rsidRDefault="00B977A2" w:rsidP="00D904DC">
      <w:pPr>
        <w:spacing w:after="0"/>
      </w:pPr>
      <w:r w:rsidRPr="006A2F04">
        <w:rPr>
          <w:noProof/>
        </w:rPr>
        <w:drawing>
          <wp:inline distT="0" distB="0" distL="0" distR="0" wp14:anchorId="1701C698" wp14:editId="3A2C7B2F">
            <wp:extent cx="342900" cy="361950"/>
            <wp:effectExtent l="0" t="0" r="0" b="0"/>
            <wp:docPr id="55" name="Picture 55"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494675C" wp14:editId="6C4DFD66">
            <wp:extent cx="342900" cy="361950"/>
            <wp:effectExtent l="0" t="0" r="0" b="0"/>
            <wp:docPr id="56" name="Picture 5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E06DD3A" w14:textId="67E0C769" w:rsidR="00B977A2" w:rsidRDefault="00B977A2" w:rsidP="00513FDE">
      <w:pPr>
        <w:pStyle w:val="Heading3"/>
      </w:pPr>
      <w:bookmarkStart w:id="271" w:name="_Toc51864307"/>
      <w:r w:rsidRPr="00B53F89">
        <w:t>3.3 GHz (3300–3400 MHz)</w:t>
      </w:r>
      <w:bookmarkEnd w:id="271"/>
    </w:p>
    <w:p w14:paraId="7C99F937" w14:textId="3EA92C29" w:rsidR="00B977A2" w:rsidRPr="00B53F89" w:rsidRDefault="00B977A2" w:rsidP="00B977A2">
      <w:pPr>
        <w:rPr>
          <w:rFonts w:cs="Arial"/>
        </w:rPr>
      </w:pPr>
      <w:r w:rsidRPr="00B53F89">
        <w:t>The 3.3 GHz band is currently allocated in the RRs on a primary basis to the radiolocation service worldwide. In Australia, this band is designated to be used principally for the purposes of defence and national security</w:t>
      </w:r>
      <w:r w:rsidR="006E1022">
        <w:t>,</w:t>
      </w:r>
      <w:r w:rsidRPr="00B53F89">
        <w:t xml:space="preserve"> </w:t>
      </w:r>
      <w:r>
        <w:t>as described in</w:t>
      </w:r>
      <w:r w:rsidRPr="00B53F89">
        <w:t xml:space="preserve"> footnote AUS101A of the ARSP. The Department of Defence is normally consulted in considering non-defence use of this service. At WRC-15, the 3.3 GHz band was identified for IMT by several countries</w:t>
      </w:r>
      <w:r>
        <w:t xml:space="preserve"> and is the subject of a WRC-23 agenda item </w:t>
      </w:r>
      <w:r w:rsidR="006E1022">
        <w:t>regarding</w:t>
      </w:r>
      <w:r>
        <w:t xml:space="preserve"> Region 1 and 2 use of this band</w:t>
      </w:r>
      <w:r w:rsidRPr="00B53F89">
        <w:rPr>
          <w:rFonts w:cs="Arial"/>
        </w:rPr>
        <w:t xml:space="preserve">. </w:t>
      </w:r>
    </w:p>
    <w:p w14:paraId="39FAA579" w14:textId="77777777" w:rsidR="00B977A2" w:rsidRPr="00B53F89" w:rsidRDefault="00B977A2" w:rsidP="00B977A2">
      <w:pPr>
        <w:pStyle w:val="BodySubHeader"/>
      </w:pPr>
      <w:r w:rsidRPr="00B53F89">
        <w:t>Recent developments</w:t>
      </w:r>
    </w:p>
    <w:p w14:paraId="5FAADB69" w14:textId="7B1000E0" w:rsidR="00B977A2" w:rsidRPr="00B53F89" w:rsidRDefault="00B977A2" w:rsidP="00B977A2">
      <w:r w:rsidRPr="00B53F89">
        <w:rPr>
          <w:rFonts w:eastAsia="SimSun"/>
          <w:lang w:eastAsia="zh-CN"/>
        </w:rPr>
        <w:t>Recommendation ITU-</w:t>
      </w:r>
      <w:r w:rsidRPr="00B53F89">
        <w:t xml:space="preserve">R M.1036 </w:t>
      </w:r>
      <w:r>
        <w:t xml:space="preserve">was recently amended to include </w:t>
      </w:r>
      <w:r w:rsidRPr="00B53F89">
        <w:t xml:space="preserve">frequency arrangements for </w:t>
      </w:r>
      <w:r>
        <w:t xml:space="preserve">the </w:t>
      </w:r>
      <w:r w:rsidRPr="00B53F89">
        <w:t xml:space="preserve">implementation of the terrestrial component of IMT in the </w:t>
      </w:r>
      <w:r>
        <w:t>3.</w:t>
      </w:r>
      <w:r w:rsidR="00AE2594">
        <w:t>3 </w:t>
      </w:r>
      <w:r>
        <w:t xml:space="preserve">GHz </w:t>
      </w:r>
      <w:r w:rsidRPr="00B53F89">
        <w:t>band</w:t>
      </w:r>
      <w:r>
        <w:t>.</w:t>
      </w:r>
      <w:r w:rsidRPr="00B53F89" w:rsidDel="00482FDF">
        <w:t xml:space="preserve"> </w:t>
      </w:r>
      <w:r w:rsidRPr="00B53F89">
        <w:t xml:space="preserve">Working Party 5D has also completed studies with incumbent radiolocation services in the 3100–3400 MHz band as called for in Resolution </w:t>
      </w:r>
      <w:r w:rsidRPr="00B53F89">
        <w:rPr>
          <w:b/>
        </w:rPr>
        <w:t>223 (Rev. WRC-15).</w:t>
      </w:r>
      <w:r w:rsidRPr="00B53F89">
        <w:t xml:space="preserve"> These are contained in new </w:t>
      </w:r>
      <w:hyperlink r:id="rId73" w:history="1">
        <w:r w:rsidRPr="00B93233">
          <w:rPr>
            <w:rStyle w:val="Hyperlink"/>
          </w:rPr>
          <w:t>Report ITU-R M.2481</w:t>
        </w:r>
      </w:hyperlink>
      <w:r>
        <w:t xml:space="preserve"> </w:t>
      </w:r>
      <w:r w:rsidRPr="00B90398">
        <w:rPr>
          <w:rFonts w:cs="Segoe UI"/>
          <w:i/>
          <w:iCs/>
          <w:color w:val="000000"/>
        </w:rPr>
        <w:t>In-band and adjacent band coexistence and compatibility studies between IMT systems in 3 300-</w:t>
      </w:r>
      <w:r w:rsidR="006E1022" w:rsidRPr="00B90398">
        <w:rPr>
          <w:rFonts w:cs="Segoe UI"/>
          <w:i/>
          <w:iCs/>
          <w:color w:val="000000"/>
        </w:rPr>
        <w:t>3</w:t>
      </w:r>
      <w:r w:rsidR="006E1022">
        <w:rPr>
          <w:rFonts w:cs="Segoe UI"/>
          <w:i/>
          <w:iCs/>
          <w:color w:val="000000"/>
        </w:rPr>
        <w:t> </w:t>
      </w:r>
      <w:r w:rsidRPr="00B90398">
        <w:rPr>
          <w:rFonts w:cs="Segoe UI"/>
          <w:i/>
          <w:iCs/>
          <w:color w:val="000000"/>
        </w:rPr>
        <w:t>400 MHz and radiolocation systems in 3 100-3 400 MHz</w:t>
      </w:r>
      <w:r w:rsidRPr="00B53F89">
        <w:t>.</w:t>
      </w:r>
      <w:r w:rsidRPr="00B53F89" w:rsidDel="00482FDF">
        <w:rPr>
          <w:rFonts w:eastAsia="SimSun"/>
        </w:rPr>
        <w:t xml:space="preserve"> </w:t>
      </w:r>
      <w:r w:rsidRPr="00B53F89">
        <w:t xml:space="preserve">Technology standardisation within the 3GPP is also developing, with two bands defined by the 3GPP in July 2017—the first band being 3.3–3.8 GHz and the second 3.3–4.2 GHz. </w:t>
      </w:r>
    </w:p>
    <w:p w14:paraId="18DC81A0" w14:textId="3E6D5CF6" w:rsidR="00B977A2" w:rsidRPr="00B53F89" w:rsidRDefault="00B977A2" w:rsidP="00B977A2">
      <w:pPr>
        <w:rPr>
          <w:rFonts w:eastAsia="SimSun"/>
          <w:lang w:eastAsia="zh-CN"/>
        </w:rPr>
      </w:pPr>
      <w:r w:rsidRPr="00B53F89">
        <w:rPr>
          <w:rFonts w:eastAsiaTheme="majorEastAsia"/>
        </w:rPr>
        <w:t>WISPs and other FWA operators have also expressed interest in accessing the band.</w:t>
      </w:r>
      <w:r>
        <w:rPr>
          <w:rFonts w:eastAsiaTheme="majorEastAsia"/>
        </w:rPr>
        <w:t xml:space="preserve"> This is due to the availability of equipment internationally allowing them to tap into economies of scale.</w:t>
      </w:r>
    </w:p>
    <w:p w14:paraId="5E658EDF" w14:textId="77777777" w:rsidR="00B977A2" w:rsidRPr="00B53F89" w:rsidRDefault="00B977A2" w:rsidP="00B977A2">
      <w:pPr>
        <w:pStyle w:val="BodySubHeader"/>
      </w:pPr>
      <w:r w:rsidRPr="00B53F89">
        <w:t>Next steps</w:t>
      </w:r>
    </w:p>
    <w:p w14:paraId="36427C4C" w14:textId="7926E03E" w:rsidR="00B977A2" w:rsidRPr="00B977A2" w:rsidRDefault="00B977A2" w:rsidP="00B977A2">
      <w:r w:rsidRPr="00B53F89">
        <w:t>The ACMA will continue to monitor developments in this band.</w:t>
      </w:r>
    </w:p>
    <w:p w14:paraId="34E97953" w14:textId="238ACDCB" w:rsidR="00B977A2" w:rsidRPr="00B977A2" w:rsidRDefault="00B977A2" w:rsidP="00D904DC">
      <w:pPr>
        <w:spacing w:after="0"/>
      </w:pPr>
      <w:r w:rsidRPr="006A2F04">
        <w:rPr>
          <w:noProof/>
        </w:rPr>
        <w:drawing>
          <wp:inline distT="0" distB="0" distL="0" distR="0" wp14:anchorId="7516FFA6" wp14:editId="0E5A7A25">
            <wp:extent cx="342900" cy="361950"/>
            <wp:effectExtent l="0" t="0" r="0" b="0"/>
            <wp:docPr id="57" name="Picture 57"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A4ED6B6" wp14:editId="5D8FC24E">
            <wp:extent cx="342900" cy="361950"/>
            <wp:effectExtent l="0" t="0" r="0" b="0"/>
            <wp:docPr id="58" name="Picture 5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F05B4EC" wp14:editId="38FA82D9">
            <wp:extent cx="342900" cy="361950"/>
            <wp:effectExtent l="0" t="0" r="0" b="0"/>
            <wp:docPr id="59" name="Picture 59"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8BCF3DC" w14:textId="7FF24B0F" w:rsidR="00B977A2" w:rsidRPr="00B977A2" w:rsidRDefault="00B977A2" w:rsidP="00513FDE">
      <w:pPr>
        <w:pStyle w:val="Heading3"/>
      </w:pPr>
      <w:bookmarkStart w:id="272" w:name="_Toc51864308"/>
      <w:r w:rsidRPr="00B977A2">
        <w:t>4.5 GHz (4400–4500 MHz)</w:t>
      </w:r>
      <w:bookmarkEnd w:id="272"/>
    </w:p>
    <w:p w14:paraId="4DB7E99D" w14:textId="4584A831" w:rsidR="00B977A2" w:rsidRPr="00B53F89" w:rsidRDefault="00B977A2" w:rsidP="00B977A2">
      <w:pPr>
        <w:rPr>
          <w:rFonts w:cs="Arial"/>
        </w:rPr>
      </w:pPr>
      <w:r w:rsidRPr="00B53F89">
        <w:t>The 4.5 GHz band is currently allocated in the RRs on a co-primary basis to fixed and mobile service</w:t>
      </w:r>
      <w:r w:rsidR="006E1022">
        <w:t>s</w:t>
      </w:r>
      <w:r w:rsidRPr="00B53F89">
        <w:t xml:space="preserve"> worldwide. In Australia, the band is designated to be used principally for the purposes of defence and national security </w:t>
      </w:r>
      <w:r>
        <w:t>as described in</w:t>
      </w:r>
      <w:r w:rsidRPr="00B53F89">
        <w:t xml:space="preserve"> </w:t>
      </w:r>
      <w:r w:rsidRPr="00513FDE">
        <w:t>footnote</w:t>
      </w:r>
      <w:r w:rsidRPr="00B53F89">
        <w:t xml:space="preserve"> AUS101 of the ARSP. The Department of Defence is normally consulted in considering non-defence use of this service. Typical use is</w:t>
      </w:r>
      <w:r w:rsidRPr="00B53F89" w:rsidDel="005601C6">
        <w:t xml:space="preserve"> for </w:t>
      </w:r>
      <w:r w:rsidRPr="00B53F89">
        <w:t>aeronautical mobile telemetry for flight testing by aircraft stations.</w:t>
      </w:r>
    </w:p>
    <w:p w14:paraId="2389FC5C" w14:textId="78DC0920" w:rsidR="00B977A2" w:rsidRPr="00B53F89" w:rsidRDefault="00B977A2" w:rsidP="00B977A2">
      <w:r>
        <w:rPr>
          <w:rFonts w:cs="Arial"/>
        </w:rPr>
        <w:t>Over the past few years</w:t>
      </w:r>
      <w:r w:rsidR="006E1022">
        <w:rPr>
          <w:rFonts w:cs="Arial"/>
        </w:rPr>
        <w:t>,</w:t>
      </w:r>
      <w:r w:rsidRPr="00B53F89">
        <w:rPr>
          <w:rFonts w:cs="Arial"/>
        </w:rPr>
        <w:t xml:space="preserve"> there has been increasing interest in this band. Japan </w:t>
      </w:r>
      <w:r>
        <w:rPr>
          <w:rFonts w:cs="Arial"/>
        </w:rPr>
        <w:t>has made the 4400</w:t>
      </w:r>
      <w:r w:rsidR="00EC13FB">
        <w:rPr>
          <w:rFonts w:cs="Arial"/>
        </w:rPr>
        <w:t>–</w:t>
      </w:r>
      <w:r>
        <w:rPr>
          <w:rFonts w:cs="Arial"/>
        </w:rPr>
        <w:t>4900 MHz band available for 5G.</w:t>
      </w:r>
      <w:r>
        <w:rPr>
          <w:rStyle w:val="FootnoteReference"/>
          <w:rFonts w:cs="Arial"/>
        </w:rPr>
        <w:footnoteReference w:id="45"/>
      </w:r>
      <w:r>
        <w:rPr>
          <w:rFonts w:cs="Arial"/>
        </w:rPr>
        <w:t xml:space="preserve"> China is also considering use of the band</w:t>
      </w:r>
      <w:r w:rsidR="00EC13FB">
        <w:rPr>
          <w:rFonts w:cs="Arial"/>
        </w:rPr>
        <w:t>.</w:t>
      </w:r>
      <w:r>
        <w:rPr>
          <w:rStyle w:val="FootnoteReference"/>
          <w:rFonts w:cs="Arial"/>
        </w:rPr>
        <w:footnoteReference w:id="46"/>
      </w:r>
      <w:r>
        <w:rPr>
          <w:rFonts w:cs="Arial"/>
        </w:rPr>
        <w:t xml:space="preserve"> </w:t>
      </w:r>
      <w:r w:rsidRPr="00B53F89">
        <w:t xml:space="preserve">There is some interest from domestic fixed and mobile wireless broadband </w:t>
      </w:r>
      <w:r w:rsidR="00A9179C">
        <w:t>users</w:t>
      </w:r>
      <w:r w:rsidR="00A9179C" w:rsidRPr="00B53F89">
        <w:t xml:space="preserve"> </w:t>
      </w:r>
      <w:r w:rsidRPr="00B53F89">
        <w:t xml:space="preserve">in pursuing this band for mobile broadband in Australia. </w:t>
      </w:r>
    </w:p>
    <w:p w14:paraId="7FA32478" w14:textId="77777777" w:rsidR="00B977A2" w:rsidRPr="00B53F89" w:rsidRDefault="00B977A2" w:rsidP="00B977A2">
      <w:pPr>
        <w:pStyle w:val="BodySubHeader"/>
        <w:keepNext/>
        <w:keepLines/>
      </w:pPr>
      <w:r w:rsidRPr="00B53F89">
        <w:t>Next steps</w:t>
      </w:r>
    </w:p>
    <w:p w14:paraId="0D367284" w14:textId="30BB01A3" w:rsidR="00B977A2" w:rsidRDefault="00B977A2" w:rsidP="00B977A2">
      <w:r w:rsidRPr="00B53F89">
        <w:t>The ACMA will continue to monitor developments in this band.</w:t>
      </w:r>
    </w:p>
    <w:p w14:paraId="0619E6E3" w14:textId="167BF551" w:rsidR="00B977A2" w:rsidRDefault="00B977A2" w:rsidP="00513FDE">
      <w:pPr>
        <w:spacing w:after="0"/>
      </w:pPr>
      <w:r w:rsidRPr="006A2F04">
        <w:rPr>
          <w:noProof/>
        </w:rPr>
        <w:lastRenderedPageBreak/>
        <w:drawing>
          <wp:inline distT="0" distB="0" distL="0" distR="0" wp14:anchorId="71D14291" wp14:editId="03F3B422">
            <wp:extent cx="342900" cy="361950"/>
            <wp:effectExtent l="0" t="0" r="0" b="0"/>
            <wp:docPr id="60" name="Picture 60"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05E581B" wp14:editId="7E66CFC8">
            <wp:extent cx="342900" cy="361950"/>
            <wp:effectExtent l="0" t="0" r="0" b="0"/>
            <wp:docPr id="62" name="Picture 6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C7ED4FB" wp14:editId="18BD6FA3">
            <wp:extent cx="342900" cy="361950"/>
            <wp:effectExtent l="0" t="0" r="0" b="0"/>
            <wp:docPr id="66" name="Picture 66"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9CF70B2" w14:textId="42317FC3" w:rsidR="00B977A2" w:rsidRPr="00B977A2" w:rsidRDefault="00B977A2" w:rsidP="00513FDE">
      <w:pPr>
        <w:pStyle w:val="Heading3"/>
      </w:pPr>
      <w:bookmarkStart w:id="273" w:name="_Toc51864309"/>
      <w:r w:rsidRPr="00B977A2">
        <w:t>4.8 GHz (4800–4990 MHz)</w:t>
      </w:r>
      <w:bookmarkEnd w:id="273"/>
    </w:p>
    <w:p w14:paraId="03E285A9" w14:textId="0D5F8259" w:rsidR="00B977A2" w:rsidRDefault="00B977A2" w:rsidP="00B977A2">
      <w:r>
        <w:t>T</w:t>
      </w:r>
      <w:r w:rsidRPr="00B53F89">
        <w:t xml:space="preserve">he 4.8 GHz band </w:t>
      </w:r>
      <w:r>
        <w:t>i</w:t>
      </w:r>
      <w:r w:rsidRPr="00B53F89">
        <w:t>s identified for IMT by several countries, including Uruguay, Cambodia, Laos and Vietnam.</w:t>
      </w:r>
      <w:r>
        <w:t xml:space="preserve"> </w:t>
      </w:r>
      <w:r w:rsidRPr="00B53F89">
        <w:rPr>
          <w:rFonts w:cs="Arial"/>
        </w:rPr>
        <w:t xml:space="preserve">Japan </w:t>
      </w:r>
      <w:r>
        <w:rPr>
          <w:rFonts w:cs="Arial"/>
        </w:rPr>
        <w:t>has made the 4400</w:t>
      </w:r>
      <w:r w:rsidR="00EC13FB">
        <w:rPr>
          <w:rFonts w:cs="Arial"/>
        </w:rPr>
        <w:t>–</w:t>
      </w:r>
      <w:r>
        <w:rPr>
          <w:rFonts w:cs="Arial"/>
        </w:rPr>
        <w:t>4900 MHz band available for 5G.</w:t>
      </w:r>
      <w:r>
        <w:rPr>
          <w:rStyle w:val="FootnoteReference"/>
          <w:rFonts w:cs="Arial"/>
        </w:rPr>
        <w:footnoteReference w:id="47"/>
      </w:r>
      <w:r>
        <w:rPr>
          <w:rFonts w:cs="Arial"/>
        </w:rPr>
        <w:t xml:space="preserve"> China has also made the 4.8 GHz band available for 5G.</w:t>
      </w:r>
      <w:r>
        <w:rPr>
          <w:rStyle w:val="FootnoteReference"/>
          <w:rFonts w:cs="Arial"/>
        </w:rPr>
        <w:footnoteReference w:id="48"/>
      </w:r>
      <w:r>
        <w:rPr>
          <w:rFonts w:cs="Arial"/>
        </w:rPr>
        <w:t xml:space="preserve"> </w:t>
      </w:r>
    </w:p>
    <w:p w14:paraId="242E58C5" w14:textId="241859B0" w:rsidR="00B977A2" w:rsidRPr="00B53F89" w:rsidRDefault="00B977A2" w:rsidP="00B977A2">
      <w:r w:rsidRPr="00B53F89">
        <w:t xml:space="preserve">This suggests that a viable ecosystem could develop for mobile broadband systems in this band. The 4.8 GHz band is currently allocated in the RRs on a primary basis for fixed and mobile services in Australia. </w:t>
      </w:r>
    </w:p>
    <w:p w14:paraId="21105622" w14:textId="77777777" w:rsidR="00B977A2" w:rsidRPr="00B53F89" w:rsidRDefault="00B977A2" w:rsidP="00B977A2">
      <w:pPr>
        <w:rPr>
          <w:szCs w:val="20"/>
        </w:rPr>
      </w:pPr>
      <w:r w:rsidRPr="00B53F89">
        <w:rPr>
          <w:szCs w:val="20"/>
        </w:rPr>
        <w:t>In Australia, the fixed and mobile services in this band are designated to be used principally for defence and national security purposes, as defined in footnote AUS101A of the ARSP. The Department of Defence is normally consulted in considering non-defence use of these services. The 4950–4990 MHz part of the band is also allocated to the radio astronomy service on a primary basis under footnote 443 of the ARSP.</w:t>
      </w:r>
    </w:p>
    <w:p w14:paraId="0AC524A8" w14:textId="1CA12A26" w:rsidR="00B977A2" w:rsidRPr="00B53F89" w:rsidRDefault="00B977A2" w:rsidP="00B977A2">
      <w:r w:rsidRPr="00B53F89">
        <w:t xml:space="preserve">At WRC-03, the </w:t>
      </w:r>
      <w:r w:rsidRPr="00B53F89">
        <w:rPr>
          <w:szCs w:val="20"/>
        </w:rPr>
        <w:t>4940–4990 MHz</w:t>
      </w:r>
      <w:r w:rsidRPr="00B53F89">
        <w:t xml:space="preserve"> band was identified to support public safety services in ITU Regions 2 and 3 for use by government agencies responsible for the provision of defence, national security, law enforcement and emergency services.</w:t>
      </w:r>
      <w:r w:rsidRPr="00B53F89">
        <w:rPr>
          <w:rStyle w:val="FootnoteReference"/>
        </w:rPr>
        <w:footnoteReference w:id="49"/>
      </w:r>
      <w:r w:rsidRPr="00B53F89">
        <w:rPr>
          <w:rStyle w:val="FootnoteReference"/>
        </w:rPr>
        <w:t xml:space="preserve"> </w:t>
      </w:r>
    </w:p>
    <w:p w14:paraId="481BED63" w14:textId="77777777" w:rsidR="00B977A2" w:rsidRPr="00B53F89" w:rsidRDefault="00B977A2" w:rsidP="00B977A2">
      <w:pPr>
        <w:rPr>
          <w:szCs w:val="20"/>
        </w:rPr>
      </w:pPr>
      <w:r w:rsidRPr="00B53F89">
        <w:t>There is some interest domestically from large MNOs as well as WISPs and other FWA operators in pursuing this band for wireless broadband in Australia.</w:t>
      </w:r>
      <w:r w:rsidRPr="00B53F89">
        <w:rPr>
          <w:szCs w:val="20"/>
        </w:rPr>
        <w:t xml:space="preserve"> However, the ACMA is not aware of any significant interest in this band by regional bodies, such as the European Conference of Postal and Telecommunications Administrations (CEPT), Inter-American Telecommunication Commission or APT. </w:t>
      </w:r>
    </w:p>
    <w:p w14:paraId="726EDD2E" w14:textId="77777777" w:rsidR="00B977A2" w:rsidRPr="00B53F89" w:rsidRDefault="00B977A2" w:rsidP="00B977A2">
      <w:r w:rsidRPr="00B53F89">
        <w:t xml:space="preserve">Several countries, including Australia, have implemented arrangements in the </w:t>
      </w:r>
      <w:r w:rsidRPr="00B53F89">
        <w:rPr>
          <w:szCs w:val="20"/>
        </w:rPr>
        <w:t>4940–4990 MHz</w:t>
      </w:r>
      <w:r w:rsidRPr="00B53F89">
        <w:t xml:space="preserve"> band for defence and national security purposes. This is principally to support high-speed localised coverage around an incident or event. The </w:t>
      </w:r>
      <w:hyperlink r:id="rId74" w:history="1">
        <w:r w:rsidRPr="006A2F04">
          <w:rPr>
            <w:rStyle w:val="Hyperlink"/>
            <w:rFonts w:eastAsiaTheme="majorEastAsia" w:cs="Arial"/>
          </w:rPr>
          <w:t>Radiocommunications (Public Safety and Emergency Response) Class Licence 2013</w:t>
        </w:r>
      </w:hyperlink>
      <w:r w:rsidRPr="00B53F89">
        <w:t xml:space="preserve"> (the PSER class licence) outlines arrangements for the use of this band, which allows public safety agencies to enhance their ability to perform public safety activities and provide significant flexibility in deployment during emergency response and disaster recovery activities. </w:t>
      </w:r>
    </w:p>
    <w:p w14:paraId="1BFA3965" w14:textId="77777777" w:rsidR="00B977A2" w:rsidRPr="00B53F89" w:rsidRDefault="00B977A2" w:rsidP="00B977A2">
      <w:pPr>
        <w:pStyle w:val="BodySubHeader"/>
        <w:keepNext/>
        <w:keepLines/>
      </w:pPr>
      <w:bookmarkStart w:id="274" w:name="_Hlk2163734"/>
      <w:r w:rsidRPr="00B53F89">
        <w:t>Recent developments</w:t>
      </w:r>
    </w:p>
    <w:p w14:paraId="6978ABC2" w14:textId="77777777" w:rsidR="00B977A2" w:rsidRPr="00B53F89" w:rsidRDefault="00B977A2" w:rsidP="00B977A2">
      <w:pPr>
        <w:keepNext/>
        <w:keepLines/>
        <w:rPr>
          <w:rFonts w:eastAsia="SimSun"/>
        </w:rPr>
      </w:pPr>
      <w:r w:rsidRPr="00B53F89">
        <w:rPr>
          <w:rFonts w:eastAsia="SimSun"/>
          <w:lang w:eastAsia="zh-CN"/>
        </w:rPr>
        <w:t>Recommendation ITU-</w:t>
      </w:r>
      <w:r w:rsidRPr="00B53F89">
        <w:t>R M.1036 on frequency arrangements for implementation of the terrestrial component of IMT in the bands identified for IMT in the RRs</w:t>
      </w:r>
      <w:r>
        <w:t xml:space="preserve"> was recently updated</w:t>
      </w:r>
      <w:r w:rsidRPr="00B53F89">
        <w:t xml:space="preserve">. </w:t>
      </w:r>
      <w:r>
        <w:t xml:space="preserve">It now includes </w:t>
      </w:r>
      <w:r w:rsidRPr="00B53F89">
        <w:t xml:space="preserve">arrangements for </w:t>
      </w:r>
      <w:r>
        <w:t xml:space="preserve">the </w:t>
      </w:r>
      <w:r w:rsidRPr="00B53F89">
        <w:t>4.</w:t>
      </w:r>
      <w:r>
        <w:t>8</w:t>
      </w:r>
      <w:r w:rsidRPr="00B53F89">
        <w:t xml:space="preserve"> GHz band. </w:t>
      </w:r>
    </w:p>
    <w:p w14:paraId="55622A09" w14:textId="41DD5AB2" w:rsidR="00B977A2" w:rsidRPr="00B53F89" w:rsidRDefault="00B977A2" w:rsidP="00B977A2">
      <w:r w:rsidRPr="00B53F89">
        <w:t xml:space="preserve">Separately, the 4940–4990 MHz band is included in IEEE standard 802.11y Public Safety Wireless Local Area Network (WLAN) </w:t>
      </w:r>
      <w:r w:rsidR="00A87709">
        <w:t>and</w:t>
      </w:r>
      <w:r w:rsidRPr="00B53F89">
        <w:t xml:space="preserve"> has also been included in 5G standards (3GPP band n79)</w:t>
      </w:r>
      <w:r w:rsidR="00EC13FB">
        <w:t>,</w:t>
      </w:r>
      <w:r w:rsidRPr="00B53F89">
        <w:t xml:space="preserve"> which may enable public safety agencies in Australia to deploy their own 5G capabilities under the PSER class licence. </w:t>
      </w:r>
    </w:p>
    <w:p w14:paraId="31F37F13" w14:textId="77777777" w:rsidR="00B977A2" w:rsidRPr="00B53F89" w:rsidRDefault="00B977A2" w:rsidP="00B977A2">
      <w:r>
        <w:t>Conditions for access to the band will be studied as part of WRC-23 agenda item 1.1.</w:t>
      </w:r>
    </w:p>
    <w:p w14:paraId="655ED3A4" w14:textId="77777777" w:rsidR="00B977A2" w:rsidRPr="00B53F89" w:rsidRDefault="00B977A2" w:rsidP="00617B4B">
      <w:pPr>
        <w:pStyle w:val="BodySubHeader"/>
        <w:keepNext/>
      </w:pPr>
      <w:r w:rsidRPr="00B53F89">
        <w:lastRenderedPageBreak/>
        <w:t>Next steps</w:t>
      </w:r>
    </w:p>
    <w:p w14:paraId="01EA2F52" w14:textId="77777777" w:rsidR="00B977A2" w:rsidRDefault="00B977A2" w:rsidP="00617B4B">
      <w:pPr>
        <w:keepNext/>
      </w:pPr>
      <w:r w:rsidRPr="00B53F89">
        <w:t xml:space="preserve">The ACMA will continue to monitor developments in this band. </w:t>
      </w:r>
      <w:bookmarkEnd w:id="274"/>
    </w:p>
    <w:p w14:paraId="7FFF3407" w14:textId="5C9003EB" w:rsidR="00B977A2" w:rsidRDefault="00B977A2" w:rsidP="00513FDE">
      <w:pPr>
        <w:spacing w:after="0"/>
      </w:pPr>
      <w:r w:rsidRPr="006A2F04">
        <w:rPr>
          <w:noProof/>
        </w:rPr>
        <w:drawing>
          <wp:inline distT="0" distB="0" distL="0" distR="0" wp14:anchorId="760BBFA2" wp14:editId="3BC3B37F">
            <wp:extent cx="342900" cy="361950"/>
            <wp:effectExtent l="0" t="0" r="0" b="0"/>
            <wp:docPr id="67" name="Picture 67"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510EC1F" wp14:editId="553F5E2B">
            <wp:extent cx="342900" cy="361950"/>
            <wp:effectExtent l="0" t="0" r="0" b="0"/>
            <wp:docPr id="68" name="Picture 6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BF32810" wp14:editId="5A54B18C">
            <wp:extent cx="341630" cy="359410"/>
            <wp:effectExtent l="0" t="0" r="1270" b="2540"/>
            <wp:docPr id="71" name="Picture 71"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63ECC5C9" w14:textId="1F38304B" w:rsidR="00B977A2" w:rsidRDefault="00B977A2" w:rsidP="00B977A2">
      <w:pPr>
        <w:pStyle w:val="Heading3"/>
        <w:rPr>
          <w:b w:val="0"/>
          <w:bCs w:val="0"/>
        </w:rPr>
      </w:pPr>
      <w:bookmarkStart w:id="275" w:name="_Toc51864310"/>
      <w:r>
        <w:t>13 GHz (12.75</w:t>
      </w:r>
      <w:r w:rsidR="00EC13FB" w:rsidRPr="00B977A2">
        <w:t>–</w:t>
      </w:r>
      <w:r>
        <w:t>13.25 GHz)</w:t>
      </w:r>
      <w:bookmarkEnd w:id="275"/>
    </w:p>
    <w:p w14:paraId="0D6C97A6" w14:textId="4F47A808" w:rsidR="00B977A2" w:rsidRDefault="00B977A2" w:rsidP="00B977A2">
      <w:r w:rsidRPr="00B53F89">
        <w:t xml:space="preserve">The </w:t>
      </w:r>
      <w:r>
        <w:t>13</w:t>
      </w:r>
      <w:r w:rsidRPr="00B53F89">
        <w:t xml:space="preserve"> GHz band </w:t>
      </w:r>
      <w:r>
        <w:t xml:space="preserve">has primary </w:t>
      </w:r>
      <w:r w:rsidRPr="00B53F89">
        <w:t>allocat</w:t>
      </w:r>
      <w:r>
        <w:t>ions</w:t>
      </w:r>
      <w:r w:rsidRPr="00B53F89">
        <w:t xml:space="preserve"> in the RRs </w:t>
      </w:r>
      <w:r>
        <w:t>for fixed, fixed-satellite (</w:t>
      </w:r>
      <w:r w:rsidR="00EC13FB">
        <w:t>e</w:t>
      </w:r>
      <w:r>
        <w:t xml:space="preserve">arth-to-space) and mobile </w:t>
      </w:r>
      <w:r w:rsidRPr="00B53F89">
        <w:t>services in Australia.</w:t>
      </w:r>
      <w:r>
        <w:t xml:space="preserve"> In accordance with footnote 441, the use of this band by </w:t>
      </w:r>
      <w:r w:rsidRPr="00F54C2A">
        <w:t>geostationary-satellite systems in the fixed</w:t>
      </w:r>
      <w:r w:rsidR="00EC13FB">
        <w:t xml:space="preserve"> </w:t>
      </w:r>
      <w:r w:rsidRPr="00F54C2A">
        <w:t>satellite service shall be in accordance with the provisions of Appendix 30B.</w:t>
      </w:r>
      <w:r>
        <w:t xml:space="preserve"> </w:t>
      </w:r>
    </w:p>
    <w:p w14:paraId="1A0276CD" w14:textId="77777777" w:rsidR="00B977A2" w:rsidRPr="00675DBE" w:rsidRDefault="00B977A2" w:rsidP="00B977A2">
      <w:r>
        <w:t xml:space="preserve">In Australia, there are currently arrangements in place to support fixed point-to-point services and television outside broadcast (TOB) services in this band. There are over 2200 point-to-point links licensed in the band and four Australia-wide licences for TOB, as well as a single licence covering Western Australia. </w:t>
      </w:r>
    </w:p>
    <w:p w14:paraId="6B94527D" w14:textId="77777777" w:rsidR="00B977A2" w:rsidRPr="00B53F89" w:rsidRDefault="00B977A2" w:rsidP="00B977A2">
      <w:pPr>
        <w:pStyle w:val="BodySubHeader"/>
      </w:pPr>
      <w:r w:rsidRPr="00B53F89">
        <w:t>Recent developments</w:t>
      </w:r>
    </w:p>
    <w:p w14:paraId="342D7235" w14:textId="5FD29361" w:rsidR="00B977A2" w:rsidRDefault="00B977A2" w:rsidP="00B977A2">
      <w:r>
        <w:t>The Electronic Communications Committee (ECC) is currently investigating t</w:t>
      </w:r>
      <w:r w:rsidRPr="00CF53EA">
        <w:t xml:space="preserve">he </w:t>
      </w:r>
      <w:r>
        <w:t xml:space="preserve">use of </w:t>
      </w:r>
      <w:r w:rsidRPr="0071208E">
        <w:t>earth stations in</w:t>
      </w:r>
      <w:r w:rsidR="0071208E" w:rsidRPr="0071208E">
        <w:t xml:space="preserve"> </w:t>
      </w:r>
      <w:r w:rsidRPr="0071208E">
        <w:t>motion (ES</w:t>
      </w:r>
      <w:r>
        <w:t>IM</w:t>
      </w:r>
      <w:r w:rsidR="0071208E">
        <w:t>s</w:t>
      </w:r>
      <w:r>
        <w:t xml:space="preserve">) </w:t>
      </w:r>
      <w:r w:rsidRPr="00CF53EA">
        <w:t>installed on aircraft operating with GSO and NGSO FSS systems in the 12.75</w:t>
      </w:r>
      <w:r w:rsidR="00EC13FB">
        <w:t>–</w:t>
      </w:r>
      <w:r>
        <w:t>1</w:t>
      </w:r>
      <w:r w:rsidRPr="00CF53EA">
        <w:t>3.25 GHz band (</w:t>
      </w:r>
      <w:r w:rsidR="00EC13FB">
        <w:t>e</w:t>
      </w:r>
      <w:r w:rsidRPr="00CF53EA">
        <w:t>arth</w:t>
      </w:r>
      <w:r>
        <w:t>-</w:t>
      </w:r>
      <w:r w:rsidRPr="00CF53EA">
        <w:t>to</w:t>
      </w:r>
      <w:r>
        <w:t>-</w:t>
      </w:r>
      <w:r w:rsidRPr="00CF53EA">
        <w:t>space)</w:t>
      </w:r>
      <w:r w:rsidR="00EC13FB">
        <w:t>.</w:t>
      </w:r>
      <w:r>
        <w:rPr>
          <w:rStyle w:val="FootnoteReference"/>
        </w:rPr>
        <w:footnoteReference w:id="50"/>
      </w:r>
      <w:r>
        <w:t xml:space="preserve"> In submissions to consultations throughout 2019</w:t>
      </w:r>
      <w:r w:rsidR="00EC13FB">
        <w:t>–</w:t>
      </w:r>
      <w:r>
        <w:t>20, Intelsat expressed an interest in exploring potential arrangements for aeronautical ESIM</w:t>
      </w:r>
      <w:r w:rsidR="0071208E">
        <w:t>s</w:t>
      </w:r>
      <w:r>
        <w:t xml:space="preserve"> in the 13 GHz band. </w:t>
      </w:r>
    </w:p>
    <w:p w14:paraId="4E832B34" w14:textId="77777777" w:rsidR="00B977A2" w:rsidRPr="00B53F89" w:rsidRDefault="00B977A2" w:rsidP="00B977A2">
      <w:pPr>
        <w:pStyle w:val="BodySubHeader"/>
      </w:pPr>
      <w:r w:rsidRPr="00B53F89">
        <w:t>Next steps</w:t>
      </w:r>
    </w:p>
    <w:p w14:paraId="191D3C77" w14:textId="77777777" w:rsidR="00B977A2" w:rsidRDefault="00B977A2" w:rsidP="00B977A2">
      <w:r w:rsidRPr="00B53F89">
        <w:t>The ACMA will continue to monitor developments in this band.</w:t>
      </w:r>
    </w:p>
    <w:p w14:paraId="71CBE5F9" w14:textId="3976249C" w:rsidR="00B977A2" w:rsidRDefault="00B977A2" w:rsidP="00513FDE">
      <w:pPr>
        <w:spacing w:after="0"/>
      </w:pPr>
      <w:r w:rsidRPr="006A2F04">
        <w:rPr>
          <w:noProof/>
        </w:rPr>
        <w:drawing>
          <wp:inline distT="0" distB="0" distL="0" distR="0" wp14:anchorId="35317A68" wp14:editId="4631B2A2">
            <wp:extent cx="342900" cy="361950"/>
            <wp:effectExtent l="0" t="0" r="0" b="0"/>
            <wp:docPr id="73" name="Picture 7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D902BBC" wp14:editId="2EEAA4B0">
            <wp:extent cx="341630" cy="359410"/>
            <wp:effectExtent l="0" t="0" r="1270" b="2540"/>
            <wp:docPr id="74" name="Picture 74"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5FF72569" wp14:editId="27630988">
            <wp:extent cx="342900" cy="361950"/>
            <wp:effectExtent l="0" t="0" r="0" b="0"/>
            <wp:docPr id="97" name="Picture 9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46737A9" wp14:editId="06CF10B6">
            <wp:extent cx="342900" cy="361950"/>
            <wp:effectExtent l="0" t="0" r="0" b="0"/>
            <wp:docPr id="114" name="Picture 114"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F7106F6" w14:textId="5A35635B" w:rsidR="00B977A2" w:rsidRDefault="00B977A2" w:rsidP="00B977A2">
      <w:pPr>
        <w:pStyle w:val="Heading3"/>
        <w:rPr>
          <w:b w:val="0"/>
          <w:bCs w:val="0"/>
        </w:rPr>
      </w:pPr>
      <w:bookmarkStart w:id="276" w:name="_Toc51864311"/>
      <w:r>
        <w:t xml:space="preserve">40 </w:t>
      </w:r>
      <w:r w:rsidRPr="00B977A2">
        <w:t>GHz (37</w:t>
      </w:r>
      <w:r w:rsidR="00EC13FB">
        <w:t>–</w:t>
      </w:r>
      <w:r w:rsidRPr="00B977A2">
        <w:t>43.5 GHz)</w:t>
      </w:r>
      <w:bookmarkEnd w:id="276"/>
    </w:p>
    <w:p w14:paraId="7E24CFD9" w14:textId="77777777" w:rsidR="00B977A2" w:rsidRDefault="00B977A2" w:rsidP="00513FDE">
      <w:pPr>
        <w:pStyle w:val="Paragraphbeforelist"/>
      </w:pPr>
      <w:r w:rsidRPr="00B53F89">
        <w:t>The 4</w:t>
      </w:r>
      <w:r>
        <w:t>0</w:t>
      </w:r>
      <w:r w:rsidRPr="00B53F89">
        <w:t xml:space="preserve"> GHz band </w:t>
      </w:r>
      <w:r>
        <w:t xml:space="preserve">has primary </w:t>
      </w:r>
      <w:r w:rsidRPr="00B53F89">
        <w:t>allocat</w:t>
      </w:r>
      <w:r>
        <w:t>ions</w:t>
      </w:r>
      <w:r w:rsidRPr="00B53F89">
        <w:t xml:space="preserve"> in the RRs </w:t>
      </w:r>
      <w:r>
        <w:t xml:space="preserve">for a range of services across different portions of the band. This includes space research, </w:t>
      </w:r>
      <w:r w:rsidRPr="00B53F89">
        <w:t>fixed</w:t>
      </w:r>
      <w:r>
        <w:t>,</w:t>
      </w:r>
      <w:r w:rsidRPr="00B53F89">
        <w:t xml:space="preserve"> mobile</w:t>
      </w:r>
      <w:r>
        <w:t>, mobile satellite and fixed satellite</w:t>
      </w:r>
      <w:r w:rsidRPr="00B53F89">
        <w:t xml:space="preserve"> services in Australia.</w:t>
      </w:r>
      <w:r>
        <w:t xml:space="preserve"> Some of the footnotes in the ARSP that apply to the 40 GHz band include: </w:t>
      </w:r>
    </w:p>
    <w:p w14:paraId="6546B8C8" w14:textId="37BD0891" w:rsidR="00B977A2" w:rsidRPr="00507460" w:rsidRDefault="00FF6587" w:rsidP="00B977A2">
      <w:pPr>
        <w:pStyle w:val="ListBullet"/>
        <w:ind w:left="284" w:hanging="284"/>
      </w:pPr>
      <w:r>
        <w:t>f</w:t>
      </w:r>
      <w:r w:rsidR="00B977A2">
        <w:t>ootnote 516B</w:t>
      </w:r>
      <w:r w:rsidR="00C436E3">
        <w:t>, which</w:t>
      </w:r>
      <w:r w:rsidR="00B977A2">
        <w:t xml:space="preserve"> identifies different portions of the band in Regions 1, 2 and 3 for use by high-density fixed satellite service applications </w:t>
      </w:r>
    </w:p>
    <w:p w14:paraId="652BC1B9" w14:textId="24141121" w:rsidR="00B977A2" w:rsidRPr="00675DBE" w:rsidRDefault="00FF6587" w:rsidP="00B977A2">
      <w:pPr>
        <w:pStyle w:val="ListBullet"/>
        <w:ind w:left="284" w:hanging="284"/>
      </w:pPr>
      <w:r>
        <w:t>f</w:t>
      </w:r>
      <w:r w:rsidR="00B977A2">
        <w:t>ootnote 547</w:t>
      </w:r>
      <w:r w:rsidR="00C436E3">
        <w:t>, which</w:t>
      </w:r>
      <w:r w:rsidR="00B977A2">
        <w:t xml:space="preserve"> identifies the 37</w:t>
      </w:r>
      <w:r>
        <w:t>–</w:t>
      </w:r>
      <w:r w:rsidR="00B977A2">
        <w:t>40 GHz and 40.5</w:t>
      </w:r>
      <w:r>
        <w:t>–</w:t>
      </w:r>
      <w:r w:rsidR="00B977A2">
        <w:t xml:space="preserve">43.5 GHz bands for use by high-density applications of the fixed service </w:t>
      </w:r>
    </w:p>
    <w:p w14:paraId="5AB3B3B7" w14:textId="53441873" w:rsidR="00B977A2" w:rsidRPr="00507460" w:rsidRDefault="00FF6587" w:rsidP="00B977A2">
      <w:pPr>
        <w:pStyle w:val="ListBullet"/>
        <w:ind w:left="284" w:hanging="284"/>
      </w:pPr>
      <w:r>
        <w:t>f</w:t>
      </w:r>
      <w:r w:rsidR="00B977A2">
        <w:t>ootnote AUS87</w:t>
      </w:r>
      <w:r w:rsidR="00C436E3">
        <w:t>, which</w:t>
      </w:r>
      <w:r w:rsidR="00B977A2">
        <w:t xml:space="preserve"> identifies several radio astronomy facilities that use the </w:t>
      </w:r>
      <w:r w:rsidR="00C436E3">
        <w:t>40 </w:t>
      </w:r>
      <w:r w:rsidR="00B977A2">
        <w:t>GHz band to conduct passive observations</w:t>
      </w:r>
    </w:p>
    <w:p w14:paraId="3B0267B2" w14:textId="29CAFAA8" w:rsidR="00B977A2" w:rsidRPr="00675DBE" w:rsidRDefault="00FF6587" w:rsidP="00513FDE">
      <w:pPr>
        <w:pStyle w:val="Bulletlevel1last"/>
      </w:pPr>
      <w:r>
        <w:t>f</w:t>
      </w:r>
      <w:r w:rsidR="00B977A2">
        <w:t>ootnote AUS101</w:t>
      </w:r>
      <w:r w:rsidR="00C436E3">
        <w:t>, which</w:t>
      </w:r>
      <w:r w:rsidR="00B977A2">
        <w:t xml:space="preserve"> states the 37</w:t>
      </w:r>
      <w:r>
        <w:t>–</w:t>
      </w:r>
      <w:r w:rsidR="00B977A2">
        <w:t xml:space="preserve">37.5 GHz band is </w:t>
      </w:r>
      <w:r w:rsidR="00B977A2" w:rsidRPr="00B53F89">
        <w:t>designat</w:t>
      </w:r>
      <w:r w:rsidR="00B977A2">
        <w:t>ed</w:t>
      </w:r>
      <w:r w:rsidR="00B977A2" w:rsidRPr="00B53F89">
        <w:t xml:space="preserve"> to be used principally for the purposes of defence and national security. The Department of Defence is normally consulted in considering non-defence use of this service.</w:t>
      </w:r>
    </w:p>
    <w:p w14:paraId="6650E6F0" w14:textId="4DF2AAB3" w:rsidR="00B977A2" w:rsidRPr="00675DBE" w:rsidRDefault="00B977A2" w:rsidP="00B977A2">
      <w:r>
        <w:t>In Australia, there are currently arrangements in place for point-to-point use of the 37.5</w:t>
      </w:r>
      <w:r w:rsidR="00FF6587">
        <w:t>–</w:t>
      </w:r>
      <w:r>
        <w:t xml:space="preserve">39.5 GHz band. </w:t>
      </w:r>
    </w:p>
    <w:p w14:paraId="3AF34A36" w14:textId="77777777" w:rsidR="00B977A2" w:rsidRPr="00B53F89" w:rsidRDefault="00B977A2" w:rsidP="00B977A2">
      <w:pPr>
        <w:pStyle w:val="BodySubHeader"/>
      </w:pPr>
      <w:r w:rsidRPr="00B53F89">
        <w:t>Recent developments</w:t>
      </w:r>
    </w:p>
    <w:p w14:paraId="443B6CE1" w14:textId="77777777" w:rsidR="000244A0" w:rsidRDefault="00B977A2" w:rsidP="00B977A2">
      <w:r>
        <w:t>At WRC-19, t</w:t>
      </w:r>
      <w:r w:rsidRPr="00B53F89">
        <w:t xml:space="preserve">he </w:t>
      </w:r>
      <w:r>
        <w:t>40 GHz band was identified globally for IMT. In December 2019, the US commenced an auction for licences in the 37.6</w:t>
      </w:r>
      <w:r w:rsidR="00FF6587">
        <w:t>–</w:t>
      </w:r>
      <w:r>
        <w:t>38.6 GHz, 38.6</w:t>
      </w:r>
      <w:r w:rsidR="00FF6587">
        <w:t>–</w:t>
      </w:r>
      <w:r>
        <w:t>40 GHz and 47.2</w:t>
      </w:r>
      <w:r w:rsidR="00FF6587">
        <w:t>–</w:t>
      </w:r>
      <w:r>
        <w:t xml:space="preserve">48.2 GHz frequency ranges to support 5G. </w:t>
      </w:r>
    </w:p>
    <w:p w14:paraId="2272CA78" w14:textId="3CB9F010" w:rsidR="00B977A2" w:rsidRDefault="00B977A2" w:rsidP="00B977A2">
      <w:r>
        <w:lastRenderedPageBreak/>
        <w:t>Brazil has announced plans for the 37.6</w:t>
      </w:r>
      <w:r w:rsidR="00FF6587">
        <w:t>–</w:t>
      </w:r>
      <w:r>
        <w:t>40 GHz band and will consider the 37</w:t>
      </w:r>
      <w:r w:rsidR="00FF6587">
        <w:t>–</w:t>
      </w:r>
      <w:r>
        <w:t>37.6 GHz frequency range later in 2020.</w:t>
      </w:r>
      <w:r>
        <w:rPr>
          <w:rStyle w:val="FootnoteReference"/>
          <w:rFonts w:cs="Arial"/>
        </w:rPr>
        <w:footnoteReference w:id="51"/>
      </w:r>
    </w:p>
    <w:p w14:paraId="28CE10B2" w14:textId="77777777" w:rsidR="00B977A2" w:rsidRDefault="00B977A2" w:rsidP="00B977A2">
      <w:r>
        <w:t xml:space="preserve">As a result of these developments, it is likely </w:t>
      </w:r>
      <w:r w:rsidRPr="00B53F89">
        <w:t xml:space="preserve">a viable ecosystem could develop for </w:t>
      </w:r>
      <w:r>
        <w:t xml:space="preserve">fixed and </w:t>
      </w:r>
      <w:r w:rsidRPr="00B53F89">
        <w:t xml:space="preserve">mobile broadband systems in this band. </w:t>
      </w:r>
    </w:p>
    <w:p w14:paraId="046351DD" w14:textId="77777777" w:rsidR="00B977A2" w:rsidRDefault="00B977A2" w:rsidP="00B977A2">
      <w:r>
        <w:t xml:space="preserve">The ACMA is also aware of interest from the satellite industry for access to this band. This includes for uncoordinated class licence and coordinated earth station use. </w:t>
      </w:r>
    </w:p>
    <w:p w14:paraId="71482C8D" w14:textId="77777777" w:rsidR="00B977A2" w:rsidRPr="00B53F89" w:rsidRDefault="00B977A2" w:rsidP="00B977A2">
      <w:pPr>
        <w:pStyle w:val="BodySubHeader"/>
      </w:pPr>
      <w:r w:rsidRPr="00B53F89">
        <w:t>Next steps</w:t>
      </w:r>
    </w:p>
    <w:p w14:paraId="4B696FBB" w14:textId="78E20FEF" w:rsidR="00B977A2" w:rsidRDefault="00B977A2" w:rsidP="00B977A2">
      <w:r w:rsidRPr="00B53F89">
        <w:t>The ACMA will continue to monitor developments in this band.</w:t>
      </w:r>
    </w:p>
    <w:p w14:paraId="071299BE" w14:textId="5ED1B385" w:rsidR="00B977A2" w:rsidRDefault="00B977A2" w:rsidP="00513FDE">
      <w:pPr>
        <w:keepNext/>
        <w:keepLines/>
        <w:spacing w:after="0"/>
      </w:pPr>
      <w:r w:rsidRPr="006A2F04">
        <w:rPr>
          <w:noProof/>
        </w:rPr>
        <w:drawing>
          <wp:inline distT="0" distB="0" distL="0" distR="0" wp14:anchorId="5AA684C3" wp14:editId="4140227A">
            <wp:extent cx="341630" cy="359410"/>
            <wp:effectExtent l="0" t="0" r="1270" b="2540"/>
            <wp:docPr id="115" name="Picture 115"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69A42EF1" wp14:editId="5AA9C4D7">
            <wp:extent cx="342900" cy="361950"/>
            <wp:effectExtent l="0" t="0" r="0" b="0"/>
            <wp:docPr id="116" name="Picture 11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DE0E137" wp14:editId="272CC40A">
            <wp:extent cx="342900" cy="361950"/>
            <wp:effectExtent l="0" t="0" r="0" b="0"/>
            <wp:docPr id="117" name="Picture 117"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2B84841" w14:textId="63754E8E" w:rsidR="00B977A2" w:rsidRDefault="00B977A2" w:rsidP="00513FDE">
      <w:pPr>
        <w:pStyle w:val="Heading3"/>
        <w:keepLines/>
        <w:rPr>
          <w:b w:val="0"/>
          <w:bCs w:val="0"/>
        </w:rPr>
      </w:pPr>
      <w:bookmarkStart w:id="277" w:name="_Toc51864312"/>
      <w:r>
        <w:t>46 GHz (45.5</w:t>
      </w:r>
      <w:r w:rsidR="00E80AF4">
        <w:t>–</w:t>
      </w:r>
      <w:r>
        <w:t>47 GHz)</w:t>
      </w:r>
      <w:bookmarkEnd w:id="277"/>
    </w:p>
    <w:p w14:paraId="32B8C85F" w14:textId="77777777" w:rsidR="00B977A2" w:rsidRDefault="00B977A2" w:rsidP="00513FDE">
      <w:pPr>
        <w:pStyle w:val="Paragraphbeforelist"/>
        <w:keepNext/>
        <w:keepLines/>
      </w:pPr>
      <w:r w:rsidRPr="00B53F89">
        <w:t>The 4</w:t>
      </w:r>
      <w:r>
        <w:t>6</w:t>
      </w:r>
      <w:r w:rsidRPr="00B53F89">
        <w:t xml:space="preserve"> GHz band </w:t>
      </w:r>
      <w:r>
        <w:t xml:space="preserve">has primary </w:t>
      </w:r>
      <w:r w:rsidRPr="00B53F89">
        <w:t>allocat</w:t>
      </w:r>
      <w:r>
        <w:t>ions</w:t>
      </w:r>
      <w:r w:rsidRPr="00B53F89">
        <w:t xml:space="preserve"> in the RRs </w:t>
      </w:r>
      <w:r>
        <w:t xml:space="preserve">for </w:t>
      </w:r>
      <w:r w:rsidRPr="00B53F89">
        <w:t>mobile</w:t>
      </w:r>
      <w:r>
        <w:t>, mobile satellite, radionavigation and radionavigation satellite</w:t>
      </w:r>
      <w:r w:rsidRPr="00B53F89">
        <w:t xml:space="preserve"> services in Australia.</w:t>
      </w:r>
      <w:r>
        <w:t xml:space="preserve"> Some of the footnotes in the ARSP that apply to the 46 GHz band include: </w:t>
      </w:r>
    </w:p>
    <w:p w14:paraId="75EBA76B" w14:textId="2283CE52" w:rsidR="00B977A2" w:rsidRPr="009C7A14" w:rsidRDefault="00E80AF4" w:rsidP="00E80AF4">
      <w:pPr>
        <w:pStyle w:val="ListBullet"/>
        <w:ind w:left="284" w:hanging="284"/>
      </w:pPr>
      <w:r>
        <w:t>f</w:t>
      </w:r>
      <w:r w:rsidR="00B977A2">
        <w:t>ootnote 62</w:t>
      </w:r>
      <w:r>
        <w:t>,</w:t>
      </w:r>
      <w:r w:rsidR="00B977A2">
        <w:t xml:space="preserve"> which indicates that parts of the band might be used in the future for defence</w:t>
      </w:r>
    </w:p>
    <w:p w14:paraId="6C82BBF0" w14:textId="6F80F3B8" w:rsidR="00B977A2" w:rsidRPr="00507460" w:rsidRDefault="00E80AF4" w:rsidP="00513FDE">
      <w:pPr>
        <w:pStyle w:val="Bulletlevel1last"/>
      </w:pPr>
      <w:r>
        <w:t>f</w:t>
      </w:r>
      <w:r w:rsidR="00B977A2">
        <w:t>ootnote AUS87</w:t>
      </w:r>
      <w:r>
        <w:t>,</w:t>
      </w:r>
      <w:r w:rsidR="00B977A2">
        <w:t xml:space="preserve"> which identifies several radio astronomy facilities that use the </w:t>
      </w:r>
      <w:r>
        <w:t>46 </w:t>
      </w:r>
      <w:r w:rsidR="00B977A2">
        <w:t>GHz band to conduct passive observations.</w:t>
      </w:r>
    </w:p>
    <w:p w14:paraId="6E70E0FE" w14:textId="77777777" w:rsidR="00B977A2" w:rsidRPr="00675DBE" w:rsidRDefault="00B977A2" w:rsidP="00B977A2">
      <w:r>
        <w:t xml:space="preserve">In Australia, there are currently no formal arrangements for any services in the band. </w:t>
      </w:r>
    </w:p>
    <w:p w14:paraId="7B746562" w14:textId="77777777" w:rsidR="00B977A2" w:rsidRPr="00B53F89" w:rsidRDefault="00B977A2" w:rsidP="00B977A2">
      <w:pPr>
        <w:pStyle w:val="BodySubHeader"/>
      </w:pPr>
      <w:r w:rsidRPr="00B53F89">
        <w:t>Recent developments</w:t>
      </w:r>
    </w:p>
    <w:p w14:paraId="3B625D35" w14:textId="77777777" w:rsidR="00B977A2" w:rsidRDefault="00B977A2" w:rsidP="00B977A2">
      <w:r>
        <w:t>At WRC-19, more than 50 countries (mainly from Region 1) identified t</w:t>
      </w:r>
      <w:r w:rsidRPr="00B53F89">
        <w:t xml:space="preserve">he </w:t>
      </w:r>
      <w:r>
        <w:t xml:space="preserve">46 GHz band for IMT. </w:t>
      </w:r>
    </w:p>
    <w:p w14:paraId="479E96CA" w14:textId="77777777" w:rsidR="00B977A2" w:rsidRPr="00B53F89" w:rsidRDefault="00B977A2" w:rsidP="00B977A2">
      <w:pPr>
        <w:pStyle w:val="BodySubHeader"/>
      </w:pPr>
      <w:r w:rsidRPr="00B53F89">
        <w:t>Next steps</w:t>
      </w:r>
    </w:p>
    <w:p w14:paraId="77B8944E" w14:textId="651247E3" w:rsidR="00B977A2" w:rsidRDefault="00B977A2" w:rsidP="00B977A2">
      <w:r w:rsidRPr="00B53F89">
        <w:t>The ACMA will continue to monitor developments in this band.</w:t>
      </w:r>
    </w:p>
    <w:p w14:paraId="095CBE96" w14:textId="111FBD80" w:rsidR="00B977A2" w:rsidRDefault="00B977A2" w:rsidP="00513FDE">
      <w:pPr>
        <w:spacing w:after="0"/>
      </w:pPr>
      <w:r w:rsidRPr="006A2F04">
        <w:rPr>
          <w:noProof/>
        </w:rPr>
        <w:drawing>
          <wp:inline distT="0" distB="0" distL="0" distR="0" wp14:anchorId="0ED08703" wp14:editId="70D82AF8">
            <wp:extent cx="341630" cy="359410"/>
            <wp:effectExtent l="0" t="0" r="1270" b="2540"/>
            <wp:docPr id="119" name="Picture 11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09B5825D" wp14:editId="1356D95E">
            <wp:extent cx="342900" cy="361950"/>
            <wp:effectExtent l="0" t="0" r="0" b="0"/>
            <wp:docPr id="121" name="Picture 12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27197806" w14:textId="0D17C06C" w:rsidR="00A25629" w:rsidRDefault="00A25629" w:rsidP="00A25629">
      <w:pPr>
        <w:pStyle w:val="Heading3"/>
        <w:rPr>
          <w:b w:val="0"/>
          <w:bCs w:val="0"/>
        </w:rPr>
      </w:pPr>
      <w:bookmarkStart w:id="278" w:name="_Toc51864313"/>
      <w:r>
        <w:t>47 GHz (47.2</w:t>
      </w:r>
      <w:r w:rsidR="00EB7670">
        <w:t>–</w:t>
      </w:r>
      <w:r>
        <w:t>48.2 GHz)</w:t>
      </w:r>
      <w:bookmarkEnd w:id="278"/>
    </w:p>
    <w:p w14:paraId="00323FDE" w14:textId="7EB21919" w:rsidR="00A25629" w:rsidRPr="00507460" w:rsidRDefault="00A25629" w:rsidP="00513FDE">
      <w:r w:rsidRPr="00B53F89">
        <w:t>The 4</w:t>
      </w:r>
      <w:r>
        <w:t xml:space="preserve">7 </w:t>
      </w:r>
      <w:r w:rsidRPr="00B53F89">
        <w:t xml:space="preserve">GHz band </w:t>
      </w:r>
      <w:r>
        <w:t xml:space="preserve">has primary </w:t>
      </w:r>
      <w:r w:rsidRPr="00B53F89">
        <w:t>allocat</w:t>
      </w:r>
      <w:r>
        <w:t>ions</w:t>
      </w:r>
      <w:r w:rsidRPr="00B53F89">
        <w:t xml:space="preserve"> in the RRs </w:t>
      </w:r>
      <w:r>
        <w:t xml:space="preserve">for fixed, </w:t>
      </w:r>
      <w:r w:rsidRPr="00B53F89">
        <w:t>mobile</w:t>
      </w:r>
      <w:r>
        <w:t xml:space="preserve"> and fixed satellite </w:t>
      </w:r>
      <w:r w:rsidRPr="00B53F89">
        <w:t>services in Australia.</w:t>
      </w:r>
      <w:r>
        <w:t xml:space="preserve"> Footnote AUS87 </w:t>
      </w:r>
      <w:r w:rsidR="001000CD">
        <w:t xml:space="preserve">in the ARSP </w:t>
      </w:r>
      <w:r>
        <w:t>identifies several radio astronomy facilities that use the 47 GHz band to conduct passive observations.</w:t>
      </w:r>
    </w:p>
    <w:p w14:paraId="22C8CAB8" w14:textId="77777777" w:rsidR="00A25629" w:rsidRPr="00675DBE" w:rsidRDefault="00A25629" w:rsidP="00A25629">
      <w:r>
        <w:t xml:space="preserve">In Australia, there are currently no formal arrangements for any services in the band. </w:t>
      </w:r>
    </w:p>
    <w:p w14:paraId="0C15A8A0" w14:textId="77777777" w:rsidR="00A25629" w:rsidRPr="00B53F89" w:rsidRDefault="00A25629" w:rsidP="00A25629">
      <w:pPr>
        <w:pStyle w:val="BodySubHeader"/>
      </w:pPr>
      <w:r w:rsidRPr="00B53F89">
        <w:t>Recent developments</w:t>
      </w:r>
    </w:p>
    <w:p w14:paraId="35F2B155" w14:textId="59861B37" w:rsidR="00A25629" w:rsidRDefault="00A25629" w:rsidP="00A25629">
      <w:r>
        <w:t xml:space="preserve">At WRC-19, </w:t>
      </w:r>
      <w:r>
        <w:rPr>
          <w:lang w:eastAsia="en-US"/>
        </w:rPr>
        <w:t>Region 2 and 68 other countries in Region</w:t>
      </w:r>
      <w:r w:rsidR="001000CD">
        <w:rPr>
          <w:lang w:eastAsia="en-US"/>
        </w:rPr>
        <w:t>s</w:t>
      </w:r>
      <w:r>
        <w:rPr>
          <w:lang w:eastAsia="en-US"/>
        </w:rPr>
        <w:t xml:space="preserve"> 1 and 3, including Australia,</w:t>
      </w:r>
      <w:r>
        <w:t xml:space="preserve"> identified t</w:t>
      </w:r>
      <w:r w:rsidRPr="00B53F89">
        <w:t xml:space="preserve">he </w:t>
      </w:r>
      <w:r>
        <w:t xml:space="preserve">47 GHz band for IMT. </w:t>
      </w:r>
    </w:p>
    <w:p w14:paraId="3A89CDFD" w14:textId="5B3F81D7" w:rsidR="00A25629" w:rsidRDefault="00A25629" w:rsidP="00A25629">
      <w:r>
        <w:t>In December 2019, the US commenced an auction for licences in the 37.6</w:t>
      </w:r>
      <w:r w:rsidR="001000CD">
        <w:t>–</w:t>
      </w:r>
      <w:r>
        <w:t>38.6 GHz, 38.6</w:t>
      </w:r>
      <w:r w:rsidR="001000CD">
        <w:t>–</w:t>
      </w:r>
      <w:r>
        <w:t>40 GHz and 47.2</w:t>
      </w:r>
      <w:r w:rsidR="001000CD">
        <w:t>–</w:t>
      </w:r>
      <w:r>
        <w:t>48.2 GHz frequency ranges to support 5G.</w:t>
      </w:r>
      <w:r>
        <w:rPr>
          <w:rStyle w:val="FootnoteReference"/>
          <w:rFonts w:cs="Arial"/>
        </w:rPr>
        <w:footnoteReference w:id="52"/>
      </w:r>
    </w:p>
    <w:p w14:paraId="53B04105" w14:textId="72E757CC" w:rsidR="00A25629" w:rsidRDefault="00422038" w:rsidP="00A25629">
      <w:r>
        <w:lastRenderedPageBreak/>
        <w:t>We are</w:t>
      </w:r>
      <w:r w:rsidR="00A25629">
        <w:t xml:space="preserve"> also aware of interest from the satellite industry for access to this and the adjacent 48.2</w:t>
      </w:r>
      <w:r w:rsidR="00D90558">
        <w:t>–</w:t>
      </w:r>
      <w:r w:rsidR="00A25629">
        <w:t xml:space="preserve">50.2 GHz band. This includes for uncoordinated class licence and coordinated earth station use. </w:t>
      </w:r>
    </w:p>
    <w:p w14:paraId="2A8E86DC" w14:textId="77777777" w:rsidR="00A25629" w:rsidRPr="00B53F89" w:rsidRDefault="00A25629" w:rsidP="00A25629">
      <w:pPr>
        <w:pStyle w:val="BodySubHeader"/>
      </w:pPr>
      <w:r w:rsidRPr="00B53F89">
        <w:t>Next steps</w:t>
      </w:r>
    </w:p>
    <w:p w14:paraId="38D86EE7" w14:textId="77777777" w:rsidR="00A25629" w:rsidRDefault="00A25629" w:rsidP="00A25629">
      <w:r w:rsidRPr="00B53F89">
        <w:t>The ACMA will continue to monitor developments in this band.</w:t>
      </w:r>
    </w:p>
    <w:p w14:paraId="71AC83C7" w14:textId="68C2EA72" w:rsidR="00A25629" w:rsidRDefault="00A25629" w:rsidP="00513FDE">
      <w:pPr>
        <w:spacing w:after="0"/>
      </w:pPr>
      <w:r w:rsidRPr="006A2F04">
        <w:rPr>
          <w:noProof/>
        </w:rPr>
        <w:drawing>
          <wp:inline distT="0" distB="0" distL="0" distR="0" wp14:anchorId="676D0BC2" wp14:editId="5D6910A1">
            <wp:extent cx="342900" cy="361950"/>
            <wp:effectExtent l="0" t="0" r="0" b="0"/>
            <wp:docPr id="141" name="Picture 14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AB9A5FB" wp14:editId="5F214E2C">
            <wp:extent cx="342900" cy="361950"/>
            <wp:effectExtent l="0" t="0" r="0" b="0"/>
            <wp:docPr id="143" name="Picture 143"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1CB1DD2" wp14:editId="5843E0D2">
            <wp:extent cx="341630" cy="359410"/>
            <wp:effectExtent l="0" t="0" r="1270" b="2540"/>
            <wp:docPr id="144" name="Picture 144"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18A8F47A" wp14:editId="24B7B6BA">
            <wp:extent cx="342900" cy="361950"/>
            <wp:effectExtent l="0" t="0" r="0" b="0"/>
            <wp:docPr id="146" name="Picture 146"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C5832D9" w14:textId="77777777" w:rsidR="00A25629" w:rsidRPr="00F32001" w:rsidRDefault="00A25629" w:rsidP="00F32001">
      <w:pPr>
        <w:pStyle w:val="Heading3"/>
      </w:pPr>
      <w:bookmarkStart w:id="279" w:name="_Toc51864314"/>
      <w:r w:rsidRPr="00F32001">
        <w:t>Bands being studied under WRC-</w:t>
      </w:r>
      <w:r w:rsidRPr="00513FDE">
        <w:t>23 agenda item 1.2</w:t>
      </w:r>
      <w:bookmarkEnd w:id="279"/>
    </w:p>
    <w:p w14:paraId="3EA3A54B" w14:textId="77777777" w:rsidR="00A25629" w:rsidRPr="00395A0D" w:rsidRDefault="00A25629" w:rsidP="00A25629">
      <w:r w:rsidRPr="00395A0D">
        <w:t>WRC-23 agenda item 1.2 considers identification of the frequency bands 3300</w:t>
      </w:r>
      <w:r w:rsidRPr="00B53F89">
        <w:t>–</w:t>
      </w:r>
      <w:r w:rsidRPr="00395A0D">
        <w:t>3400 MHz, 3600</w:t>
      </w:r>
      <w:r w:rsidRPr="00B53F89">
        <w:t>–</w:t>
      </w:r>
      <w:r w:rsidRPr="00395A0D">
        <w:t>3800 MHz, 6425</w:t>
      </w:r>
      <w:r w:rsidRPr="00B53F89">
        <w:t>–</w:t>
      </w:r>
      <w:r w:rsidRPr="00395A0D">
        <w:t>7025 MHz, 7025</w:t>
      </w:r>
      <w:r w:rsidRPr="00B53F89">
        <w:t>–</w:t>
      </w:r>
      <w:r w:rsidRPr="00395A0D">
        <w:t>7125 MHz and 10.0</w:t>
      </w:r>
      <w:r w:rsidRPr="00B53F89">
        <w:t>–</w:t>
      </w:r>
      <w:r w:rsidRPr="00395A0D">
        <w:t xml:space="preserve">10.5 GHz for IMT, including possible additional allocations in the RRs to the mobile service on a primary basis. This agenda item is widely acknowledged to be focusing on spectrum harmonisation requirements for 5G mobile broadband technologies. </w:t>
      </w:r>
    </w:p>
    <w:p w14:paraId="27090EC1" w14:textId="77777777" w:rsidR="00A25629" w:rsidRPr="00395A0D" w:rsidRDefault="00A25629" w:rsidP="00A25629">
      <w:pPr>
        <w:pStyle w:val="BodySubHeader"/>
      </w:pPr>
      <w:r w:rsidRPr="00395A0D">
        <w:t>Recent developments</w:t>
      </w:r>
    </w:p>
    <w:p w14:paraId="2187DA28" w14:textId="77777777" w:rsidR="00A25629" w:rsidRPr="00395A0D" w:rsidRDefault="00A25629" w:rsidP="00A25629">
      <w:r w:rsidRPr="00395A0D">
        <w:t xml:space="preserve">Working Party 5D has been identified as the responsible party for conducting work under this agenda item. </w:t>
      </w:r>
      <w:r>
        <w:t>Work on this issue has recently commenced</w:t>
      </w:r>
      <w:r w:rsidRPr="00395A0D">
        <w:t>.</w:t>
      </w:r>
    </w:p>
    <w:p w14:paraId="73C8F46A" w14:textId="77777777" w:rsidR="00A25629" w:rsidRPr="00395A0D" w:rsidRDefault="00A25629" w:rsidP="00A25629">
      <w:pPr>
        <w:pStyle w:val="BodySubHeader"/>
        <w:keepNext/>
        <w:keepLines/>
      </w:pPr>
      <w:r w:rsidRPr="00395A0D">
        <w:t>Next steps</w:t>
      </w:r>
    </w:p>
    <w:p w14:paraId="7E0F599C" w14:textId="7F557613" w:rsidR="00A25629" w:rsidRDefault="00A25629" w:rsidP="00A25629">
      <w:r w:rsidRPr="00395A0D">
        <w:t>The ACMA will continue to engage with stakeholders via the usual international preparatory process to develop Australian positions on WRC</w:t>
      </w:r>
      <w:r w:rsidRPr="00395A0D">
        <w:noBreakHyphen/>
        <w:t>23 agenda item 1.2</w:t>
      </w:r>
      <w:r w:rsidRPr="00395A0D">
        <w:rPr>
          <w:rFonts w:cs="Arial"/>
        </w:rPr>
        <w:t xml:space="preserve">. </w:t>
      </w:r>
      <w:r w:rsidRPr="00395A0D">
        <w:t>Developments in Europe and other regions and countries (such as the US) will be monitored.</w:t>
      </w:r>
    </w:p>
    <w:p w14:paraId="400024B4" w14:textId="3AB48F13" w:rsidR="00A25629" w:rsidRDefault="00A25629" w:rsidP="00617B4B">
      <w:pPr>
        <w:spacing w:after="0"/>
      </w:pPr>
      <w:r w:rsidRPr="006A2F04">
        <w:rPr>
          <w:noProof/>
        </w:rPr>
        <w:drawing>
          <wp:inline distT="0" distB="0" distL="0" distR="0" wp14:anchorId="69076F8D" wp14:editId="5D4F54CE">
            <wp:extent cx="342900" cy="361950"/>
            <wp:effectExtent l="0" t="0" r="0" b="0"/>
            <wp:docPr id="174" name="Picture 17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BE1AD62" wp14:editId="5BC56E81">
            <wp:extent cx="342900" cy="361950"/>
            <wp:effectExtent l="0" t="0" r="0" b="0"/>
            <wp:docPr id="175" name="Picture 17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DDAAA3E" w14:textId="3EFEC531" w:rsidR="00A25629" w:rsidRPr="00A25629" w:rsidRDefault="00A25629" w:rsidP="00617B4B">
      <w:pPr>
        <w:pStyle w:val="Heading3"/>
        <w:keepNext w:val="0"/>
      </w:pPr>
      <w:bookmarkStart w:id="280" w:name="_Toc51864315"/>
      <w:r w:rsidRPr="00A25629">
        <w:t>Bands being studied under WRC-23 agenda item 1.4</w:t>
      </w:r>
      <w:bookmarkEnd w:id="280"/>
    </w:p>
    <w:p w14:paraId="001502C1" w14:textId="77777777" w:rsidR="00A25629" w:rsidRPr="005950F3" w:rsidRDefault="00A25629" w:rsidP="00617B4B">
      <w:pPr>
        <w:rPr>
          <w:highlight w:val="yellow"/>
        </w:rPr>
      </w:pPr>
      <w:r w:rsidRPr="00395A0D">
        <w:t xml:space="preserve">WRC-23 </w:t>
      </w:r>
      <w:r w:rsidRPr="00513FDE">
        <w:t>agenda item 1.4 considers</w:t>
      </w:r>
      <w:r w:rsidRPr="00395A0D">
        <w:t xml:space="preserve"> the use of high-altitude platform stations as IMT base stations (HIBS)</w:t>
      </w:r>
      <w:r>
        <w:t xml:space="preserve"> in the mobile service in certain frequency bands below 2.7 GHz already identified for IMT, on a global or regional level.</w:t>
      </w:r>
    </w:p>
    <w:p w14:paraId="4117462F" w14:textId="77777777" w:rsidR="00A25629" w:rsidRPr="00395A0D" w:rsidRDefault="00A25629" w:rsidP="00617B4B">
      <w:pPr>
        <w:pStyle w:val="BodySubHeader"/>
      </w:pPr>
      <w:r w:rsidRPr="00395A0D">
        <w:t>Recent developments</w:t>
      </w:r>
    </w:p>
    <w:p w14:paraId="34EC4906" w14:textId="77777777" w:rsidR="00A25629" w:rsidRPr="00395A0D" w:rsidRDefault="00A25629" w:rsidP="00617B4B">
      <w:r w:rsidRPr="00395A0D">
        <w:t xml:space="preserve">Working Party 5D has been identified as the responsible party for conducting work under this agenda item. </w:t>
      </w:r>
      <w:r>
        <w:t>Work on this issue has recently commenced</w:t>
      </w:r>
      <w:r w:rsidRPr="00395A0D">
        <w:t>.</w:t>
      </w:r>
    </w:p>
    <w:p w14:paraId="67BA4B63" w14:textId="77777777" w:rsidR="00A25629" w:rsidRPr="00395A0D" w:rsidRDefault="00A25629" w:rsidP="00617B4B">
      <w:pPr>
        <w:pStyle w:val="BodySubHeader"/>
      </w:pPr>
      <w:r w:rsidRPr="00395A0D">
        <w:t>Next steps</w:t>
      </w:r>
    </w:p>
    <w:p w14:paraId="7C32DB2C" w14:textId="70EAF77E" w:rsidR="00A25629" w:rsidRDefault="00A25629" w:rsidP="00617B4B">
      <w:r w:rsidRPr="00395A0D">
        <w:t>The ACMA will continue to engage with stakeholders via the usual international preparatory process to develop Australian positions on WRC</w:t>
      </w:r>
      <w:r w:rsidRPr="00395A0D">
        <w:noBreakHyphen/>
        <w:t>23 agenda item 1.</w:t>
      </w:r>
      <w:r>
        <w:t>4</w:t>
      </w:r>
      <w:r w:rsidRPr="00395A0D">
        <w:rPr>
          <w:rFonts w:cs="Arial"/>
        </w:rPr>
        <w:t xml:space="preserve">. </w:t>
      </w:r>
      <w:r w:rsidRPr="00395A0D">
        <w:t>Developments in Europe and other regions and countries (such as the US) will be monitored.</w:t>
      </w:r>
    </w:p>
    <w:p w14:paraId="6B829759" w14:textId="32D7E0EC" w:rsidR="00B977A2" w:rsidRDefault="00F32001" w:rsidP="00617B4B">
      <w:pPr>
        <w:pStyle w:val="Heading2"/>
        <w:keepNext w:val="0"/>
      </w:pPr>
      <w:bookmarkStart w:id="281" w:name="_Toc51846277"/>
      <w:bookmarkStart w:id="282" w:name="_Toc51864316"/>
      <w:r w:rsidRPr="00B53F89">
        <w:t xml:space="preserve">Initial </w:t>
      </w:r>
      <w:r>
        <w:t>i</w:t>
      </w:r>
      <w:r w:rsidRPr="00B53F89">
        <w:t>nvestigation</w:t>
      </w:r>
      <w:bookmarkEnd w:id="281"/>
      <w:bookmarkEnd w:id="282"/>
    </w:p>
    <w:p w14:paraId="3D0F1CC1" w14:textId="170CDA4D" w:rsidR="009C40B7" w:rsidRDefault="00F32001" w:rsidP="00617B4B">
      <w:r w:rsidRPr="00B53F89">
        <w:t xml:space="preserve">The </w:t>
      </w:r>
      <w:r w:rsidRPr="006E0D63">
        <w:rPr>
          <w:i/>
          <w:iCs/>
        </w:rPr>
        <w:t>initial investigation</w:t>
      </w:r>
      <w:r w:rsidRPr="00B53F89">
        <w:t xml:space="preserve"> stage normally includes initial consideration </w:t>
      </w:r>
      <w:r w:rsidR="009C40B7" w:rsidRPr="00D169BA">
        <w:t xml:space="preserve">and scoping of potential </w:t>
      </w:r>
      <w:r w:rsidR="009C40B7" w:rsidRPr="00896CB6">
        <w:t>options</w:t>
      </w:r>
      <w:r w:rsidR="009C40B7" w:rsidRPr="00D169BA">
        <w:t xml:space="preserve"> for domestic </w:t>
      </w:r>
      <w:r w:rsidR="009C40B7">
        <w:t xml:space="preserve">replanning </w:t>
      </w:r>
      <w:r w:rsidR="009C40B7" w:rsidRPr="00D169BA">
        <w:t>of a band</w:t>
      </w:r>
      <w:r w:rsidR="009C40B7">
        <w:t xml:space="preserve">. Triggers that influence when a band moves from </w:t>
      </w:r>
      <w:r w:rsidR="009C40B7" w:rsidRPr="00B26CA1">
        <w:t>monitoring</w:t>
      </w:r>
      <w:r w:rsidR="009C40B7">
        <w:t xml:space="preserve"> to </w:t>
      </w:r>
      <w:r w:rsidR="009C40B7" w:rsidRPr="00B26CA1">
        <w:t>initial investigation</w:t>
      </w:r>
      <w:r w:rsidR="009C40B7">
        <w:t xml:space="preserve"> include international spectrum harmonisation, technology standardisation, developments in other countries, the existing domestic spectrum environment and domestic demand drivers. </w:t>
      </w:r>
    </w:p>
    <w:p w14:paraId="464EE362" w14:textId="3A721D1D" w:rsidR="009C40B7" w:rsidRDefault="009C40B7" w:rsidP="00617B4B">
      <w:r>
        <w:t>This stage normally includes initial consideration of whether the new spectrum use</w:t>
      </w:r>
      <w:r w:rsidR="001E227C">
        <w:t>/</w:t>
      </w:r>
      <w:r w:rsidR="00D42185">
        <w:t>s</w:t>
      </w:r>
      <w:r>
        <w:t xml:space="preserve"> contributes to maximising the overall public benefit derived from use of the spectrum, along with </w:t>
      </w:r>
      <w:r w:rsidRPr="00D169BA">
        <w:t>preliminary assessment</w:t>
      </w:r>
      <w:r>
        <w:t xml:space="preserve">s on coexistence and other technical considerations. </w:t>
      </w:r>
    </w:p>
    <w:p w14:paraId="56764CA2" w14:textId="49FB3C8E" w:rsidR="00B977A2" w:rsidRDefault="00F32001" w:rsidP="00617B4B">
      <w:r w:rsidRPr="00B53F89">
        <w:lastRenderedPageBreak/>
        <w:t xml:space="preserve">Formal public consultation may occur through mechanisms </w:t>
      </w:r>
      <w:r w:rsidR="00D35ECC">
        <w:t>including</w:t>
      </w:r>
      <w:r w:rsidRPr="00B53F89">
        <w:t xml:space="preserve"> public industry meetings (such as spectrum tune-ups) and/or discussion papers where general feedback on issues is sought</w:t>
      </w:r>
      <w:r w:rsidRPr="00B53F89" w:rsidDel="00F97D59">
        <w:t>.</w:t>
      </w:r>
    </w:p>
    <w:p w14:paraId="7BA2B1EF" w14:textId="18EA3E9D" w:rsidR="00B977A2" w:rsidRDefault="00F32001" w:rsidP="00F32001">
      <w:pPr>
        <w:spacing w:after="0"/>
      </w:pPr>
      <w:r w:rsidRPr="006A2F04">
        <w:rPr>
          <w:noProof/>
        </w:rPr>
        <w:drawing>
          <wp:inline distT="0" distB="0" distL="0" distR="0" wp14:anchorId="6D70D065" wp14:editId="1BF797D9">
            <wp:extent cx="341630" cy="359410"/>
            <wp:effectExtent l="0" t="0" r="1270" b="2540"/>
            <wp:docPr id="176" name="Picture 176"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67150480" w14:textId="6518FE4B" w:rsidR="00B977A2" w:rsidRDefault="00F32001" w:rsidP="00F32001">
      <w:pPr>
        <w:pStyle w:val="Heading3"/>
      </w:pPr>
      <w:bookmarkStart w:id="283" w:name="_Toc51864317"/>
      <w:r w:rsidRPr="00B53F89">
        <w:t xml:space="preserve">‘Extended MSS L-band’ </w:t>
      </w:r>
      <w:r w:rsidRPr="00B53F89" w:rsidDel="00DA6C55">
        <w:t>(1518</w:t>
      </w:r>
      <w:r w:rsidRPr="00B53F89">
        <w:t>–</w:t>
      </w:r>
      <w:r w:rsidRPr="00B53F89" w:rsidDel="00DA6C55">
        <w:t>1525</w:t>
      </w:r>
      <w:r w:rsidRPr="00B53F89">
        <w:t xml:space="preserve"> MHz</w:t>
      </w:r>
      <w:r w:rsidRPr="00B53F89" w:rsidDel="00DA6C55">
        <w:t xml:space="preserve"> and 1668</w:t>
      </w:r>
      <w:r w:rsidRPr="00B53F89">
        <w:t>–</w:t>
      </w:r>
      <w:r w:rsidRPr="00B53F89" w:rsidDel="00DA6C55">
        <w:t>1675 MHz)</w:t>
      </w:r>
      <w:bookmarkEnd w:id="283"/>
    </w:p>
    <w:p w14:paraId="434AEB77" w14:textId="0AAB5897" w:rsidR="00D35ECC" w:rsidRPr="00B53F89" w:rsidRDefault="00D35ECC" w:rsidP="00D35ECC">
      <w:r w:rsidRPr="00B53F89">
        <w:t xml:space="preserve">WRC-03 and WRC-07 allocated additional spectrum in the RRs to the mobile satellite service (MSS) to complement existing L-band allocations used by numerous satellite operators. </w:t>
      </w:r>
    </w:p>
    <w:p w14:paraId="2C37FDF6" w14:textId="36C120F8" w:rsidR="00D35ECC" w:rsidRPr="00B53F89" w:rsidRDefault="00D35ECC" w:rsidP="00D35ECC">
      <w:r w:rsidRPr="00B53F89">
        <w:t xml:space="preserve">The upper and lower frequency ranges also have mobile and fixed allocations in the RR, while the upper band also has various meteorological, radioastronomy and space research service allocations. In Australia, channel planning arrangements are in place to support use of the band by fixed service </w:t>
      </w:r>
      <w:r>
        <w:t>d</w:t>
      </w:r>
      <w:r w:rsidRPr="00B53F89">
        <w:t xml:space="preserve">igital </w:t>
      </w:r>
      <w:r>
        <w:t>r</w:t>
      </w:r>
      <w:r w:rsidRPr="00B53F89">
        <w:t xml:space="preserve">adio </w:t>
      </w:r>
      <w:r>
        <w:t>c</w:t>
      </w:r>
      <w:r w:rsidRPr="00B53F89">
        <w:t xml:space="preserve">oncentrator </w:t>
      </w:r>
      <w:r>
        <w:t>s</w:t>
      </w:r>
      <w:r w:rsidRPr="00B53F89">
        <w:t>ystems.</w:t>
      </w:r>
    </w:p>
    <w:p w14:paraId="03D9898E" w14:textId="77777777" w:rsidR="00D35ECC" w:rsidRPr="00B53F89" w:rsidRDefault="00D35ECC" w:rsidP="00D35ECC">
      <w:pPr>
        <w:pStyle w:val="BodySubHeader"/>
        <w:keepNext/>
        <w:keepLines/>
      </w:pPr>
      <w:r w:rsidRPr="00B53F89">
        <w:t>Next steps</w:t>
      </w:r>
    </w:p>
    <w:p w14:paraId="4B7EB426" w14:textId="78616896" w:rsidR="00D35ECC" w:rsidRPr="00B53F89" w:rsidRDefault="00C436E3" w:rsidP="00D35ECC">
      <w:pPr>
        <w:keepNext/>
        <w:keepLines/>
      </w:pPr>
      <w:r>
        <w:t xml:space="preserve">We </w:t>
      </w:r>
      <w:r w:rsidR="00D35ECC" w:rsidRPr="00B53F89">
        <w:t xml:space="preserve">recognise the need to review planning arrangements in these bands to identify the spectrum use or uses that would maximise the overall public benefit and, if appropriate, vary spectrum management arrangements to support this use. </w:t>
      </w:r>
    </w:p>
    <w:p w14:paraId="0AE0719E" w14:textId="748C98AE" w:rsidR="00F32001" w:rsidRDefault="00D35ECC" w:rsidP="00D35ECC">
      <w:bookmarkStart w:id="284" w:name="_Hlk50383952"/>
      <w:r w:rsidRPr="00B53F89">
        <w:t xml:space="preserve">As the coexistence with potential broadband use below 1518 MHz is likely to be a substantial consideration, </w:t>
      </w:r>
      <w:r>
        <w:t>we are looking to undertake a</w:t>
      </w:r>
      <w:r w:rsidDel="00127CAB">
        <w:t xml:space="preserve"> </w:t>
      </w:r>
      <w:r w:rsidRPr="00B53F89">
        <w:t>simultaneous review of the extended MSS L-band and the 1.5 GHz bands</w:t>
      </w:r>
      <w:r w:rsidDel="00313AF6">
        <w:t>.</w:t>
      </w:r>
      <w:r w:rsidR="002C1DD4">
        <w:t xml:space="preserve"> Based on existing priorities and new issues raised in response to the draft FYSO</w:t>
      </w:r>
      <w:r w:rsidR="00870AFB">
        <w:t xml:space="preserve"> 2020</w:t>
      </w:r>
      <w:r w:rsidR="00E11811" w:rsidRPr="00E11811">
        <w:t>–</w:t>
      </w:r>
      <w:r w:rsidR="00870AFB">
        <w:t>24</w:t>
      </w:r>
      <w:r w:rsidR="002C1DD4">
        <w:t>, the ACMA does not plan to progress this review in the 2020</w:t>
      </w:r>
      <w:r w:rsidR="00E11811" w:rsidRPr="00E11811">
        <w:t>–</w:t>
      </w:r>
      <w:r w:rsidR="002C1DD4">
        <w:t xml:space="preserve">21 timeframe but will reassess for the FYSO </w:t>
      </w:r>
      <w:r w:rsidR="00870AFB">
        <w:t>2021</w:t>
      </w:r>
      <w:r w:rsidR="00E11811" w:rsidRPr="00E11811">
        <w:t>–</w:t>
      </w:r>
      <w:r w:rsidR="00870AFB">
        <w:t>25</w:t>
      </w:r>
      <w:r w:rsidDel="00313AF6">
        <w:t>.</w:t>
      </w:r>
    </w:p>
    <w:bookmarkEnd w:id="284"/>
    <w:p w14:paraId="4083A0EC" w14:textId="3215394E" w:rsidR="00CD225B" w:rsidRPr="00B53F89" w:rsidRDefault="00CD225B" w:rsidP="00CD225B">
      <w:pPr>
        <w:spacing w:after="0"/>
        <w:rPr>
          <w:rFonts w:eastAsia="SimSun"/>
          <w:lang w:eastAsia="zh-CN"/>
        </w:rPr>
      </w:pPr>
      <w:r w:rsidRPr="006A2F04">
        <w:rPr>
          <w:noProof/>
        </w:rPr>
        <w:drawing>
          <wp:inline distT="0" distB="0" distL="0" distR="0" wp14:anchorId="53E22A43" wp14:editId="267C2A14">
            <wp:extent cx="342900" cy="361950"/>
            <wp:effectExtent l="0" t="0" r="0" b="0"/>
            <wp:docPr id="231" name="Picture 23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466FDA9" wp14:editId="7E1DFF4D">
            <wp:extent cx="342900" cy="361950"/>
            <wp:effectExtent l="0" t="0" r="0" b="0"/>
            <wp:docPr id="232" name="Picture 232"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FD8350A" wp14:editId="0477BB72">
            <wp:extent cx="342900" cy="361950"/>
            <wp:effectExtent l="0" t="0" r="0" b="0"/>
            <wp:docPr id="233" name="Picture 23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593D42" w:rsidRPr="006A2F04">
        <w:rPr>
          <w:noProof/>
        </w:rPr>
        <w:drawing>
          <wp:inline distT="0" distB="0" distL="0" distR="0" wp14:anchorId="73443B47" wp14:editId="1BA2F9BF">
            <wp:extent cx="342900" cy="361950"/>
            <wp:effectExtent l="0" t="0" r="0" b="0"/>
            <wp:docPr id="238" name="Picture 238"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4C14A50" w14:textId="64DAB67E" w:rsidR="00CD225B" w:rsidRPr="00B53F89" w:rsidRDefault="00CF2DA2" w:rsidP="00CD225B">
      <w:pPr>
        <w:pStyle w:val="Heading3"/>
      </w:pPr>
      <w:bookmarkStart w:id="285" w:name="_Toc51864318"/>
      <w:r w:rsidRPr="006A2F04">
        <w:rPr>
          <w:noProof/>
        </w:rPr>
        <w:drawing>
          <wp:inline distT="0" distB="0" distL="0" distR="0" wp14:anchorId="3597D9C3" wp14:editId="1D89ED73">
            <wp:extent cx="244475" cy="140335"/>
            <wp:effectExtent l="0" t="0" r="3175" b="0"/>
            <wp:docPr id="244" name="Picture 244"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CD225B">
        <w:t>1880</w:t>
      </w:r>
      <w:r w:rsidR="00CD225B" w:rsidRPr="00B53F89">
        <w:t>–1920 MHz</w:t>
      </w:r>
      <w:bookmarkEnd w:id="285"/>
    </w:p>
    <w:p w14:paraId="564CAAF7" w14:textId="3B0A8502" w:rsidR="00CD225B" w:rsidRPr="00B53F89" w:rsidRDefault="00CD225B" w:rsidP="00CD225B">
      <w:pPr>
        <w:rPr>
          <w:rFonts w:ascii="Calibri" w:hAnsi="Calibri"/>
        </w:rPr>
      </w:pPr>
      <w:r w:rsidRPr="00B53F89">
        <w:t>The 1</w:t>
      </w:r>
      <w:r>
        <w:t>880</w:t>
      </w:r>
      <w:r w:rsidRPr="00B53F89">
        <w:t xml:space="preserve">–1920 MHz band is allocated in the ARSP to </w:t>
      </w:r>
      <w:r>
        <w:t>f</w:t>
      </w:r>
      <w:r w:rsidRPr="00B53F89">
        <w:t xml:space="preserve">ixed and </w:t>
      </w:r>
      <w:r>
        <w:t>m</w:t>
      </w:r>
      <w:r w:rsidRPr="00B53F89">
        <w:t xml:space="preserve">obile services on a primary basis. There are arrangements in place for </w:t>
      </w:r>
      <w:r w:rsidR="00411B95" w:rsidRPr="00553157">
        <w:t>Digitally Enhanced Cordless Telecommunications (DECT) technology</w:t>
      </w:r>
      <w:r w:rsidR="00411B95">
        <w:t xml:space="preserve"> under the </w:t>
      </w:r>
      <w:r w:rsidR="00411B95" w:rsidRPr="00553157">
        <w:t>Radiocommunications (Cordless Communications Devices) Class Licence 2014</w:t>
      </w:r>
      <w:r w:rsidR="00411B95">
        <w:t xml:space="preserve"> in the 1880–1900 MHz range and </w:t>
      </w:r>
      <w:r w:rsidRPr="00B53F89">
        <w:t xml:space="preserve">point-to-point and point-to-multipoint licensing in the </w:t>
      </w:r>
      <w:r>
        <w:t>1900</w:t>
      </w:r>
      <w:r w:rsidR="00E11811" w:rsidRPr="00E11811">
        <w:t>–</w:t>
      </w:r>
      <w:r>
        <w:t xml:space="preserve">1920 MHz range </w:t>
      </w:r>
      <w:r w:rsidRPr="00B53F89">
        <w:t xml:space="preserve">in regional and remote areas. </w:t>
      </w:r>
    </w:p>
    <w:p w14:paraId="56479FA5" w14:textId="77777777" w:rsidR="00CD225B" w:rsidRPr="00B53F89" w:rsidRDefault="00CD225B" w:rsidP="00CD225B">
      <w:pPr>
        <w:pStyle w:val="BodySubHeader"/>
      </w:pPr>
      <w:r w:rsidRPr="00B53F89">
        <w:t>Recent developments</w:t>
      </w:r>
    </w:p>
    <w:p w14:paraId="14C45596" w14:textId="43BD7C17" w:rsidR="00CD225B" w:rsidRDefault="00CD225B" w:rsidP="00CD225B">
      <w:r w:rsidRPr="00B53F89">
        <w:t>Metropolitan areas of the 1900–1920 MHz band were previously subject to spectrum licensing. However, when licences expired in 2017, licensees did not seek to have them re-issued. While the band is identified internationally for IMT by the ITU, to date, domestic</w:t>
      </w:r>
      <w:r>
        <w:t xml:space="preserve"> use</w:t>
      </w:r>
      <w:r w:rsidRPr="00B53F89">
        <w:t xml:space="preserve"> for wireless broadband services has been low in metropolitan, regional and remote areas.</w:t>
      </w:r>
    </w:p>
    <w:p w14:paraId="65830035" w14:textId="574E4DDA" w:rsidR="0005732F" w:rsidRDefault="00553157" w:rsidP="00553157">
      <w:r>
        <w:t xml:space="preserve">Several submissions to the FYSO proposed </w:t>
      </w:r>
      <w:r w:rsidR="003411C3">
        <w:t xml:space="preserve">reviewing the arrangements in the 1880–1900 MHz range to better align with </w:t>
      </w:r>
      <w:r w:rsidR="005D5F72">
        <w:t>those</w:t>
      </w:r>
      <w:r w:rsidR="003411C3">
        <w:t xml:space="preserve"> in the 2.4 G</w:t>
      </w:r>
      <w:r w:rsidR="00743C1E">
        <w:t>H</w:t>
      </w:r>
      <w:r w:rsidR="003411C3">
        <w:t>z and 5.8 GHz bands</w:t>
      </w:r>
      <w:r w:rsidR="00593D42">
        <w:t xml:space="preserve"> and to cater for the emergence of new technologies, such as Multefire</w:t>
      </w:r>
      <w:r w:rsidR="003411C3">
        <w:t>.</w:t>
      </w:r>
      <w:r w:rsidR="00743C1E">
        <w:t xml:space="preserve"> </w:t>
      </w:r>
    </w:p>
    <w:p w14:paraId="3F59DE1A" w14:textId="41275B50" w:rsidR="00553157" w:rsidRDefault="00743C1E" w:rsidP="00553157">
      <w:r>
        <w:t>Other submissions proposed re-examining the 1900–1920 MHz range</w:t>
      </w:r>
      <w:r w:rsidR="00553157">
        <w:t xml:space="preserve"> for </w:t>
      </w:r>
      <w:r>
        <w:t xml:space="preserve">use by </w:t>
      </w:r>
      <w:r w:rsidR="00553157">
        <w:t>applications such as local area wireless broadband</w:t>
      </w:r>
      <w:r w:rsidR="00B4303B">
        <w:t xml:space="preserve"> or extending current point</w:t>
      </w:r>
      <w:r w:rsidR="00C436E3">
        <w:t>-</w:t>
      </w:r>
      <w:r w:rsidR="00B4303B">
        <w:t>to</w:t>
      </w:r>
      <w:r w:rsidR="00C436E3">
        <w:t>-</w:t>
      </w:r>
      <w:r w:rsidR="00B4303B">
        <w:t xml:space="preserve">multipoint uses into </w:t>
      </w:r>
      <w:r w:rsidR="00545375">
        <w:t>metropolitan areas</w:t>
      </w:r>
      <w:r w:rsidR="00553157">
        <w:t>.</w:t>
      </w:r>
    </w:p>
    <w:p w14:paraId="4B140A66" w14:textId="77777777" w:rsidR="00CD225B" w:rsidRPr="00B53F89" w:rsidRDefault="00CD225B" w:rsidP="001A0E71">
      <w:pPr>
        <w:pStyle w:val="BodySubHeader"/>
        <w:keepNext/>
        <w:keepLines/>
      </w:pPr>
      <w:r w:rsidRPr="00B53F89">
        <w:lastRenderedPageBreak/>
        <w:t>Next steps</w:t>
      </w:r>
    </w:p>
    <w:p w14:paraId="55DAA89E" w14:textId="17A1B666" w:rsidR="00CD225B" w:rsidRDefault="00112349" w:rsidP="001A0E71">
      <w:pPr>
        <w:keepLines/>
      </w:pPr>
      <w:r>
        <w:t xml:space="preserve">Recognising </w:t>
      </w:r>
      <w:r w:rsidR="000D6444">
        <w:t xml:space="preserve">that arrangements have been in place for the </w:t>
      </w:r>
      <w:bookmarkStart w:id="286" w:name="_Hlk50384175"/>
      <w:r w:rsidR="000D6444">
        <w:t>1880–1900 MHz range for some time</w:t>
      </w:r>
      <w:r w:rsidR="00C436E3">
        <w:t>,</w:t>
      </w:r>
      <w:r w:rsidR="000D6444">
        <w:t xml:space="preserve"> and </w:t>
      </w:r>
      <w:r w:rsidR="00C436E3">
        <w:t xml:space="preserve">the </w:t>
      </w:r>
      <w:r>
        <w:t>increased interest in</w:t>
      </w:r>
      <w:r w:rsidR="00440744">
        <w:t xml:space="preserve"> </w:t>
      </w:r>
      <w:r w:rsidR="0005732F">
        <w:t>reviewing</w:t>
      </w:r>
      <w:r w:rsidR="003411C3">
        <w:t xml:space="preserve"> </w:t>
      </w:r>
      <w:r w:rsidR="00440744">
        <w:t>both 1880–1900 MHz and 1900–1920 MHz ranges</w:t>
      </w:r>
      <w:r w:rsidR="000D6444">
        <w:t>,</w:t>
      </w:r>
      <w:r w:rsidR="003411C3">
        <w:t xml:space="preserve"> </w:t>
      </w:r>
      <w:r>
        <w:t xml:space="preserve">the ACMA </w:t>
      </w:r>
      <w:r w:rsidR="00CA1628">
        <w:t xml:space="preserve">has </w:t>
      </w:r>
      <w:r w:rsidR="00B4081A">
        <w:t>changed</w:t>
      </w:r>
      <w:r>
        <w:t xml:space="preserve"> the status to </w:t>
      </w:r>
      <w:r w:rsidRPr="00B26CA1">
        <w:t>initial investigation</w:t>
      </w:r>
      <w:r>
        <w:t xml:space="preserve"> </w:t>
      </w:r>
      <w:r w:rsidR="00B4081A">
        <w:t>for</w:t>
      </w:r>
      <w:r w:rsidR="00440744">
        <w:t xml:space="preserve"> the </w:t>
      </w:r>
      <w:r w:rsidR="00593D42">
        <w:t>frequency range</w:t>
      </w:r>
      <w:r w:rsidR="00440744">
        <w:t xml:space="preserve"> as a whole</w:t>
      </w:r>
      <w:r w:rsidR="0005732F">
        <w:t xml:space="preserve">. </w:t>
      </w:r>
      <w:r w:rsidR="00562344">
        <w:t>Consideration will begin in Q2 2021, including</w:t>
      </w:r>
      <w:r w:rsidR="00562344" w:rsidDel="00562344">
        <w:t xml:space="preserve"> </w:t>
      </w:r>
      <w:r>
        <w:t>develop</w:t>
      </w:r>
      <w:r w:rsidR="00CC5C49">
        <w:t>ing</w:t>
      </w:r>
      <w:r>
        <w:t xml:space="preserve"> a timeframe for releasing an initial discussion paper</w:t>
      </w:r>
      <w:r w:rsidR="00CD225B" w:rsidRPr="00B53F89">
        <w:t>.</w:t>
      </w:r>
      <w:bookmarkEnd w:id="286"/>
    </w:p>
    <w:p w14:paraId="5F6AC082" w14:textId="1BDAD407" w:rsidR="00F32001" w:rsidRDefault="00D35ECC" w:rsidP="00513FDE">
      <w:pPr>
        <w:keepNext/>
        <w:keepLines/>
        <w:spacing w:after="0"/>
      </w:pPr>
      <w:r w:rsidRPr="006A2F04">
        <w:rPr>
          <w:noProof/>
        </w:rPr>
        <w:drawing>
          <wp:inline distT="0" distB="0" distL="0" distR="0" wp14:anchorId="2F293A73" wp14:editId="5BB42C69">
            <wp:extent cx="342900" cy="361950"/>
            <wp:effectExtent l="0" t="0" r="0" b="0"/>
            <wp:docPr id="177" name="Picture 177"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504D315" wp14:editId="15228B7F">
            <wp:extent cx="342900" cy="361950"/>
            <wp:effectExtent l="0" t="0" r="0" b="0"/>
            <wp:docPr id="178" name="Picture 17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2408EBB" w14:textId="77777777" w:rsidR="00D35ECC" w:rsidRPr="00B53F89" w:rsidRDefault="00D35ECC" w:rsidP="00D35ECC">
      <w:pPr>
        <w:pStyle w:val="Heading3"/>
        <w:keepLines/>
      </w:pPr>
      <w:bookmarkStart w:id="287" w:name="_Toc31892805"/>
      <w:bookmarkStart w:id="288" w:name="_Toc36207423"/>
      <w:bookmarkStart w:id="289" w:name="_Toc51864319"/>
      <w:r w:rsidRPr="00B53F89">
        <w:t>2300–</w:t>
      </w:r>
      <w:r w:rsidRPr="00D35ECC">
        <w:t>2302</w:t>
      </w:r>
      <w:r w:rsidRPr="00B53F89">
        <w:t xml:space="preserve"> MHz</w:t>
      </w:r>
      <w:bookmarkEnd w:id="287"/>
      <w:bookmarkEnd w:id="288"/>
      <w:bookmarkEnd w:id="289"/>
    </w:p>
    <w:p w14:paraId="01B04107" w14:textId="77777777" w:rsidR="00D35ECC" w:rsidRPr="00B53F89" w:rsidRDefault="00D35ECC" w:rsidP="00D35ECC">
      <w:pPr>
        <w:keepNext/>
        <w:keepLines/>
        <w:rPr>
          <w:rFonts w:ascii="Calibri" w:hAnsi="Calibri"/>
        </w:rPr>
      </w:pPr>
      <w:r w:rsidRPr="00B53F89">
        <w:t>The 2300–2302 MHz band is allocated in the ARSP to the fixed and mobile services on a primary basis and amateur services on a secondary basis. It is currently used by amateur services. The adjacent 2302–2400 MHz (2.3 GHz) frequency range has been subject to spectrum licensing since the year 2000.</w:t>
      </w:r>
    </w:p>
    <w:p w14:paraId="61BB59A6" w14:textId="77777777" w:rsidR="00D35ECC" w:rsidRPr="00B53F89" w:rsidRDefault="00D35ECC" w:rsidP="00D35ECC">
      <w:pPr>
        <w:pStyle w:val="BodySubHeader"/>
      </w:pPr>
      <w:r w:rsidRPr="00B53F89">
        <w:t>Recent developments</w:t>
      </w:r>
    </w:p>
    <w:p w14:paraId="32753007" w14:textId="1A8F805B" w:rsidR="003D47C3" w:rsidRDefault="00D35ECC" w:rsidP="00D35ECC">
      <w:r w:rsidRPr="00B53F89">
        <w:t>The 2300–2400 MHz band was identified globally for IMT at WRC-07. The 2.3 GHz band is currently being used to provide wireless broadband services across Australia. The most spectrally</w:t>
      </w:r>
      <w:r w:rsidR="00562344">
        <w:t>-</w:t>
      </w:r>
      <w:r w:rsidRPr="00B53F89">
        <w:t xml:space="preserve">efficient profile bandwidths for internationally standardised wireless broadband equipment are in multiples of 5 MHz. </w:t>
      </w:r>
    </w:p>
    <w:p w14:paraId="6B6B174E" w14:textId="7D37E986" w:rsidR="00D35ECC" w:rsidRPr="00B53F89" w:rsidRDefault="00D35ECC" w:rsidP="00D35ECC">
      <w:pPr>
        <w:rPr>
          <w:lang w:eastAsia="zh-CN"/>
        </w:rPr>
      </w:pPr>
      <w:r w:rsidRPr="00B53F89">
        <w:t>In addition</w:t>
      </w:r>
      <w:r w:rsidR="003D47C3">
        <w:t>,</w:t>
      </w:r>
      <w:r w:rsidRPr="00B53F89">
        <w:t xml:space="preserve"> carrier aggregation and emerging 5G technologies will allow operators to deploy services in bandwidths </w:t>
      </w:r>
      <w:r w:rsidR="00562344">
        <w:t xml:space="preserve">of </w:t>
      </w:r>
      <w:r w:rsidRPr="00B53F89">
        <w:t xml:space="preserve">up to 100 MHz. The current 98 MHz of spectrum available in the 2.3 GHz band is not optimised for such use. Consequently, there is interest from spectrum licensees in the 2.3 GHz band in making the 2300–2302 MHz band available for wireless broadband use. </w:t>
      </w:r>
    </w:p>
    <w:p w14:paraId="0669F404" w14:textId="77777777" w:rsidR="00D35ECC" w:rsidRPr="00B53F89" w:rsidRDefault="00D35ECC" w:rsidP="00D35ECC">
      <w:pPr>
        <w:pStyle w:val="BodySubHeader"/>
      </w:pPr>
      <w:r w:rsidRPr="00B53F89">
        <w:t>Next steps</w:t>
      </w:r>
    </w:p>
    <w:p w14:paraId="0FF377CA" w14:textId="221A7158" w:rsidR="00B977A2" w:rsidRDefault="00D35ECC">
      <w:pPr>
        <w:rPr>
          <w:b/>
        </w:rPr>
      </w:pPr>
      <w:r w:rsidRPr="00B53F89">
        <w:t xml:space="preserve">Recognising competing interests for use of the 2300–2302 MHz band from incumbent and new services, </w:t>
      </w:r>
      <w:r>
        <w:t>we have</w:t>
      </w:r>
      <w:r w:rsidRPr="00B53F89">
        <w:t xml:space="preserve"> moved it to the </w:t>
      </w:r>
      <w:r w:rsidRPr="006C69E1">
        <w:t>initial investigation</w:t>
      </w:r>
      <w:r w:rsidRPr="00B53F89">
        <w:t xml:space="preserve"> stage. </w:t>
      </w:r>
      <w:r w:rsidR="00670C33">
        <w:t xml:space="preserve">Noting </w:t>
      </w:r>
      <w:r w:rsidR="009F01DC">
        <w:t>other priorities in the work program, we will reassess the priority in FYSO 2021</w:t>
      </w:r>
      <w:r w:rsidR="00E11811" w:rsidRPr="00E11811">
        <w:t>–</w:t>
      </w:r>
      <w:r w:rsidR="009F01DC">
        <w:t>25</w:t>
      </w:r>
      <w:r w:rsidRPr="00B53F89">
        <w:t xml:space="preserve">. Any review will necessarily </w:t>
      </w:r>
      <w:r w:rsidR="00355A8B" w:rsidRPr="00B53F89">
        <w:t>consider</w:t>
      </w:r>
      <w:r w:rsidRPr="00B53F89">
        <w:t xml:space="preserve"> the interests of incumbent amateur services and the importance of the band for activities such as </w:t>
      </w:r>
      <w:r w:rsidR="00562344">
        <w:t>e</w:t>
      </w:r>
      <w:r w:rsidRPr="00B53F89">
        <w:t>arth-</w:t>
      </w:r>
      <w:r w:rsidR="00562344">
        <w:t>m</w:t>
      </w:r>
      <w:r w:rsidRPr="00B53F89">
        <w:t>oon-</w:t>
      </w:r>
      <w:r w:rsidR="00562344">
        <w:t>e</w:t>
      </w:r>
      <w:r w:rsidRPr="00B53F89">
        <w:t>arth operations</w:t>
      </w:r>
      <w:r w:rsidRPr="00B53F89">
        <w:rPr>
          <w:b/>
          <w:bCs/>
        </w:rPr>
        <w:t>.</w:t>
      </w:r>
    </w:p>
    <w:p w14:paraId="16BB6818" w14:textId="037C928A" w:rsidR="001F19F4" w:rsidRDefault="001F19F4" w:rsidP="00F14472">
      <w:r w:rsidRPr="006A2F04">
        <w:rPr>
          <w:noProof/>
        </w:rPr>
        <w:drawing>
          <wp:inline distT="0" distB="0" distL="0" distR="0" wp14:anchorId="2A84B932" wp14:editId="40C1879C">
            <wp:extent cx="342900" cy="361950"/>
            <wp:effectExtent l="0" t="0" r="0" b="0"/>
            <wp:docPr id="224" name="Picture 22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D0E73ED" wp14:editId="0E8222FE">
            <wp:extent cx="342900" cy="361950"/>
            <wp:effectExtent l="0" t="0" r="0" b="0"/>
            <wp:docPr id="225" name="Picture 225"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3112D68" w14:textId="35CF8FB1" w:rsidR="009054E4" w:rsidRPr="00B53F89" w:rsidRDefault="006511E4" w:rsidP="009054E4">
      <w:pPr>
        <w:pStyle w:val="Heading3"/>
        <w:keepLines/>
      </w:pPr>
      <w:bookmarkStart w:id="290" w:name="_Toc51864320"/>
      <w:bookmarkStart w:id="291" w:name="_Hlk49344793"/>
      <w:r w:rsidRPr="006A2F04">
        <w:rPr>
          <w:noProof/>
        </w:rPr>
        <w:drawing>
          <wp:inline distT="0" distB="0" distL="0" distR="0" wp14:anchorId="76C8505D" wp14:editId="7DC00288">
            <wp:extent cx="244475" cy="140335"/>
            <wp:effectExtent l="0" t="0" r="3175" b="0"/>
            <wp:docPr id="245" name="Picture 245"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9054E4">
        <w:t>6 GHz Radio Local Area Networks (RLANs)</w:t>
      </w:r>
      <w:bookmarkEnd w:id="290"/>
    </w:p>
    <w:bookmarkEnd w:id="291"/>
    <w:p w14:paraId="3507B0A5" w14:textId="2E14AD4F" w:rsidR="009054E4" w:rsidRPr="00B53F89" w:rsidRDefault="001C18E4" w:rsidP="009054E4">
      <w:pPr>
        <w:keepNext/>
        <w:keepLines/>
        <w:rPr>
          <w:rFonts w:ascii="Calibri" w:hAnsi="Calibri"/>
        </w:rPr>
      </w:pPr>
      <w:r w:rsidRPr="001F19F4">
        <w:t xml:space="preserve">A significant number of submissions to the FYSO consultation indicated interest in </w:t>
      </w:r>
      <w:r w:rsidR="00895713" w:rsidRPr="001F19F4">
        <w:t xml:space="preserve">recent international </w:t>
      </w:r>
      <w:r w:rsidRPr="001F19F4">
        <w:t>developments in the 6 GHz band</w:t>
      </w:r>
      <w:r w:rsidR="00681FD0" w:rsidRPr="001F19F4">
        <w:t xml:space="preserve"> (5925–7125 MHz)</w:t>
      </w:r>
      <w:r w:rsidRPr="001F19F4">
        <w:t xml:space="preserve">. </w:t>
      </w:r>
      <w:r w:rsidR="000474D5" w:rsidRPr="001F19F4">
        <w:t>As a result</w:t>
      </w:r>
      <w:r w:rsidRPr="001F19F4">
        <w:t xml:space="preserve">, </w:t>
      </w:r>
      <w:r w:rsidR="009054E4" w:rsidRPr="001F19F4">
        <w:t>we</w:t>
      </w:r>
      <w:r w:rsidRPr="001F19F4">
        <w:t xml:space="preserve"> have moved </w:t>
      </w:r>
      <w:r w:rsidR="009054E4" w:rsidRPr="001F19F4">
        <w:t xml:space="preserve">this </w:t>
      </w:r>
      <w:r w:rsidRPr="001F19F4">
        <w:t xml:space="preserve">topic </w:t>
      </w:r>
      <w:r w:rsidR="009054E4" w:rsidRPr="001F19F4">
        <w:t xml:space="preserve">to the </w:t>
      </w:r>
      <w:r w:rsidR="009054E4" w:rsidRPr="00145EFB">
        <w:rPr>
          <w:iCs/>
        </w:rPr>
        <w:t>initial investigation</w:t>
      </w:r>
      <w:r w:rsidR="009054E4" w:rsidRPr="001F19F4">
        <w:t xml:space="preserve"> </w:t>
      </w:r>
      <w:r w:rsidRPr="001F19F4">
        <w:t>stage.</w:t>
      </w:r>
      <w:r w:rsidR="00B95326" w:rsidRPr="001F19F4">
        <w:t xml:space="preserve"> </w:t>
      </w:r>
      <w:r w:rsidR="00340FD1" w:rsidRPr="001F19F4">
        <w:t>Th</w:t>
      </w:r>
      <w:r w:rsidR="00022450" w:rsidRPr="001F19F4">
        <w:t>e</w:t>
      </w:r>
      <w:r w:rsidR="00340FD1" w:rsidRPr="001F19F4">
        <w:t xml:space="preserve"> investigation will also include </w:t>
      </w:r>
      <w:r w:rsidR="00022450" w:rsidRPr="001F19F4">
        <w:t>relevant part</w:t>
      </w:r>
      <w:r w:rsidR="00340FD1" w:rsidRPr="001F19F4">
        <w:t xml:space="preserve">s of the neighbouring 5 GHz band, </w:t>
      </w:r>
      <w:r w:rsidR="00022450" w:rsidRPr="001F19F4">
        <w:t xml:space="preserve">some of </w:t>
      </w:r>
      <w:r w:rsidR="00340FD1" w:rsidRPr="001F19F4">
        <w:t xml:space="preserve">which </w:t>
      </w:r>
      <w:r w:rsidR="00022450" w:rsidRPr="001F19F4">
        <w:t>are</w:t>
      </w:r>
      <w:r w:rsidR="00340FD1" w:rsidRPr="001F19F4">
        <w:t xml:space="preserve"> already included </w:t>
      </w:r>
      <w:r w:rsidR="00022450" w:rsidRPr="001F19F4">
        <w:t>in the LIPD class licence for use by RLAN devices.</w:t>
      </w:r>
    </w:p>
    <w:p w14:paraId="031076D2" w14:textId="77777777" w:rsidR="009054E4" w:rsidRPr="00B53F89" w:rsidRDefault="009054E4" w:rsidP="009054E4">
      <w:pPr>
        <w:pStyle w:val="BodySubHeader"/>
      </w:pPr>
      <w:r w:rsidRPr="00B53F89">
        <w:t>Recent developments</w:t>
      </w:r>
    </w:p>
    <w:p w14:paraId="12DE6FD9" w14:textId="4F20F433" w:rsidR="00B95326" w:rsidRPr="001F19F4" w:rsidRDefault="00B95326" w:rsidP="009054E4">
      <w:r w:rsidRPr="001F19F4">
        <w:t xml:space="preserve">The FCC and Ofcom have recently implemented changes to the 6 GHz band aimed at enabling the use of </w:t>
      </w:r>
      <w:r w:rsidR="00EA31A4" w:rsidRPr="001F19F4">
        <w:t xml:space="preserve">next-generation </w:t>
      </w:r>
      <w:r w:rsidR="001E227C">
        <w:t>wi-fi</w:t>
      </w:r>
      <w:r w:rsidR="00EA31A4" w:rsidRPr="001F19F4">
        <w:t xml:space="preserve"> (Wi-Fi 6E). </w:t>
      </w:r>
      <w:r w:rsidR="00681FD0" w:rsidRPr="001F19F4">
        <w:t>Regulators in o</w:t>
      </w:r>
      <w:r w:rsidR="00EA31A4" w:rsidRPr="001F19F4">
        <w:t>ther countries</w:t>
      </w:r>
      <w:r w:rsidR="00681FD0" w:rsidRPr="001F19F4">
        <w:t>—such as Brazil and South Korea—</w:t>
      </w:r>
      <w:r w:rsidR="00EA31A4" w:rsidRPr="001F19F4">
        <w:t xml:space="preserve">have </w:t>
      </w:r>
      <w:r w:rsidR="00681FD0" w:rsidRPr="001F19F4">
        <w:t>also started planning possible changes to the band.</w:t>
      </w:r>
      <w:r w:rsidR="00022450" w:rsidRPr="001F19F4">
        <w:t xml:space="preserve"> Parts of the 6 GHz band are also included for study in the current WRC study cycle (WRC-23, </w:t>
      </w:r>
      <w:r w:rsidR="001F19F4" w:rsidRPr="001F19F4">
        <w:t>a</w:t>
      </w:r>
      <w:r w:rsidR="00022450" w:rsidRPr="001F19F4">
        <w:t xml:space="preserve">genda </w:t>
      </w:r>
      <w:r w:rsidR="001F19F4" w:rsidRPr="001F19F4">
        <w:t>i</w:t>
      </w:r>
      <w:r w:rsidR="00022450" w:rsidRPr="001F19F4">
        <w:t>tem 1.2)</w:t>
      </w:r>
      <w:r w:rsidR="001F19F4" w:rsidRPr="001F19F4">
        <w:t xml:space="preserve"> to identify possible additional spectrum for IMT, including 5G.</w:t>
      </w:r>
    </w:p>
    <w:p w14:paraId="5135E8C3" w14:textId="0F09E2F3" w:rsidR="00340FD1" w:rsidRPr="001F19F4" w:rsidRDefault="00022450" w:rsidP="009054E4">
      <w:r w:rsidRPr="001F19F4">
        <w:t>During the WRC-19 study process, s</w:t>
      </w:r>
      <w:r w:rsidR="00340FD1" w:rsidRPr="001F19F4">
        <w:t xml:space="preserve">everal segments of the 5 GHz band (5150–5350 MHz and 5725–5925 MHz) were </w:t>
      </w:r>
      <w:r w:rsidRPr="001F19F4">
        <w:t xml:space="preserve">also </w:t>
      </w:r>
      <w:r w:rsidR="00340FD1" w:rsidRPr="001F19F4">
        <w:t xml:space="preserve">considered, resulting in changes to the </w:t>
      </w:r>
      <w:r w:rsidR="0025712A">
        <w:t>RR</w:t>
      </w:r>
      <w:r w:rsidR="00340FD1" w:rsidRPr="001F19F4">
        <w:t>s in some parts of those bands—most notably in 5150–5250 </w:t>
      </w:r>
      <w:r w:rsidR="001F19F4" w:rsidRPr="001F19F4">
        <w:t>MHz</w:t>
      </w:r>
      <w:r w:rsidR="001F19F4">
        <w:t>.</w:t>
      </w:r>
      <w:r w:rsidR="00346CCA" w:rsidRPr="00346CCA">
        <w:t xml:space="preserve"> </w:t>
      </w:r>
      <w:r w:rsidR="00346CCA" w:rsidRPr="00B53F89">
        <w:t xml:space="preserve">Arrangements </w:t>
      </w:r>
      <w:r w:rsidR="00346CCA" w:rsidRPr="00B53F89">
        <w:lastRenderedPageBreak/>
        <w:t xml:space="preserve">already exist in Australia for RLANs in the 5150–5350 MHz band (low power indoor use only) and the 5725–5850 MHz band. </w:t>
      </w:r>
      <w:r w:rsidR="0025712A">
        <w:t>We have</w:t>
      </w:r>
      <w:r w:rsidR="00346CCA" w:rsidRPr="00B53F89">
        <w:t xml:space="preserve"> also received requests to review existing Australian arrangements with a view to aligning them with US arrangements. The 5150–5350 MHz and 5725–5850 MHz bands are also included in the IEEE 802.11 series of standards for WLAN. There are no arrangements in place for RLANs in the 5350–5470 MHz and 5850–5925 MHz bands in Australia.</w:t>
      </w:r>
    </w:p>
    <w:p w14:paraId="23B91DD3" w14:textId="77777777" w:rsidR="009054E4" w:rsidRPr="00B53F89" w:rsidRDefault="009054E4" w:rsidP="009054E4">
      <w:pPr>
        <w:pStyle w:val="BodySubHeader"/>
      </w:pPr>
      <w:r w:rsidRPr="00B53F89">
        <w:t>Next steps</w:t>
      </w:r>
    </w:p>
    <w:p w14:paraId="0FB9F26F" w14:textId="5A924DC2" w:rsidR="009054E4" w:rsidRPr="00B53F89" w:rsidRDefault="00895713" w:rsidP="009054E4">
      <w:r>
        <w:t>We intend to release a discussion paper in Q4 2020</w:t>
      </w:r>
      <w:r w:rsidR="007512A4">
        <w:t xml:space="preserve"> as part of the </w:t>
      </w:r>
      <w:r w:rsidR="007512A4" w:rsidRPr="00B63D54">
        <w:rPr>
          <w:iCs/>
        </w:rPr>
        <w:t>initial investigation</w:t>
      </w:r>
      <w:r w:rsidR="0025712A">
        <w:rPr>
          <w:i/>
        </w:rPr>
        <w:t xml:space="preserve"> </w:t>
      </w:r>
      <w:r w:rsidR="0025712A" w:rsidRPr="00B63D54">
        <w:rPr>
          <w:iCs/>
        </w:rPr>
        <w:t>stage</w:t>
      </w:r>
      <w:r w:rsidR="007512A4">
        <w:t>, looking at the state of</w:t>
      </w:r>
      <w:r w:rsidR="00B95326">
        <w:t xml:space="preserve"> both the 5 GHz and 6 GHz bands, and recent</w:t>
      </w:r>
      <w:r w:rsidR="007512A4">
        <w:t xml:space="preserve"> international</w:t>
      </w:r>
      <w:r w:rsidR="00B95326">
        <w:t xml:space="preserve"> developments in those bands. We will</w:t>
      </w:r>
      <w:r w:rsidR="00866634">
        <w:t xml:space="preserve"> take a preliminary</w:t>
      </w:r>
      <w:r w:rsidR="00B95326">
        <w:t xml:space="preserve"> look at some</w:t>
      </w:r>
      <w:r w:rsidR="007512A4">
        <w:t xml:space="preserve"> </w:t>
      </w:r>
      <w:r w:rsidR="00866634">
        <w:t>potential new uses</w:t>
      </w:r>
      <w:r w:rsidR="007512A4">
        <w:t xml:space="preserve"> for the band in Australia, and </w:t>
      </w:r>
      <w:r w:rsidR="00B95326">
        <w:t>gauge</w:t>
      </w:r>
      <w:r w:rsidR="007512A4">
        <w:t xml:space="preserve"> industry </w:t>
      </w:r>
      <w:r w:rsidR="00866634">
        <w:t xml:space="preserve">appetite </w:t>
      </w:r>
      <w:r w:rsidR="007512A4">
        <w:t xml:space="preserve">for </w:t>
      </w:r>
      <w:r w:rsidR="00866634">
        <w:t>considering</w:t>
      </w:r>
      <w:r w:rsidR="007512A4">
        <w:t xml:space="preserve"> changes</w:t>
      </w:r>
      <w:r w:rsidR="00866634">
        <w:t xml:space="preserve"> to accommodate such uses</w:t>
      </w:r>
      <w:r w:rsidR="007512A4">
        <w:t>.</w:t>
      </w:r>
    </w:p>
    <w:p w14:paraId="5195250B" w14:textId="6590E95F" w:rsidR="009009FD" w:rsidRDefault="00D35ECC" w:rsidP="00D35ECC">
      <w:pPr>
        <w:pStyle w:val="Heading2"/>
      </w:pPr>
      <w:bookmarkStart w:id="292" w:name="_Toc51846278"/>
      <w:bookmarkStart w:id="293" w:name="_Toc51864321"/>
      <w:r w:rsidRPr="00B53F89">
        <w:t>Preliminary replanning</w:t>
      </w:r>
      <w:bookmarkEnd w:id="292"/>
      <w:bookmarkEnd w:id="293"/>
    </w:p>
    <w:p w14:paraId="33E1A7C8" w14:textId="6BA768F1" w:rsidR="008C6389" w:rsidRDefault="008C6389" w:rsidP="00D35ECC">
      <w:r w:rsidRPr="008238FA">
        <w:t xml:space="preserve">The </w:t>
      </w:r>
      <w:r w:rsidRPr="0078030B">
        <w:rPr>
          <w:i/>
        </w:rPr>
        <w:t>preliminary replanning</w:t>
      </w:r>
      <w:r w:rsidRPr="008238FA">
        <w:t xml:space="preserve"> stage </w:t>
      </w:r>
      <w:r>
        <w:rPr>
          <w:rFonts w:eastAsia="Calibri"/>
        </w:rPr>
        <w:t>includes i</w:t>
      </w:r>
      <w:r w:rsidRPr="00896CB6">
        <w:rPr>
          <w:rFonts w:eastAsia="Calibri"/>
        </w:rPr>
        <w:t>dentification of detailed replanning</w:t>
      </w:r>
      <w:r w:rsidRPr="00896CB6" w:rsidDel="008A199D">
        <w:rPr>
          <w:rFonts w:eastAsia="Calibri"/>
        </w:rPr>
        <w:t xml:space="preserve"> </w:t>
      </w:r>
      <w:r w:rsidR="008F1DC2">
        <w:rPr>
          <w:rFonts w:eastAsia="Calibri"/>
        </w:rPr>
        <w:t>options</w:t>
      </w:r>
      <w:r w:rsidRPr="00896CB6">
        <w:rPr>
          <w:rFonts w:eastAsia="Calibri"/>
        </w:rPr>
        <w:t xml:space="preserve"> based on feedback received at the </w:t>
      </w:r>
      <w:r w:rsidRPr="00B26CA1">
        <w:rPr>
          <w:rFonts w:eastAsia="Calibri"/>
        </w:rPr>
        <w:t>initial investigation</w:t>
      </w:r>
      <w:r w:rsidRPr="00896CB6">
        <w:rPr>
          <w:rFonts w:eastAsia="Calibri"/>
        </w:rPr>
        <w:t xml:space="preserve"> stage</w:t>
      </w:r>
      <w:r>
        <w:rPr>
          <w:rFonts w:eastAsia="Calibri"/>
        </w:rPr>
        <w:t>,</w:t>
      </w:r>
      <w:r w:rsidRPr="00896CB6">
        <w:rPr>
          <w:rFonts w:eastAsia="Calibri"/>
        </w:rPr>
        <w:t xml:space="preserve"> along with a detailed consideration of the spectrum </w:t>
      </w:r>
      <w:r w:rsidR="00A55CFF">
        <w:rPr>
          <w:rFonts w:eastAsia="Calibri"/>
        </w:rPr>
        <w:t>uses/</w:t>
      </w:r>
      <w:r w:rsidRPr="00896CB6">
        <w:rPr>
          <w:rFonts w:eastAsia="Calibri"/>
        </w:rPr>
        <w:t xml:space="preserve">s that would maximise the overall public benefit. Considerations </w:t>
      </w:r>
      <w:r>
        <w:rPr>
          <w:rFonts w:eastAsia="Calibri"/>
        </w:rPr>
        <w:t>are</w:t>
      </w:r>
      <w:r w:rsidRPr="00896CB6">
        <w:rPr>
          <w:rFonts w:eastAsia="Calibri"/>
        </w:rPr>
        <w:t xml:space="preserve"> informed by detailed technical coexistence studies and include </w:t>
      </w:r>
      <w:r w:rsidR="00F41DA1">
        <w:rPr>
          <w:rFonts w:eastAsia="Calibri"/>
        </w:rPr>
        <w:t>identification</w:t>
      </w:r>
      <w:r w:rsidRPr="00896CB6">
        <w:rPr>
          <w:rFonts w:eastAsia="Calibri"/>
        </w:rPr>
        <w:t xml:space="preserve"> of draft, high</w:t>
      </w:r>
      <w:r>
        <w:rPr>
          <w:rFonts w:eastAsia="Calibri"/>
        </w:rPr>
        <w:t>-</w:t>
      </w:r>
      <w:r w:rsidRPr="00896CB6">
        <w:rPr>
          <w:rFonts w:eastAsia="Calibri"/>
        </w:rPr>
        <w:t xml:space="preserve">level technical planning frameworks. Analysis </w:t>
      </w:r>
      <w:r>
        <w:rPr>
          <w:rFonts w:eastAsia="Calibri"/>
        </w:rPr>
        <w:t>is</w:t>
      </w:r>
      <w:r w:rsidRPr="00896CB6">
        <w:rPr>
          <w:rFonts w:eastAsia="Calibri"/>
        </w:rPr>
        <w:t xml:space="preserve"> undertaken of ongoing incumbent spectrum needs and identification of </w:t>
      </w:r>
      <w:r>
        <w:rPr>
          <w:rFonts w:eastAsia="Calibri"/>
        </w:rPr>
        <w:t>available</w:t>
      </w:r>
      <w:r w:rsidRPr="00896CB6">
        <w:rPr>
          <w:rFonts w:eastAsia="Calibri"/>
        </w:rPr>
        <w:t xml:space="preserve"> mitigations necessary to address the impact potential </w:t>
      </w:r>
      <w:r w:rsidRPr="005A4DAE">
        <w:rPr>
          <w:rFonts w:eastAsia="Calibri"/>
        </w:rPr>
        <w:t>changes</w:t>
      </w:r>
      <w:r w:rsidRPr="00896CB6">
        <w:rPr>
          <w:rFonts w:eastAsia="Calibri"/>
        </w:rPr>
        <w:t xml:space="preserve"> in the planning environment may have on incumbent users. </w:t>
      </w:r>
    </w:p>
    <w:p w14:paraId="39B74EA2" w14:textId="5AF88EDB" w:rsidR="00D35ECC" w:rsidRDefault="00D35ECC" w:rsidP="00D35ECC">
      <w:r w:rsidRPr="008238FA">
        <w:t xml:space="preserve">Formal public consultation may occur through mechanisms such as public industry meetings (such as spectrum tune-ups) and/or </w:t>
      </w:r>
      <w:r w:rsidR="00792DA3">
        <w:t>options</w:t>
      </w:r>
      <w:r w:rsidR="00792DA3" w:rsidRPr="008238FA">
        <w:t xml:space="preserve"> </w:t>
      </w:r>
      <w:r w:rsidRPr="008238FA">
        <w:t>papers where feedback on issues is sought.</w:t>
      </w:r>
    </w:p>
    <w:p w14:paraId="0355D43B" w14:textId="15538455" w:rsidR="00D35ECC" w:rsidRDefault="00D35ECC" w:rsidP="00513FDE">
      <w:pPr>
        <w:spacing w:after="0"/>
      </w:pPr>
      <w:r w:rsidRPr="006A2F04">
        <w:rPr>
          <w:noProof/>
        </w:rPr>
        <w:drawing>
          <wp:inline distT="0" distB="0" distL="0" distR="0" wp14:anchorId="25B3D057" wp14:editId="7E4C5D90">
            <wp:extent cx="342900" cy="361950"/>
            <wp:effectExtent l="0" t="0" r="0" b="0"/>
            <wp:docPr id="188" name="Picture 18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C73197A" wp14:editId="76A538A8">
            <wp:extent cx="341630" cy="359410"/>
            <wp:effectExtent l="0" t="0" r="1270" b="2540"/>
            <wp:docPr id="190" name="Picture 190"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552613D1" wp14:editId="30D313BD">
            <wp:extent cx="342900" cy="361950"/>
            <wp:effectExtent l="0" t="0" r="0" b="0"/>
            <wp:docPr id="191" name="Picture 191"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6D9748B" wp14:editId="0F5902AB">
            <wp:extent cx="342900" cy="361950"/>
            <wp:effectExtent l="0" t="0" r="0" b="0"/>
            <wp:docPr id="193" name="Picture 193"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90BFF82" wp14:editId="0C56191D">
            <wp:extent cx="342900" cy="361950"/>
            <wp:effectExtent l="0" t="0" r="0" b="0"/>
            <wp:docPr id="201" name="Picture 201"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B659357" wp14:editId="32D2675E">
            <wp:extent cx="342900" cy="361950"/>
            <wp:effectExtent l="0" t="0" r="0" b="0"/>
            <wp:docPr id="202" name="Picture 202"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0837576" wp14:editId="7E3E237A">
            <wp:extent cx="342900" cy="361950"/>
            <wp:effectExtent l="0" t="0" r="0" b="0"/>
            <wp:docPr id="203" name="Picture 203"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0087224" wp14:editId="1F0FB0F0">
            <wp:extent cx="342900" cy="361950"/>
            <wp:effectExtent l="0" t="0" r="0" b="0"/>
            <wp:docPr id="204" name="Picture 204"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21A8AA6" w14:textId="6A18F0DB" w:rsidR="00D35ECC" w:rsidRDefault="00D35ECC" w:rsidP="00D35ECC">
      <w:pPr>
        <w:pStyle w:val="Heading3"/>
      </w:pPr>
      <w:bookmarkStart w:id="294" w:name="_Toc51864322"/>
      <w:r w:rsidRPr="00B53F89">
        <w:t>1.5 GHz (1427</w:t>
      </w:r>
      <w:r w:rsidRPr="00513FDE">
        <w:t>–</w:t>
      </w:r>
      <w:r w:rsidRPr="00B53F89">
        <w:t>1518 MHz)</w:t>
      </w:r>
      <w:bookmarkEnd w:id="294"/>
    </w:p>
    <w:p w14:paraId="32303AFF" w14:textId="77777777" w:rsidR="00D35ECC" w:rsidRPr="00B53F89" w:rsidRDefault="00D35ECC" w:rsidP="00D35ECC">
      <w:r w:rsidRPr="00B53F89">
        <w:t>At WRC-15, all of the 1.5 GHz band was harmonised for IMT within ITU Regions 2 and 3, while ITU Region 1 identified 1427–1452 MHz and 1492–1518 MHz via regional footnotes. In ITU Region 1, only African and Arab states identified the 1452–1492 MHz range (CEPT did not identify this band due to an ongoing dispute with Regional Commonwealth in the field of Communications countries over the protection of Aeronautical Mobile Telemetry services).</w:t>
      </w:r>
    </w:p>
    <w:p w14:paraId="7F54070C" w14:textId="6A76FFC1" w:rsidR="00D35ECC" w:rsidRPr="00B53F89" w:rsidRDefault="00D35ECC" w:rsidP="00D35ECC">
      <w:r w:rsidRPr="00B53F89">
        <w:t xml:space="preserve">Domestically, the impact on aeronautical telemetry services and fixed services, including the </w:t>
      </w:r>
      <w:r w:rsidR="00B2132C">
        <w:t>d</w:t>
      </w:r>
      <w:r w:rsidRPr="00B53F89">
        <w:t xml:space="preserve">igital </w:t>
      </w:r>
      <w:r w:rsidR="00B2132C">
        <w:t>r</w:t>
      </w:r>
      <w:r w:rsidRPr="00B53F89">
        <w:t xml:space="preserve">adio </w:t>
      </w:r>
      <w:r w:rsidR="00B2132C">
        <w:t>c</w:t>
      </w:r>
      <w:r w:rsidRPr="00B53F89">
        <w:t xml:space="preserve">oncentrator </w:t>
      </w:r>
      <w:r w:rsidR="00B2132C">
        <w:t>s</w:t>
      </w:r>
      <w:r w:rsidRPr="00B53F89">
        <w:t>ystem, will need to be considered in any replanning process.</w:t>
      </w:r>
    </w:p>
    <w:p w14:paraId="559F6353" w14:textId="77777777" w:rsidR="00D35ECC" w:rsidRPr="00B53F89" w:rsidRDefault="00D35ECC" w:rsidP="00D35ECC">
      <w:r w:rsidRPr="00B53F89">
        <w:t>As referred to in Resolution</w:t>
      </w:r>
      <w:r w:rsidRPr="00B53F89">
        <w:rPr>
          <w:b/>
        </w:rPr>
        <w:t xml:space="preserve"> 223 (Rev. WRC-15)</w:t>
      </w:r>
      <w:r w:rsidRPr="00B53F89">
        <w:t>, some satellite industry representatives have also pointed out that compatibility with MSS operating above 1518 MHz will need to be considered.</w:t>
      </w:r>
    </w:p>
    <w:p w14:paraId="5EB24CAE" w14:textId="669CF457" w:rsidR="00D35ECC" w:rsidRPr="00B53F89" w:rsidRDefault="00D35ECC" w:rsidP="00D35ECC">
      <w:pPr>
        <w:rPr>
          <w:rFonts w:cs="Arial"/>
        </w:rPr>
      </w:pPr>
      <w:r w:rsidRPr="00B53F89">
        <w:t>There is support domestically from mobile broadband representatives for progressing the re-farming of this band.</w:t>
      </w:r>
      <w:r w:rsidRPr="00B53F89">
        <w:rPr>
          <w:rFonts w:cs="Arial"/>
        </w:rPr>
        <w:t xml:space="preserve"> </w:t>
      </w:r>
      <w:r w:rsidR="00B2132C">
        <w:rPr>
          <w:rFonts w:cs="Arial"/>
        </w:rPr>
        <w:t>We</w:t>
      </w:r>
      <w:r w:rsidRPr="00B53F89">
        <w:rPr>
          <w:rFonts w:cs="Arial"/>
        </w:rPr>
        <w:t xml:space="preserve"> released the discussion paper, </w:t>
      </w:r>
      <w:hyperlink r:id="rId76" w:history="1">
        <w:r w:rsidRPr="00B53F89">
          <w:rPr>
            <w:rStyle w:val="Hyperlink"/>
            <w:rFonts w:eastAsiaTheme="majorEastAsia" w:cs="Arial"/>
            <w:i/>
            <w:szCs w:val="20"/>
          </w:rPr>
          <w:t>Future use of the 1.5 GHz and 3.6 GHz bands</w:t>
        </w:r>
      </w:hyperlink>
      <w:r w:rsidRPr="00B53F89">
        <w:rPr>
          <w:rFonts w:cs="Arial"/>
        </w:rPr>
        <w:t xml:space="preserve"> in October 2016, </w:t>
      </w:r>
      <w:r w:rsidR="00B2132C">
        <w:rPr>
          <w:rFonts w:cs="Arial"/>
        </w:rPr>
        <w:t>and received</w:t>
      </w:r>
      <w:r w:rsidR="00B2132C" w:rsidRPr="00B53F89">
        <w:rPr>
          <w:rFonts w:cs="Arial"/>
        </w:rPr>
        <w:t xml:space="preserve"> </w:t>
      </w:r>
      <w:r w:rsidRPr="00B53F89">
        <w:rPr>
          <w:rFonts w:cs="Arial"/>
        </w:rPr>
        <w:t>72 submissions from industry.</w:t>
      </w:r>
    </w:p>
    <w:p w14:paraId="79348DC4" w14:textId="22516B3D" w:rsidR="00D35ECC" w:rsidRPr="00B53F89" w:rsidRDefault="00D35ECC" w:rsidP="00D35ECC">
      <w:pPr>
        <w:rPr>
          <w:rFonts w:cs="Arial"/>
        </w:rPr>
      </w:pPr>
      <w:r w:rsidRPr="00B53F89">
        <w:rPr>
          <w:rFonts w:cs="Arial"/>
        </w:rPr>
        <w:t xml:space="preserve">In June 2017, </w:t>
      </w:r>
      <w:r w:rsidR="00B2132C">
        <w:rPr>
          <w:rFonts w:cs="Arial"/>
        </w:rPr>
        <w:t>we</w:t>
      </w:r>
      <w:r w:rsidRPr="00B53F89">
        <w:rPr>
          <w:rFonts w:cs="Arial"/>
        </w:rPr>
        <w:t xml:space="preserve"> released a </w:t>
      </w:r>
      <w:hyperlink r:id="rId77" w:history="1">
        <w:r w:rsidRPr="00B53F89">
          <w:rPr>
            <w:rStyle w:val="Hyperlink"/>
            <w:rFonts w:eastAsiaTheme="majorEastAsia" w:cs="Arial"/>
            <w:szCs w:val="20"/>
          </w:rPr>
          <w:t>consultation package</w:t>
        </w:r>
      </w:hyperlink>
      <w:r w:rsidRPr="00B53F89">
        <w:rPr>
          <w:rFonts w:cs="Arial"/>
        </w:rPr>
        <w:t xml:space="preserve"> including </w:t>
      </w:r>
      <w:hyperlink r:id="rId78" w:history="1">
        <w:r w:rsidRPr="00513FDE">
          <w:rPr>
            <w:rStyle w:val="Hyperlink"/>
            <w:i/>
            <w:iCs/>
          </w:rPr>
          <w:t>Future use of the 1.5 GHz and 3.6 GHz bands—Summary of and response to 3.6 GHz submissions</w:t>
        </w:r>
      </w:hyperlink>
      <w:r w:rsidRPr="00B53F89">
        <w:rPr>
          <w:rFonts w:cs="Arial"/>
        </w:rPr>
        <w:t xml:space="preserve">. This detailed </w:t>
      </w:r>
      <w:r w:rsidR="00B2132C">
        <w:rPr>
          <w:rFonts w:cs="Arial"/>
        </w:rPr>
        <w:t>our</w:t>
      </w:r>
      <w:r w:rsidRPr="00B53F89">
        <w:rPr>
          <w:rFonts w:cs="Arial"/>
        </w:rPr>
        <w:t xml:space="preserve"> decision to progress both the 1.5 GHz and 3.6 GHz bands to the </w:t>
      </w:r>
      <w:r w:rsidRPr="004B5640">
        <w:rPr>
          <w:rFonts w:cs="Arial"/>
          <w:iCs/>
        </w:rPr>
        <w:t>preliminary replanning</w:t>
      </w:r>
      <w:r w:rsidRPr="00B53F89">
        <w:rPr>
          <w:rFonts w:cs="Arial"/>
        </w:rPr>
        <w:t xml:space="preserve"> stage for consideration of additional spectrum for mobile broadband services.</w:t>
      </w:r>
    </w:p>
    <w:p w14:paraId="72EFFD2C" w14:textId="77777777" w:rsidR="00D35ECC" w:rsidRPr="00B53F89" w:rsidRDefault="00D35ECC" w:rsidP="00D35ECC">
      <w:pPr>
        <w:pStyle w:val="BodySubHeader"/>
        <w:keepNext/>
        <w:keepLines/>
      </w:pPr>
      <w:r w:rsidRPr="00B53F89">
        <w:lastRenderedPageBreak/>
        <w:t>Recent developments</w:t>
      </w:r>
    </w:p>
    <w:p w14:paraId="7BD071E6" w14:textId="3704455B" w:rsidR="00D35ECC" w:rsidRDefault="00D35ECC" w:rsidP="00D35ECC">
      <w:bookmarkStart w:id="295" w:name="_Hlk36212722"/>
      <w:r>
        <w:t>WRC-19 agenda item 9.1.</w:t>
      </w:r>
      <w:r w:rsidR="007E4AAB">
        <w:t>2</w:t>
      </w:r>
      <w:r>
        <w:t xml:space="preserve"> considered the c</w:t>
      </w:r>
      <w:r w:rsidRPr="004F1FF1">
        <w:t>ompatibility of International Mobile Telecommunications and broadcasting-satellite service (sound) in the frequency band 1452</w:t>
      </w:r>
      <w:r w:rsidRPr="00B53F89">
        <w:t>–</w:t>
      </w:r>
      <w:r w:rsidRPr="004F1FF1">
        <w:t xml:space="preserve">1492 MHz in Regions 1 and </w:t>
      </w:r>
      <w:r>
        <w:t xml:space="preserve">3 as detailed in </w:t>
      </w:r>
      <w:r w:rsidRPr="00B53F89">
        <w:t xml:space="preserve">Resolution </w:t>
      </w:r>
      <w:r w:rsidRPr="00B53F89">
        <w:rPr>
          <w:b/>
        </w:rPr>
        <w:t>761 (WRC-15)</w:t>
      </w:r>
      <w:r w:rsidRPr="00B53F89">
        <w:t>. This resolution invite</w:t>
      </w:r>
      <w:r>
        <w:t>d</w:t>
      </w:r>
      <w:r w:rsidRPr="00B53F89">
        <w:t xml:space="preserve"> the ITU-R to conduct, in time for WRC-19, the appropriate regulatory and technical studies, with a view to ensuring the compatibility of IMT and the broadcasting-satellite service (BSS) (sound) in the frequency band 1452–1492 MHz in ITU Regions 1 and 3, considering IMT and BSS (sound) operational requirements.</w:t>
      </w:r>
    </w:p>
    <w:p w14:paraId="06AE7A92" w14:textId="77777777" w:rsidR="00D35ECC" w:rsidRPr="00683817" w:rsidRDefault="00D35ECC" w:rsidP="00D35ECC">
      <w:pPr>
        <w:rPr>
          <w:bCs/>
        </w:rPr>
      </w:pPr>
      <w:r>
        <w:t xml:space="preserve">At WRC-19, it was decided to retain and modify </w:t>
      </w:r>
      <w:r w:rsidRPr="00B53F89">
        <w:t xml:space="preserve">Resolution </w:t>
      </w:r>
      <w:r w:rsidRPr="00B53F89">
        <w:rPr>
          <w:b/>
        </w:rPr>
        <w:t>761 (WRC-1</w:t>
      </w:r>
      <w:r>
        <w:rPr>
          <w:b/>
        </w:rPr>
        <w:t>9</w:t>
      </w:r>
      <w:r w:rsidRPr="00B53F89">
        <w:rPr>
          <w:b/>
        </w:rPr>
        <w:t>)</w:t>
      </w:r>
      <w:r>
        <w:rPr>
          <w:b/>
        </w:rPr>
        <w:t xml:space="preserve"> </w:t>
      </w:r>
      <w:r>
        <w:rPr>
          <w:bCs/>
        </w:rPr>
        <w:t>to define restrictions and coordination triggers on BSS (sound) to protect IMT. Limits on IMT emissions from IMT near country borders were also introduced.</w:t>
      </w:r>
    </w:p>
    <w:p w14:paraId="6EA0E9CF" w14:textId="77777777" w:rsidR="00D35ECC" w:rsidRPr="00B53F89" w:rsidRDefault="00D35ECC" w:rsidP="00D35ECC">
      <w:pPr>
        <w:keepNext/>
        <w:keepLines/>
      </w:pPr>
      <w:r w:rsidRPr="00B53F89">
        <w:rPr>
          <w:rFonts w:eastAsia="SimSun"/>
          <w:lang w:eastAsia="zh-CN"/>
        </w:rPr>
        <w:t>Recommendation ITU-</w:t>
      </w:r>
      <w:r w:rsidRPr="00B53F89">
        <w:t xml:space="preserve">R M.1036 </w:t>
      </w:r>
      <w:r>
        <w:t>was updated to include</w:t>
      </w:r>
      <w:r w:rsidRPr="00B53F89">
        <w:t xml:space="preserve"> frequency arrangements for implementation of the terrestrial component of IMT in the </w:t>
      </w:r>
      <w:r>
        <w:t xml:space="preserve">1.5 GHz </w:t>
      </w:r>
      <w:r w:rsidRPr="00B53F89">
        <w:t>band</w:t>
      </w:r>
      <w:r>
        <w:t xml:space="preserve">. This includes a note to indicate studies are still being </w:t>
      </w:r>
      <w:r w:rsidRPr="00683817">
        <w:t xml:space="preserve">conducted in accordance with Resolution </w:t>
      </w:r>
      <w:r w:rsidRPr="00513FDE">
        <w:rPr>
          <w:b/>
          <w:bCs/>
        </w:rPr>
        <w:t>223</w:t>
      </w:r>
      <w:r w:rsidRPr="00683817">
        <w:t xml:space="preserve"> </w:t>
      </w:r>
      <w:r w:rsidRPr="002A1767">
        <w:rPr>
          <w:b/>
          <w:bCs/>
        </w:rPr>
        <w:t>(Rev.WRC-15)</w:t>
      </w:r>
      <w:r w:rsidRPr="00683817">
        <w:t xml:space="preserve"> to provide possible technical measures to facilitate adjacent band compatibility.</w:t>
      </w:r>
      <w:r>
        <w:t xml:space="preserve"> This work is underway in Working Party 5D and</w:t>
      </w:r>
      <w:r w:rsidDel="00486ABA">
        <w:t xml:space="preserve"> </w:t>
      </w:r>
      <w:r>
        <w:t xml:space="preserve">may result in a revision to the frequency arrangements contained in </w:t>
      </w:r>
      <w:r w:rsidRPr="00B53F89">
        <w:rPr>
          <w:rFonts w:eastAsia="SimSun"/>
          <w:lang w:eastAsia="zh-CN"/>
        </w:rPr>
        <w:t>Recommendation ITU-</w:t>
      </w:r>
      <w:r w:rsidRPr="00B53F89">
        <w:t>R M.1036</w:t>
      </w:r>
      <w:r>
        <w:t>.</w:t>
      </w:r>
    </w:p>
    <w:p w14:paraId="2E36A1F0" w14:textId="288BBEF4" w:rsidR="00D35ECC" w:rsidRPr="00B53F89" w:rsidRDefault="00D35ECC" w:rsidP="00D35ECC">
      <w:pPr>
        <w:rPr>
          <w:rFonts w:eastAsia="SimSun"/>
          <w:lang w:eastAsia="zh-CN"/>
        </w:rPr>
      </w:pPr>
      <w:r w:rsidRPr="00B53F89">
        <w:rPr>
          <w:rFonts w:eastAsia="SimSun"/>
          <w:lang w:eastAsia="zh-CN"/>
        </w:rPr>
        <w:t xml:space="preserve">The AWG has a work plan to develop a report on frequency arrangements for the </w:t>
      </w:r>
      <w:r w:rsidRPr="00B53F89">
        <w:rPr>
          <w:rFonts w:cs="Arial"/>
        </w:rPr>
        <w:t>1.</w:t>
      </w:r>
      <w:r w:rsidR="00B2132C" w:rsidRPr="00B53F89">
        <w:rPr>
          <w:rFonts w:cs="Arial"/>
        </w:rPr>
        <w:t>5</w:t>
      </w:r>
      <w:r w:rsidR="00B2132C">
        <w:rPr>
          <w:rFonts w:cs="Arial"/>
        </w:rPr>
        <w:t> </w:t>
      </w:r>
      <w:r w:rsidRPr="00B53F89">
        <w:rPr>
          <w:rFonts w:cs="Arial"/>
        </w:rPr>
        <w:t>GHz</w:t>
      </w:r>
      <w:r w:rsidRPr="00B53F89">
        <w:rPr>
          <w:rFonts w:eastAsia="SimSun"/>
          <w:lang w:eastAsia="zh-CN"/>
        </w:rPr>
        <w:t xml:space="preserve"> band. The proposal is to finalise the work at </w:t>
      </w:r>
      <w:r>
        <w:rPr>
          <w:rFonts w:eastAsia="SimSun"/>
          <w:lang w:eastAsia="zh-CN"/>
        </w:rPr>
        <w:t xml:space="preserve">the next </w:t>
      </w:r>
      <w:r w:rsidRPr="00B53F89">
        <w:rPr>
          <w:rFonts w:eastAsia="SimSun"/>
          <w:lang w:eastAsia="zh-CN"/>
        </w:rPr>
        <w:t xml:space="preserve">AWG-26 in </w:t>
      </w:r>
      <w:r w:rsidRPr="000C7A81">
        <w:rPr>
          <w:rFonts w:eastAsia="SimSun"/>
          <w:lang w:eastAsia="zh-CN"/>
        </w:rPr>
        <w:t>2020</w:t>
      </w:r>
      <w:r w:rsidR="00B2132C">
        <w:rPr>
          <w:rFonts w:eastAsia="SimSun"/>
          <w:lang w:eastAsia="zh-CN"/>
        </w:rPr>
        <w:t>,</w:t>
      </w:r>
      <w:r w:rsidRPr="00B53F89">
        <w:rPr>
          <w:rFonts w:eastAsia="SimSun"/>
          <w:lang w:eastAsia="zh-CN"/>
        </w:rPr>
        <w:t xml:space="preserve"> but this may be reviewed depending on progress.</w:t>
      </w:r>
    </w:p>
    <w:p w14:paraId="00EF31DC" w14:textId="77777777" w:rsidR="00D35ECC" w:rsidRPr="00B53F89" w:rsidRDefault="00D35ECC" w:rsidP="00D35ECC">
      <w:pPr>
        <w:pStyle w:val="BodySubHeader"/>
      </w:pPr>
      <w:r w:rsidRPr="00B53F89">
        <w:t>Next steps</w:t>
      </w:r>
    </w:p>
    <w:p w14:paraId="735864D7" w14:textId="6AF4C085" w:rsidR="00D35ECC" w:rsidRPr="00B53F89" w:rsidRDefault="00B2132C" w:rsidP="00D35ECC">
      <w:pPr>
        <w:rPr>
          <w:rFonts w:cs="Arial"/>
          <w:szCs w:val="20"/>
        </w:rPr>
      </w:pPr>
      <w:r>
        <w:t>We</w:t>
      </w:r>
      <w:r w:rsidR="00D35ECC" w:rsidRPr="00B53F89">
        <w:t xml:space="preserve"> will continue to monitor and engage with stakeholders via the usual international preparatory process to develop Australian positions on studies under </w:t>
      </w:r>
      <w:r w:rsidR="00D35ECC" w:rsidRPr="00B53F89">
        <w:rPr>
          <w:rFonts w:cs="Arial"/>
        </w:rPr>
        <w:t xml:space="preserve">Resolution </w:t>
      </w:r>
      <w:r w:rsidR="00D35ECC" w:rsidRPr="00B53F89">
        <w:rPr>
          <w:rFonts w:cs="Arial"/>
          <w:b/>
        </w:rPr>
        <w:t xml:space="preserve">223 (Rev. WRC-15) </w:t>
      </w:r>
      <w:r w:rsidR="00D35ECC" w:rsidRPr="00B53F89">
        <w:t>and Resolution</w:t>
      </w:r>
      <w:r w:rsidR="00D35ECC" w:rsidRPr="00B53F89">
        <w:rPr>
          <w:rFonts w:cs="Arial"/>
          <w:b/>
        </w:rPr>
        <w:t xml:space="preserve"> 761 (WRC-15),</w:t>
      </w:r>
      <w:r w:rsidR="00D35ECC" w:rsidRPr="00B53F89">
        <w:rPr>
          <w:rFonts w:cs="Arial"/>
        </w:rPr>
        <w:t xml:space="preserve"> </w:t>
      </w:r>
      <w:r w:rsidR="00D35ECC" w:rsidRPr="00B53F89">
        <w:t xml:space="preserve">and other international issues related to the 1.5 GHz band, such as possible new band plans. </w:t>
      </w:r>
      <w:r w:rsidR="00D35ECC" w:rsidRPr="00B53F89">
        <w:rPr>
          <w:rFonts w:cs="Arial"/>
          <w:szCs w:val="20"/>
        </w:rPr>
        <w:t>Stakeholders have also indicated interest in the band for private LTE networks, subject to equipment availability.</w:t>
      </w:r>
    </w:p>
    <w:p w14:paraId="7988BD3F" w14:textId="7797CE17" w:rsidR="002C1DD4" w:rsidRDefault="00D35ECC" w:rsidP="002C1DD4">
      <w:r w:rsidRPr="00B53F89">
        <w:t>As the coexistence with possible MSS use above 1518 MHz is likely to be a substantial consideration, the simultaneous review of the extended MSS L-band and the 1.5 GHz bands is considered to be appropriate.</w:t>
      </w:r>
      <w:r w:rsidR="002C1DD4">
        <w:t xml:space="preserve"> Based on existing priorities and new issues raised in response to the draft FYSO</w:t>
      </w:r>
      <w:r w:rsidR="002462D2">
        <w:t xml:space="preserve"> 2020</w:t>
      </w:r>
      <w:r w:rsidR="00E11811" w:rsidRPr="00E11811">
        <w:t>–</w:t>
      </w:r>
      <w:r w:rsidR="002462D2">
        <w:t>24</w:t>
      </w:r>
      <w:r w:rsidR="002C1DD4">
        <w:t>, the ACMA does not plan to progress this review in the 2020</w:t>
      </w:r>
      <w:r w:rsidR="00E11811" w:rsidRPr="00E11811">
        <w:t>–</w:t>
      </w:r>
      <w:r w:rsidR="002C1DD4">
        <w:t xml:space="preserve">21 timeframe but will reassess for the FYSO </w:t>
      </w:r>
      <w:r w:rsidR="002462D2">
        <w:t>2021</w:t>
      </w:r>
      <w:r w:rsidR="00E11811" w:rsidRPr="00E11811">
        <w:t>–</w:t>
      </w:r>
      <w:r w:rsidR="002462D2">
        <w:t>25</w:t>
      </w:r>
      <w:r w:rsidR="002C1DD4">
        <w:t xml:space="preserve">. </w:t>
      </w:r>
    </w:p>
    <w:bookmarkEnd w:id="295"/>
    <w:p w14:paraId="1CD51A1B" w14:textId="12AD9F87" w:rsidR="00D35ECC" w:rsidRDefault="00B2132C" w:rsidP="00513FDE">
      <w:pPr>
        <w:keepNext/>
        <w:keepLines/>
        <w:spacing w:after="0"/>
      </w:pPr>
      <w:r w:rsidRPr="006A2F04">
        <w:rPr>
          <w:noProof/>
        </w:rPr>
        <w:drawing>
          <wp:inline distT="0" distB="0" distL="0" distR="0" wp14:anchorId="5CACB786" wp14:editId="6909876A">
            <wp:extent cx="342900" cy="361950"/>
            <wp:effectExtent l="0" t="0" r="0" b="0"/>
            <wp:docPr id="205" name="Picture 205"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4727ED2" wp14:editId="277817AE">
            <wp:extent cx="341630" cy="359410"/>
            <wp:effectExtent l="0" t="0" r="1270" b="2540"/>
            <wp:docPr id="206" name="Picture 206"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0857CF02" wp14:editId="2BAD3DEB">
            <wp:extent cx="342900" cy="361950"/>
            <wp:effectExtent l="0" t="0" r="0" b="0"/>
            <wp:docPr id="207" name="Picture 207"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9CDBD82" wp14:editId="54EBF84C">
            <wp:extent cx="342900" cy="361950"/>
            <wp:effectExtent l="0" t="0" r="0" b="0"/>
            <wp:docPr id="208" name="Picture 208"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8A30A0D" w14:textId="0424DEE7" w:rsidR="00B2132C" w:rsidRPr="00B2132C" w:rsidRDefault="00B2132C" w:rsidP="00513FDE">
      <w:pPr>
        <w:pStyle w:val="Heading3"/>
        <w:keepLines/>
        <w:rPr>
          <w:b w:val="0"/>
        </w:rPr>
      </w:pPr>
      <w:bookmarkStart w:id="296" w:name="_Toc51864323"/>
      <w:r w:rsidRPr="000C7A81">
        <w:t>2 GHz (1980–2010 MHz and 2170–2200 MHz)</w:t>
      </w:r>
      <w:bookmarkEnd w:id="296"/>
    </w:p>
    <w:p w14:paraId="43D245A8" w14:textId="7B26B2B6" w:rsidR="00B2132C" w:rsidRPr="00B53F89" w:rsidRDefault="00B2132C" w:rsidP="00513FDE">
      <w:pPr>
        <w:keepNext/>
        <w:keepLines/>
      </w:pPr>
      <w:r w:rsidRPr="00B53F89">
        <w:rPr>
          <w:rFonts w:cs="Arial"/>
        </w:rPr>
        <w:t>T</w:t>
      </w:r>
      <w:r w:rsidRPr="00B53F89">
        <w:t xml:space="preserve">he 1980–2010 MHz and 2170–2200 MHz bands are currently used for television outside broadcast (TOB) services on a shared and non-exclusive basis for short-term applications, such as covering special events. TOB was introduced in the 2 GHz band in 2012 on an interim basis. </w:t>
      </w:r>
    </w:p>
    <w:p w14:paraId="74C70D14" w14:textId="77777777" w:rsidR="00B2132C" w:rsidRPr="00B53F89" w:rsidRDefault="00B2132C" w:rsidP="00513FDE">
      <w:pPr>
        <w:pStyle w:val="Paragraphbeforelist"/>
      </w:pPr>
      <w:r w:rsidRPr="00B53F89">
        <w:t xml:space="preserve">In Australia, policy arrangements are currently in place to support the following uses in various parts of the 2 GHz band: </w:t>
      </w:r>
    </w:p>
    <w:p w14:paraId="134DAA4F" w14:textId="77777777" w:rsidR="00B2132C" w:rsidRPr="00B53F89" w:rsidRDefault="00B2132C" w:rsidP="00B2132C">
      <w:pPr>
        <w:pStyle w:val="ListBullet"/>
        <w:ind w:left="284" w:hanging="284"/>
      </w:pPr>
      <w:r w:rsidRPr="009F36F7">
        <w:t>TOB</w:t>
      </w:r>
      <w:r w:rsidRPr="00B53F89">
        <w:t xml:space="preserve"> </w:t>
      </w:r>
      <w:r w:rsidRPr="009F36F7">
        <w:t>services</w:t>
      </w:r>
      <w:r w:rsidRPr="00B53F89">
        <w:t xml:space="preserve">—as detailed in </w:t>
      </w:r>
      <w:hyperlink r:id="rId79" w:history="1">
        <w:r w:rsidRPr="00B53F89">
          <w:rPr>
            <w:rStyle w:val="Hyperlink"/>
          </w:rPr>
          <w:t>RALI FX21</w:t>
        </w:r>
      </w:hyperlink>
    </w:p>
    <w:p w14:paraId="258B5DDC" w14:textId="77777777" w:rsidR="00B2132C" w:rsidRPr="00B53F89" w:rsidRDefault="00B2132C" w:rsidP="00B2132C">
      <w:pPr>
        <w:pStyle w:val="ListBullet"/>
        <w:ind w:left="284" w:hanging="284"/>
      </w:pPr>
      <w:r w:rsidRPr="00B53F89">
        <w:t>fixed point-to-point services that were licensed prior to the TOB band plan coming into effect</w:t>
      </w:r>
    </w:p>
    <w:p w14:paraId="6E9C8D7F" w14:textId="77777777" w:rsidR="00B2132C" w:rsidRPr="00B53F89" w:rsidRDefault="00B2132C" w:rsidP="00B2132C">
      <w:pPr>
        <w:pStyle w:val="ListBulletLast"/>
        <w:ind w:left="284" w:hanging="284"/>
      </w:pPr>
      <w:r w:rsidRPr="00B53F89">
        <w:t>short-term technology demonstrations or other short-term applications.</w:t>
      </w:r>
    </w:p>
    <w:p w14:paraId="06ED3368" w14:textId="77777777" w:rsidR="00B2132C" w:rsidRPr="00B53F89" w:rsidRDefault="00B2132C" w:rsidP="00B2132C">
      <w:pPr>
        <w:pStyle w:val="BodySubHeader"/>
        <w:keepNext/>
      </w:pPr>
      <w:r w:rsidRPr="00B53F89">
        <w:lastRenderedPageBreak/>
        <w:t>Recent developments</w:t>
      </w:r>
    </w:p>
    <w:p w14:paraId="54D9D068" w14:textId="77777777" w:rsidR="00B2132C" w:rsidRPr="00B53F89" w:rsidRDefault="00B2132C" w:rsidP="00513FDE">
      <w:pPr>
        <w:pStyle w:val="Paragraphbeforelist"/>
      </w:pPr>
      <w:r w:rsidRPr="00B53F89">
        <w:t xml:space="preserve">To assist future consideration of the </w:t>
      </w:r>
      <w:r w:rsidRPr="00B53F89">
        <w:rPr>
          <w:szCs w:val="26"/>
        </w:rPr>
        <w:t>2 GHz band</w:t>
      </w:r>
      <w:r w:rsidRPr="00B53F89">
        <w:t xml:space="preserve">, the ACMA released the discussion paper </w:t>
      </w:r>
      <w:hyperlink r:id="rId80" w:history="1">
        <w:r w:rsidRPr="006A2F04">
          <w:rPr>
            <w:rStyle w:val="Hyperlink"/>
            <w:i/>
            <w:iCs/>
          </w:rPr>
          <w:t>Planning of the 2 GHz band</w:t>
        </w:r>
      </w:hyperlink>
      <w:r w:rsidRPr="00B53F89">
        <w:t xml:space="preserve"> in August 2019 seeking industry views on what technologies should be supported and replanning considerations. Reflecting on international and domestic trends in the 2 GHz band, it appears one or a combination of the following four services could potentially make use of this spectrum in the future:</w:t>
      </w:r>
    </w:p>
    <w:p w14:paraId="5AEF4D45" w14:textId="0F1F221E" w:rsidR="003C4953" w:rsidRPr="00B53F89" w:rsidRDefault="003C4953" w:rsidP="00B2132C">
      <w:pPr>
        <w:pStyle w:val="ListBullet"/>
        <w:keepNext w:val="0"/>
        <w:keepLines w:val="0"/>
        <w:ind w:left="284" w:hanging="284"/>
        <w:rPr>
          <w:rFonts w:cs="Arial"/>
        </w:rPr>
      </w:pPr>
      <w:r>
        <w:t>TOB</w:t>
      </w:r>
    </w:p>
    <w:p w14:paraId="4B649E7A" w14:textId="77777777" w:rsidR="00B2132C" w:rsidRPr="00B53F89" w:rsidRDefault="00B2132C" w:rsidP="00B2132C">
      <w:pPr>
        <w:pStyle w:val="ListBullet"/>
        <w:keepNext w:val="0"/>
        <w:keepLines w:val="0"/>
        <w:tabs>
          <w:tab w:val="num" w:pos="397"/>
        </w:tabs>
        <w:ind w:left="284" w:hanging="284"/>
        <w:rPr>
          <w:rFonts w:cs="Arial"/>
        </w:rPr>
      </w:pPr>
      <w:r w:rsidRPr="00B53F89">
        <w:rPr>
          <w:rFonts w:cs="Arial"/>
        </w:rPr>
        <w:t xml:space="preserve">mobile-satellite </w:t>
      </w:r>
      <w:r w:rsidRPr="00B53F89">
        <w:t xml:space="preserve">services </w:t>
      </w:r>
      <w:r w:rsidRPr="00B53F89">
        <w:rPr>
          <w:rFonts w:cs="Arial"/>
        </w:rPr>
        <w:t>(</w:t>
      </w:r>
      <w:r w:rsidRPr="00B53F89">
        <w:t>with</w:t>
      </w:r>
      <w:r w:rsidRPr="00B53F89">
        <w:rPr>
          <w:rFonts w:cs="Arial"/>
        </w:rPr>
        <w:t xml:space="preserve"> or without Ancillary Terrestrial Component/Complementary Ground Component rules), including satellite IoT</w:t>
      </w:r>
    </w:p>
    <w:p w14:paraId="6E207D4B" w14:textId="77777777" w:rsidR="00B2132C" w:rsidRPr="00B53F89" w:rsidRDefault="00B2132C" w:rsidP="00B2132C">
      <w:pPr>
        <w:pStyle w:val="ListBullet"/>
        <w:keepNext w:val="0"/>
        <w:keepLines w:val="0"/>
        <w:ind w:left="284" w:hanging="284"/>
        <w:rPr>
          <w:rFonts w:cs="Arial"/>
        </w:rPr>
      </w:pPr>
      <w:r w:rsidRPr="00B53F89">
        <w:rPr>
          <w:rFonts w:cs="Arial"/>
        </w:rPr>
        <w:t xml:space="preserve">mobile broadband services </w:t>
      </w:r>
    </w:p>
    <w:p w14:paraId="6F739151" w14:textId="77777777" w:rsidR="00B2132C" w:rsidRDefault="00B2132C" w:rsidP="00B2132C">
      <w:pPr>
        <w:pStyle w:val="ListBulletLast"/>
        <w:ind w:left="284" w:hanging="284"/>
      </w:pPr>
      <w:r w:rsidRPr="00B53F89">
        <w:t xml:space="preserve">direct air-to-ground communications. </w:t>
      </w:r>
    </w:p>
    <w:p w14:paraId="3F9ABFFF" w14:textId="60297DEC" w:rsidR="00B2132C" w:rsidRPr="00B53F89" w:rsidRDefault="00B2132C" w:rsidP="00B2132C">
      <w:r>
        <w:t xml:space="preserve">The ACMA </w:t>
      </w:r>
      <w:r w:rsidR="00163BE3">
        <w:t>will</w:t>
      </w:r>
      <w:r>
        <w:t xml:space="preserve"> consult on an options paper for potential future uses of the 2 GHz band in </w:t>
      </w:r>
      <w:r w:rsidR="00297E31">
        <w:t xml:space="preserve">Q4 </w:t>
      </w:r>
      <w:r>
        <w:t>2020.</w:t>
      </w:r>
    </w:p>
    <w:p w14:paraId="2EC45EF2" w14:textId="77777777" w:rsidR="00B2132C" w:rsidRPr="00B53F89" w:rsidRDefault="00B2132C" w:rsidP="00B2132C">
      <w:pPr>
        <w:pStyle w:val="BodySubHeader"/>
      </w:pPr>
      <w:r w:rsidRPr="00B53F89">
        <w:t>Next steps</w:t>
      </w:r>
    </w:p>
    <w:p w14:paraId="3E7B446E" w14:textId="365354BF" w:rsidR="00B2132C" w:rsidRPr="00B53F89" w:rsidRDefault="003C4953" w:rsidP="00B2132C">
      <w:pPr>
        <w:pStyle w:val="ListBulletLast"/>
        <w:numPr>
          <w:ilvl w:val="0"/>
          <w:numId w:val="0"/>
        </w:numPr>
      </w:pPr>
      <w:r>
        <w:t>We</w:t>
      </w:r>
      <w:r w:rsidR="00B2132C" w:rsidRPr="00B53F89">
        <w:t xml:space="preserve"> </w:t>
      </w:r>
      <w:r w:rsidR="00BB1BF6">
        <w:t>will</w:t>
      </w:r>
      <w:r w:rsidR="00B2132C" w:rsidRPr="00B53F89">
        <w:t xml:space="preserve"> consider submissions to the </w:t>
      </w:r>
      <w:r w:rsidR="00B2132C">
        <w:t>options</w:t>
      </w:r>
      <w:r w:rsidR="00B2132C" w:rsidRPr="00B53F89">
        <w:t xml:space="preserve"> paper, with an aim to </w:t>
      </w:r>
      <w:r w:rsidR="00B2132C">
        <w:t>releasing</w:t>
      </w:r>
      <w:r w:rsidR="00B2132C" w:rsidRPr="00B53F89">
        <w:t xml:space="preserve"> a</w:t>
      </w:r>
      <w:r w:rsidR="00EC4E71">
        <w:t xml:space="preserve">n outcomes </w:t>
      </w:r>
      <w:r w:rsidR="00B2132C" w:rsidRPr="00B53F89">
        <w:t>paper for future use of the 1980–2010 MHz and 2170–2200 MHz bands in Q</w:t>
      </w:r>
      <w:r w:rsidR="00B2132C">
        <w:t>4</w:t>
      </w:r>
      <w:r w:rsidR="00B2132C" w:rsidRPr="00B53F89">
        <w:t xml:space="preserve"> </w:t>
      </w:r>
      <w:r w:rsidR="00B2132C">
        <w:t>2020</w:t>
      </w:r>
    </w:p>
    <w:p w14:paraId="19FCF3A0" w14:textId="4FA2B136" w:rsidR="00B2132C" w:rsidRPr="00B53F89" w:rsidRDefault="003C4953" w:rsidP="00B2132C">
      <w:pPr>
        <w:pStyle w:val="ACMANormalTabbed"/>
      </w:pPr>
      <w:r>
        <w:t>We</w:t>
      </w:r>
      <w:r w:rsidR="00B2132C" w:rsidRPr="00B53F89">
        <w:t xml:space="preserve"> remain open to case-by-case consideration of licence applications for test and demonstration purposes in the frequency ranges 1980–1985 MHz and 2170–2175 MHz (the guard band between TOB </w:t>
      </w:r>
      <w:r w:rsidR="00B2132C" w:rsidRPr="002738F4">
        <w:t>and frequency adjacent spectrum licensing</w:t>
      </w:r>
      <w:r w:rsidR="00B2132C" w:rsidRPr="00B53F89">
        <w:t xml:space="preserve"> and apparatus-licensed public mobile telecommunications services) on a short-term basis, subject to appropriate interference management and resolution conditions where these applications will not impact on existing services.</w:t>
      </w:r>
    </w:p>
    <w:p w14:paraId="067BD62B" w14:textId="3F0F6A01" w:rsidR="00B2132C" w:rsidRDefault="00B2132C" w:rsidP="00B2132C">
      <w:r w:rsidRPr="00B53F89">
        <w:t xml:space="preserve">With TOB usage typically limited to capital city areas and regional areas for major events, </w:t>
      </w:r>
      <w:r w:rsidR="007A7511">
        <w:t>we</w:t>
      </w:r>
      <w:r w:rsidRPr="00B53F89">
        <w:t xml:space="preserve"> consider it is also possible to support licence applications for test and demonstration purposes in the wider 1980–2010 MHz and 2170–2200 MHz bands in remote-density and some low-density areas on a short-term basis, subject to appropriate interference management and resolution conditions.</w:t>
      </w:r>
    </w:p>
    <w:p w14:paraId="17EF33FD" w14:textId="1D0947FD" w:rsidR="00B2132C" w:rsidRDefault="00B2132C" w:rsidP="00513FDE">
      <w:pPr>
        <w:keepNext/>
        <w:keepLines/>
        <w:spacing w:after="0"/>
      </w:pPr>
      <w:r w:rsidRPr="006A2F04">
        <w:rPr>
          <w:noProof/>
        </w:rPr>
        <w:drawing>
          <wp:inline distT="0" distB="0" distL="0" distR="0" wp14:anchorId="6200CF9B" wp14:editId="5429583B">
            <wp:extent cx="342900" cy="361950"/>
            <wp:effectExtent l="0" t="0" r="0" b="0"/>
            <wp:docPr id="209" name="Picture 20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0461359" wp14:editId="4B612781">
            <wp:extent cx="341630" cy="359410"/>
            <wp:effectExtent l="0" t="0" r="1270" b="2540"/>
            <wp:docPr id="210" name="Picture 210"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081B7FFE" wp14:editId="2209E6E7">
            <wp:extent cx="342900" cy="361950"/>
            <wp:effectExtent l="0" t="0" r="0" b="0"/>
            <wp:docPr id="211" name="Picture 211"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6217EF4" w14:textId="74784235" w:rsidR="00B2132C" w:rsidRDefault="00B2132C" w:rsidP="00513FDE">
      <w:pPr>
        <w:pStyle w:val="Heading3"/>
        <w:keepLines/>
      </w:pPr>
      <w:bookmarkStart w:id="297" w:name="_Toc51864324"/>
      <w:r w:rsidRPr="00B53F89">
        <w:t>3700–4200 MHz</w:t>
      </w:r>
      <w:bookmarkEnd w:id="297"/>
    </w:p>
    <w:p w14:paraId="2A8D16B7" w14:textId="77777777" w:rsidR="00B2132C" w:rsidRDefault="00B2132C" w:rsidP="00513FDE">
      <w:pPr>
        <w:keepNext/>
        <w:keepLines/>
      </w:pPr>
      <w:r w:rsidRPr="00B53F89">
        <w:t>The 3700–4200 MHz band is allocated on a co-primary basis in the ARSP to the fixed, fixed-satellite (space-to-earth) and mobile services.</w:t>
      </w:r>
    </w:p>
    <w:p w14:paraId="01AD254E" w14:textId="77777777" w:rsidR="00B2132C" w:rsidRPr="00B53F89" w:rsidRDefault="00B2132C" w:rsidP="00513FDE">
      <w:pPr>
        <w:keepNext/>
        <w:keepLines/>
      </w:pPr>
      <w:r>
        <w:t>U</w:t>
      </w:r>
      <w:r w:rsidRPr="00B53F89">
        <w:t xml:space="preserve">se of the 3700–4200 MHz band has been debated internationally for several years. Recently, there has been increasing interest in the lower and lower-adjacent parts of this band for 5G services, particularly given the large bandwidths potentially available in this range. </w:t>
      </w:r>
    </w:p>
    <w:p w14:paraId="6A7CC500" w14:textId="10EED66F" w:rsidR="00B2132C" w:rsidRPr="00B53F89" w:rsidRDefault="007A7511" w:rsidP="00B2132C">
      <w:r>
        <w:t>We are</w:t>
      </w:r>
      <w:r w:rsidR="00B2132C" w:rsidRPr="00B53F89">
        <w:t xml:space="preserve"> alert to the needs of existing fixed satellite and point-to-point uses of the band, as well as the potential for both wide</w:t>
      </w:r>
      <w:r>
        <w:t>-</w:t>
      </w:r>
      <w:r w:rsidR="00B2132C" w:rsidRPr="00B53F89">
        <w:t>area and site</w:t>
      </w:r>
      <w:r>
        <w:t>-</w:t>
      </w:r>
      <w:r w:rsidR="00B2132C" w:rsidRPr="00B53F89">
        <w:t>based—for example, FWA</w:t>
      </w:r>
      <w:r>
        <w:t>—</w:t>
      </w:r>
      <w:r w:rsidR="00B2132C" w:rsidRPr="00B53F89">
        <w:t>wireless broadband. Considering the whole band simultaneously will maximise the opportunity for balanced approaches that take appropriate account of all interests.</w:t>
      </w:r>
    </w:p>
    <w:p w14:paraId="4F9E7C86" w14:textId="77777777" w:rsidR="00B2132C" w:rsidRPr="00B53F89" w:rsidRDefault="00B2132C" w:rsidP="00B2132C">
      <w:pPr>
        <w:pStyle w:val="BodySubHeader"/>
        <w:keepNext/>
        <w:keepLines/>
      </w:pPr>
      <w:r w:rsidRPr="00B53F89">
        <w:lastRenderedPageBreak/>
        <w:t>Recent developments</w:t>
      </w:r>
    </w:p>
    <w:p w14:paraId="0E1C0443" w14:textId="77777777" w:rsidR="00B2132C" w:rsidRPr="00B53F89" w:rsidRDefault="00B2132C" w:rsidP="00B2132C">
      <w:pPr>
        <w:keepNext/>
        <w:keepLines/>
      </w:pPr>
      <w:r>
        <w:t>In February 2020, in the US, the FCC decided to auction</w:t>
      </w:r>
      <w:r>
        <w:rPr>
          <w:rStyle w:val="FootnoteReference"/>
        </w:rPr>
        <w:footnoteReference w:id="53"/>
      </w:r>
      <w:r>
        <w:t xml:space="preserve"> the 3700–3980 MHz segment of the band for 5G (that is, WBB) use, preserving only the 4000–4200 MHz segment for FSS.</w:t>
      </w:r>
    </w:p>
    <w:p w14:paraId="63DC412D" w14:textId="46E97146" w:rsidR="00B2132C" w:rsidRPr="00B53F89" w:rsidRDefault="007A7511" w:rsidP="00B2132C">
      <w:r>
        <w:t>We</w:t>
      </w:r>
      <w:r w:rsidR="00B2132C">
        <w:t xml:space="preserve"> plan to consult on an options paper for potential future uses of the 3700–4200 MHz band in </w:t>
      </w:r>
      <w:r w:rsidR="00425206">
        <w:t xml:space="preserve">Q4 </w:t>
      </w:r>
      <w:r w:rsidR="00B2132C">
        <w:t>2020.</w:t>
      </w:r>
    </w:p>
    <w:p w14:paraId="13BD3617" w14:textId="77777777" w:rsidR="00B2132C" w:rsidRPr="00B53F89" w:rsidRDefault="00B2132C" w:rsidP="001A0E71">
      <w:pPr>
        <w:pStyle w:val="BodySubHeader"/>
      </w:pPr>
      <w:r w:rsidRPr="00B53F89">
        <w:t>Next steps</w:t>
      </w:r>
    </w:p>
    <w:p w14:paraId="27FF049C" w14:textId="1F416687" w:rsidR="00B2132C" w:rsidRDefault="007A7511" w:rsidP="001A0E71">
      <w:bookmarkStart w:id="298" w:name="_Hlk33169185"/>
      <w:r>
        <w:t>We</w:t>
      </w:r>
      <w:r w:rsidR="00B2132C" w:rsidRPr="00B53F89">
        <w:t xml:space="preserve"> </w:t>
      </w:r>
      <w:r w:rsidR="00BB1BF6">
        <w:t>will</w:t>
      </w:r>
      <w:r w:rsidR="00B2132C" w:rsidRPr="00B53F89">
        <w:t xml:space="preserve"> consider submissions to the </w:t>
      </w:r>
      <w:r w:rsidR="00B2132C">
        <w:t>options</w:t>
      </w:r>
      <w:r w:rsidR="00B2132C" w:rsidRPr="00B53F89">
        <w:t xml:space="preserve"> paper, with an aim to </w:t>
      </w:r>
      <w:r w:rsidR="00B2132C">
        <w:t>releasing</w:t>
      </w:r>
      <w:r w:rsidR="00B2132C" w:rsidRPr="00B53F89">
        <w:t xml:space="preserve"> </w:t>
      </w:r>
      <w:r w:rsidR="788C58C1" w:rsidRPr="00B53F89">
        <w:t>an outcomes</w:t>
      </w:r>
      <w:r w:rsidR="00B2132C">
        <w:t xml:space="preserve"> </w:t>
      </w:r>
      <w:r w:rsidR="00B2132C" w:rsidRPr="00B53F89">
        <w:t>paper for future use of the 3700–4200 MHz band in Q</w:t>
      </w:r>
      <w:r w:rsidR="00B2132C">
        <w:t>4</w:t>
      </w:r>
      <w:r w:rsidR="00B2132C" w:rsidRPr="00B53F89">
        <w:t xml:space="preserve"> </w:t>
      </w:r>
      <w:r w:rsidR="00B2132C">
        <w:t>2020</w:t>
      </w:r>
      <w:bookmarkEnd w:id="298"/>
      <w:r>
        <w:t>.</w:t>
      </w:r>
    </w:p>
    <w:p w14:paraId="0C6B4DEB" w14:textId="3656642B" w:rsidR="00B2132C" w:rsidRDefault="00B1008C" w:rsidP="001A0E71">
      <w:pPr>
        <w:pStyle w:val="Heading2"/>
        <w:keepNext w:val="0"/>
      </w:pPr>
      <w:bookmarkStart w:id="299" w:name="_Toc51846279"/>
      <w:bookmarkStart w:id="300" w:name="_Toc51864325"/>
      <w:r>
        <w:t>Implementation</w:t>
      </w:r>
      <w:bookmarkEnd w:id="299"/>
      <w:bookmarkEnd w:id="300"/>
    </w:p>
    <w:p w14:paraId="3FE446EF" w14:textId="21C89AAA" w:rsidR="007A7511" w:rsidRPr="00B53F89" w:rsidRDefault="007A7511" w:rsidP="001A0E71">
      <w:pPr>
        <w:rPr>
          <w:rFonts w:eastAsia="Calibri"/>
        </w:rPr>
      </w:pPr>
      <w:r w:rsidRPr="00B53F89">
        <w:t xml:space="preserve">The </w:t>
      </w:r>
      <w:r w:rsidR="00B1008C">
        <w:rPr>
          <w:i/>
          <w:iCs/>
        </w:rPr>
        <w:t>implementation</w:t>
      </w:r>
      <w:r w:rsidR="00B1008C" w:rsidRPr="00B53F89">
        <w:t xml:space="preserve"> </w:t>
      </w:r>
      <w:r w:rsidRPr="00B53F89">
        <w:t>stage</w:t>
      </w:r>
      <w:r w:rsidR="00533A6F">
        <w:t xml:space="preserve"> (previously named ‘replanning’)</w:t>
      </w:r>
      <w:r w:rsidRPr="00B53F89">
        <w:t xml:space="preserve"> </w:t>
      </w:r>
      <w:r w:rsidR="00B1008C">
        <w:t xml:space="preserve">is </w:t>
      </w:r>
      <w:r w:rsidR="00B1008C" w:rsidRPr="00896CB6">
        <w:t xml:space="preserve">the conclusion of the ACMA </w:t>
      </w:r>
      <w:r w:rsidR="00B1008C">
        <w:t>band</w:t>
      </w:r>
      <w:r w:rsidR="00EA305B">
        <w:t>-</w:t>
      </w:r>
      <w:r w:rsidR="00B1008C">
        <w:t>planning activities</w:t>
      </w:r>
      <w:r w:rsidR="00B1008C" w:rsidRPr="00896CB6">
        <w:t xml:space="preserve"> and identifies planning outcomes expected to maximise the overall </w:t>
      </w:r>
      <w:r w:rsidR="00B1008C" w:rsidRPr="005A4DAE">
        <w:t>public</w:t>
      </w:r>
      <w:r w:rsidR="00B1008C">
        <w:t xml:space="preserve"> benefit. This </w:t>
      </w:r>
      <w:r w:rsidRPr="00B53F89">
        <w:t xml:space="preserve">stage </w:t>
      </w:r>
      <w:r w:rsidRPr="00513FDE">
        <w:rPr>
          <w:bCs/>
        </w:rPr>
        <w:t>i</w:t>
      </w:r>
      <w:r w:rsidRPr="00B53F89">
        <w:rPr>
          <w:rFonts w:eastAsia="Calibri"/>
        </w:rPr>
        <w:t xml:space="preserve">ncludes further development of detailed technical planning frameworks (including further consultation where necessary). </w:t>
      </w:r>
      <w:r w:rsidR="00B1008C">
        <w:rPr>
          <w:rFonts w:eastAsia="Calibri"/>
        </w:rPr>
        <w:t xml:space="preserve">Licensing and allocation frameworks are also developed as required. </w:t>
      </w:r>
      <w:r w:rsidRPr="00B53F89">
        <w:rPr>
          <w:rFonts w:eastAsia="Calibri"/>
        </w:rPr>
        <w:t>Depending on the nature of the existing use of the band</w:t>
      </w:r>
      <w:r w:rsidR="00F5658F">
        <w:rPr>
          <w:rFonts w:eastAsia="Calibri"/>
        </w:rPr>
        <w:t xml:space="preserve"> and the outcome of the planning process</w:t>
      </w:r>
      <w:r w:rsidRPr="00B53F89">
        <w:rPr>
          <w:rFonts w:eastAsia="Calibri"/>
        </w:rPr>
        <w:t>, this stage could potentially lead to re</w:t>
      </w:r>
      <w:r w:rsidRPr="00B53F89">
        <w:rPr>
          <w:rFonts w:eastAsia="Calibri"/>
        </w:rPr>
        <w:noBreakHyphen/>
        <w:t xml:space="preserve">farming or reallocation activities. </w:t>
      </w:r>
    </w:p>
    <w:p w14:paraId="73D137E8" w14:textId="646C5D69" w:rsidR="007A7511" w:rsidRDefault="007A7511" w:rsidP="007A7511">
      <w:r w:rsidRPr="00B53F89">
        <w:rPr>
          <w:rFonts w:eastAsia="Calibri"/>
        </w:rPr>
        <w:t xml:space="preserve">Conclusions from </w:t>
      </w:r>
      <w:r w:rsidR="003406B8">
        <w:rPr>
          <w:rFonts w:eastAsia="Calibri"/>
        </w:rPr>
        <w:t>our</w:t>
      </w:r>
      <w:r w:rsidRPr="00B53F89">
        <w:rPr>
          <w:rFonts w:eastAsia="Calibri"/>
        </w:rPr>
        <w:t xml:space="preserve"> planning process are communicated in an outcomes (decision) paper that may include decisions on issues within </w:t>
      </w:r>
      <w:r w:rsidR="003406B8">
        <w:rPr>
          <w:rFonts w:eastAsia="Calibri"/>
        </w:rPr>
        <w:t>our</w:t>
      </w:r>
      <w:r w:rsidR="003406B8" w:rsidRPr="00B53F89">
        <w:rPr>
          <w:rFonts w:eastAsia="Calibri"/>
        </w:rPr>
        <w:t xml:space="preserve"> </w:t>
      </w:r>
      <w:r w:rsidRPr="00B53F89">
        <w:rPr>
          <w:rFonts w:eastAsia="Calibri"/>
        </w:rPr>
        <w:t xml:space="preserve">remit and/or identify preliminary </w:t>
      </w:r>
      <w:r w:rsidR="00D94934">
        <w:rPr>
          <w:rFonts w:eastAsia="Calibri"/>
        </w:rPr>
        <w:t>views</w:t>
      </w:r>
      <w:r w:rsidR="00D94934" w:rsidRPr="00B53F89">
        <w:rPr>
          <w:rFonts w:eastAsia="Calibri"/>
        </w:rPr>
        <w:t xml:space="preserve"> </w:t>
      </w:r>
      <w:r w:rsidRPr="00B53F89">
        <w:rPr>
          <w:rFonts w:eastAsia="Calibri"/>
        </w:rPr>
        <w:t xml:space="preserve">on future activities subject to further legislative process—for example, decision or actions to be undertaken by the </w:t>
      </w:r>
      <w:r>
        <w:rPr>
          <w:rFonts w:eastAsia="Calibri"/>
        </w:rPr>
        <w:t>M</w:t>
      </w:r>
      <w:r w:rsidRPr="00B53F89">
        <w:rPr>
          <w:rFonts w:eastAsia="Calibri"/>
        </w:rPr>
        <w:t>inister.</w:t>
      </w:r>
    </w:p>
    <w:p w14:paraId="2E5945DD" w14:textId="75F177C2" w:rsidR="007A7511" w:rsidRDefault="007A7511" w:rsidP="00D904DC">
      <w:pPr>
        <w:spacing w:after="0"/>
      </w:pPr>
      <w:r w:rsidRPr="006A2F04">
        <w:rPr>
          <w:noProof/>
        </w:rPr>
        <w:drawing>
          <wp:inline distT="0" distB="0" distL="0" distR="0" wp14:anchorId="1F5FFC0A" wp14:editId="4054D7FC">
            <wp:extent cx="342900" cy="361950"/>
            <wp:effectExtent l="0" t="0" r="0" b="0"/>
            <wp:docPr id="212" name="Picture 21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DBBB252" wp14:editId="44B4BF8B">
            <wp:extent cx="342900" cy="361950"/>
            <wp:effectExtent l="0" t="0" r="0" b="0"/>
            <wp:docPr id="213" name="Picture 213"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7114966" wp14:editId="0D397B9D">
            <wp:extent cx="342900" cy="361950"/>
            <wp:effectExtent l="0" t="0" r="0" b="0"/>
            <wp:docPr id="214" name="Picture 214"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F6D9352" wp14:editId="49B96F34">
            <wp:extent cx="342900" cy="361950"/>
            <wp:effectExtent l="0" t="0" r="0" b="0"/>
            <wp:docPr id="215" name="Picture 215"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B8C3600" wp14:editId="5D0086D3">
            <wp:extent cx="342900" cy="361950"/>
            <wp:effectExtent l="0" t="0" r="0" b="0"/>
            <wp:docPr id="216" name="Picture 216"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C00A4DA" w14:textId="1A7A1391" w:rsidR="007A7511" w:rsidRDefault="007A7511" w:rsidP="007A7511">
      <w:pPr>
        <w:pStyle w:val="Heading3"/>
      </w:pPr>
      <w:bookmarkStart w:id="301" w:name="_Toc51864326"/>
      <w:r w:rsidRPr="00B53F89">
        <w:t>850 MHz expansion band (809–824 MHz and 854–869 MHz)</w:t>
      </w:r>
      <w:bookmarkEnd w:id="301"/>
    </w:p>
    <w:p w14:paraId="20E31E4A" w14:textId="5AB874A1" w:rsidR="007A7511" w:rsidRPr="00B53F89" w:rsidRDefault="007A7511" w:rsidP="007A7511">
      <w:r w:rsidRPr="00B53F89">
        <w:t xml:space="preserve">In November 2015, </w:t>
      </w:r>
      <w:r w:rsidR="003406B8">
        <w:t>we</w:t>
      </w:r>
      <w:r w:rsidRPr="00B53F89">
        <w:t xml:space="preserve"> released </w:t>
      </w:r>
      <w:r w:rsidR="003406B8">
        <w:t>our</w:t>
      </w:r>
      <w:r w:rsidR="003406B8" w:rsidRPr="00B53F89">
        <w:t xml:space="preserve"> </w:t>
      </w:r>
      <w:hyperlink r:id="rId81" w:history="1">
        <w:r w:rsidRPr="00B53F89">
          <w:rPr>
            <w:rStyle w:val="Hyperlink"/>
            <w:i/>
          </w:rPr>
          <w:t>Long-term strategy for the 803–960 MHz band</w:t>
        </w:r>
      </w:hyperlink>
      <w:r w:rsidRPr="00B53F89">
        <w:t xml:space="preserve"> decision paper, signalling an end to the review of this band and commencement of a long-term implementation plan to put those decisions into effect. One of the key decisions arising from the review was that 2 x 15 MHz of 4G-standardised spectrum will be made available for new mobile broadband services from 2024. This spectrum is known as the 850 MHz ‘expansion </w:t>
      </w:r>
      <w:r w:rsidRPr="002738F4">
        <w:t>band’, which is lower adjacent to the</w:t>
      </w:r>
      <w:r w:rsidRPr="00B53F89">
        <w:t xml:space="preserve"> current 850 MHz 3G band used by Telstra and </w:t>
      </w:r>
      <w:r w:rsidR="000A5E62" w:rsidRPr="000A5E62">
        <w:t>TPG Telecom</w:t>
      </w:r>
      <w:r w:rsidRPr="00B53F89">
        <w:t xml:space="preserve">. </w:t>
      </w:r>
    </w:p>
    <w:p w14:paraId="440DC50A" w14:textId="77777777" w:rsidR="007A7511" w:rsidRPr="00B53F89" w:rsidRDefault="007A7511" w:rsidP="007A7511">
      <w:pPr>
        <w:pStyle w:val="BodySubHeader"/>
      </w:pPr>
      <w:r w:rsidRPr="00B53F89">
        <w:t>Recent developments</w:t>
      </w:r>
    </w:p>
    <w:p w14:paraId="5F4CE766" w14:textId="77777777" w:rsidR="007A7511" w:rsidRPr="00B53F89" w:rsidRDefault="007A7511" w:rsidP="007A7511">
      <w:r w:rsidRPr="00B53F89">
        <w:t xml:space="preserve">The project is now geared towards the clearance and/or relocation of incumbent services operating in the 850 MHz expansion band frequencies earmarked for mobile broadband. </w:t>
      </w:r>
    </w:p>
    <w:p w14:paraId="24561AEF" w14:textId="77777777" w:rsidR="007A7511" w:rsidRPr="00B53F89" w:rsidRDefault="007A7511" w:rsidP="007A7511">
      <w:r w:rsidRPr="00B53F89">
        <w:t>As part of this process, in July 2016, a new RALI (FX 22) was put in place to facilitate the transition of single frequency fixed links (SFFLs) and studio-to-transmitter links (STLs) to the new arrangements. Further incremental updates will be made to this and other instructions as the implementation stage progresses.</w:t>
      </w:r>
    </w:p>
    <w:p w14:paraId="1654055D" w14:textId="19A05733" w:rsidR="007A7511" w:rsidRPr="00B53F89" w:rsidRDefault="007A7511" w:rsidP="007A7511">
      <w:r w:rsidRPr="00B53F89">
        <w:t xml:space="preserve">As per the </w:t>
      </w:r>
      <w:hyperlink r:id="rId82" w:history="1">
        <w:r w:rsidRPr="00B53F89">
          <w:rPr>
            <w:rStyle w:val="Hyperlink"/>
          </w:rPr>
          <w:t>Council of Australian Governments (COAG) communique of December 2018</w:t>
        </w:r>
      </w:hyperlink>
      <w:r w:rsidRPr="00B53F89">
        <w:t xml:space="preserve">, all jurisdictions agreed a </w:t>
      </w:r>
      <w:r w:rsidR="003406B8">
        <w:t>s</w:t>
      </w:r>
      <w:r w:rsidRPr="00B53F89">
        <w:t xml:space="preserve">trategic </w:t>
      </w:r>
      <w:r w:rsidR="003406B8">
        <w:t>r</w:t>
      </w:r>
      <w:r w:rsidRPr="00B53F89">
        <w:t>oadmap that sets out a plan to design, implement and operate a</w:t>
      </w:r>
      <w:r w:rsidRPr="00B53F89" w:rsidDel="00063F94">
        <w:t xml:space="preserve"> </w:t>
      </w:r>
      <w:r w:rsidRPr="00B53F89">
        <w:t xml:space="preserve">public safety mobile broadband (PSMB) service and to </w:t>
      </w:r>
      <w:r w:rsidRPr="00B53F89">
        <w:lastRenderedPageBreak/>
        <w:t>continue to work together to resolve the supporting spectrum arrangements in parallel with proof</w:t>
      </w:r>
      <w:r w:rsidR="003406B8">
        <w:t>-</w:t>
      </w:r>
      <w:r w:rsidRPr="00B53F89">
        <w:t>of</w:t>
      </w:r>
      <w:r w:rsidR="003406B8">
        <w:t>-</w:t>
      </w:r>
      <w:r w:rsidRPr="00B53F89">
        <w:t xml:space="preserve">concept trials. </w:t>
      </w:r>
      <w:r w:rsidR="007B521D">
        <w:t>The Australian Government has set aside 2 x 5 MHz of spectrum in the 850 MHz expansion band for a national PSMB capability.</w:t>
      </w:r>
      <w:r w:rsidRPr="00B53F89">
        <w:t xml:space="preserve"> </w:t>
      </w:r>
    </w:p>
    <w:p w14:paraId="305E7FA7" w14:textId="77777777" w:rsidR="007A7511" w:rsidRPr="00B53F89" w:rsidRDefault="007A7511" w:rsidP="007A7511">
      <w:pPr>
        <w:pStyle w:val="BodySubHeader"/>
        <w:keepNext/>
        <w:keepLines/>
      </w:pPr>
      <w:r w:rsidRPr="00B53F89">
        <w:t>Next steps</w:t>
      </w:r>
    </w:p>
    <w:p w14:paraId="584D5BE5" w14:textId="6E1A9530" w:rsidR="007A7511" w:rsidRDefault="007A7511" w:rsidP="007A7511">
      <w:r w:rsidRPr="00B53F89">
        <w:t xml:space="preserve">The implementation plan contains milestones for the transition to long-term arrangements by incumbent services. </w:t>
      </w:r>
      <w:r>
        <w:t xml:space="preserve">As described in the </w:t>
      </w:r>
      <w:hyperlink r:id="rId83" w:history="1">
        <w:r w:rsidRPr="00C859C3">
          <w:rPr>
            <w:rStyle w:val="Hyperlink"/>
          </w:rPr>
          <w:t>decision paper</w:t>
        </w:r>
      </w:hyperlink>
      <w:r>
        <w:t xml:space="preserve"> released in December 2019, </w:t>
      </w:r>
      <w:r w:rsidR="003406B8">
        <w:t>we</w:t>
      </w:r>
      <w:r w:rsidRPr="00B53F89">
        <w:t xml:space="preserve"> intend to allocate </w:t>
      </w:r>
      <w:r>
        <w:t xml:space="preserve">the 850 MHz expansion band </w:t>
      </w:r>
      <w:r w:rsidRPr="00B53F89">
        <w:t xml:space="preserve">in combination with the 900 MHz band (see below). </w:t>
      </w:r>
    </w:p>
    <w:p w14:paraId="381C3977" w14:textId="5377383D" w:rsidR="007A7511" w:rsidRDefault="007A7511" w:rsidP="002738F4">
      <w:pPr>
        <w:spacing w:after="0"/>
      </w:pPr>
      <w:r w:rsidRPr="006A2F04">
        <w:rPr>
          <w:noProof/>
        </w:rPr>
        <w:drawing>
          <wp:inline distT="0" distB="0" distL="0" distR="0" wp14:anchorId="396BB53E" wp14:editId="7414CE6E">
            <wp:extent cx="342900" cy="361950"/>
            <wp:effectExtent l="0" t="0" r="0" b="0"/>
            <wp:docPr id="217" name="Picture 21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28EE2AE" wp14:editId="0E9AE077">
            <wp:extent cx="342900" cy="361950"/>
            <wp:effectExtent l="0" t="0" r="0" b="0"/>
            <wp:docPr id="218" name="Picture 21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0C6BFC3" wp14:editId="73B774C7">
            <wp:extent cx="342900" cy="361950"/>
            <wp:effectExtent l="0" t="0" r="0" b="0"/>
            <wp:docPr id="219" name="Picture 219"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03197F2" wp14:editId="199EF6F5">
            <wp:extent cx="342900" cy="361950"/>
            <wp:effectExtent l="0" t="0" r="0" b="0"/>
            <wp:docPr id="220" name="Picture 220"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FB56763" wp14:editId="0D4BF1AC">
            <wp:extent cx="342900" cy="361950"/>
            <wp:effectExtent l="0" t="0" r="0" b="0"/>
            <wp:docPr id="221" name="Picture 221"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18E767E" w14:textId="0BE6EAAD" w:rsidR="007A7511" w:rsidRDefault="007A7511" w:rsidP="007A7511">
      <w:pPr>
        <w:pStyle w:val="Heading3"/>
      </w:pPr>
      <w:bookmarkStart w:id="302" w:name="_Toc51864327"/>
      <w:r w:rsidRPr="00B53F89">
        <w:t>900 MHz (890–915 MHz and 935–960 MHz)</w:t>
      </w:r>
      <w:bookmarkEnd w:id="302"/>
    </w:p>
    <w:p w14:paraId="6619BE4E" w14:textId="131F74F9" w:rsidR="007A7511" w:rsidRPr="00B53F89" w:rsidRDefault="007A7511" w:rsidP="007A7511">
      <w:r w:rsidRPr="00B53F89">
        <w:t xml:space="preserve">In October 2017, </w:t>
      </w:r>
      <w:r w:rsidR="003406B8">
        <w:t>we</w:t>
      </w:r>
      <w:r w:rsidRPr="00B53F89">
        <w:t xml:space="preserve"> released a </w:t>
      </w:r>
      <w:r w:rsidRPr="0002782F">
        <w:t>consultation paper</w:t>
      </w:r>
      <w:r w:rsidRPr="00B53F89">
        <w:t xml:space="preserve"> setting out </w:t>
      </w:r>
      <w:r w:rsidR="003406B8">
        <w:t>our</w:t>
      </w:r>
      <w:r w:rsidR="003406B8" w:rsidRPr="00B53F89">
        <w:t xml:space="preserve"> </w:t>
      </w:r>
      <w:r w:rsidRPr="00B53F89">
        <w:t xml:space="preserve">preferred reconfiguration option for the 900 MHz band to support transition from the current </w:t>
      </w:r>
      <w:r w:rsidR="003406B8" w:rsidRPr="00B53F89">
        <w:t>2</w:t>
      </w:r>
      <w:r w:rsidR="003406B8">
        <w:t> </w:t>
      </w:r>
      <w:r w:rsidR="003406B8" w:rsidRPr="00B53F89">
        <w:t>x</w:t>
      </w:r>
      <w:r w:rsidR="003406B8">
        <w:t> </w:t>
      </w:r>
      <w:r w:rsidRPr="00B53F89">
        <w:t xml:space="preserve">8.2 or 8.4 MHz frequency arrangements to multiples of 2 x 5 MHz to more efficiently accommodate mobile broadband. </w:t>
      </w:r>
      <w:r w:rsidR="003406B8">
        <w:t>We</w:t>
      </w:r>
      <w:r w:rsidRPr="00B53F89">
        <w:t xml:space="preserve"> also invited submissions about two related issues</w:t>
      </w:r>
      <w:r w:rsidR="003406B8">
        <w:t>—</w:t>
      </w:r>
      <w:r w:rsidRPr="00B53F89">
        <w:t xml:space="preserve">the appropriate treatment of the 2 x 1 MHz of spectrum immediately adjacent to and below the existing 850 MHz spectrum licences, and the duration of any spectrum licences issued in 900 MHz or the 850 MHz expansion band. </w:t>
      </w:r>
    </w:p>
    <w:p w14:paraId="04A6A8C1" w14:textId="77777777" w:rsidR="007A7511" w:rsidRPr="00B53F89" w:rsidRDefault="007A7511" w:rsidP="007A7511">
      <w:pPr>
        <w:pStyle w:val="BodySubHeader"/>
      </w:pPr>
      <w:r w:rsidRPr="00B53F89">
        <w:t>Recent developments</w:t>
      </w:r>
    </w:p>
    <w:p w14:paraId="08A4B59B" w14:textId="271659C3" w:rsidR="007A7511" w:rsidRPr="00B53F89" w:rsidRDefault="003406B8" w:rsidP="007A7511">
      <w:pPr>
        <w:spacing w:after="120"/>
      </w:pPr>
      <w:r>
        <w:t>We</w:t>
      </w:r>
      <w:r w:rsidR="007A7511" w:rsidRPr="00B53F89">
        <w:t xml:space="preserve"> released the </w:t>
      </w:r>
      <w:hyperlink r:id="rId84" w:history="1">
        <w:r w:rsidR="007A7511" w:rsidRPr="00513FDE">
          <w:rPr>
            <w:rStyle w:val="Hyperlink"/>
            <w:i/>
            <w:iCs/>
          </w:rPr>
          <w:t>Reconfiguring the 900 MHz band</w:t>
        </w:r>
      </w:hyperlink>
      <w:r w:rsidR="007A7511" w:rsidRPr="00B53F89">
        <w:t xml:space="preserve"> consultation paper in Q2 2019 </w:t>
      </w:r>
      <w:r>
        <w:t>examining</w:t>
      </w:r>
      <w:r w:rsidRPr="00B53F89">
        <w:t xml:space="preserve"> </w:t>
      </w:r>
      <w:r w:rsidR="007A7511">
        <w:t>reconfiguration</w:t>
      </w:r>
      <w:r w:rsidR="007A7511" w:rsidRPr="00B53F89">
        <w:t xml:space="preserve"> options.</w:t>
      </w:r>
      <w:r w:rsidR="007A7511">
        <w:t xml:space="preserve"> Following consideration of submissions, </w:t>
      </w:r>
      <w:r>
        <w:t>we</w:t>
      </w:r>
      <w:r w:rsidR="007A7511">
        <w:t xml:space="preserve"> released a </w:t>
      </w:r>
      <w:hyperlink r:id="rId85" w:history="1">
        <w:r w:rsidR="007A7511" w:rsidRPr="00C859C3">
          <w:rPr>
            <w:rStyle w:val="Hyperlink"/>
          </w:rPr>
          <w:t>decision paper</w:t>
        </w:r>
      </w:hyperlink>
      <w:r w:rsidR="007A7511">
        <w:t xml:space="preserve"> </w:t>
      </w:r>
      <w:r w:rsidR="007A7511" w:rsidRPr="00C859C3">
        <w:t>in December 2019,</w:t>
      </w:r>
      <w:r w:rsidR="007A7511">
        <w:t xml:space="preserve"> outlining that </w:t>
      </w:r>
      <w:r>
        <w:t>we</w:t>
      </w:r>
      <w:r w:rsidR="007A7511" w:rsidRPr="00C859C3">
        <w:t xml:space="preserve"> </w:t>
      </w:r>
      <w:r w:rsidRPr="00C859C3">
        <w:t>remain</w:t>
      </w:r>
      <w:r>
        <w:t>ed</w:t>
      </w:r>
      <w:r w:rsidRPr="00C859C3">
        <w:t xml:space="preserve"> </w:t>
      </w:r>
      <w:r w:rsidR="007A7511" w:rsidRPr="00C859C3">
        <w:t>of the view that the best way to achieve reconfiguration of the 900 MHz band is to undertake a band clearance and price-based allocation</w:t>
      </w:r>
      <w:r>
        <w:t>,</w:t>
      </w:r>
      <w:r w:rsidR="007A7511" w:rsidRPr="00C859C3">
        <w:t xml:space="preserve"> in conjunction with an allocation of spectrum in the 850 MHz expansion band.</w:t>
      </w:r>
    </w:p>
    <w:p w14:paraId="1F7E6309" w14:textId="4EAA17E7" w:rsidR="008200CC" w:rsidRPr="00B53F89" w:rsidRDefault="008200CC" w:rsidP="007A7511">
      <w:pPr>
        <w:spacing w:after="120"/>
      </w:pPr>
      <w:r>
        <w:t>We</w:t>
      </w:r>
      <w:r w:rsidRPr="00C859C3">
        <w:t xml:space="preserve"> </w:t>
      </w:r>
      <w:r>
        <w:t xml:space="preserve">have </w:t>
      </w:r>
      <w:r w:rsidRPr="00C859C3">
        <w:t>commence</w:t>
      </w:r>
      <w:r>
        <w:t>d</w:t>
      </w:r>
      <w:r w:rsidRPr="00C859C3">
        <w:t xml:space="preserve"> work on the reallocation of the 900 MHz band and the 850 MHz expansion band. This include</w:t>
      </w:r>
      <w:r>
        <w:t>d</w:t>
      </w:r>
      <w:r w:rsidRPr="00C859C3">
        <w:t xml:space="preserve"> consultation </w:t>
      </w:r>
      <w:r>
        <w:t xml:space="preserve">in Q2 2020 </w:t>
      </w:r>
      <w:r w:rsidRPr="00C859C3">
        <w:t xml:space="preserve">on a draft reallocation recommendation </w:t>
      </w:r>
      <w:r>
        <w:t>for</w:t>
      </w:r>
      <w:r w:rsidRPr="00C859C3">
        <w:t xml:space="preserve"> the Min</w:t>
      </w:r>
      <w:r>
        <w:t>i</w:t>
      </w:r>
      <w:r w:rsidRPr="00C859C3">
        <w:t>ster.</w:t>
      </w:r>
    </w:p>
    <w:p w14:paraId="31D7A558" w14:textId="77777777" w:rsidR="007A7511" w:rsidRPr="00B53F89" w:rsidRDefault="007A7511" w:rsidP="007A7511">
      <w:pPr>
        <w:pStyle w:val="BodySubHeader"/>
        <w:keepNext/>
        <w:keepLines/>
      </w:pPr>
      <w:r w:rsidRPr="00B53F89">
        <w:t>Next steps</w:t>
      </w:r>
    </w:p>
    <w:p w14:paraId="38EEF6FD" w14:textId="321EA157" w:rsidR="007A7511" w:rsidRDefault="000A1580" w:rsidP="007A7511">
      <w:pPr>
        <w:keepNext/>
        <w:keepLines/>
      </w:pPr>
      <w:r>
        <w:t>If the Minister decides to reallocate spectrum</w:t>
      </w:r>
      <w:r w:rsidR="00AD7013">
        <w:t>,</w:t>
      </w:r>
      <w:r>
        <w:t xml:space="preserve"> we will consult on the draft allocation instruments in Q1</w:t>
      </w:r>
      <w:r w:rsidR="00AD7013">
        <w:t>–</w:t>
      </w:r>
      <w:r>
        <w:t>2 2021.</w:t>
      </w:r>
    </w:p>
    <w:p w14:paraId="34C5ABC4" w14:textId="6F62FC0C" w:rsidR="007A7511" w:rsidRDefault="007A7511" w:rsidP="00D904DC">
      <w:pPr>
        <w:keepNext/>
        <w:keepLines/>
        <w:spacing w:after="0"/>
      </w:pPr>
      <w:r w:rsidRPr="006A2F04">
        <w:rPr>
          <w:noProof/>
        </w:rPr>
        <w:drawing>
          <wp:inline distT="0" distB="0" distL="0" distR="0" wp14:anchorId="037A826A" wp14:editId="0DE9DAED">
            <wp:extent cx="342900" cy="361950"/>
            <wp:effectExtent l="0" t="0" r="0" b="0"/>
            <wp:docPr id="222" name="Picture 22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36C3BCA" wp14:editId="2A3E8FB9">
            <wp:extent cx="342900" cy="361950"/>
            <wp:effectExtent l="0" t="0" r="0" b="0"/>
            <wp:docPr id="223" name="Picture 22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60C9AD4" w14:textId="77777777" w:rsidR="007A7511" w:rsidRPr="005A7943" w:rsidRDefault="007A7511" w:rsidP="00D904DC">
      <w:pPr>
        <w:pStyle w:val="Heading3"/>
        <w:keepLines/>
        <w:rPr>
          <w:b w:val="0"/>
          <w:bCs w:val="0"/>
        </w:rPr>
      </w:pPr>
      <w:bookmarkStart w:id="303" w:name="_Toc51864328"/>
      <w:bookmarkStart w:id="304" w:name="_Hlk49410878"/>
      <w:r w:rsidRPr="005A7943">
        <w:t>1800 MHz (1710–1785 MHz and 1805–1880 MHz) in remote areas</w:t>
      </w:r>
      <w:bookmarkEnd w:id="303"/>
    </w:p>
    <w:bookmarkEnd w:id="304"/>
    <w:p w14:paraId="4A762A1B" w14:textId="18A155D0" w:rsidR="007A7511" w:rsidRPr="00B53F89" w:rsidRDefault="007A7511" w:rsidP="00D904DC">
      <w:pPr>
        <w:keepNext/>
        <w:keepLines/>
        <w:spacing w:after="120"/>
        <w:rPr>
          <w:rFonts w:cs="Arial"/>
        </w:rPr>
      </w:pPr>
      <w:r w:rsidRPr="00B53F89">
        <w:t xml:space="preserve">In 2016, </w:t>
      </w:r>
      <w:r w:rsidR="003406B8">
        <w:t>we</w:t>
      </w:r>
      <w:r w:rsidRPr="00B53F89">
        <w:t xml:space="preserve"> released arrangements for use of the 1800 MHz band in remote areas for fixed and mobile wireless broadband services. To manage a potential surge in licence applications, a priority assignment model was adopted. An application window process was also adopted for the initial release of spectrum in the upper 2 x 30 MHz of the band to avoid conflicting assignments being made</w:t>
      </w:r>
      <w:r w:rsidRPr="00B53F89">
        <w:rPr>
          <w:rFonts w:cs="Arial"/>
        </w:rPr>
        <w:t xml:space="preserve">. </w:t>
      </w:r>
    </w:p>
    <w:p w14:paraId="323A2986" w14:textId="435EFC5C" w:rsidR="007A7511" w:rsidRPr="00B53F89" w:rsidRDefault="007A7511" w:rsidP="007A7511">
      <w:pPr>
        <w:pStyle w:val="BodySubHeader"/>
        <w:keepNext/>
        <w:keepLines/>
      </w:pPr>
      <w:r w:rsidRPr="00B53F89">
        <w:t>Recent developments</w:t>
      </w:r>
    </w:p>
    <w:p w14:paraId="2E042D50" w14:textId="467E6983" w:rsidR="00DE0A59" w:rsidRPr="00DE0A59" w:rsidRDefault="00DE0A59" w:rsidP="00DE0A59">
      <w:r>
        <w:t>W</w:t>
      </w:r>
      <w:r w:rsidRPr="00DE0A59">
        <w:t xml:space="preserve">e have been monitoring the band and </w:t>
      </w:r>
      <w:r>
        <w:t>are developing</w:t>
      </w:r>
      <w:r w:rsidRPr="00DE0A59">
        <w:t xml:space="preserve"> a discussion paper on possible options for the band.</w:t>
      </w:r>
    </w:p>
    <w:p w14:paraId="4C7D937A" w14:textId="77777777" w:rsidR="007A7511" w:rsidRPr="00B53F89" w:rsidRDefault="007A7511" w:rsidP="00C5033F">
      <w:pPr>
        <w:pStyle w:val="BodySubHeader"/>
      </w:pPr>
      <w:r w:rsidRPr="00B53F89">
        <w:t>Next steps</w:t>
      </w:r>
    </w:p>
    <w:p w14:paraId="7EB3C6AA" w14:textId="3B2CF261" w:rsidR="007A7511" w:rsidRDefault="00B90820" w:rsidP="001A0E71">
      <w:r w:rsidRPr="00B90820">
        <w:t>We plan to release a discussion paper in Q</w:t>
      </w:r>
      <w:r w:rsidR="00670C33">
        <w:t>4</w:t>
      </w:r>
      <w:r w:rsidRPr="00B90820">
        <w:t xml:space="preserve"> 2020 to gather feedback on the future of the band.</w:t>
      </w:r>
      <w:r w:rsidR="001A0E71">
        <w:t xml:space="preserve"> </w:t>
      </w:r>
      <w:r w:rsidR="007A7511">
        <w:t xml:space="preserve">Following receipt of feedback on the future of the band, </w:t>
      </w:r>
      <w:r w:rsidR="003406B8">
        <w:t>we</w:t>
      </w:r>
      <w:r w:rsidR="007A7511">
        <w:t xml:space="preserve"> expect to implement decisions using appropriate changes to RALIs in Q</w:t>
      </w:r>
      <w:r w:rsidR="00670C33">
        <w:t>1</w:t>
      </w:r>
      <w:r w:rsidR="007A7511">
        <w:t xml:space="preserve"> 202</w:t>
      </w:r>
      <w:r w:rsidR="00670C33">
        <w:t>1</w:t>
      </w:r>
      <w:r w:rsidR="007A7511" w:rsidRPr="00B53F89">
        <w:t>.</w:t>
      </w:r>
    </w:p>
    <w:p w14:paraId="33339D77" w14:textId="1D9086B1" w:rsidR="009A5E3F" w:rsidRPr="00CC1FAD" w:rsidRDefault="009A5E3F" w:rsidP="00C02ED1">
      <w:pPr>
        <w:spacing w:before="60" w:after="0"/>
      </w:pPr>
      <w:r w:rsidRPr="00CC1FAD">
        <w:rPr>
          <w:noProof/>
        </w:rPr>
        <w:lastRenderedPageBreak/>
        <w:drawing>
          <wp:inline distT="0" distB="0" distL="0" distR="0" wp14:anchorId="5E2CBEE3" wp14:editId="75A3F070">
            <wp:extent cx="342900" cy="361950"/>
            <wp:effectExtent l="0" t="0" r="0" b="0"/>
            <wp:docPr id="271" name="Picture 27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CC1FAD">
        <w:rPr>
          <w:noProof/>
        </w:rPr>
        <w:drawing>
          <wp:inline distT="0" distB="0" distL="0" distR="0" wp14:anchorId="175261F9" wp14:editId="2E30D4CF">
            <wp:extent cx="342900" cy="361950"/>
            <wp:effectExtent l="0" t="0" r="0" b="0"/>
            <wp:docPr id="274" name="Picture 274"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CC1FAD">
        <w:rPr>
          <w:noProof/>
        </w:rPr>
        <w:drawing>
          <wp:inline distT="0" distB="0" distL="0" distR="0" wp14:anchorId="6D79F00E" wp14:editId="79FB4CE2">
            <wp:extent cx="342900" cy="361950"/>
            <wp:effectExtent l="0" t="0" r="0" b="0"/>
            <wp:docPr id="63" name="Picture 6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CC1FAD">
        <w:rPr>
          <w:noProof/>
        </w:rPr>
        <w:drawing>
          <wp:inline distT="0" distB="0" distL="0" distR="0" wp14:anchorId="38C1676C" wp14:editId="6EA974AC">
            <wp:extent cx="342900" cy="361950"/>
            <wp:effectExtent l="0" t="0" r="0" b="0"/>
            <wp:docPr id="269" name="Picture 269"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CC1FAD">
        <w:rPr>
          <w:noProof/>
        </w:rPr>
        <w:drawing>
          <wp:inline distT="0" distB="0" distL="0" distR="0" wp14:anchorId="75EDCD89" wp14:editId="3EF30611">
            <wp:extent cx="342900" cy="361950"/>
            <wp:effectExtent l="0" t="0" r="0" b="0"/>
            <wp:docPr id="272" name="Picture 272"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CC1FAD">
        <w:rPr>
          <w:noProof/>
        </w:rPr>
        <w:drawing>
          <wp:inline distT="0" distB="0" distL="0" distR="0" wp14:anchorId="0C3C996A" wp14:editId="0BD625D1">
            <wp:extent cx="341630" cy="359410"/>
            <wp:effectExtent l="0" t="0" r="1270" b="2540"/>
            <wp:docPr id="273" name="Picture 273"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CC1FAD">
        <w:rPr>
          <w:noProof/>
        </w:rPr>
        <w:drawing>
          <wp:inline distT="0" distB="0" distL="0" distR="0" wp14:anchorId="31758025" wp14:editId="03C1CE48">
            <wp:extent cx="342900" cy="361950"/>
            <wp:effectExtent l="0" t="0" r="0" b="0"/>
            <wp:docPr id="270" name="Picture 270"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221EC783" w14:textId="018AA872" w:rsidR="009A5E3F" w:rsidRPr="00CC1FAD" w:rsidRDefault="00CC1FAD" w:rsidP="00C02ED1">
      <w:pPr>
        <w:pStyle w:val="Heading3"/>
        <w:keepNext w:val="0"/>
      </w:pPr>
      <w:bookmarkStart w:id="305" w:name="_Toc18505534"/>
      <w:bookmarkStart w:id="306" w:name="_Toc51864329"/>
      <w:r w:rsidRPr="00CC1FAD">
        <w:rPr>
          <w:noProof/>
        </w:rPr>
        <w:drawing>
          <wp:inline distT="0" distB="0" distL="0" distR="0" wp14:anchorId="3F6CD8FB" wp14:editId="4DCCFE89">
            <wp:extent cx="244475" cy="140335"/>
            <wp:effectExtent l="0" t="0" r="3175" b="0"/>
            <wp:docPr id="275" name="Picture 275"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Pr="00CC1FAD">
        <w:t xml:space="preserve">  </w:t>
      </w:r>
      <w:r w:rsidR="009A5E3F" w:rsidRPr="00CC1FAD">
        <w:t>3400–3575 MHz band</w:t>
      </w:r>
      <w:bookmarkEnd w:id="305"/>
      <w:bookmarkEnd w:id="306"/>
    </w:p>
    <w:p w14:paraId="5FD6B201" w14:textId="77777777" w:rsidR="009A5E3F" w:rsidRPr="00CC1FAD" w:rsidRDefault="009A5E3F" w:rsidP="001A0E71">
      <w:r w:rsidRPr="00CC1FAD">
        <w:t>We recognise that optimising spectrum and apparatus licence arrangements in the 3400–3575 MHz band, adjacent to the 3.6 GHz band auctioned in 2018, is an important priority. This is expected to result in more efficient use of spectrum and a reduction in deployment costs, supporting the implementation of 5G services in Australia.</w:t>
      </w:r>
    </w:p>
    <w:p w14:paraId="4A77ABED" w14:textId="77777777" w:rsidR="009A5E3F" w:rsidRPr="00CC1FAD" w:rsidRDefault="009A5E3F" w:rsidP="00C02ED1">
      <w:pPr>
        <w:pStyle w:val="BodySubHeader"/>
      </w:pPr>
      <w:r w:rsidRPr="00CC1FAD">
        <w:t>Recent developments</w:t>
      </w:r>
    </w:p>
    <w:p w14:paraId="6C0B7B96" w14:textId="77777777" w:rsidR="009A5E3F" w:rsidRPr="00CC1FAD" w:rsidRDefault="009A5E3F" w:rsidP="001A0E71">
      <w:pPr>
        <w:rPr>
          <w:b/>
          <w:bCs/>
          <w:i/>
          <w:iCs/>
        </w:rPr>
      </w:pPr>
      <w:r w:rsidRPr="00CC1FAD">
        <w:t xml:space="preserve">We consulted on </w:t>
      </w:r>
      <w:hyperlink r:id="rId86" w:history="1">
        <w:r w:rsidRPr="00CC1FAD">
          <w:rPr>
            <w:rStyle w:val="Hyperlink"/>
          </w:rPr>
          <w:t>options for optimising arrangements in the 3400–3575 MHz band</w:t>
        </w:r>
      </w:hyperlink>
      <w:r w:rsidRPr="00CC1FAD">
        <w:t xml:space="preserve"> in April 2019. The </w:t>
      </w:r>
      <w:hyperlink r:id="rId87" w:history="1">
        <w:r w:rsidRPr="00CC1FAD">
          <w:t>outcomes of this review</w:t>
        </w:r>
      </w:hyperlink>
      <w:r w:rsidRPr="00CC1FAD">
        <w:t xml:space="preserve"> were announced in November 2019.</w:t>
      </w:r>
      <w:r w:rsidRPr="00CC1FAD">
        <w:rPr>
          <w:b/>
          <w:bCs/>
          <w:i/>
          <w:iCs/>
        </w:rPr>
        <w:t xml:space="preserve"> </w:t>
      </w:r>
    </w:p>
    <w:p w14:paraId="0F911731" w14:textId="77777777" w:rsidR="009A5E3F" w:rsidRPr="00CC1FAD" w:rsidRDefault="009A5E3F" w:rsidP="00CC1FAD">
      <w:pPr>
        <w:pStyle w:val="BodySubHeader"/>
      </w:pPr>
      <w:r w:rsidRPr="00CC1FAD">
        <w:t>Next steps</w:t>
      </w:r>
    </w:p>
    <w:p w14:paraId="1D90EBDB" w14:textId="55460A3A" w:rsidR="00CC1FAD" w:rsidRDefault="009A5E3F" w:rsidP="007A7511">
      <w:pPr>
        <w:spacing w:after="0"/>
      </w:pPr>
      <w:r w:rsidRPr="00CC1FAD">
        <w:t xml:space="preserve">We are in the process of implementing the outcomes of our review of the 3400–3575 MHz band. </w:t>
      </w:r>
    </w:p>
    <w:p w14:paraId="764A16F4" w14:textId="77777777" w:rsidR="00384BA4" w:rsidRDefault="00384BA4" w:rsidP="007A7511">
      <w:pPr>
        <w:spacing w:after="0"/>
      </w:pPr>
    </w:p>
    <w:p w14:paraId="0D6DE26A" w14:textId="37C50D03" w:rsidR="007A7511" w:rsidRDefault="007A7511" w:rsidP="007A7511">
      <w:pPr>
        <w:spacing w:after="0"/>
      </w:pPr>
      <w:r w:rsidRPr="006A2F04">
        <w:rPr>
          <w:noProof/>
        </w:rPr>
        <w:drawing>
          <wp:inline distT="0" distB="0" distL="0" distR="0" wp14:anchorId="398291EE" wp14:editId="61252CCD">
            <wp:extent cx="342900" cy="361950"/>
            <wp:effectExtent l="0" t="0" r="0" b="0"/>
            <wp:docPr id="256" name="Picture 256"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907CF49" w14:textId="300FB3D8" w:rsidR="007A7511" w:rsidRDefault="007A7511" w:rsidP="007A7511">
      <w:pPr>
        <w:pStyle w:val="Heading3"/>
      </w:pPr>
      <w:bookmarkStart w:id="307" w:name="_Toc51864330"/>
      <w:r w:rsidRPr="00B53F89">
        <w:t>5.6 GHz (5600–5650 MHz</w:t>
      </w:r>
      <w:r>
        <w:t>)</w:t>
      </w:r>
      <w:bookmarkEnd w:id="307"/>
    </w:p>
    <w:p w14:paraId="07A897DB" w14:textId="2C389B96" w:rsidR="007A7511" w:rsidRPr="00B53F89" w:rsidRDefault="007A7511" w:rsidP="007A7511">
      <w:r w:rsidRPr="00B53F89">
        <w:t xml:space="preserve">One of the outcomes from the </w:t>
      </w:r>
      <w:hyperlink r:id="rId88" w:history="1">
        <w:r w:rsidRPr="006A2F04">
          <w:rPr>
            <w:rStyle w:val="Hyperlink"/>
            <w:i/>
            <w:iCs/>
          </w:rPr>
          <w:t>Future use of the 3.6 GHz band</w:t>
        </w:r>
      </w:hyperlink>
      <w:r w:rsidRPr="006A2F04">
        <w:rPr>
          <w:iCs/>
        </w:rPr>
        <w:t xml:space="preserve"> </w:t>
      </w:r>
      <w:r w:rsidRPr="00B53F89">
        <w:t xml:space="preserve">process was </w:t>
      </w:r>
      <w:r w:rsidR="003406B8">
        <w:t>our</w:t>
      </w:r>
      <w:r w:rsidRPr="00B53F89">
        <w:t xml:space="preserve"> commit</w:t>
      </w:r>
      <w:r w:rsidR="003406B8">
        <w:t>ment</w:t>
      </w:r>
      <w:r w:rsidRPr="00B53F89">
        <w:t xml:space="preserve"> to implementing</w:t>
      </w:r>
      <w:r w:rsidRPr="00B53F89">
        <w:rPr>
          <w:lang w:eastAsia="en-US"/>
        </w:rPr>
        <w:t xml:space="preserve"> point-to-multipoint apparatus licence arrangements in the 5.6 GHz band. </w:t>
      </w:r>
      <w:r w:rsidR="003406B8">
        <w:rPr>
          <w:lang w:eastAsia="en-US"/>
        </w:rPr>
        <w:t>We</w:t>
      </w:r>
      <w:r w:rsidRPr="00B53F89">
        <w:rPr>
          <w:lang w:eastAsia="en-US"/>
        </w:rPr>
        <w:t xml:space="preserve"> also implemented a policy that existing 3.6 GHz point-to-multipoint licensees, including FWA services affected by planning decisions made in the band</w:t>
      </w:r>
      <w:r w:rsidR="003406B8">
        <w:rPr>
          <w:lang w:eastAsia="en-US"/>
        </w:rPr>
        <w:t>,</w:t>
      </w:r>
      <w:r w:rsidRPr="00B53F89">
        <w:rPr>
          <w:lang w:eastAsia="en-US"/>
        </w:rPr>
        <w:t xml:space="preserve"> would, as far as possible, be given preference when assessing applications for apparatus licences in the 5.6 GHz band.</w:t>
      </w:r>
    </w:p>
    <w:p w14:paraId="69D6747D" w14:textId="591795CA" w:rsidR="007A7511" w:rsidRPr="00B53F89" w:rsidRDefault="007A7511" w:rsidP="007A7511">
      <w:pPr>
        <w:rPr>
          <w:rFonts w:cs="Arial"/>
        </w:rPr>
      </w:pPr>
      <w:bookmarkStart w:id="308" w:name="_Hlk16254958"/>
      <w:r w:rsidRPr="00B53F89">
        <w:rPr>
          <w:rFonts w:eastAsia="Calibri" w:cs="Arial"/>
          <w:lang w:eastAsia="en-US"/>
        </w:rPr>
        <w:t>In December 2018</w:t>
      </w:r>
      <w:r>
        <w:rPr>
          <w:rFonts w:eastAsia="Calibri" w:cs="Arial"/>
          <w:lang w:eastAsia="en-US"/>
        </w:rPr>
        <w:t>,</w:t>
      </w:r>
      <w:r w:rsidRPr="00B53F89">
        <w:rPr>
          <w:rFonts w:eastAsia="Calibri" w:cs="Arial"/>
          <w:lang w:eastAsia="en-US"/>
        </w:rPr>
        <w:t xml:space="preserve"> </w:t>
      </w:r>
      <w:r w:rsidR="003406B8">
        <w:rPr>
          <w:rFonts w:eastAsia="Calibri" w:cs="Arial"/>
          <w:lang w:eastAsia="en-US"/>
        </w:rPr>
        <w:t>we</w:t>
      </w:r>
      <w:r w:rsidRPr="00B53F89">
        <w:rPr>
          <w:rFonts w:eastAsia="Calibri" w:cs="Arial"/>
          <w:lang w:eastAsia="en-US"/>
        </w:rPr>
        <w:t xml:space="preserve"> published the </w:t>
      </w:r>
      <w:r w:rsidRPr="00B53F89">
        <w:rPr>
          <w:rFonts w:eastAsia="Calibri" w:cs="Arial"/>
          <w:iCs/>
          <w:lang w:eastAsia="en-US"/>
        </w:rPr>
        <w:t xml:space="preserve">RALI </w:t>
      </w:r>
      <w:r w:rsidRPr="00B53F89">
        <w:rPr>
          <w:rFonts w:eastAsia="Calibri" w:cs="Arial"/>
          <w:lang w:eastAsia="en-US"/>
        </w:rPr>
        <w:t xml:space="preserve">FX23. This RALI defines </w:t>
      </w:r>
      <w:r w:rsidRPr="00B53F89">
        <w:rPr>
          <w:rFonts w:cs="Arial"/>
        </w:rPr>
        <w:t>frequency coordination requirements for new point-to-multipoint apparatus licences in the 5.</w:t>
      </w:r>
      <w:r w:rsidR="003406B8" w:rsidRPr="00B53F89">
        <w:rPr>
          <w:rFonts w:cs="Arial"/>
        </w:rPr>
        <w:t>6</w:t>
      </w:r>
      <w:r w:rsidR="003406B8">
        <w:rPr>
          <w:rFonts w:cs="Arial"/>
        </w:rPr>
        <w:t> </w:t>
      </w:r>
      <w:r w:rsidRPr="00B53F89">
        <w:rPr>
          <w:rFonts w:cs="Arial"/>
        </w:rPr>
        <w:t xml:space="preserve">GHz band. Before a new point-to-multipoint licence is issued, prospective licensees should show they meet the defined protection criteria contained in RALI FX23. </w:t>
      </w:r>
    </w:p>
    <w:bookmarkEnd w:id="308"/>
    <w:p w14:paraId="6ADF0FA0" w14:textId="77777777" w:rsidR="00412D3D" w:rsidRPr="00B90820" w:rsidDel="00412D3D" w:rsidRDefault="007A7511" w:rsidP="00B90820">
      <w:pPr>
        <w:pStyle w:val="BodySubHeader"/>
        <w:rPr>
          <w:rFonts w:cs="Arial"/>
          <w:b w:val="0"/>
          <w:i w:val="0"/>
        </w:rPr>
      </w:pPr>
      <w:r w:rsidRPr="00B90820">
        <w:rPr>
          <w:rFonts w:cs="Arial"/>
          <w:b w:val="0"/>
          <w:i w:val="0"/>
        </w:rPr>
        <w:t xml:space="preserve">The 5.6 GHz band is currently available for licensing in areas that will not affect the possible transition of 3.6 GHz band point-to-multipoint licences into the band. </w:t>
      </w:r>
      <w:r w:rsidR="003406B8" w:rsidRPr="00B90820">
        <w:rPr>
          <w:rFonts w:cs="Arial"/>
          <w:b w:val="0"/>
          <w:i w:val="0"/>
        </w:rPr>
        <w:t>We are</w:t>
      </w:r>
      <w:r w:rsidRPr="00B90820">
        <w:rPr>
          <w:rFonts w:cs="Arial"/>
          <w:b w:val="0"/>
          <w:i w:val="0"/>
        </w:rPr>
        <w:t xml:space="preserve"> still considering the most appropriate process and timing for release of the band in other areas. </w:t>
      </w:r>
    </w:p>
    <w:p w14:paraId="0E5EBA25" w14:textId="0949AF84" w:rsidR="00B90820" w:rsidRPr="00B53F89" w:rsidRDefault="00B90820" w:rsidP="00B90820">
      <w:pPr>
        <w:pStyle w:val="BodySubHeader"/>
      </w:pPr>
      <w:r w:rsidRPr="00B53F89">
        <w:t>Recent developments</w:t>
      </w:r>
    </w:p>
    <w:p w14:paraId="3BD25048" w14:textId="3A1C03D8" w:rsidR="00B90820" w:rsidRPr="00B53F89" w:rsidRDefault="00B90820" w:rsidP="007A7511">
      <w:r>
        <w:t>The ACMA consulted on opening the band for general access</w:t>
      </w:r>
      <w:r w:rsidR="006A5AFA">
        <w:t xml:space="preserve"> in Q2 2020.</w:t>
      </w:r>
      <w:r>
        <w:t xml:space="preserve"> </w:t>
      </w:r>
    </w:p>
    <w:p w14:paraId="20DA8518" w14:textId="77777777" w:rsidR="007A7511" w:rsidRPr="00B90820" w:rsidRDefault="007A7511" w:rsidP="007A7511">
      <w:pPr>
        <w:pStyle w:val="BodySubHeader"/>
      </w:pPr>
      <w:r w:rsidRPr="00B53F89">
        <w:t>Next steps</w:t>
      </w:r>
    </w:p>
    <w:p w14:paraId="5A0B1DE3" w14:textId="2DD8F28A" w:rsidR="007A7511" w:rsidRDefault="00412D3D" w:rsidP="007A7511">
      <w:r>
        <w:t xml:space="preserve">We are aiming to announce the outcomes </w:t>
      </w:r>
      <w:r w:rsidR="00B90820">
        <w:t>of consultation</w:t>
      </w:r>
      <w:r>
        <w:t xml:space="preserve"> in Q4 2020.</w:t>
      </w:r>
    </w:p>
    <w:p w14:paraId="23619B4A" w14:textId="4B87FE2D" w:rsidR="007A7511" w:rsidRDefault="007A7511" w:rsidP="00D904DC">
      <w:pPr>
        <w:keepNext/>
        <w:keepLines/>
        <w:spacing w:after="0"/>
      </w:pPr>
      <w:r w:rsidRPr="006A2F04">
        <w:rPr>
          <w:noProof/>
        </w:rPr>
        <w:lastRenderedPageBreak/>
        <w:drawing>
          <wp:inline distT="0" distB="0" distL="0" distR="0" wp14:anchorId="01458A7C" wp14:editId="63DE72B0">
            <wp:extent cx="342900" cy="361950"/>
            <wp:effectExtent l="0" t="0" r="0" b="0"/>
            <wp:docPr id="257" name="Picture 25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8ABE8F8" wp14:editId="161535E8">
            <wp:extent cx="342900" cy="361950"/>
            <wp:effectExtent l="0" t="0" r="0" b="0"/>
            <wp:docPr id="258" name="Picture 258"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35D0834" wp14:editId="73106936">
            <wp:extent cx="342900" cy="361950"/>
            <wp:effectExtent l="0" t="0" r="0" b="0"/>
            <wp:docPr id="259" name="Picture 259"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B7F0C59" wp14:editId="24096788">
            <wp:extent cx="342900" cy="361950"/>
            <wp:effectExtent l="0" t="0" r="0" b="0"/>
            <wp:docPr id="260" name="Picture 260"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359F5B8" wp14:editId="2D34570E">
            <wp:extent cx="341630" cy="359410"/>
            <wp:effectExtent l="0" t="0" r="1270" b="2540"/>
            <wp:docPr id="261" name="Picture 261"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3B2ED8CB" wp14:editId="0F3FB26D">
            <wp:extent cx="342900" cy="361950"/>
            <wp:effectExtent l="0" t="0" r="0" b="0"/>
            <wp:docPr id="262" name="Picture 262"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6866827" w14:textId="77777777" w:rsidR="007A7511" w:rsidRPr="00B53F89" w:rsidRDefault="007A7511" w:rsidP="00D904DC">
      <w:pPr>
        <w:pStyle w:val="Heading3"/>
        <w:keepLines/>
      </w:pPr>
      <w:bookmarkStart w:id="309" w:name="_Toc51864331"/>
      <w:r w:rsidRPr="00B53F89">
        <w:t>26 GHz (24.25–27.5 GHz)</w:t>
      </w:r>
      <w:bookmarkEnd w:id="309"/>
    </w:p>
    <w:p w14:paraId="444A473F" w14:textId="2455E2C3" w:rsidR="007A7511" w:rsidRPr="00B53F89" w:rsidRDefault="007A7511" w:rsidP="00D904DC">
      <w:pPr>
        <w:keepNext/>
        <w:keepLines/>
      </w:pPr>
      <w:r>
        <w:t>In 2018, f</w:t>
      </w:r>
      <w:r w:rsidRPr="00B53F89">
        <w:t xml:space="preserve">ollowing </w:t>
      </w:r>
      <w:r>
        <w:t>a spectrum</w:t>
      </w:r>
      <w:r w:rsidRPr="00B53F89">
        <w:t xml:space="preserve"> tune-up and consideration of feedback, </w:t>
      </w:r>
      <w:r w:rsidR="003406B8">
        <w:t>we</w:t>
      </w:r>
      <w:r w:rsidRPr="00B53F89">
        <w:t xml:space="preserve"> decided to move the 26 GHz band to the </w:t>
      </w:r>
      <w:r w:rsidRPr="002B15C0">
        <w:rPr>
          <w:iCs/>
        </w:rPr>
        <w:t>preliminary replanning</w:t>
      </w:r>
      <w:r w:rsidRPr="00B53F89">
        <w:t xml:space="preserve"> stage. </w:t>
      </w:r>
    </w:p>
    <w:p w14:paraId="709C23BC" w14:textId="77777777" w:rsidR="007A7511" w:rsidRPr="00B53F89" w:rsidRDefault="007A7511" w:rsidP="00D904DC">
      <w:pPr>
        <w:pStyle w:val="BodySubHeader"/>
        <w:keepNext/>
        <w:keepLines/>
      </w:pPr>
      <w:r w:rsidRPr="00B53F89">
        <w:t>Recent developments</w:t>
      </w:r>
    </w:p>
    <w:p w14:paraId="3113DA0F" w14:textId="0323B832" w:rsidR="007A7511" w:rsidRPr="00B53F89" w:rsidRDefault="007A7511" w:rsidP="00D904DC">
      <w:pPr>
        <w:keepNext/>
        <w:keepLines/>
      </w:pPr>
      <w:r w:rsidRPr="00B53F89">
        <w:t xml:space="preserve">In May 2019, </w:t>
      </w:r>
      <w:r w:rsidR="003406B8">
        <w:t>we</w:t>
      </w:r>
      <w:r w:rsidRPr="00B53F89">
        <w:t xml:space="preserve"> released a </w:t>
      </w:r>
      <w:hyperlink r:id="rId89" w:history="1">
        <w:r w:rsidRPr="00B53F89">
          <w:rPr>
            <w:rStyle w:val="Hyperlink"/>
          </w:rPr>
          <w:t>consultation paper</w:t>
        </w:r>
      </w:hyperlink>
      <w:r w:rsidRPr="00B53F89">
        <w:t xml:space="preserve"> outlining a draft reallocation recommendation to be made to the </w:t>
      </w:r>
      <w:r>
        <w:t>M</w:t>
      </w:r>
      <w:r w:rsidRPr="00B53F89">
        <w:t>inister to reallocate the band by issuing spectrum licences.</w:t>
      </w:r>
      <w:r>
        <w:t xml:space="preserve"> Following consideration of stakeholder comments, </w:t>
      </w:r>
      <w:r w:rsidR="003406B8">
        <w:t>we</w:t>
      </w:r>
      <w:r>
        <w:t xml:space="preserve"> made a reallocation recommendation to the Minister. In October 2019, the Minister declared the 25.1–27.</w:t>
      </w:r>
      <w:r w:rsidR="003406B8">
        <w:t>5 </w:t>
      </w:r>
      <w:r>
        <w:t>GHz frequency range for reallocation in 29 defined areas by spectrum licence.</w:t>
      </w:r>
    </w:p>
    <w:p w14:paraId="61A1478A" w14:textId="0B36E865" w:rsidR="007A7511" w:rsidRPr="00B53F89" w:rsidRDefault="007A7511" w:rsidP="007A7511">
      <w:r>
        <w:t xml:space="preserve">In October/November 2019, the 26 GHz band was one of several </w:t>
      </w:r>
      <w:r w:rsidR="00AD4192">
        <w:t>mmW</w:t>
      </w:r>
      <w:r w:rsidRPr="00AD4192">
        <w:t>ave</w:t>
      </w:r>
      <w:r>
        <w:t xml:space="preserve"> bands considered for an IMT allocation at WRC-19 under agenda item 1.13. WRC-19 decided to provide an IMT allocation in the 26 GHz band</w:t>
      </w:r>
      <w:r w:rsidR="003406B8">
        <w:t>,</w:t>
      </w:r>
      <w:r>
        <w:t xml:space="preserve"> which is a significant milestone towards facilitating international harmonisation in the band for 5G wireless broadband technologies.</w:t>
      </w:r>
    </w:p>
    <w:p w14:paraId="547E3193" w14:textId="2F7C68F8" w:rsidR="00B90820" w:rsidRPr="00B53F89" w:rsidRDefault="00B90820" w:rsidP="007A7511">
      <w:r>
        <w:t>We recently co</w:t>
      </w:r>
      <w:r w:rsidR="00E70C34">
        <w:t>ncluded</w:t>
      </w:r>
      <w:r>
        <w:t xml:space="preserve"> a Technical Liaison Group (TLG) comprising interested stakeholders to inform the development of technical arrangements for 26 GHz band spectrum licences and apparatus licensed wireless broadband services in the 26 GHz band. </w:t>
      </w:r>
    </w:p>
    <w:p w14:paraId="4F33E5D2" w14:textId="77D8B225" w:rsidR="00E70C34" w:rsidRPr="00B53F89" w:rsidRDefault="00E70C34" w:rsidP="007A7511">
      <w:r>
        <w:t>In August 2020</w:t>
      </w:r>
      <w:r w:rsidR="00CC5C49">
        <w:t>,</w:t>
      </w:r>
      <w:r>
        <w:t xml:space="preserve"> we released a consultation package on licensing arrangements for AWLs in both the 26 GHz and 28 GHz bands. This includes our allocation policy, pricing structure and technical framework. </w:t>
      </w:r>
    </w:p>
    <w:p w14:paraId="03426E06" w14:textId="77777777" w:rsidR="007A7511" w:rsidRPr="00B53F89" w:rsidRDefault="007A7511" w:rsidP="007A7511">
      <w:pPr>
        <w:pStyle w:val="BodySubHeader"/>
      </w:pPr>
      <w:r w:rsidRPr="00B53F89">
        <w:t>Next steps</w:t>
      </w:r>
    </w:p>
    <w:p w14:paraId="6D2392AA" w14:textId="4C037587" w:rsidR="007A7511" w:rsidRDefault="007A7511" w:rsidP="007A7511">
      <w:r>
        <w:t>Class licensing in the 26 GHz band will be facilitated through the annu</w:t>
      </w:r>
      <w:r w:rsidR="00D87A2C">
        <w:t>a</w:t>
      </w:r>
      <w:r>
        <w:t>l update to the LIPD class licence</w:t>
      </w:r>
      <w:r w:rsidR="00D87A2C">
        <w:t>, which is</w:t>
      </w:r>
      <w:r>
        <w:t xml:space="preserve"> scheduled for consultation in Q3 2020. </w:t>
      </w:r>
    </w:p>
    <w:p w14:paraId="08BE677E" w14:textId="6566A7CE" w:rsidR="007A7511" w:rsidRDefault="00D87A2C" w:rsidP="007A7511">
      <w:r>
        <w:t>We have</w:t>
      </w:r>
      <w:r w:rsidR="007A7511">
        <w:t xml:space="preserve"> </w:t>
      </w:r>
      <w:r w:rsidR="007A7511" w:rsidRPr="006E2A2C">
        <w:t>commence</w:t>
      </w:r>
      <w:r w:rsidR="007A7511">
        <w:t>d</w:t>
      </w:r>
      <w:r w:rsidR="007A7511" w:rsidRPr="006E2A2C">
        <w:t xml:space="preserve"> </w:t>
      </w:r>
      <w:r w:rsidR="00284A89">
        <w:t>the</w:t>
      </w:r>
      <w:r w:rsidR="007A7511" w:rsidRPr="006E2A2C">
        <w:t xml:space="preserve"> process to allocate spectrum licences</w:t>
      </w:r>
      <w:r w:rsidR="007A7511">
        <w:t xml:space="preserve"> in the 25.1–27.5 GHz frequency range in 29 defined areas</w:t>
      </w:r>
      <w:r w:rsidR="007A7511" w:rsidRPr="006E2A2C">
        <w:t xml:space="preserve">. </w:t>
      </w:r>
      <w:r w:rsidR="004176E0">
        <w:t>We</w:t>
      </w:r>
      <w:r w:rsidR="00632BC3">
        <w:t xml:space="preserve"> consult</w:t>
      </w:r>
      <w:r w:rsidR="00791707">
        <w:t xml:space="preserve">ed </w:t>
      </w:r>
      <w:r w:rsidR="00632BC3">
        <w:t>on the draft technical and allocation instruments for the allocation of spectrum licences in 25.1</w:t>
      </w:r>
      <w:r w:rsidR="00F774CF" w:rsidRPr="00F774CF">
        <w:t>–</w:t>
      </w:r>
      <w:r w:rsidR="00632BC3">
        <w:t>27.5 GHz</w:t>
      </w:r>
      <w:r w:rsidR="00284A89">
        <w:t xml:space="preserve"> frequency range</w:t>
      </w:r>
      <w:r w:rsidR="00791707">
        <w:t xml:space="preserve"> in Q3 2020</w:t>
      </w:r>
      <w:r w:rsidR="00284A89">
        <w:t xml:space="preserve"> and </w:t>
      </w:r>
      <w:r w:rsidR="00791707">
        <w:t xml:space="preserve">are </w:t>
      </w:r>
      <w:r w:rsidR="00632BC3">
        <w:t>working to</w:t>
      </w:r>
      <w:r w:rsidR="00284A89">
        <w:t>wards</w:t>
      </w:r>
      <w:r w:rsidR="00632BC3">
        <w:t xml:space="preserve"> finalis</w:t>
      </w:r>
      <w:r w:rsidR="00284A89">
        <w:t>ing</w:t>
      </w:r>
      <w:r w:rsidR="00632BC3">
        <w:t xml:space="preserve"> these instruments in Q4 2020. </w:t>
      </w:r>
      <w:r w:rsidR="00DD0770">
        <w:t>We expect</w:t>
      </w:r>
      <w:r w:rsidR="00632BC3">
        <w:t xml:space="preserve"> to advertise the auction</w:t>
      </w:r>
      <w:r w:rsidR="00DD0770">
        <w:t xml:space="preserve"> in</w:t>
      </w:r>
      <w:r w:rsidR="00632BC3">
        <w:t xml:space="preserve"> </w:t>
      </w:r>
      <w:r w:rsidR="00C004CD">
        <w:t>Q4 2020</w:t>
      </w:r>
      <w:r w:rsidR="00632BC3">
        <w:t xml:space="preserve"> </w:t>
      </w:r>
      <w:r w:rsidR="008F69CE">
        <w:t xml:space="preserve">and </w:t>
      </w:r>
      <w:r w:rsidR="00632BC3">
        <w:t xml:space="preserve">commence an auction in </w:t>
      </w:r>
      <w:r w:rsidR="00A16B1A" w:rsidRPr="00A16B1A">
        <w:t>Q1–2 2021 (noting Easter)</w:t>
      </w:r>
      <w:r w:rsidR="00632BC3">
        <w:t xml:space="preserve">. </w:t>
      </w:r>
      <w:r w:rsidR="007A7511" w:rsidRPr="00B53F89">
        <w:t xml:space="preserve">See </w:t>
      </w:r>
      <w:r w:rsidR="007A7511">
        <w:t>t</w:t>
      </w:r>
      <w:r w:rsidR="007A7511" w:rsidRPr="00B53F89">
        <w:t xml:space="preserve">he </w:t>
      </w:r>
      <w:r w:rsidR="007A7511" w:rsidRPr="00513FDE">
        <w:rPr>
          <w:i/>
          <w:iCs/>
        </w:rPr>
        <w:t>Forward allocation work plan</w:t>
      </w:r>
      <w:r w:rsidR="007A7511" w:rsidRPr="00B53F89">
        <w:t xml:space="preserve"> </w:t>
      </w:r>
      <w:r w:rsidR="003406B8">
        <w:t xml:space="preserve">section </w:t>
      </w:r>
      <w:r w:rsidR="007A7511" w:rsidRPr="00B53F89">
        <w:t>for more information.</w:t>
      </w:r>
    </w:p>
    <w:p w14:paraId="71FD3952" w14:textId="77777777" w:rsidR="001B42E1" w:rsidRPr="00B53F89" w:rsidRDefault="001B42E1" w:rsidP="001B42E1">
      <w:pPr>
        <w:keepNext/>
        <w:spacing w:before="60" w:after="0"/>
      </w:pPr>
      <w:r w:rsidRPr="006A2F04">
        <w:rPr>
          <w:noProof/>
        </w:rPr>
        <w:drawing>
          <wp:inline distT="0" distB="0" distL="0" distR="0" wp14:anchorId="1A8D007E" wp14:editId="2E58A56F">
            <wp:extent cx="341630" cy="359410"/>
            <wp:effectExtent l="0" t="0" r="1270" b="2540"/>
            <wp:docPr id="263" name="Picture 263"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19CF6DFD" wp14:editId="45BB5482">
            <wp:extent cx="342900" cy="361950"/>
            <wp:effectExtent l="0" t="0" r="0" b="0"/>
            <wp:docPr id="264" name="Picture 264"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EA5D1A6" wp14:editId="7A689FA6">
            <wp:extent cx="342900" cy="361950"/>
            <wp:effectExtent l="0" t="0" r="0" b="0"/>
            <wp:docPr id="265" name="Picture 265"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AC1950C" wp14:editId="0F7FBD03">
            <wp:extent cx="342900" cy="361950"/>
            <wp:effectExtent l="0" t="0" r="0" b="0"/>
            <wp:docPr id="266" name="Picture 26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282D2CA" wp14:editId="5FDD59C9">
            <wp:extent cx="342900" cy="361950"/>
            <wp:effectExtent l="0" t="0" r="0" b="0"/>
            <wp:docPr id="267" name="Picture 267"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9CA5C05" wp14:editId="73390A26">
            <wp:extent cx="342900" cy="361950"/>
            <wp:effectExtent l="0" t="0" r="0" b="0"/>
            <wp:docPr id="268" name="Picture 26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421A9E7" w14:textId="56714C9D" w:rsidR="001B42E1" w:rsidRPr="00B53F89" w:rsidRDefault="006511E4" w:rsidP="001B42E1">
      <w:pPr>
        <w:pStyle w:val="Heading3"/>
      </w:pPr>
      <w:bookmarkStart w:id="310" w:name="_Toc36207432"/>
      <w:bookmarkStart w:id="311" w:name="_Toc51864332"/>
      <w:r w:rsidRPr="006A2F04">
        <w:rPr>
          <w:noProof/>
        </w:rPr>
        <w:drawing>
          <wp:inline distT="0" distB="0" distL="0" distR="0" wp14:anchorId="539505A4" wp14:editId="17063FEB">
            <wp:extent cx="244475" cy="140335"/>
            <wp:effectExtent l="0" t="0" r="3175" b="0"/>
            <wp:docPr id="246" name="Picture 246"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1B42E1" w:rsidRPr="00B53F89">
        <w:t>2</w:t>
      </w:r>
      <w:r w:rsidR="001B42E1">
        <w:t>8</w:t>
      </w:r>
      <w:r w:rsidR="001B42E1" w:rsidRPr="00B53F89">
        <w:t xml:space="preserve"> GHz (</w:t>
      </w:r>
      <w:r w:rsidR="001B42E1" w:rsidRPr="00261F27">
        <w:t>27.5–29.5 GHz</w:t>
      </w:r>
      <w:r w:rsidR="001B42E1" w:rsidRPr="00B53F89">
        <w:t>)</w:t>
      </w:r>
      <w:bookmarkEnd w:id="310"/>
      <w:bookmarkEnd w:id="311"/>
    </w:p>
    <w:p w14:paraId="4A8000A6" w14:textId="366DECFD" w:rsidR="001B42E1" w:rsidRPr="00B53F89" w:rsidRDefault="001B42E1" w:rsidP="001B42E1">
      <w:r w:rsidRPr="00B53F89">
        <w:t xml:space="preserve">In October 2017, </w:t>
      </w:r>
      <w:r w:rsidR="00D87A2C">
        <w:t>we</w:t>
      </w:r>
      <w:r w:rsidRPr="00B53F89">
        <w:t xml:space="preserve"> announced the preliminary views and outcomes of </w:t>
      </w:r>
      <w:r w:rsidR="00D87A2C">
        <w:t>our</w:t>
      </w:r>
      <w:r w:rsidR="00D87A2C" w:rsidRPr="00B53F89">
        <w:t xml:space="preserve"> </w:t>
      </w:r>
      <w:hyperlink r:id="rId90" w:history="1">
        <w:r w:rsidRPr="00B53F89">
          <w:rPr>
            <w:rStyle w:val="Hyperlink"/>
            <w:rFonts w:cs="Arial"/>
            <w:szCs w:val="20"/>
          </w:rPr>
          <w:t>3.6 GHz band review</w:t>
        </w:r>
      </w:hyperlink>
      <w:r w:rsidRPr="00B53F89">
        <w:t>. As part of the outcomes, there were several mitigation measures identified for affected incumbent point-to-multipoint licensees. Th</w:t>
      </w:r>
      <w:r>
        <w:t>ese</w:t>
      </w:r>
      <w:r w:rsidRPr="00B53F89">
        <w:t xml:space="preserve"> included a commitment to investigate the possibility of developing arrangements for the licensees as part the 28 GHz band</w:t>
      </w:r>
      <w:r w:rsidR="00EA305B">
        <w:t>-</w:t>
      </w:r>
      <w:r w:rsidRPr="00B53F89">
        <w:t>planning activities.</w:t>
      </w:r>
    </w:p>
    <w:p w14:paraId="2BA5B25A" w14:textId="77777777" w:rsidR="001B42E1" w:rsidRPr="00B53F89" w:rsidRDefault="001B42E1" w:rsidP="001B42E1">
      <w:pPr>
        <w:pStyle w:val="BodySubHeader"/>
      </w:pPr>
      <w:r w:rsidRPr="00B53F89">
        <w:t>Recent developments</w:t>
      </w:r>
    </w:p>
    <w:p w14:paraId="0EB7FC91" w14:textId="3AFA4F86" w:rsidR="001B42E1" w:rsidRPr="00B53F89" w:rsidRDefault="00D87A2C" w:rsidP="001B42E1">
      <w:pPr>
        <w:rPr>
          <w:rFonts w:cs="Arial"/>
          <w:szCs w:val="20"/>
        </w:rPr>
      </w:pPr>
      <w:r>
        <w:t>We</w:t>
      </w:r>
      <w:r w:rsidR="001B42E1" w:rsidRPr="00B53F89">
        <w:rPr>
          <w:rFonts w:cs="Arial"/>
          <w:szCs w:val="20"/>
        </w:rPr>
        <w:t xml:space="preserve"> released a </w:t>
      </w:r>
      <w:hyperlink r:id="rId91" w:history="1">
        <w:r w:rsidR="001B42E1" w:rsidRPr="00B53F89">
          <w:rPr>
            <w:rStyle w:val="Hyperlink"/>
          </w:rPr>
          <w:t xml:space="preserve">discussion </w:t>
        </w:r>
        <w:r w:rsidR="001B42E1" w:rsidRPr="00B53F89">
          <w:rPr>
            <w:rStyle w:val="Hyperlink"/>
            <w:rFonts w:cs="Arial"/>
            <w:szCs w:val="20"/>
          </w:rPr>
          <w:t>paper</w:t>
        </w:r>
      </w:hyperlink>
      <w:r w:rsidR="001B42E1" w:rsidRPr="00B53F89">
        <w:rPr>
          <w:rFonts w:cs="Arial"/>
          <w:szCs w:val="20"/>
        </w:rPr>
        <w:t xml:space="preserve"> in September 2018 on the suitability of the 28 GHz band for a broad range of uses and service types</w:t>
      </w:r>
      <w:r w:rsidR="005C79D5">
        <w:rPr>
          <w:rFonts w:cs="Arial"/>
          <w:szCs w:val="20"/>
        </w:rPr>
        <w:t>,</w:t>
      </w:r>
      <w:r w:rsidR="001B42E1" w:rsidRPr="00B53F89">
        <w:rPr>
          <w:rFonts w:cs="Arial"/>
          <w:szCs w:val="20"/>
        </w:rPr>
        <w:t xml:space="preserve"> including various applications of FSS and wireless broadband services. </w:t>
      </w:r>
      <w:r w:rsidR="001B42E1">
        <w:rPr>
          <w:rFonts w:cs="Arial"/>
          <w:szCs w:val="20"/>
        </w:rPr>
        <w:t>Twenty-four</w:t>
      </w:r>
      <w:r w:rsidR="001B42E1" w:rsidRPr="00B53F89">
        <w:rPr>
          <w:rFonts w:cs="Arial"/>
          <w:szCs w:val="20"/>
        </w:rPr>
        <w:t xml:space="preserve"> </w:t>
      </w:r>
      <w:hyperlink r:id="rId92" w:history="1">
        <w:r w:rsidR="001B42E1" w:rsidRPr="00B53F89">
          <w:rPr>
            <w:rStyle w:val="Hyperlink"/>
            <w:rFonts w:cs="Arial"/>
            <w:szCs w:val="20"/>
          </w:rPr>
          <w:t>submissions</w:t>
        </w:r>
      </w:hyperlink>
      <w:r w:rsidR="001B42E1" w:rsidRPr="00B53F89">
        <w:rPr>
          <w:rFonts w:cs="Arial"/>
          <w:szCs w:val="20"/>
        </w:rPr>
        <w:t xml:space="preserve"> were received.</w:t>
      </w:r>
    </w:p>
    <w:p w14:paraId="4361004C" w14:textId="2FC9A843" w:rsidR="001B42E1" w:rsidRDefault="005C79D5" w:rsidP="001B42E1">
      <w:pPr>
        <w:rPr>
          <w:rFonts w:cs="Arial"/>
          <w:szCs w:val="20"/>
        </w:rPr>
      </w:pPr>
      <w:r>
        <w:rPr>
          <w:rFonts w:cs="Arial"/>
          <w:szCs w:val="20"/>
        </w:rPr>
        <w:lastRenderedPageBreak/>
        <w:t>We</w:t>
      </w:r>
      <w:r w:rsidR="001B42E1" w:rsidRPr="00B53F89">
        <w:rPr>
          <w:rFonts w:cs="Arial"/>
          <w:szCs w:val="20"/>
        </w:rPr>
        <w:t xml:space="preserve"> released an </w:t>
      </w:r>
      <w:hyperlink r:id="rId93" w:history="1">
        <w:r w:rsidR="001B42E1" w:rsidRPr="00B53F89">
          <w:rPr>
            <w:rStyle w:val="Hyperlink"/>
            <w:rFonts w:cs="Arial"/>
            <w:szCs w:val="20"/>
          </w:rPr>
          <w:t>options paper</w:t>
        </w:r>
      </w:hyperlink>
      <w:r w:rsidR="001B42E1" w:rsidRPr="00B53F89">
        <w:rPr>
          <w:rFonts w:cs="Arial"/>
          <w:szCs w:val="20"/>
        </w:rPr>
        <w:t xml:space="preserve"> in April 2019 seeking feedback on possible planning arrangement for the 28 GHz band. </w:t>
      </w:r>
      <w:r w:rsidR="001B42E1">
        <w:rPr>
          <w:rFonts w:cs="Arial"/>
          <w:szCs w:val="20"/>
        </w:rPr>
        <w:t>Twenty-five</w:t>
      </w:r>
      <w:r w:rsidR="001B42E1" w:rsidRPr="00B53F89">
        <w:rPr>
          <w:rFonts w:cs="Arial"/>
          <w:szCs w:val="20"/>
        </w:rPr>
        <w:t xml:space="preserve"> </w:t>
      </w:r>
      <w:hyperlink r:id="rId94" w:history="1">
        <w:r w:rsidR="001B42E1" w:rsidRPr="00B53F89">
          <w:rPr>
            <w:rStyle w:val="Hyperlink"/>
            <w:rFonts w:cs="Arial"/>
            <w:szCs w:val="20"/>
          </w:rPr>
          <w:t>submissions</w:t>
        </w:r>
      </w:hyperlink>
      <w:r w:rsidR="001B42E1" w:rsidRPr="00B53F89">
        <w:rPr>
          <w:rFonts w:cs="Arial"/>
          <w:szCs w:val="20"/>
        </w:rPr>
        <w:t xml:space="preserve"> were received. </w:t>
      </w:r>
    </w:p>
    <w:p w14:paraId="7B55313B" w14:textId="6648F159" w:rsidR="001B42E1" w:rsidRPr="00B53F89" w:rsidRDefault="001B42E1" w:rsidP="001B42E1">
      <w:r w:rsidRPr="00B53F89">
        <w:t xml:space="preserve">Using the information obtained from submissions to the options paper, </w:t>
      </w:r>
      <w:r w:rsidR="005C79D5">
        <w:t>we</w:t>
      </w:r>
      <w:r w:rsidRPr="00B53F89">
        <w:t xml:space="preserve"> released a </w:t>
      </w:r>
      <w:hyperlink r:id="rId95" w:history="1">
        <w:r w:rsidRPr="00B53F89">
          <w:rPr>
            <w:rStyle w:val="Hyperlink"/>
          </w:rPr>
          <w:t>decision paper</w:t>
        </w:r>
      </w:hyperlink>
      <w:r w:rsidRPr="00B53F89">
        <w:t xml:space="preserve"> in </w:t>
      </w:r>
      <w:r>
        <w:t>September</w:t>
      </w:r>
      <w:r w:rsidRPr="00B53F89">
        <w:t xml:space="preserve"> 2019 detailing decisions and preliminary views for the introduction of wireless broadband in the 2</w:t>
      </w:r>
      <w:r>
        <w:t>8</w:t>
      </w:r>
      <w:r w:rsidRPr="00B53F89">
        <w:t xml:space="preserve"> GHz band. </w:t>
      </w:r>
    </w:p>
    <w:p w14:paraId="607C734D" w14:textId="4631AC0A" w:rsidR="00E70C34" w:rsidRDefault="00E70C34" w:rsidP="001B42E1">
      <w:r>
        <w:t xml:space="preserve">We recently concluded a Technical Liaison Group (TLG) comprising interested stakeholders to inform the development of technical arrangements for apparatus licensed wireless broadband services in the 28 GHz band. </w:t>
      </w:r>
      <w:r w:rsidRPr="00E70C34">
        <w:t>After the formal TLG, staff engaged in an FSS-specific consultation using the TLG distribution list and identified scenarios where AWLs could also be used to authorise FSS earth stations in the range 27–30 GHz</w:t>
      </w:r>
      <w:r>
        <w:t xml:space="preserve"> range. </w:t>
      </w:r>
    </w:p>
    <w:p w14:paraId="3187FF61" w14:textId="18FBA1CD" w:rsidR="00E70C34" w:rsidRPr="00B53F89" w:rsidRDefault="00E70C34" w:rsidP="001B42E1">
      <w:r>
        <w:t xml:space="preserve">In August 2020 we released our consultation package on both the 26 GHz and the 28 GHz bands. </w:t>
      </w:r>
    </w:p>
    <w:p w14:paraId="0E4EAB88" w14:textId="77777777" w:rsidR="001B42E1" w:rsidRPr="00B53F89" w:rsidRDefault="001B42E1" w:rsidP="002738F4">
      <w:pPr>
        <w:pStyle w:val="BodySubHeader"/>
        <w:keepNext/>
        <w:keepLines/>
      </w:pPr>
      <w:r w:rsidRPr="00B53F89">
        <w:t>Next steps</w:t>
      </w:r>
    </w:p>
    <w:p w14:paraId="7B17470F" w14:textId="2A0959F1" w:rsidR="001B42E1" w:rsidRDefault="005C79D5" w:rsidP="002738F4">
      <w:pPr>
        <w:keepNext/>
        <w:keepLines/>
      </w:pPr>
      <w:r>
        <w:t>We have</w:t>
      </w:r>
      <w:r w:rsidR="001B42E1">
        <w:t xml:space="preserve"> implemented some of the new arrangements in the 28.3–29.5 GHz frequency range. This has included removing fixed point-to-point arrangements from RALI FX 3 and updating the </w:t>
      </w:r>
      <w:r w:rsidR="001B42E1" w:rsidRPr="008D08DB">
        <w:t>Radiocommunications (Communication with Space Object) Class Licence 2015</w:t>
      </w:r>
      <w:r w:rsidR="001B42E1">
        <w:t xml:space="preserve"> (CSO </w:t>
      </w:r>
      <w:r>
        <w:t>c</w:t>
      </w:r>
      <w:r w:rsidR="001B42E1">
        <w:t xml:space="preserve">lass </w:t>
      </w:r>
      <w:r>
        <w:t>l</w:t>
      </w:r>
      <w:r w:rsidR="001B42E1">
        <w:t>icence) to include the 28.3–29.5 GHz frequency range</w:t>
      </w:r>
      <w:r>
        <w:t>. S</w:t>
      </w:r>
      <w:r w:rsidR="001B42E1">
        <w:t xml:space="preserve">ee </w:t>
      </w:r>
      <w:r>
        <w:t xml:space="preserve">the </w:t>
      </w:r>
      <w:r w:rsidR="001B42E1" w:rsidRPr="00513FDE">
        <w:rPr>
          <w:i/>
          <w:iCs/>
        </w:rPr>
        <w:t xml:space="preserve">Satellite </w:t>
      </w:r>
      <w:r w:rsidRPr="00513FDE">
        <w:rPr>
          <w:i/>
          <w:iCs/>
        </w:rPr>
        <w:t>p</w:t>
      </w:r>
      <w:r w:rsidR="001B42E1" w:rsidRPr="00513FDE">
        <w:rPr>
          <w:i/>
          <w:iCs/>
        </w:rPr>
        <w:t>lanning</w:t>
      </w:r>
      <w:r w:rsidR="001B42E1">
        <w:t xml:space="preserve"> </w:t>
      </w:r>
      <w:r>
        <w:t xml:space="preserve">section </w:t>
      </w:r>
      <w:r w:rsidR="001B42E1">
        <w:t xml:space="preserve">for more CSO </w:t>
      </w:r>
      <w:r>
        <w:t>c</w:t>
      </w:r>
      <w:r w:rsidR="001B42E1">
        <w:t xml:space="preserve">lass </w:t>
      </w:r>
      <w:r>
        <w:t>l</w:t>
      </w:r>
      <w:r w:rsidR="001B42E1">
        <w:t xml:space="preserve">icence details. </w:t>
      </w:r>
    </w:p>
    <w:p w14:paraId="470E15AA" w14:textId="43CC3516" w:rsidR="001B42E1" w:rsidRDefault="005C79D5" w:rsidP="001B42E1">
      <w:r>
        <w:t>We have</w:t>
      </w:r>
      <w:r w:rsidR="001B42E1">
        <w:t xml:space="preserve"> </w:t>
      </w:r>
      <w:r w:rsidR="001B42E1" w:rsidRPr="00F56121">
        <w:t>commence</w:t>
      </w:r>
      <w:r w:rsidR="001B42E1">
        <w:t>d</w:t>
      </w:r>
      <w:r w:rsidR="001B42E1" w:rsidRPr="00F56121">
        <w:t xml:space="preserve"> work </w:t>
      </w:r>
      <w:r w:rsidR="001B42E1">
        <w:t>on the development of class licence arrangements for satellite services between 27.5 GHz and 28.3 GHz. This work is expected to conclude by Q4 2020.</w:t>
      </w:r>
      <w:r w:rsidR="001B42E1" w:rsidRPr="00261F27">
        <w:t xml:space="preserve"> </w:t>
      </w:r>
    </w:p>
    <w:p w14:paraId="0262077C" w14:textId="5E095A1A" w:rsidR="001B42E1" w:rsidRDefault="001B42E1" w:rsidP="001B42E1">
      <w:r>
        <w:t xml:space="preserve">Work </w:t>
      </w:r>
      <w:r w:rsidR="00B41691">
        <w:t>has also been undertaken</w:t>
      </w:r>
      <w:r>
        <w:t xml:space="preserve"> to develop technical arrangements for fixed wireless broadband use of the 27.5</w:t>
      </w:r>
      <w:r w:rsidR="005C79D5">
        <w:t>–</w:t>
      </w:r>
      <w:r>
        <w:t xml:space="preserve">29.5 GHz band. This work </w:t>
      </w:r>
      <w:r w:rsidR="00FF172F">
        <w:t>was</w:t>
      </w:r>
      <w:r>
        <w:t xml:space="preserve"> conducted under the same TLG process as for the 26 GHz band. Public consultation on relevant technical arrangements </w:t>
      </w:r>
      <w:r w:rsidRPr="00D22D9F">
        <w:t>will occur in conjunction with consultation on associated allocation instruments</w:t>
      </w:r>
    </w:p>
    <w:p w14:paraId="2A0AE75B" w14:textId="51438624" w:rsidR="00F46EA9" w:rsidRPr="00B53F89" w:rsidRDefault="00F46EA9" w:rsidP="009F4093">
      <w:pPr>
        <w:pStyle w:val="Heading1"/>
      </w:pPr>
      <w:bookmarkStart w:id="312" w:name="_Optimising_established_planning"/>
      <w:bookmarkStart w:id="313" w:name="_Toc510104951"/>
      <w:bookmarkStart w:id="314" w:name="_Toc510105748"/>
      <w:bookmarkStart w:id="315" w:name="_Toc510795080"/>
      <w:bookmarkStart w:id="316" w:name="_Toc511716282"/>
      <w:bookmarkStart w:id="317" w:name="_Toc511719093"/>
      <w:bookmarkStart w:id="318" w:name="_Toc522794088"/>
      <w:bookmarkStart w:id="319" w:name="_Toc31892817"/>
      <w:bookmarkStart w:id="320" w:name="_Toc36207433"/>
      <w:bookmarkStart w:id="321" w:name="_Toc51846280"/>
      <w:bookmarkStart w:id="322" w:name="_Toc51864333"/>
      <w:bookmarkEnd w:id="312"/>
      <w:r w:rsidRPr="00FA3BFB">
        <w:lastRenderedPageBreak/>
        <w:t>Optimising established planning frameworks</w:t>
      </w:r>
      <w:bookmarkEnd w:id="313"/>
      <w:bookmarkEnd w:id="314"/>
      <w:bookmarkEnd w:id="315"/>
      <w:bookmarkEnd w:id="316"/>
      <w:bookmarkEnd w:id="317"/>
      <w:bookmarkEnd w:id="318"/>
      <w:bookmarkEnd w:id="319"/>
      <w:bookmarkEnd w:id="320"/>
      <w:bookmarkEnd w:id="321"/>
      <w:bookmarkEnd w:id="322"/>
    </w:p>
    <w:p w14:paraId="097EB5EC" w14:textId="0186F395" w:rsidR="00F24C8A" w:rsidRPr="00B53F89" w:rsidRDefault="00F22FDB" w:rsidP="007E1FBE">
      <w:r w:rsidRPr="00B53F89">
        <w:t>T</w:t>
      </w:r>
      <w:r w:rsidR="0066634A" w:rsidRPr="00B53F89">
        <w:t>he optimisation of e</w:t>
      </w:r>
      <w:r w:rsidR="00F64B58" w:rsidRPr="00B53F89">
        <w:t>xisting spectrum</w:t>
      </w:r>
      <w:r w:rsidR="00E64CF7" w:rsidRPr="00B53F89">
        <w:t xml:space="preserve"> </w:t>
      </w:r>
      <w:r w:rsidR="00F15BFE" w:rsidRPr="00B53F89">
        <w:t>planning arrangements</w:t>
      </w:r>
      <w:r w:rsidRPr="00B53F89">
        <w:t xml:space="preserve"> is also a significant planning priority for the ACMA</w:t>
      </w:r>
      <w:r w:rsidR="00F15BFE" w:rsidRPr="00B53F89">
        <w:t>.</w:t>
      </w:r>
      <w:r w:rsidRPr="00B53F89">
        <w:t xml:space="preserve"> </w:t>
      </w:r>
      <w:r w:rsidR="00F15BFE" w:rsidRPr="00B53F89">
        <w:t xml:space="preserve">This is typically </w:t>
      </w:r>
      <w:r w:rsidR="0066634A" w:rsidRPr="00B53F89">
        <w:t>achieved through updates to</w:t>
      </w:r>
      <w:r w:rsidR="00D42D90" w:rsidRPr="00B53F89">
        <w:t xml:space="preserve"> elements of</w:t>
      </w:r>
      <w:r w:rsidR="0066634A" w:rsidRPr="00B53F89">
        <w:t xml:space="preserve"> </w:t>
      </w:r>
      <w:r w:rsidR="00F15BFE" w:rsidRPr="00B53F89">
        <w:t>spectrum</w:t>
      </w:r>
      <w:r w:rsidR="00375FAA" w:rsidRPr="00B53F89">
        <w:t xml:space="preserve"> </w:t>
      </w:r>
      <w:r w:rsidR="00F15BFE" w:rsidRPr="00B53F89">
        <w:t>planning technical framework such as band plans (either administrative or legislative</w:t>
      </w:r>
      <w:r w:rsidR="002957B9" w:rsidRPr="00B53F89">
        <w:t>)</w:t>
      </w:r>
      <w:r w:rsidR="00F15BFE" w:rsidRPr="00B53F89">
        <w:t xml:space="preserve"> and RALIs. </w:t>
      </w:r>
    </w:p>
    <w:p w14:paraId="381E4DF6" w14:textId="698F6A7E" w:rsidR="006A3C62" w:rsidRDefault="00E706F9" w:rsidP="007E1FBE">
      <w:r w:rsidRPr="00B53F89">
        <w:t>T</w:t>
      </w:r>
      <w:r w:rsidR="00F15BFE" w:rsidRPr="00B53F89">
        <w:t xml:space="preserve">hese changes </w:t>
      </w:r>
      <w:r w:rsidRPr="00B53F89">
        <w:t xml:space="preserve">are intended </w:t>
      </w:r>
      <w:r w:rsidR="00F15BFE" w:rsidRPr="00B53F89">
        <w:t xml:space="preserve">to </w:t>
      </w:r>
      <w:r w:rsidR="0066634A" w:rsidRPr="00B53F89">
        <w:t>address band</w:t>
      </w:r>
      <w:r w:rsidR="00F15BFE" w:rsidRPr="00B53F89">
        <w:t xml:space="preserve"> and service</w:t>
      </w:r>
      <w:r w:rsidRPr="00B53F89">
        <w:t>-</w:t>
      </w:r>
      <w:r w:rsidR="0066634A" w:rsidRPr="00B53F89">
        <w:t xml:space="preserve">specific </w:t>
      </w:r>
      <w:r w:rsidR="00472F67" w:rsidRPr="00B53F89">
        <w:t>issues</w:t>
      </w:r>
      <w:r w:rsidR="00F15BFE" w:rsidRPr="00B53F89">
        <w:t xml:space="preserve"> identified within existing frameworks</w:t>
      </w:r>
      <w:r w:rsidRPr="00B53F89">
        <w:t>—</w:t>
      </w:r>
      <w:r w:rsidR="00F15BFE" w:rsidRPr="00B53F89">
        <w:t>for example</w:t>
      </w:r>
      <w:r w:rsidRPr="00B53F89">
        <w:t>,</w:t>
      </w:r>
      <w:r w:rsidR="00F15BFE" w:rsidRPr="00B53F89">
        <w:t xml:space="preserve"> by </w:t>
      </w:r>
      <w:r w:rsidR="00F64B58" w:rsidRPr="00B53F89">
        <w:t xml:space="preserve">addressing </w:t>
      </w:r>
      <w:r w:rsidR="00F15BFE" w:rsidRPr="00B53F89">
        <w:t>technology developments</w:t>
      </w:r>
      <w:r w:rsidR="005C79D5">
        <w:t xml:space="preserve"> and</w:t>
      </w:r>
      <w:r w:rsidR="00F15BFE" w:rsidRPr="00B53F89">
        <w:t xml:space="preserve"> enabling sharing opportunities and other changes to improve the efficient use of the spectrum</w:t>
      </w:r>
      <w:r w:rsidR="00F64B58" w:rsidRPr="00B53F89">
        <w:t>.</w:t>
      </w:r>
      <w:r w:rsidR="005B0878">
        <w:t xml:space="preserve"> </w:t>
      </w:r>
      <w:r w:rsidR="005C79D5">
        <w:t xml:space="preserve">Our </w:t>
      </w:r>
      <w:r w:rsidR="006A3C62" w:rsidRPr="00B53F89">
        <w:t>optimisation work across a range of different spectrum uses is outlined below.</w:t>
      </w:r>
    </w:p>
    <w:p w14:paraId="0BA3CC30" w14:textId="7F88417F" w:rsidR="00011742" w:rsidRPr="00B53F89" w:rsidRDefault="00011742" w:rsidP="007E1FBE">
      <w:pPr>
        <w:pStyle w:val="Heading2"/>
      </w:pPr>
      <w:bookmarkStart w:id="323" w:name="_Toc31892818"/>
      <w:bookmarkStart w:id="324" w:name="_Toc36207434"/>
      <w:bookmarkStart w:id="325" w:name="_Toc51846281"/>
      <w:bookmarkStart w:id="326" w:name="_Toc51864334"/>
      <w:r w:rsidRPr="00B53F89">
        <w:t>Spectrum management advice and considering out-of-policy requests</w:t>
      </w:r>
      <w:bookmarkEnd w:id="323"/>
      <w:bookmarkEnd w:id="324"/>
      <w:bookmarkEnd w:id="325"/>
      <w:bookmarkEnd w:id="326"/>
    </w:p>
    <w:p w14:paraId="25DD1705" w14:textId="65614C5D" w:rsidR="00011742" w:rsidRPr="00B53F89" w:rsidRDefault="005C79D5" w:rsidP="007E1FBE">
      <w:r>
        <w:t>We have</w:t>
      </w:r>
      <w:r w:rsidR="00011742" w:rsidRPr="00B53F89">
        <w:t xml:space="preserve"> an ongoing role </w:t>
      </w:r>
      <w:r>
        <w:t>to</w:t>
      </w:r>
      <w:r w:rsidRPr="00B53F89">
        <w:t xml:space="preserve"> provid</w:t>
      </w:r>
      <w:r>
        <w:t>e</w:t>
      </w:r>
      <w:r w:rsidRPr="00B53F89">
        <w:t xml:space="preserve"> </w:t>
      </w:r>
      <w:r w:rsidR="00011742" w:rsidRPr="00B53F89">
        <w:t>advice on spectrum arrangements, including advice on requests</w:t>
      </w:r>
      <w:r w:rsidR="006F0CF9">
        <w:t xml:space="preserve"> that involve departing from </w:t>
      </w:r>
      <w:r>
        <w:t>our</w:t>
      </w:r>
      <w:r w:rsidR="006F0CF9">
        <w:t xml:space="preserve"> published policies</w:t>
      </w:r>
      <w:r w:rsidR="00011742" w:rsidRPr="00B53F89">
        <w:t xml:space="preserve"> and considering applications for trial demonstration of new technologies.</w:t>
      </w:r>
    </w:p>
    <w:p w14:paraId="0C288C49" w14:textId="3A96D007" w:rsidR="00617A37" w:rsidRPr="00B53F89" w:rsidRDefault="00617A37" w:rsidP="00C371D2">
      <w:pPr>
        <w:pStyle w:val="Heading3"/>
      </w:pPr>
      <w:bookmarkStart w:id="327" w:name="_Hlk36535398"/>
      <w:bookmarkStart w:id="328" w:name="_Toc31892819"/>
      <w:bookmarkStart w:id="329" w:name="_Toc36207435"/>
      <w:bookmarkStart w:id="330" w:name="_Toc51864335"/>
      <w:bookmarkStart w:id="331" w:name="_Hlk16250852"/>
      <w:r w:rsidRPr="00B53F89">
        <w:t xml:space="preserve">Public </w:t>
      </w:r>
      <w:r w:rsidR="002738F4">
        <w:t>p</w:t>
      </w:r>
      <w:r w:rsidRPr="00B53F89">
        <w:t xml:space="preserve">rotection and </w:t>
      </w:r>
      <w:r w:rsidR="002738F4">
        <w:t>d</w:t>
      </w:r>
      <w:r w:rsidRPr="00B53F89">
        <w:t xml:space="preserve">isaster </w:t>
      </w:r>
      <w:r w:rsidR="002738F4">
        <w:t>r</w:t>
      </w:r>
      <w:r w:rsidRPr="00B53F89">
        <w:t xml:space="preserve">elief </w:t>
      </w:r>
      <w:bookmarkEnd w:id="327"/>
      <w:r w:rsidRPr="00B53F89">
        <w:t>(PPDR)</w:t>
      </w:r>
      <w:r w:rsidR="00BF77F7" w:rsidRPr="00B53F89">
        <w:t xml:space="preserve"> in the 4.9 GHz band</w:t>
      </w:r>
      <w:bookmarkEnd w:id="328"/>
      <w:bookmarkEnd w:id="329"/>
      <w:bookmarkEnd w:id="330"/>
    </w:p>
    <w:bookmarkEnd w:id="331"/>
    <w:p w14:paraId="28191070" w14:textId="6CCA7E58" w:rsidR="005B0878" w:rsidRDefault="005C79D5" w:rsidP="007E1FBE">
      <w:r>
        <w:t>We have</w:t>
      </w:r>
      <w:r w:rsidR="00FA6739">
        <w:t xml:space="preserve"> previously</w:t>
      </w:r>
      <w:r w:rsidR="00962925" w:rsidRPr="00B53F89">
        <w:t xml:space="preserve"> </w:t>
      </w:r>
      <w:r w:rsidR="00AF6C4C" w:rsidRPr="00B53F89">
        <w:t>work</w:t>
      </w:r>
      <w:r w:rsidR="00962925" w:rsidRPr="00B53F89">
        <w:t>ed</w:t>
      </w:r>
      <w:r w:rsidR="00AF6C4C" w:rsidRPr="00B53F89">
        <w:t xml:space="preserve"> within ITU-R Working Party 5A (responsible for recommendations and reports </w:t>
      </w:r>
      <w:r>
        <w:t>on</w:t>
      </w:r>
      <w:r w:rsidR="00AF6C4C" w:rsidRPr="00B53F89">
        <w:t xml:space="preserve"> PPDR communications, among other things) to include channelling arrangements for 5G N</w:t>
      </w:r>
      <w:r w:rsidR="00E64CF7" w:rsidRPr="00B53F89">
        <w:t xml:space="preserve">ew </w:t>
      </w:r>
      <w:r w:rsidR="00AF6C4C" w:rsidRPr="00B53F89">
        <w:t>R</w:t>
      </w:r>
      <w:r w:rsidR="00E64CF7" w:rsidRPr="00B53F89">
        <w:t>adio</w:t>
      </w:r>
      <w:r w:rsidR="00AF6C4C" w:rsidRPr="00B53F89">
        <w:t xml:space="preserve"> in documents relevant to 4.9 GHz PPDR arrangements. </w:t>
      </w:r>
      <w:r w:rsidR="001060AF">
        <w:t>This</w:t>
      </w:r>
      <w:r w:rsidR="00AF6C4C" w:rsidRPr="00B53F89">
        <w:t xml:space="preserve"> may help pave the way for public safety-grade 5G equipment that could operate under the 4.9 GHz</w:t>
      </w:r>
      <w:r w:rsidR="00D42D90" w:rsidRPr="00B53F89">
        <w:t xml:space="preserve"> emergency services</w:t>
      </w:r>
      <w:r w:rsidR="00AF6C4C" w:rsidRPr="00B53F89">
        <w:t xml:space="preserve"> class licence and could augment a future PSMB capability.</w:t>
      </w:r>
      <w:r w:rsidR="00D42D90" w:rsidRPr="00B53F89">
        <w:t xml:space="preserve"> </w:t>
      </w:r>
    </w:p>
    <w:p w14:paraId="458752B3" w14:textId="6F74D7AE" w:rsidR="00AF6C4C" w:rsidRPr="00B53F89" w:rsidRDefault="001060AF" w:rsidP="007E1FBE">
      <w:r>
        <w:t>The</w:t>
      </w:r>
      <w:r w:rsidR="00D42D90" w:rsidRPr="00B53F89">
        <w:t xml:space="preserve"> pre-existence of the 4.9 GHz class licence </w:t>
      </w:r>
      <w:r w:rsidR="00CC5C49">
        <w:t>could</w:t>
      </w:r>
      <w:r w:rsidR="00CC5C49" w:rsidRPr="00B53F89">
        <w:t xml:space="preserve"> </w:t>
      </w:r>
      <w:r w:rsidR="00D42D90" w:rsidRPr="00B53F89">
        <w:t xml:space="preserve">potentially represent a path from progression from 4G to 5G-based PSMB systems in the longer </w:t>
      </w:r>
      <w:r w:rsidR="00BA6B87" w:rsidRPr="00B53F89">
        <w:t>term if</w:t>
      </w:r>
      <w:r w:rsidR="00D42D90" w:rsidRPr="00B53F89">
        <w:t xml:space="preserve"> suitable equipment and protocols are established. The work within </w:t>
      </w:r>
      <w:r w:rsidR="007A3BEE" w:rsidRPr="00B53F89">
        <w:t xml:space="preserve">Working Party </w:t>
      </w:r>
      <w:r w:rsidR="00D42D90" w:rsidRPr="00B53F89">
        <w:t xml:space="preserve">5A </w:t>
      </w:r>
      <w:r w:rsidR="005F4EFF" w:rsidRPr="00B53F89">
        <w:t>was</w:t>
      </w:r>
      <w:r w:rsidR="00D42D90" w:rsidRPr="00B53F89">
        <w:t xml:space="preserve"> a first step in this process.</w:t>
      </w:r>
    </w:p>
    <w:p w14:paraId="065081A3" w14:textId="7E2BB3D3" w:rsidR="00683BDD" w:rsidRPr="00B53F89" w:rsidRDefault="00683BDD" w:rsidP="007E1FBE">
      <w:pPr>
        <w:keepNext/>
        <w:spacing w:before="60" w:after="0"/>
      </w:pPr>
      <w:bookmarkStart w:id="332" w:name="_Toc510104952"/>
      <w:bookmarkStart w:id="333" w:name="_Toc510105749"/>
      <w:bookmarkStart w:id="334" w:name="_Toc510795081"/>
      <w:bookmarkStart w:id="335" w:name="_Toc511716284"/>
      <w:bookmarkStart w:id="336" w:name="_Toc511719095"/>
      <w:bookmarkStart w:id="337" w:name="_Toc522794090"/>
      <w:r w:rsidRPr="006A2F04">
        <w:rPr>
          <w:noProof/>
        </w:rPr>
        <w:drawing>
          <wp:inline distT="0" distB="0" distL="0" distR="0" wp14:anchorId="6D9EAF85" wp14:editId="7BC0638B">
            <wp:extent cx="342900" cy="361950"/>
            <wp:effectExtent l="0" t="0" r="0" b="0"/>
            <wp:docPr id="88" name="Picture 8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47B6225" w14:textId="503B8851" w:rsidR="00472F67" w:rsidRPr="00B53F89" w:rsidRDefault="00F46EA9" w:rsidP="00C371D2">
      <w:pPr>
        <w:pStyle w:val="Heading2"/>
        <w:spacing w:before="60"/>
      </w:pPr>
      <w:bookmarkStart w:id="338" w:name="_Broadcasting"/>
      <w:bookmarkStart w:id="339" w:name="_Toc31892820"/>
      <w:bookmarkStart w:id="340" w:name="_Toc36207436"/>
      <w:bookmarkStart w:id="341" w:name="_Toc51846282"/>
      <w:bookmarkStart w:id="342" w:name="_Toc51864336"/>
      <w:bookmarkEnd w:id="338"/>
      <w:r w:rsidRPr="00B53F89">
        <w:t>Broadcasting</w:t>
      </w:r>
      <w:bookmarkEnd w:id="332"/>
      <w:bookmarkEnd w:id="333"/>
      <w:bookmarkEnd w:id="334"/>
      <w:bookmarkEnd w:id="335"/>
      <w:bookmarkEnd w:id="336"/>
      <w:bookmarkEnd w:id="337"/>
      <w:bookmarkEnd w:id="339"/>
      <w:bookmarkEnd w:id="340"/>
      <w:bookmarkEnd w:id="341"/>
      <w:bookmarkEnd w:id="342"/>
    </w:p>
    <w:p w14:paraId="57F97212" w14:textId="4B6D1B62" w:rsidR="00CF69E3" w:rsidRDefault="00CF69E3" w:rsidP="007E1FBE">
      <w:bookmarkStart w:id="343" w:name="_Hlk2168169"/>
      <w:r>
        <w:t xml:space="preserve">Following the successful completion of the digital TV transition in 2014, the TV broadcast environment has been relatively stable. </w:t>
      </w:r>
      <w:r w:rsidR="00BA6B87">
        <w:t>We</w:t>
      </w:r>
      <w:r>
        <w:t xml:space="preserve"> continue to provide spectrum planning and licensing assistance to ad-hoc requests for optimisation of the existing TV transmission infrastructure.</w:t>
      </w:r>
    </w:p>
    <w:p w14:paraId="6FE8A949" w14:textId="6FF7F3F3" w:rsidR="00CF69E3" w:rsidRDefault="00CC5C49" w:rsidP="007E1FBE">
      <w:bookmarkStart w:id="344" w:name="_Hlk38960630"/>
      <w:r>
        <w:t>We have</w:t>
      </w:r>
      <w:r w:rsidR="00BA6FB0">
        <w:t xml:space="preserve"> facilitated </w:t>
      </w:r>
      <w:r w:rsidR="00CB5253">
        <w:t>technology</w:t>
      </w:r>
      <w:r w:rsidR="00BA6FB0">
        <w:t xml:space="preserve"> </w:t>
      </w:r>
      <w:r w:rsidR="00CF69E3">
        <w:t>trials of the new TV transmission technologies</w:t>
      </w:r>
      <w:r w:rsidR="00BA6B87">
        <w:t xml:space="preserve">, including </w:t>
      </w:r>
      <w:r w:rsidR="00CF69E3">
        <w:t xml:space="preserve">the DVB-T2 run by industry in Sydney and </w:t>
      </w:r>
      <w:r w:rsidR="00BA6B87">
        <w:t xml:space="preserve">the </w:t>
      </w:r>
      <w:r w:rsidR="00CF69E3">
        <w:t>Gold Coast between April 2018 and March/April 2019</w:t>
      </w:r>
      <w:r w:rsidR="00BA6B87">
        <w:t>,</w:t>
      </w:r>
      <w:r w:rsidR="00CF69E3">
        <w:t xml:space="preserve"> and will continue to support similar </w:t>
      </w:r>
      <w:r w:rsidR="00CB5253">
        <w:t xml:space="preserve">industry </w:t>
      </w:r>
      <w:r w:rsidR="00CF69E3">
        <w:t>trials in the future</w:t>
      </w:r>
      <w:bookmarkEnd w:id="344"/>
      <w:r w:rsidR="00CF69E3">
        <w:t>.</w:t>
      </w:r>
    </w:p>
    <w:p w14:paraId="6AAD5F92" w14:textId="1517A220" w:rsidR="00CF69E3" w:rsidRDefault="00BA6B87" w:rsidP="007E1FBE">
      <w:r>
        <w:t>Our</w:t>
      </w:r>
      <w:r w:rsidR="00CF69E3">
        <w:t xml:space="preserve"> </w:t>
      </w:r>
      <w:r w:rsidR="003116EA">
        <w:t xml:space="preserve">website provides </w:t>
      </w:r>
      <w:r w:rsidR="00CC5C49">
        <w:t xml:space="preserve">visitors </w:t>
      </w:r>
      <w:r w:rsidR="003116EA">
        <w:t>with information about</w:t>
      </w:r>
      <w:r w:rsidR="00CF69E3">
        <w:t xml:space="preserve"> TV reception and interference</w:t>
      </w:r>
      <w:r>
        <w:t xml:space="preserve"> and we manage the </w:t>
      </w:r>
      <w:hyperlink r:id="rId96" w:history="1">
        <w:r w:rsidRPr="00CF69E3">
          <w:rPr>
            <w:rStyle w:val="Hyperlink"/>
          </w:rPr>
          <w:t>mySwitch</w:t>
        </w:r>
      </w:hyperlink>
      <w:r>
        <w:t xml:space="preserve"> website, a public TV coverage data portal with address</w:t>
      </w:r>
      <w:r w:rsidR="00210F14">
        <w:t>-</w:t>
      </w:r>
      <w:r>
        <w:t>specific information about the TV coverage and access to Viewer Access Satellite Television (VAST).</w:t>
      </w:r>
      <w:r w:rsidR="00CF69E3">
        <w:t xml:space="preserve"> </w:t>
      </w:r>
      <w:r>
        <w:t>We also</w:t>
      </w:r>
      <w:r w:rsidR="00CF69E3">
        <w:t xml:space="preserve"> provide interference diagnostic services </w:t>
      </w:r>
      <w:r w:rsidR="003116EA">
        <w:t xml:space="preserve">where </w:t>
      </w:r>
      <w:r w:rsidR="00CF69E3">
        <w:t>external interference is the cause.</w:t>
      </w:r>
    </w:p>
    <w:p w14:paraId="2686A544" w14:textId="1C36086E" w:rsidR="00191FBB" w:rsidRDefault="00191FBB" w:rsidP="007E1FBE">
      <w:r>
        <w:lastRenderedPageBreak/>
        <w:t xml:space="preserve">In 2019, </w:t>
      </w:r>
      <w:r w:rsidR="00BA6B87">
        <w:t>we</w:t>
      </w:r>
      <w:r>
        <w:t xml:space="preserve"> sought the views of industry on how the technological evolution and changing listener preferences were likely to impact the way radio </w:t>
      </w:r>
      <w:r w:rsidR="00AC22D2">
        <w:t>i</w:t>
      </w:r>
      <w:r>
        <w:t xml:space="preserve">s delivered into the future and how </w:t>
      </w:r>
      <w:r w:rsidR="00BA6B87">
        <w:t>we</w:t>
      </w:r>
      <w:r>
        <w:t xml:space="preserve"> can assist the industry in how it prioritises its planning work program. </w:t>
      </w:r>
    </w:p>
    <w:p w14:paraId="0F800012" w14:textId="440F5048" w:rsidR="0022282E" w:rsidRDefault="0022282E" w:rsidP="007E1FBE">
      <w:pPr>
        <w:rPr>
          <w:szCs w:val="20"/>
        </w:rPr>
      </w:pPr>
      <w:r>
        <w:rPr>
          <w:szCs w:val="20"/>
        </w:rPr>
        <w:t xml:space="preserve">Following </w:t>
      </w:r>
      <w:r w:rsidR="00010424">
        <w:rPr>
          <w:szCs w:val="20"/>
        </w:rPr>
        <w:t>i</w:t>
      </w:r>
      <w:r w:rsidR="00010424" w:rsidRPr="00091AC8">
        <w:rPr>
          <w:szCs w:val="20"/>
        </w:rPr>
        <w:t>ndustry</w:t>
      </w:r>
      <w:r w:rsidR="00191FBB" w:rsidRPr="00091AC8">
        <w:rPr>
          <w:szCs w:val="20"/>
        </w:rPr>
        <w:t xml:space="preserve"> feedback, </w:t>
      </w:r>
      <w:r w:rsidR="00BA6B87">
        <w:rPr>
          <w:szCs w:val="20"/>
        </w:rPr>
        <w:t>we</w:t>
      </w:r>
      <w:r w:rsidR="00191FBB" w:rsidRPr="00091AC8">
        <w:rPr>
          <w:szCs w:val="20"/>
        </w:rPr>
        <w:t xml:space="preserve"> </w:t>
      </w:r>
      <w:r>
        <w:rPr>
          <w:szCs w:val="20"/>
        </w:rPr>
        <w:t>published</w:t>
      </w:r>
      <w:r w:rsidDel="00BA6B87">
        <w:rPr>
          <w:szCs w:val="20"/>
        </w:rPr>
        <w:t xml:space="preserve"> </w:t>
      </w:r>
      <w:r w:rsidR="00BA6B87">
        <w:rPr>
          <w:szCs w:val="20"/>
        </w:rPr>
        <w:t xml:space="preserve">our </w:t>
      </w:r>
      <w:hyperlink r:id="rId97" w:history="1">
        <w:r w:rsidR="0058639E" w:rsidRPr="009E55F9">
          <w:rPr>
            <w:rStyle w:val="Hyperlink"/>
            <w:szCs w:val="20"/>
          </w:rPr>
          <w:t>report</w:t>
        </w:r>
      </w:hyperlink>
      <w:r>
        <w:rPr>
          <w:rStyle w:val="Hyperlink"/>
          <w:szCs w:val="20"/>
        </w:rPr>
        <w:t xml:space="preserve"> </w:t>
      </w:r>
      <w:r>
        <w:rPr>
          <w:szCs w:val="20"/>
        </w:rPr>
        <w:t>on the future delivery of radio services in Australia.</w:t>
      </w:r>
      <w:r w:rsidRPr="0022282E">
        <w:rPr>
          <w:rFonts w:ascii="Fira Sans" w:hAnsi="Fira Sans" w:cs="Segoe UI"/>
          <w:color w:val="353D3D"/>
          <w:lang w:val="en"/>
        </w:rPr>
        <w:t xml:space="preserve"> </w:t>
      </w:r>
      <w:r w:rsidR="004F558B" w:rsidRPr="0022282E">
        <w:rPr>
          <w:szCs w:val="20"/>
          <w:lang w:val="en"/>
        </w:rPr>
        <w:t>We found that live radio across different platforms is important to Australians</w:t>
      </w:r>
      <w:r w:rsidR="00BA6B87">
        <w:rPr>
          <w:szCs w:val="20"/>
          <w:lang w:val="en"/>
        </w:rPr>
        <w:t>,</w:t>
      </w:r>
      <w:r w:rsidR="004F558B" w:rsidRPr="0022282E">
        <w:rPr>
          <w:szCs w:val="20"/>
          <w:lang w:val="en"/>
        </w:rPr>
        <w:t xml:space="preserve"> especially </w:t>
      </w:r>
      <w:r w:rsidR="00BA6B87">
        <w:rPr>
          <w:szCs w:val="20"/>
          <w:lang w:val="en"/>
        </w:rPr>
        <w:t>so</w:t>
      </w:r>
      <w:r w:rsidR="00BA6B87" w:rsidRPr="0022282E">
        <w:rPr>
          <w:szCs w:val="20"/>
          <w:lang w:val="en"/>
        </w:rPr>
        <w:t xml:space="preserve"> </w:t>
      </w:r>
      <w:r w:rsidR="004F558B" w:rsidRPr="0022282E">
        <w:rPr>
          <w:szCs w:val="20"/>
          <w:lang w:val="en"/>
        </w:rPr>
        <w:t>during emergency situations such as the recent bushfires. We also determined that a mix of platforms is crucial to bringing radio to listeners.</w:t>
      </w:r>
    </w:p>
    <w:p w14:paraId="32015445" w14:textId="1714C6EB" w:rsidR="00191FBB" w:rsidRPr="00091AC8" w:rsidRDefault="004F558B" w:rsidP="007E1FBE">
      <w:pPr>
        <w:rPr>
          <w:rFonts w:cs="Arial"/>
          <w:szCs w:val="20"/>
        </w:rPr>
      </w:pPr>
      <w:r>
        <w:rPr>
          <w:szCs w:val="20"/>
        </w:rPr>
        <w:t xml:space="preserve">The report sets out a </w:t>
      </w:r>
      <w:r w:rsidR="00191FBB" w:rsidRPr="00091AC8">
        <w:rPr>
          <w:rFonts w:cs="Arial"/>
          <w:szCs w:val="20"/>
        </w:rPr>
        <w:t xml:space="preserve">new framework for </w:t>
      </w:r>
      <w:r w:rsidR="00ED5658">
        <w:rPr>
          <w:rFonts w:cs="Arial"/>
          <w:szCs w:val="20"/>
        </w:rPr>
        <w:t>our</w:t>
      </w:r>
      <w:r w:rsidR="00191FBB" w:rsidRPr="00091AC8">
        <w:rPr>
          <w:rFonts w:cs="Arial"/>
          <w:szCs w:val="20"/>
        </w:rPr>
        <w:t xml:space="preserve"> radio broadcast planning priority-setting and decision-making. </w:t>
      </w:r>
      <w:r w:rsidR="00ED5658">
        <w:rPr>
          <w:rFonts w:cs="Arial"/>
          <w:szCs w:val="20"/>
        </w:rPr>
        <w:t>T</w:t>
      </w:r>
      <w:r w:rsidR="00191FBB" w:rsidRPr="00091AC8">
        <w:rPr>
          <w:rFonts w:cs="Arial"/>
          <w:szCs w:val="20"/>
        </w:rPr>
        <w:t xml:space="preserve">his will provide greater certainty and transparency for industry and allow more efficient allocation of </w:t>
      </w:r>
      <w:r w:rsidR="00ED5658">
        <w:rPr>
          <w:rFonts w:cs="Arial"/>
          <w:szCs w:val="20"/>
        </w:rPr>
        <w:t>our</w:t>
      </w:r>
      <w:r w:rsidR="00191FBB" w:rsidRPr="00091AC8">
        <w:rPr>
          <w:rFonts w:cs="Arial"/>
          <w:szCs w:val="20"/>
        </w:rPr>
        <w:t xml:space="preserve"> broadcast planning resources.</w:t>
      </w:r>
    </w:p>
    <w:p w14:paraId="22C89228" w14:textId="4BA02288" w:rsidR="00AC22D2" w:rsidRDefault="00ED5658" w:rsidP="007E1FBE">
      <w:pPr>
        <w:pStyle w:val="Paragraphbeforelist"/>
        <w:rPr>
          <w:sz w:val="21"/>
          <w:szCs w:val="21"/>
        </w:rPr>
      </w:pPr>
      <w:r>
        <w:t>We have</w:t>
      </w:r>
      <w:r w:rsidR="00AC22D2" w:rsidRPr="00091AC8">
        <w:t xml:space="preserve"> set </w:t>
      </w:r>
      <w:r>
        <w:t>our</w:t>
      </w:r>
      <w:r w:rsidRPr="00091AC8">
        <w:t xml:space="preserve"> </w:t>
      </w:r>
      <w:r w:rsidR="00191FBB" w:rsidRPr="00091AC8">
        <w:t>current radio broadcasting planning priorities as:</w:t>
      </w:r>
    </w:p>
    <w:p w14:paraId="0E7856F1" w14:textId="3AD1B051" w:rsidR="00191FBB" w:rsidRPr="006C6463" w:rsidRDefault="00ED5658" w:rsidP="007E1FBE">
      <w:pPr>
        <w:pStyle w:val="Bulletlevel1"/>
      </w:pPr>
      <w:r>
        <w:t>c</w:t>
      </w:r>
      <w:r w:rsidRPr="006C6463">
        <w:t>onver</w:t>
      </w:r>
      <w:r>
        <w:t>ting</w:t>
      </w:r>
      <w:r w:rsidR="00191FBB" w:rsidRPr="006C6463">
        <w:t xml:space="preserve"> commercial, national and community services from AM to FM where FM spectrum is available</w:t>
      </w:r>
    </w:p>
    <w:p w14:paraId="178FFF50" w14:textId="3BF5B15C" w:rsidR="00191FBB" w:rsidRPr="006C6463" w:rsidRDefault="006C6463" w:rsidP="007E1FBE">
      <w:pPr>
        <w:pStyle w:val="Bulletlevel1"/>
      </w:pPr>
      <w:r>
        <w:t>e</w:t>
      </w:r>
      <w:r w:rsidR="00191FBB" w:rsidRPr="006C6463">
        <w:t>nhancing coverage of national, commercial and community broadcasting services where spectrum is readily available</w:t>
      </w:r>
    </w:p>
    <w:p w14:paraId="556F5327" w14:textId="766BB9F3" w:rsidR="00191FBB" w:rsidRPr="006C6463" w:rsidRDefault="006C6463" w:rsidP="007E1FBE">
      <w:pPr>
        <w:pStyle w:val="Bulletlevel1"/>
      </w:pPr>
      <w:r>
        <w:t>m</w:t>
      </w:r>
      <w:r w:rsidR="00191FBB" w:rsidRPr="006C6463">
        <w:t xml:space="preserve">aking </w:t>
      </w:r>
      <w:r w:rsidR="007E72B9">
        <w:t>DRCPs</w:t>
      </w:r>
      <w:r w:rsidR="00191FBB" w:rsidRPr="006C6463">
        <w:t xml:space="preserve"> for regional DAB+ where a commercial</w:t>
      </w:r>
      <w:r>
        <w:t xml:space="preserve"> </w:t>
      </w:r>
      <w:r w:rsidR="00191FBB" w:rsidRPr="006C6463">
        <w:t xml:space="preserve">licensee or national broadcaster has committed to a rollout </w:t>
      </w:r>
    </w:p>
    <w:p w14:paraId="68E4940B" w14:textId="08928DE9" w:rsidR="00191FBB" w:rsidRDefault="006C6463" w:rsidP="007E1FBE">
      <w:pPr>
        <w:pStyle w:val="Bulletlevel1last"/>
        <w:rPr>
          <w:sz w:val="21"/>
          <w:szCs w:val="21"/>
        </w:rPr>
      </w:pPr>
      <w:r>
        <w:t>s</w:t>
      </w:r>
      <w:r w:rsidR="00191FBB" w:rsidRPr="006C6463">
        <w:t>upporting trials of new broadcasting technology.</w:t>
      </w:r>
    </w:p>
    <w:p w14:paraId="0F18B330" w14:textId="04BD8B99" w:rsidR="00AC22D2" w:rsidRPr="00091AC8" w:rsidRDefault="00AC22D2" w:rsidP="007E1FBE">
      <w:r w:rsidRPr="00091AC8">
        <w:t>T</w:t>
      </w:r>
      <w:r w:rsidR="00191FBB" w:rsidRPr="00091AC8">
        <w:t xml:space="preserve">hese broad categories of activity will inform how individual requests for planning and allocation activity are prioritised within any year. </w:t>
      </w:r>
    </w:p>
    <w:p w14:paraId="0CAB9EEC" w14:textId="59DB7028" w:rsidR="00191FBB" w:rsidRPr="00B53F89" w:rsidRDefault="00AC22D2" w:rsidP="007E1FBE">
      <w:r w:rsidRPr="00091AC8">
        <w:t>Guided by the priority activities, w</w:t>
      </w:r>
      <w:r w:rsidR="00191FBB" w:rsidRPr="00091AC8">
        <w:t xml:space="preserve">e will </w:t>
      </w:r>
      <w:r w:rsidRPr="00091AC8">
        <w:t xml:space="preserve">continue to </w:t>
      </w:r>
      <w:r w:rsidR="00191FBB" w:rsidRPr="00091AC8">
        <w:t xml:space="preserve">consult on a work program each year through our </w:t>
      </w:r>
      <w:r w:rsidR="00ED5658">
        <w:t>FYSO</w:t>
      </w:r>
      <w:r w:rsidR="00191FBB" w:rsidRPr="00091AC8">
        <w:t>.</w:t>
      </w:r>
    </w:p>
    <w:p w14:paraId="61243765" w14:textId="5F936CED" w:rsidR="005F07AD" w:rsidRPr="00B53F89" w:rsidRDefault="005F07AD" w:rsidP="007E1FBE">
      <w:r w:rsidRPr="00B53F89">
        <w:t>Over the next few years,</w:t>
      </w:r>
      <w:r w:rsidRPr="00B53F89" w:rsidDel="00B04F39">
        <w:t xml:space="preserve"> </w:t>
      </w:r>
      <w:r w:rsidR="00ED5658">
        <w:t>we</w:t>
      </w:r>
      <w:r w:rsidRPr="00B53F89">
        <w:t xml:space="preserve"> will continue to plan for regional digital radio, where licensees commit to rolling out and</w:t>
      </w:r>
      <w:r w:rsidRPr="00B53F89" w:rsidDel="00474A22">
        <w:t xml:space="preserve"> </w:t>
      </w:r>
      <w:r w:rsidRPr="00B53F89">
        <w:t>provide for the AM</w:t>
      </w:r>
      <w:r w:rsidR="00BB23E5">
        <w:t>–</w:t>
      </w:r>
      <w:r w:rsidRPr="00B53F89">
        <w:t>FM conversions in</w:t>
      </w:r>
      <w:r w:rsidR="00B53F89">
        <w:t xml:space="preserve"> </w:t>
      </w:r>
      <w:r w:rsidRPr="00B53F89">
        <w:t xml:space="preserve">certain regional licence areas. </w:t>
      </w:r>
    </w:p>
    <w:p w14:paraId="3D7D9577" w14:textId="57987A6E" w:rsidR="00572CC5" w:rsidRPr="00B53F89" w:rsidRDefault="005F07AD" w:rsidP="007E1FBE">
      <w:r w:rsidRPr="00B53F89">
        <w:t xml:space="preserve">While we can plan spectrum for digital radio services in regional Australia, the establishment of digital radio services in any given market is a commercial decision of the relevant incumbent </w:t>
      </w:r>
      <w:r w:rsidR="00A72323" w:rsidRPr="00B53F89">
        <w:t xml:space="preserve">radio </w:t>
      </w:r>
      <w:r w:rsidRPr="00B53F89">
        <w:t>broadcasting licensees. Similarly, where and when the ABC and SBS will roll out digital radio services a</w:t>
      </w:r>
      <w:r w:rsidR="00374875" w:rsidRPr="00B53F89">
        <w:t>re</w:t>
      </w:r>
      <w:r w:rsidRPr="00B53F89">
        <w:t xml:space="preserve"> decision</w:t>
      </w:r>
      <w:r w:rsidR="00374875" w:rsidRPr="00B53F89">
        <w:t>s</w:t>
      </w:r>
      <w:r w:rsidRPr="00B53F89">
        <w:t xml:space="preserve"> for those broadcasters.</w:t>
      </w:r>
    </w:p>
    <w:p w14:paraId="3172F453" w14:textId="4ACB5C78" w:rsidR="00D50A45" w:rsidRPr="00B53F89" w:rsidRDefault="00745810" w:rsidP="00DC544A">
      <w:pPr>
        <w:pStyle w:val="Heading3"/>
      </w:pPr>
      <w:bookmarkStart w:id="345" w:name="_Toc51864337"/>
      <w:bookmarkStart w:id="346" w:name="_Hlk36801421"/>
      <w:r>
        <w:t>Recent developments</w:t>
      </w:r>
      <w:bookmarkEnd w:id="345"/>
    </w:p>
    <w:p w14:paraId="67892571" w14:textId="2BF83BF8" w:rsidR="00380760" w:rsidRPr="00BB23E5" w:rsidRDefault="000618C8" w:rsidP="007E1FBE">
      <w:pPr>
        <w:pStyle w:val="ListBulletLast"/>
        <w:spacing w:after="80"/>
        <w:ind w:left="284" w:hanging="284"/>
      </w:pPr>
      <w:bookmarkStart w:id="347" w:name="_Hlk2163342"/>
      <w:r w:rsidRPr="00BB23E5">
        <w:t>F</w:t>
      </w:r>
      <w:r w:rsidR="00380760" w:rsidRPr="00BB23E5">
        <w:t xml:space="preserve">inalised variations to </w:t>
      </w:r>
      <w:r w:rsidR="00BB23E5">
        <w:t>LAPs</w:t>
      </w:r>
      <w:r w:rsidR="00380760" w:rsidRPr="00BB23E5">
        <w:t xml:space="preserve"> to allow AM</w:t>
      </w:r>
      <w:r w:rsidR="00BB23E5">
        <w:t>–</w:t>
      </w:r>
      <w:r w:rsidR="00380760" w:rsidRPr="00BB23E5">
        <w:t xml:space="preserve">FM conversion for Riverland, Murray Bridge, Spencer Gulf North and Port Lincoln in South Australia, </w:t>
      </w:r>
      <w:r w:rsidR="00313220" w:rsidRPr="00BB23E5">
        <w:t xml:space="preserve">and </w:t>
      </w:r>
      <w:r w:rsidR="00380760" w:rsidRPr="00BB23E5">
        <w:t>Armidale</w:t>
      </w:r>
      <w:r w:rsidR="00313220" w:rsidRPr="00BB23E5">
        <w:t>.</w:t>
      </w:r>
      <w:r w:rsidR="00380760" w:rsidRPr="00BB23E5">
        <w:t xml:space="preserve"> </w:t>
      </w:r>
    </w:p>
    <w:bookmarkEnd w:id="346"/>
    <w:p w14:paraId="5AE3295D" w14:textId="04310F95" w:rsidR="000618C8" w:rsidRPr="00BB23E5" w:rsidRDefault="000618C8" w:rsidP="007E1FBE">
      <w:pPr>
        <w:pStyle w:val="ListBulletLast"/>
        <w:spacing w:after="80"/>
        <w:ind w:left="284" w:hanging="284"/>
      </w:pPr>
      <w:r w:rsidRPr="00BB23E5">
        <w:t xml:space="preserve">Varied </w:t>
      </w:r>
      <w:r w:rsidR="00BB23E5">
        <w:t>LAPs</w:t>
      </w:r>
      <w:r w:rsidRPr="00BB23E5">
        <w:t xml:space="preserve"> in Kingaroy, Emerald, Bundaberg, Toowoomba/Warwick and Townsville.</w:t>
      </w:r>
    </w:p>
    <w:bookmarkEnd w:id="347"/>
    <w:p w14:paraId="32AB59DA" w14:textId="5381C6D9" w:rsidR="0077647C" w:rsidRPr="001A729D" w:rsidRDefault="000618C8" w:rsidP="007E1FBE">
      <w:pPr>
        <w:pStyle w:val="ListBullet"/>
        <w:keepNext w:val="0"/>
        <w:keepLines w:val="0"/>
        <w:ind w:left="284" w:hanging="289"/>
      </w:pPr>
      <w:r w:rsidRPr="00BB23E5">
        <w:t>I</w:t>
      </w:r>
      <w:r w:rsidR="009630BF" w:rsidRPr="00BB23E5">
        <w:t xml:space="preserve">ssued </w:t>
      </w:r>
      <w:r w:rsidR="009630BF" w:rsidRPr="001A729D">
        <w:t xml:space="preserve">digital radio multiplex transmitter licence in </w:t>
      </w:r>
      <w:r w:rsidRPr="001A729D">
        <w:t>Mandurah</w:t>
      </w:r>
      <w:r w:rsidR="005A322C" w:rsidRPr="001A729D">
        <w:t>.</w:t>
      </w:r>
      <w:r w:rsidR="003C714E" w:rsidRPr="001A729D">
        <w:t xml:space="preserve"> </w:t>
      </w:r>
    </w:p>
    <w:p w14:paraId="35DCC0C0" w14:textId="51AD33CE" w:rsidR="009630BF" w:rsidRPr="001A729D" w:rsidRDefault="000618C8" w:rsidP="007E1FBE">
      <w:pPr>
        <w:pStyle w:val="ListBullet"/>
        <w:keepNext w:val="0"/>
        <w:keepLines w:val="0"/>
        <w:ind w:left="284" w:hanging="289"/>
      </w:pPr>
      <w:r w:rsidRPr="001A729D">
        <w:t>D</w:t>
      </w:r>
      <w:r w:rsidR="008D7F7A" w:rsidRPr="001A729D">
        <w:t xml:space="preserve">eclared </w:t>
      </w:r>
      <w:r w:rsidR="00241747" w:rsidRPr="001A729D">
        <w:t>23 December 2019</w:t>
      </w:r>
      <w:r w:rsidR="00241747">
        <w:t xml:space="preserve"> to be t</w:t>
      </w:r>
      <w:r w:rsidR="008D7F7A" w:rsidRPr="001A729D">
        <w:t>he digital radio start-up day</w:t>
      </w:r>
      <w:r w:rsidR="0059434C" w:rsidRPr="001A729D">
        <w:t xml:space="preserve"> for </w:t>
      </w:r>
      <w:r w:rsidR="00380760" w:rsidRPr="001A729D">
        <w:t>Mandurah</w:t>
      </w:r>
      <w:r w:rsidR="0059434C" w:rsidRPr="001A729D">
        <w:t>.</w:t>
      </w:r>
      <w:r w:rsidR="00B548F2" w:rsidRPr="001A729D">
        <w:t xml:space="preserve"> </w:t>
      </w:r>
    </w:p>
    <w:p w14:paraId="0D72B410" w14:textId="37B13AAF" w:rsidR="00DD355D" w:rsidRPr="00BB23E5" w:rsidRDefault="000618C8" w:rsidP="002A179F">
      <w:pPr>
        <w:pStyle w:val="ListBullet"/>
        <w:keepNext w:val="0"/>
        <w:keepLines w:val="0"/>
        <w:spacing w:after="240"/>
        <w:ind w:left="284" w:hanging="289"/>
      </w:pPr>
      <w:r w:rsidRPr="00BB23E5">
        <w:t xml:space="preserve">Determined that the Hobart RA3 community radio licence area should be deemed to be the same as the Hobart RA1 commercial radio licence area </w:t>
      </w:r>
      <w:r w:rsidR="004A26DE" w:rsidRPr="00BB23E5">
        <w:t>to allow access to</w:t>
      </w:r>
      <w:r w:rsidRPr="00BB23E5">
        <w:t xml:space="preserve"> digital radio.</w:t>
      </w:r>
    </w:p>
    <w:p w14:paraId="71052F4D" w14:textId="1FE6EF87" w:rsidR="005F07AD" w:rsidRPr="00B53F89" w:rsidRDefault="005F07AD" w:rsidP="00295944">
      <w:pPr>
        <w:pStyle w:val="Heading3"/>
        <w:keepLines/>
      </w:pPr>
      <w:bookmarkStart w:id="348" w:name="_Toc51864338"/>
      <w:r w:rsidRPr="00B53F89">
        <w:lastRenderedPageBreak/>
        <w:t xml:space="preserve">Activities planned for </w:t>
      </w:r>
      <w:r w:rsidR="00EB22C2" w:rsidRPr="00B53F89">
        <w:t>20</w:t>
      </w:r>
      <w:r w:rsidR="00EB22C2">
        <w:t>20</w:t>
      </w:r>
      <w:r w:rsidRPr="00B53F89">
        <w:t>–</w:t>
      </w:r>
      <w:r w:rsidR="00EB22C2" w:rsidRPr="00B53F89">
        <w:t>2</w:t>
      </w:r>
      <w:r w:rsidR="00EB22C2">
        <w:t>1</w:t>
      </w:r>
      <w:bookmarkEnd w:id="348"/>
      <w:r w:rsidR="00EB22C2" w:rsidRPr="00B53F89">
        <w:t xml:space="preserve"> </w:t>
      </w:r>
    </w:p>
    <w:p w14:paraId="653C726F" w14:textId="7736577E" w:rsidR="005716DE" w:rsidRPr="00B53F89" w:rsidRDefault="001D727B" w:rsidP="00295944">
      <w:pPr>
        <w:pStyle w:val="Paragraphbeforelist"/>
        <w:keepNext/>
        <w:keepLines/>
      </w:pPr>
      <w:r>
        <w:t>W</w:t>
      </w:r>
      <w:r w:rsidR="005716DE" w:rsidRPr="00B53F89">
        <w:t>e will:</w:t>
      </w:r>
    </w:p>
    <w:p w14:paraId="6888BA8B" w14:textId="2602A5BB" w:rsidR="00F22648" w:rsidRDefault="00F22648" w:rsidP="00295944">
      <w:pPr>
        <w:pStyle w:val="ListBullet"/>
        <w:ind w:left="284" w:hanging="284"/>
      </w:pPr>
      <w:r>
        <w:t>Consult on proposals for LAP variations in Brisbane QLD</w:t>
      </w:r>
      <w:r w:rsidR="00D131B7">
        <w:t>,</w:t>
      </w:r>
      <w:r>
        <w:t xml:space="preserve"> Remote Central and Eastern Australia Radio LAP</w:t>
      </w:r>
      <w:r w:rsidR="00D131B7">
        <w:t>, and Deniliquin NSW.</w:t>
      </w:r>
    </w:p>
    <w:p w14:paraId="55FC3424" w14:textId="276D0CA1" w:rsidR="00F22648" w:rsidRDefault="00F22648" w:rsidP="00295944">
      <w:pPr>
        <w:pStyle w:val="Bulletlevel1"/>
        <w:keepNext/>
        <w:keepLines/>
      </w:pPr>
      <w:r>
        <w:t>Consult on the variations to LAPs to enable AM</w:t>
      </w:r>
      <w:r w:rsidR="00BB23E5">
        <w:t>–</w:t>
      </w:r>
      <w:r>
        <w:t xml:space="preserve">FM conversions in </w:t>
      </w:r>
      <w:r w:rsidRPr="00B53F89">
        <w:t>single</w:t>
      </w:r>
      <w:r w:rsidR="00E36513">
        <w:t>-</w:t>
      </w:r>
      <w:r w:rsidRPr="00B53F89">
        <w:t>licensee markets whe</w:t>
      </w:r>
      <w:r>
        <w:t>re</w:t>
      </w:r>
      <w:r w:rsidRPr="00B53F89">
        <w:t xml:space="preserve"> engineering reports have been received from the licensees and approved by the ACMA</w:t>
      </w:r>
      <w:r>
        <w:t xml:space="preserve">. This includes </w:t>
      </w:r>
      <w:r w:rsidR="00E83041">
        <w:t>a</w:t>
      </w:r>
      <w:r>
        <w:t xml:space="preserve"> subset of the following areas: </w:t>
      </w:r>
      <w:r w:rsidR="00F3282E">
        <w:t xml:space="preserve">Grafton, </w:t>
      </w:r>
      <w:r>
        <w:t xml:space="preserve">Taree, Inverell, Moree, Gunnedah, Tamworth, Lismore, Mudgee, Young and Parkes. </w:t>
      </w:r>
      <w:r w:rsidR="00BB23E5">
        <w:t>We are</w:t>
      </w:r>
      <w:r>
        <w:t xml:space="preserve"> consulting with the licensees to determine indicative timelines and relative priorities. Proceeding with these variations is dependent on the relevant licensees making timely strategic business decisions on available implementation</w:t>
      </w:r>
      <w:r w:rsidRPr="00F22648">
        <w:t xml:space="preserve"> </w:t>
      </w:r>
      <w:r w:rsidR="00E83041">
        <w:t>options.</w:t>
      </w:r>
    </w:p>
    <w:p w14:paraId="5BBC2C12" w14:textId="3DD1A327" w:rsidR="00F22648" w:rsidRDefault="00F22648" w:rsidP="007E1FBE">
      <w:pPr>
        <w:pStyle w:val="Bulletlevel1"/>
      </w:pPr>
      <w:r>
        <w:t>C</w:t>
      </w:r>
      <w:r w:rsidRPr="00B53F89">
        <w:t xml:space="preserve">onsult on the </w:t>
      </w:r>
      <w:r w:rsidR="007E72B9">
        <w:t>DRCP</w:t>
      </w:r>
      <w:r w:rsidRPr="00B53F89">
        <w:t xml:space="preserve"> </w:t>
      </w:r>
      <w:r w:rsidR="007E72B9">
        <w:t>for the</w:t>
      </w:r>
      <w:r w:rsidRPr="00B53F89">
        <w:t xml:space="preserve"> Gold Coast</w:t>
      </w:r>
      <w:r w:rsidR="007E72B9">
        <w:t>,</w:t>
      </w:r>
      <w:r w:rsidRPr="00B53F89">
        <w:t xml:space="preserve"> taking into account the completion of frequency allotment planning</w:t>
      </w:r>
      <w:r>
        <w:t>.</w:t>
      </w:r>
      <w:r w:rsidRPr="000C0603">
        <w:t xml:space="preserve"> </w:t>
      </w:r>
    </w:p>
    <w:p w14:paraId="5CF39F61" w14:textId="2068039A" w:rsidR="00F22648" w:rsidRPr="00B53F89" w:rsidRDefault="00F22648" w:rsidP="007E1FBE">
      <w:pPr>
        <w:pStyle w:val="Bulletlevel1"/>
      </w:pPr>
      <w:r>
        <w:t>F</w:t>
      </w:r>
      <w:r w:rsidRPr="00B53F89">
        <w:t xml:space="preserve">urther consult on whether variations to the </w:t>
      </w:r>
      <w:r w:rsidR="007E72B9">
        <w:t>DRCP</w:t>
      </w:r>
      <w:r w:rsidRPr="00B53F89">
        <w:t xml:space="preserve"> </w:t>
      </w:r>
      <w:r w:rsidR="007E72B9">
        <w:t>for</w:t>
      </w:r>
      <w:r w:rsidRPr="00B53F89">
        <w:t xml:space="preserve"> Brisbane are appropriate to improve digital coverage</w:t>
      </w:r>
      <w:r>
        <w:t>.</w:t>
      </w:r>
    </w:p>
    <w:p w14:paraId="51EDCABA" w14:textId="43E2BAA4" w:rsidR="000F47BB" w:rsidRPr="00B53F89" w:rsidRDefault="000618C8" w:rsidP="007E1FBE">
      <w:pPr>
        <w:pStyle w:val="Bulletlevel1"/>
      </w:pPr>
      <w:r>
        <w:t>C</w:t>
      </w:r>
      <w:r w:rsidR="000F47BB" w:rsidRPr="00B53F89">
        <w:t xml:space="preserve">onsult on </w:t>
      </w:r>
      <w:r w:rsidR="001D5911" w:rsidRPr="00B53F89">
        <w:t>the principles to</w:t>
      </w:r>
      <w:r w:rsidR="000F47BB" w:rsidRPr="00B53F89">
        <w:t xml:space="preserve"> </w:t>
      </w:r>
      <w:r w:rsidR="008C0297" w:rsidRPr="00B53F89">
        <w:t xml:space="preserve">determine whether specified community radio licence areas should be deemed to be the same as specified commercial radio licence areas </w:t>
      </w:r>
      <w:r w:rsidR="004A26DE">
        <w:t>to allow access to</w:t>
      </w:r>
      <w:r w:rsidR="008C0297" w:rsidRPr="00B53F89">
        <w:t xml:space="preserve"> digital radio</w:t>
      </w:r>
      <w:r>
        <w:t>.</w:t>
      </w:r>
    </w:p>
    <w:p w14:paraId="634A14A5" w14:textId="0D8C1ED9" w:rsidR="00FB1D8C" w:rsidRDefault="000618C8" w:rsidP="007E1FBE">
      <w:pPr>
        <w:pStyle w:val="Bulletlevel1"/>
      </w:pPr>
      <w:r>
        <w:t>C</w:t>
      </w:r>
      <w:r w:rsidR="00C8006F" w:rsidRPr="00295F01">
        <w:t>onsult</w:t>
      </w:r>
      <w:r w:rsidR="00C8006F">
        <w:t xml:space="preserve"> on the potential to replan the Perth FM radio band, following the </w:t>
      </w:r>
      <w:r w:rsidR="002F3DE3" w:rsidRPr="00B53F89" w:rsidDel="004D1A73">
        <w:t>clearance of Band II television in Bunbury</w:t>
      </w:r>
      <w:r w:rsidR="000609CE" w:rsidRPr="00B53F89" w:rsidDel="00C8006F">
        <w:t>.</w:t>
      </w:r>
    </w:p>
    <w:p w14:paraId="36277093" w14:textId="12797B07" w:rsidR="009E641E" w:rsidRPr="00B53F89" w:rsidRDefault="000618C8" w:rsidP="007E1FBE">
      <w:pPr>
        <w:pStyle w:val="Bulletlevel1last"/>
      </w:pPr>
      <w:r>
        <w:t>E</w:t>
      </w:r>
      <w:r w:rsidRPr="00D22F25">
        <w:t>ngage further with industry on the ACMA’s finding</w:t>
      </w:r>
      <w:r w:rsidR="00F22648">
        <w:t>s</w:t>
      </w:r>
      <w:r w:rsidRPr="00D22F25">
        <w:t xml:space="preserve"> in its report to the Minister on the </w:t>
      </w:r>
      <w:r w:rsidR="00BB23E5">
        <w:t>f</w:t>
      </w:r>
      <w:r w:rsidRPr="00D22F25">
        <w:t xml:space="preserve">uture </w:t>
      </w:r>
      <w:r w:rsidR="00BB23E5">
        <w:t>d</w:t>
      </w:r>
      <w:r w:rsidRPr="00D22F25">
        <w:t xml:space="preserve">elivery of </w:t>
      </w:r>
      <w:r w:rsidR="00BB23E5">
        <w:t>r</w:t>
      </w:r>
      <w:r w:rsidRPr="00D22F25">
        <w:t>adio.</w:t>
      </w:r>
      <w:bookmarkStart w:id="349" w:name="_Hlk16256634"/>
    </w:p>
    <w:p w14:paraId="6E804EBE" w14:textId="4216FD33" w:rsidR="003C6F8E" w:rsidRPr="00B53F89" w:rsidRDefault="00D32654" w:rsidP="007E1FBE">
      <w:pPr>
        <w:keepNext/>
        <w:keepLines/>
        <w:spacing w:before="60" w:after="0"/>
      </w:pPr>
      <w:bookmarkStart w:id="350" w:name="_Toc510104953"/>
      <w:bookmarkStart w:id="351" w:name="_Toc510105750"/>
      <w:bookmarkStart w:id="352" w:name="_Toc510795082"/>
      <w:bookmarkStart w:id="353" w:name="_Toc511716285"/>
      <w:bookmarkStart w:id="354" w:name="_Toc511719096"/>
      <w:bookmarkStart w:id="355" w:name="_Toc522794091"/>
      <w:bookmarkEnd w:id="343"/>
      <w:bookmarkEnd w:id="349"/>
      <w:r w:rsidRPr="006A2F04">
        <w:rPr>
          <w:noProof/>
        </w:rPr>
        <w:drawing>
          <wp:inline distT="0" distB="0" distL="0" distR="0" wp14:anchorId="6545CD19" wp14:editId="41DA2314">
            <wp:extent cx="341630" cy="359410"/>
            <wp:effectExtent l="0" t="0" r="1270" b="2540"/>
            <wp:docPr id="179" name="Picture 17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3C6F8E" w:rsidRPr="006A2F04">
        <w:rPr>
          <w:noProof/>
        </w:rPr>
        <w:drawing>
          <wp:inline distT="0" distB="0" distL="0" distR="0" wp14:anchorId="2615271D" wp14:editId="148A55BC">
            <wp:extent cx="342900" cy="361950"/>
            <wp:effectExtent l="0" t="0" r="0" b="0"/>
            <wp:docPr id="90" name="Picture 9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0A4137" w:rsidRPr="006A2F04">
        <w:rPr>
          <w:noProof/>
        </w:rPr>
        <w:drawing>
          <wp:inline distT="0" distB="0" distL="0" distR="0" wp14:anchorId="2CD92082" wp14:editId="20C0F837">
            <wp:extent cx="342900" cy="361950"/>
            <wp:effectExtent l="0" t="0" r="0" b="0"/>
            <wp:docPr id="91" name="Picture 91"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0A4137" w:rsidRPr="006A2F04">
        <w:rPr>
          <w:noProof/>
        </w:rPr>
        <w:drawing>
          <wp:inline distT="0" distB="0" distL="0" distR="0" wp14:anchorId="702778D6" wp14:editId="3553A1A1">
            <wp:extent cx="342900" cy="361950"/>
            <wp:effectExtent l="0" t="0" r="0" b="0"/>
            <wp:docPr id="92" name="Picture 92"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2C06E485" w14:textId="131550EC" w:rsidR="003D7FAC" w:rsidRPr="00B53F89" w:rsidRDefault="003D7FAC" w:rsidP="002A179F">
      <w:pPr>
        <w:pStyle w:val="Heading2"/>
        <w:spacing w:before="60"/>
      </w:pPr>
      <w:bookmarkStart w:id="356" w:name="_Toc31892821"/>
      <w:bookmarkStart w:id="357" w:name="_Toc36207437"/>
      <w:bookmarkStart w:id="358" w:name="_Toc51846283"/>
      <w:bookmarkStart w:id="359" w:name="_Toc51864339"/>
      <w:r w:rsidRPr="00B53F89">
        <w:t xml:space="preserve">Satellite </w:t>
      </w:r>
      <w:r w:rsidR="00161584" w:rsidRPr="00B53F89">
        <w:t>planning</w:t>
      </w:r>
      <w:bookmarkEnd w:id="350"/>
      <w:bookmarkEnd w:id="351"/>
      <w:bookmarkEnd w:id="352"/>
      <w:bookmarkEnd w:id="353"/>
      <w:bookmarkEnd w:id="354"/>
      <w:bookmarkEnd w:id="355"/>
      <w:bookmarkEnd w:id="356"/>
      <w:bookmarkEnd w:id="357"/>
      <w:bookmarkEnd w:id="358"/>
      <w:bookmarkEnd w:id="359"/>
      <w:r w:rsidR="00161584" w:rsidRPr="00B53F89">
        <w:t xml:space="preserve"> </w:t>
      </w:r>
    </w:p>
    <w:p w14:paraId="0E21F900" w14:textId="26DD2C0C" w:rsidR="00401E19" w:rsidRPr="00B53F89" w:rsidRDefault="003D7FAC" w:rsidP="002A179F">
      <w:r w:rsidRPr="00B53F89">
        <w:t xml:space="preserve">The ACMA continues to engage internationally on the coordination, development and implementation of measures to enhance spectrum usage for satellite communications and space research services. </w:t>
      </w:r>
    </w:p>
    <w:p w14:paraId="45C5D7A1" w14:textId="61345336" w:rsidR="007F3368" w:rsidRPr="00B53F89" w:rsidRDefault="00310C78" w:rsidP="002A179F">
      <w:pPr>
        <w:pStyle w:val="Heading3"/>
      </w:pPr>
      <w:bookmarkStart w:id="360" w:name="_Toc51864340"/>
      <w:r>
        <w:t>Recent developments</w:t>
      </w:r>
      <w:bookmarkEnd w:id="360"/>
    </w:p>
    <w:p w14:paraId="454CE216" w14:textId="67FB1BED" w:rsidR="006E164C" w:rsidRPr="00191FBB" w:rsidRDefault="007F3368" w:rsidP="007E1FBE">
      <w:pPr>
        <w:keepNext/>
        <w:keepLines/>
      </w:pPr>
      <w:r w:rsidRPr="00B53F89">
        <w:t xml:space="preserve">In </w:t>
      </w:r>
      <w:r w:rsidR="00AD3F59">
        <w:t>20</w:t>
      </w:r>
      <w:r w:rsidR="006E164C" w:rsidRPr="00B53F89">
        <w:t>19</w:t>
      </w:r>
      <w:r w:rsidR="00EF0E76" w:rsidRPr="00B53F89">
        <w:t>–</w:t>
      </w:r>
      <w:r w:rsidR="00AD3F59">
        <w:t>20</w:t>
      </w:r>
      <w:r w:rsidRPr="00B53F89">
        <w:t xml:space="preserve">, </w:t>
      </w:r>
      <w:r w:rsidR="00FC3C76">
        <w:t>we</w:t>
      </w:r>
      <w:r w:rsidRPr="00B53F89">
        <w:t xml:space="preserve"> finalised consultation on </w:t>
      </w:r>
      <w:r w:rsidR="00F22FDB" w:rsidRPr="00B53F89">
        <w:t>several</w:t>
      </w:r>
      <w:r w:rsidRPr="00B53F89">
        <w:t xml:space="preserve"> issues to support developments in satellite communications</w:t>
      </w:r>
      <w:r w:rsidR="006E164C" w:rsidRPr="00B53F89">
        <w:t xml:space="preserve"> and in </w:t>
      </w:r>
      <w:r w:rsidR="0099617F">
        <w:t>March</w:t>
      </w:r>
      <w:r w:rsidR="00AD3F59">
        <w:t xml:space="preserve"> 2020 </w:t>
      </w:r>
      <w:r w:rsidR="00EC7F5D" w:rsidRPr="00B53F89">
        <w:t>varied</w:t>
      </w:r>
      <w:r w:rsidR="006E164C" w:rsidRPr="00B53F89">
        <w:t xml:space="preserve"> the</w:t>
      </w:r>
      <w:r w:rsidR="0099617F">
        <w:t xml:space="preserve"> </w:t>
      </w:r>
      <w:hyperlink r:id="rId98" w:history="1">
        <w:r w:rsidR="006E164C" w:rsidRPr="00B53F89">
          <w:rPr>
            <w:rStyle w:val="Hyperlink"/>
            <w:iCs/>
          </w:rPr>
          <w:t>Radiocommunications (Communication with Space Object) Class Licence</w:t>
        </w:r>
        <w:r w:rsidR="00B45FDA" w:rsidRPr="00B53F89">
          <w:rPr>
            <w:rStyle w:val="Hyperlink"/>
            <w:iCs/>
          </w:rPr>
          <w:t xml:space="preserve"> 2015</w:t>
        </w:r>
      </w:hyperlink>
      <w:r w:rsidR="0099617F">
        <w:t>. T</w:t>
      </w:r>
      <w:r w:rsidR="0099617F" w:rsidRPr="008A310E">
        <w:t>his followed a consultation process in December 2019 regarding the implementation of outcomes of the 10.7</w:t>
      </w:r>
      <w:r w:rsidR="00FC3C76">
        <w:t>–</w:t>
      </w:r>
      <w:r w:rsidR="0099617F" w:rsidRPr="008A310E">
        <w:t>11.7 GHz band (the 11 GHz band) and 27.5</w:t>
      </w:r>
      <w:r w:rsidR="00FC3C76">
        <w:t>–</w:t>
      </w:r>
      <w:r w:rsidR="0099617F" w:rsidRPr="008A310E">
        <w:t>29.5 GHz band (the 28 GHz band) reviews</w:t>
      </w:r>
      <w:r w:rsidR="00CB60AE">
        <w:rPr>
          <w:rStyle w:val="FootnoteReference"/>
        </w:rPr>
        <w:footnoteReference w:id="54"/>
      </w:r>
      <w:r w:rsidR="0099617F" w:rsidRPr="008A310E">
        <w:t>.</w:t>
      </w:r>
      <w:r w:rsidR="00DF0C7D">
        <w:t xml:space="preserve"> The variation facilitated the use of the 10.7–11.7 GHz, 18.2–18.8 GHz and 19.3–19.7 GHz bands for ubiquitous earth receivers and the </w:t>
      </w:r>
      <w:r w:rsidR="00DF0C7D" w:rsidRPr="00DF0C7D">
        <w:t xml:space="preserve">28.3–28.5 GHz and 29.1–29.5 GHz bands </w:t>
      </w:r>
      <w:r w:rsidR="00DF0C7D">
        <w:t>for ubiquitous earth transmitters. The amount of tax applicable in the</w:t>
      </w:r>
      <w:r w:rsidR="008A310E">
        <w:t xml:space="preserve"> </w:t>
      </w:r>
      <w:r w:rsidR="00DF0C7D">
        <w:t>1</w:t>
      </w:r>
      <w:r w:rsidR="00DF0C7D" w:rsidDel="008A310E">
        <w:t xml:space="preserve"> </w:t>
      </w:r>
      <w:r w:rsidR="00DF0C7D">
        <w:t xml:space="preserve">0.7–11.7 GHz, 18.2–18.8 GHz and 19.3–19.7 GHz bands was also reduced to the minimum annual amount via an amendment to the </w:t>
      </w:r>
      <w:hyperlink r:id="rId99" w:history="1">
        <w:r w:rsidR="00DF0C7D" w:rsidRPr="00DF0C7D">
          <w:rPr>
            <w:rStyle w:val="Hyperlink"/>
          </w:rPr>
          <w:t>Radiocommunications (Transmitter Licence Tax) Determination 2015</w:t>
        </w:r>
      </w:hyperlink>
      <w:r w:rsidR="00DF0C7D">
        <w:t>.</w:t>
      </w:r>
    </w:p>
    <w:p w14:paraId="0F7A3B67" w14:textId="5854E0B6" w:rsidR="005F59E2" w:rsidRPr="00AF06C8" w:rsidRDefault="005F59E2" w:rsidP="007E1FBE">
      <w:pPr>
        <w:rPr>
          <w:rFonts w:cs="Arial"/>
          <w:szCs w:val="22"/>
        </w:rPr>
      </w:pPr>
      <w:r>
        <w:t>In August 2019</w:t>
      </w:r>
      <w:r w:rsidR="008A310E">
        <w:t>,</w:t>
      </w:r>
      <w:r>
        <w:t xml:space="preserve"> f</w:t>
      </w:r>
      <w:r w:rsidRPr="005F59E2">
        <w:t xml:space="preserve">requency coordination requirements </w:t>
      </w:r>
      <w:r>
        <w:rPr>
          <w:szCs w:val="22"/>
        </w:rPr>
        <w:t>between earth station transmitters operating in the frequency range 5850</w:t>
      </w:r>
      <w:r w:rsidR="00FC3C76">
        <w:t>–</w:t>
      </w:r>
      <w:r>
        <w:rPr>
          <w:szCs w:val="22"/>
        </w:rPr>
        <w:t>7075 MHz and fixed point</w:t>
      </w:r>
      <w:r w:rsidR="001E6137">
        <w:rPr>
          <w:szCs w:val="22"/>
        </w:rPr>
        <w:t>-</w:t>
      </w:r>
      <w:r>
        <w:rPr>
          <w:szCs w:val="22"/>
        </w:rPr>
        <w:t>to</w:t>
      </w:r>
      <w:r w:rsidR="001E6137">
        <w:rPr>
          <w:szCs w:val="22"/>
        </w:rPr>
        <w:t>-</w:t>
      </w:r>
      <w:r>
        <w:rPr>
          <w:szCs w:val="22"/>
        </w:rPr>
        <w:t xml:space="preserve">point </w:t>
      </w:r>
      <w:r>
        <w:rPr>
          <w:szCs w:val="22"/>
        </w:rPr>
        <w:lastRenderedPageBreak/>
        <w:t>links operating in the 6 GHz (5925</w:t>
      </w:r>
      <w:r w:rsidR="00FC3C76">
        <w:t>–</w:t>
      </w:r>
      <w:r>
        <w:rPr>
          <w:szCs w:val="22"/>
        </w:rPr>
        <w:t>6425 MHz) and 6.7 GHz (6425</w:t>
      </w:r>
      <w:r w:rsidR="00FC3C76">
        <w:t>–</w:t>
      </w:r>
      <w:r>
        <w:rPr>
          <w:szCs w:val="22"/>
        </w:rPr>
        <w:t>7110 MHz) fixed link bands were released</w:t>
      </w:r>
      <w:r w:rsidR="00FC3C76">
        <w:rPr>
          <w:szCs w:val="22"/>
        </w:rPr>
        <w:t>.</w:t>
      </w:r>
      <w:r>
        <w:rPr>
          <w:rStyle w:val="FootnoteReference"/>
          <w:szCs w:val="22"/>
        </w:rPr>
        <w:footnoteReference w:id="55"/>
      </w:r>
    </w:p>
    <w:p w14:paraId="22A137A7" w14:textId="5552B56D" w:rsidR="007F3368" w:rsidRDefault="00EC7CEC" w:rsidP="007E1FBE">
      <w:r>
        <w:t>Phase 1 of the review of licensing procedures for space-based communications</w:t>
      </w:r>
      <w:r w:rsidR="00E562D8">
        <w:t xml:space="preserve"> was also completed</w:t>
      </w:r>
      <w:r w:rsidR="00FC3C76">
        <w:t>,</w:t>
      </w:r>
      <w:r w:rsidR="00E562D8">
        <w:t xml:space="preserve"> following the release of a discussion paper and draft new business operating procedures in November 2019</w:t>
      </w:r>
      <w:r w:rsidR="00FC3C76">
        <w:t>.</w:t>
      </w:r>
      <w:r w:rsidR="00E562D8">
        <w:rPr>
          <w:rStyle w:val="FootnoteReference"/>
        </w:rPr>
        <w:footnoteReference w:id="56"/>
      </w:r>
      <w:r>
        <w:t xml:space="preserve"> </w:t>
      </w:r>
      <w:r w:rsidR="00EC4E71">
        <w:t>with updated documents released in August 2020.</w:t>
      </w:r>
      <w:r>
        <w:t xml:space="preserve"> </w:t>
      </w:r>
      <w:r w:rsidR="00FC3C76">
        <w:t xml:space="preserve">The </w:t>
      </w:r>
      <w:r w:rsidR="009B14F7" w:rsidRPr="009B14F7">
        <w:t>procedures</w:t>
      </w:r>
      <w:r w:rsidR="009B14F7" w:rsidRPr="009B14F7" w:rsidDel="00FC3C76">
        <w:t xml:space="preserve"> </w:t>
      </w:r>
      <w:r w:rsidR="009B14F7">
        <w:t xml:space="preserve">were reviewed </w:t>
      </w:r>
      <w:r w:rsidR="009B14F7" w:rsidRPr="009B14F7">
        <w:t>to consider whether existing procedures are commensurate with the risk of interference, including consideration of the status of a satellite network in the ITU satellite coordination process</w:t>
      </w:r>
      <w:r w:rsidR="001E6137">
        <w:t>.</w:t>
      </w:r>
    </w:p>
    <w:p w14:paraId="332414F1" w14:textId="2E2E6A3E" w:rsidR="009B14F7" w:rsidRDefault="00FC3C76" w:rsidP="007E1FBE">
      <w:r>
        <w:t>We</w:t>
      </w:r>
      <w:r w:rsidR="009B14F7">
        <w:t xml:space="preserve"> also varied the </w:t>
      </w:r>
      <w:hyperlink r:id="rId100" w:history="1">
        <w:r w:rsidR="009B14F7" w:rsidRPr="00F60BF4">
          <w:rPr>
            <w:rStyle w:val="Hyperlink"/>
          </w:rPr>
          <w:t>Radiocommunications (Foreign Space Objects) Determinatio</w:t>
        </w:r>
        <w:r w:rsidR="00DF0C7D">
          <w:rPr>
            <w:rStyle w:val="Hyperlink"/>
          </w:rPr>
          <w:t>n 2014</w:t>
        </w:r>
      </w:hyperlink>
      <w:r w:rsidR="00F60BF4">
        <w:t xml:space="preserve"> to include </w:t>
      </w:r>
      <w:r w:rsidR="00F60BF4" w:rsidRPr="00F60BF4">
        <w:t>Kepler Communications (Canada), SpaceX Services (US) and Swarm Technologies (US)</w:t>
      </w:r>
      <w:r w:rsidR="00F60BF4">
        <w:t xml:space="preserve"> in Schedule 1 of the Determination. </w:t>
      </w:r>
    </w:p>
    <w:p w14:paraId="1DE0B9B7" w14:textId="719B9C2D" w:rsidR="009C2FFE" w:rsidRPr="00B53F89" w:rsidRDefault="009C2FFE" w:rsidP="002A179F">
      <w:pPr>
        <w:pStyle w:val="Heading3"/>
      </w:pPr>
      <w:bookmarkStart w:id="361" w:name="_Hlk17129610"/>
      <w:bookmarkStart w:id="362" w:name="_Toc51864341"/>
      <w:r w:rsidRPr="00B53F89">
        <w:t xml:space="preserve">Activities planned for </w:t>
      </w:r>
      <w:r w:rsidR="005F2AD5" w:rsidRPr="00B53F89">
        <w:t>20</w:t>
      </w:r>
      <w:r w:rsidR="005F2AD5">
        <w:t>20</w:t>
      </w:r>
      <w:r w:rsidR="002F10B6" w:rsidRPr="00B53F89">
        <w:t>–</w:t>
      </w:r>
      <w:bookmarkEnd w:id="361"/>
      <w:r w:rsidR="005F2AD5" w:rsidRPr="00B53F89">
        <w:t>2</w:t>
      </w:r>
      <w:r w:rsidR="005F2AD5">
        <w:t>1</w:t>
      </w:r>
      <w:bookmarkEnd w:id="362"/>
      <w:r w:rsidR="005F2AD5" w:rsidRPr="00B53F89">
        <w:t xml:space="preserve"> </w:t>
      </w:r>
    </w:p>
    <w:p w14:paraId="74589724" w14:textId="495B8646" w:rsidR="00EC0268" w:rsidRPr="00B53F89" w:rsidRDefault="00947EDD" w:rsidP="007E1FBE">
      <w:pPr>
        <w:pStyle w:val="Paragraphbeforelist"/>
        <w:keepNext/>
        <w:keepLines/>
      </w:pPr>
      <w:r>
        <w:t>O</w:t>
      </w:r>
      <w:r w:rsidR="00EC0268" w:rsidRPr="00B53F89">
        <w:t>ur key spectrum planning priorities over the next year</w:t>
      </w:r>
      <w:r w:rsidR="00EC0268" w:rsidRPr="00B53F89" w:rsidDel="001A3A21">
        <w:t xml:space="preserve"> </w:t>
      </w:r>
      <w:r w:rsidR="00EC0268" w:rsidRPr="00B53F89">
        <w:t>are to:</w:t>
      </w:r>
    </w:p>
    <w:p w14:paraId="05AB4036" w14:textId="77777777" w:rsidR="00EC0268" w:rsidRPr="00B53F89" w:rsidRDefault="00EC0268" w:rsidP="007E1FBE">
      <w:pPr>
        <w:pStyle w:val="ListBullet"/>
        <w:tabs>
          <w:tab w:val="num" w:pos="-260"/>
        </w:tabs>
        <w:ind w:left="284" w:hanging="284"/>
      </w:pPr>
      <w:r w:rsidRPr="00B53F89">
        <w:t>provide ongoing operational support for Australian-filed satellite networks</w:t>
      </w:r>
    </w:p>
    <w:p w14:paraId="15CAFC1C" w14:textId="573AFB87" w:rsidR="00EC0268" w:rsidRPr="00B53F89" w:rsidRDefault="00EC0268" w:rsidP="007E1FBE">
      <w:pPr>
        <w:pStyle w:val="ListBullet"/>
        <w:tabs>
          <w:tab w:val="num" w:pos="-260"/>
        </w:tabs>
        <w:ind w:left="284" w:hanging="284"/>
      </w:pPr>
      <w:r w:rsidRPr="00B53F89">
        <w:t xml:space="preserve">progress work commenced in </w:t>
      </w:r>
      <w:r w:rsidR="00AD3F59">
        <w:t>20</w:t>
      </w:r>
      <w:r w:rsidRPr="00B53F89">
        <w:t>19–</w:t>
      </w:r>
      <w:r w:rsidR="00AD3F59">
        <w:t>20</w:t>
      </w:r>
      <w:r w:rsidRPr="00B53F89">
        <w:t xml:space="preserve"> on:</w:t>
      </w:r>
    </w:p>
    <w:p w14:paraId="1D54A7F8" w14:textId="5E5A1F77" w:rsidR="005A170A" w:rsidRPr="00B34887" w:rsidRDefault="005A170A" w:rsidP="007E1FBE">
      <w:pPr>
        <w:pStyle w:val="ListBullet2"/>
        <w:keepNext/>
        <w:keepLines/>
        <w:ind w:left="851" w:hanging="494"/>
      </w:pPr>
      <w:bookmarkStart w:id="363" w:name="_Hlk38352499"/>
      <w:r>
        <w:t xml:space="preserve">the implementation of outcomes of the review of the 28 GHz band including expansion of </w:t>
      </w:r>
      <w:r w:rsidRPr="000220F0">
        <w:t>FSS</w:t>
      </w:r>
      <w:r>
        <w:t xml:space="preserve"> use to ubiquitous FSS operating in the 27.5</w:t>
      </w:r>
      <w:r w:rsidR="00FC3C76">
        <w:t>–</w:t>
      </w:r>
      <w:r>
        <w:t>28.3 GHz band Australia-wide. How this is implemented is subject to further investigation of coexistence measures</w:t>
      </w:r>
    </w:p>
    <w:bookmarkEnd w:id="363"/>
    <w:p w14:paraId="27368342" w14:textId="5D2E07E7" w:rsidR="00EC0268" w:rsidRPr="00B53F89" w:rsidRDefault="009B14F7" w:rsidP="007E1FBE">
      <w:pPr>
        <w:pStyle w:val="ListBullet2"/>
        <w:ind w:left="851" w:hanging="494"/>
      </w:pPr>
      <w:r>
        <w:t>improvements to</w:t>
      </w:r>
      <w:r w:rsidR="00EC0268" w:rsidRPr="00B53F89" w:rsidDel="00205514">
        <w:t xml:space="preserve"> </w:t>
      </w:r>
      <w:r w:rsidR="00EC0268" w:rsidRPr="00B53F89">
        <w:t xml:space="preserve">licensing procedures for space-based communications </w:t>
      </w:r>
      <w:r>
        <w:t>including consideration of the areas of improvement flagged in the November 2019 consultation</w:t>
      </w:r>
    </w:p>
    <w:p w14:paraId="3D83ADA0" w14:textId="1CB57A14" w:rsidR="006608EF" w:rsidRPr="00B53F89" w:rsidRDefault="00EC0268" w:rsidP="007E1FBE">
      <w:pPr>
        <w:pStyle w:val="ListBullet2"/>
        <w:ind w:left="851" w:hanging="494"/>
      </w:pPr>
      <w:r w:rsidRPr="00B53F89">
        <w:t>the use of small satellites focusing on short-duration satellite missions for experimental purposes</w:t>
      </w:r>
    </w:p>
    <w:p w14:paraId="69B5FFE3" w14:textId="351D4963" w:rsidR="001D063A" w:rsidRPr="00B53F89" w:rsidRDefault="00D47117" w:rsidP="007E1FBE">
      <w:pPr>
        <w:pStyle w:val="ListBullet2"/>
        <w:spacing w:after="240"/>
        <w:ind w:left="851" w:hanging="494"/>
      </w:pPr>
      <w:r w:rsidRPr="00B53F89">
        <w:t>e</w:t>
      </w:r>
      <w:r w:rsidR="001D063A" w:rsidRPr="00B53F89">
        <w:t>xpansion of RALI MS 45 on frequency coordination requirements between apparatus-licensed fixed point-to-point links and FSS earth stations communicating with geostationary orbit satellites to include other frequency bands and requirements for earth station receivers.</w:t>
      </w:r>
    </w:p>
    <w:p w14:paraId="311D666A" w14:textId="265F3AE5" w:rsidR="003D7FAC" w:rsidRPr="00B53F89" w:rsidRDefault="006043ED" w:rsidP="002A179F">
      <w:pPr>
        <w:pStyle w:val="Heading3"/>
      </w:pPr>
      <w:bookmarkStart w:id="364" w:name="_Hlk17129621"/>
      <w:bookmarkStart w:id="365" w:name="_Toc51864342"/>
      <w:r w:rsidRPr="006A2F04">
        <w:rPr>
          <w:noProof/>
        </w:rPr>
        <w:drawing>
          <wp:inline distT="0" distB="0" distL="0" distR="0" wp14:anchorId="2E631BD7" wp14:editId="2B2FC6DF">
            <wp:extent cx="244475" cy="140335"/>
            <wp:effectExtent l="0" t="0" r="3175" b="0"/>
            <wp:docPr id="39" name="Picture 39"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016561" w:rsidRPr="00B53F89">
        <w:t xml:space="preserve">Spectrum arrangements for </w:t>
      </w:r>
      <w:r w:rsidR="002F10B6" w:rsidRPr="00B53F89">
        <w:t>‘</w:t>
      </w:r>
      <w:r w:rsidR="00016561" w:rsidRPr="00B53F89">
        <w:t>small satellites</w:t>
      </w:r>
      <w:r w:rsidR="002F10B6" w:rsidRPr="00B53F89">
        <w:t>’</w:t>
      </w:r>
      <w:bookmarkEnd w:id="364"/>
      <w:bookmarkEnd w:id="365"/>
    </w:p>
    <w:p w14:paraId="31E3359B" w14:textId="5A75AE1B" w:rsidR="00CF7C7A" w:rsidRPr="00B53F89" w:rsidRDefault="000220F0" w:rsidP="007E1FBE">
      <w:r>
        <w:t>We are</w:t>
      </w:r>
      <w:r w:rsidR="00CF7C7A" w:rsidRPr="00B53F89">
        <w:t xml:space="preserve"> continuing the work identified in the FYSO</w:t>
      </w:r>
      <w:r w:rsidR="00545902" w:rsidRPr="00B53F89">
        <w:t xml:space="preserve"> 201</w:t>
      </w:r>
      <w:r w:rsidR="00AD3F59">
        <w:t>9</w:t>
      </w:r>
      <w:r w:rsidR="00545902" w:rsidRPr="00B53F89">
        <w:t>–2</w:t>
      </w:r>
      <w:r w:rsidR="00AD3F59">
        <w:t>3</w:t>
      </w:r>
      <w:r w:rsidR="00CF7C7A" w:rsidRPr="00B53F89">
        <w:t xml:space="preserve"> in support</w:t>
      </w:r>
      <w:r w:rsidR="003A1F35" w:rsidRPr="00B53F89">
        <w:t xml:space="preserve"> of</w:t>
      </w:r>
      <w:r w:rsidR="00CF7C7A" w:rsidRPr="00B53F89">
        <w:t xml:space="preserve"> ‘small </w:t>
      </w:r>
      <w:r w:rsidR="001062C2" w:rsidRPr="00B53F89">
        <w:t>satellites’</w:t>
      </w:r>
      <w:r w:rsidR="00CF7C7A" w:rsidRPr="00B53F89">
        <w:t xml:space="preserve">. </w:t>
      </w:r>
    </w:p>
    <w:p w14:paraId="1433AA5D" w14:textId="45634F54" w:rsidR="00672016" w:rsidRPr="00B53F89" w:rsidRDefault="00067B76" w:rsidP="007E1FBE">
      <w:r>
        <w:t>We are focusing</w:t>
      </w:r>
      <w:r w:rsidR="00CF7C7A" w:rsidRPr="00B53F89">
        <w:t xml:space="preserve"> on supporting short-duration satellite missions for experimental </w:t>
      </w:r>
      <w:r w:rsidR="001062C2" w:rsidRPr="00B53F89">
        <w:t>purposes</w:t>
      </w:r>
      <w:r>
        <w:t>,</w:t>
      </w:r>
      <w:r w:rsidR="001062C2" w:rsidRPr="00B53F89">
        <w:t xml:space="preserve"> as</w:t>
      </w:r>
      <w:r w:rsidR="00CF7C7A" w:rsidRPr="00B53F89">
        <w:t xml:space="preserve"> well as seeking </w:t>
      </w:r>
      <w:r w:rsidR="004A3036" w:rsidRPr="00B53F89">
        <w:t xml:space="preserve">industry’s </w:t>
      </w:r>
      <w:r w:rsidR="008C7725" w:rsidRPr="00B53F89">
        <w:t xml:space="preserve">views </w:t>
      </w:r>
      <w:r w:rsidR="004A3036" w:rsidRPr="00B53F89">
        <w:t>on</w:t>
      </w:r>
      <w:r w:rsidR="008C7725" w:rsidRPr="00B53F89">
        <w:t xml:space="preserve"> what changes can be made to the existing spectrum management framework to support </w:t>
      </w:r>
      <w:r w:rsidR="003A1F35" w:rsidRPr="00B53F89">
        <w:t xml:space="preserve">the </w:t>
      </w:r>
      <w:r w:rsidR="00CF7C7A" w:rsidRPr="00B53F89">
        <w:t xml:space="preserve">broader </w:t>
      </w:r>
      <w:r w:rsidR="008C7725" w:rsidRPr="00B53F89">
        <w:t>needs</w:t>
      </w:r>
      <w:r w:rsidR="00CF7C7A" w:rsidRPr="00B53F89">
        <w:t xml:space="preserve"> of smallsat users</w:t>
      </w:r>
      <w:r w:rsidR="0037254E" w:rsidRPr="00B53F89">
        <w:t>,</w:t>
      </w:r>
      <w:r w:rsidR="008C7725" w:rsidRPr="00B53F89">
        <w:t xml:space="preserve"> </w:t>
      </w:r>
      <w:r w:rsidR="00B971FB" w:rsidRPr="00B53F89">
        <w:t xml:space="preserve">while ensuring a </w:t>
      </w:r>
      <w:r w:rsidR="0037254E" w:rsidRPr="00B53F89">
        <w:t xml:space="preserve">continuing, </w:t>
      </w:r>
      <w:r w:rsidR="00B971FB" w:rsidRPr="00B53F89">
        <w:t>stable regulatory environment for ‘traditional’ satellite use</w:t>
      </w:r>
      <w:r w:rsidR="0037254E" w:rsidRPr="00B53F89">
        <w:t>rs</w:t>
      </w:r>
      <w:r w:rsidR="00016561" w:rsidRPr="00B53F89">
        <w:t>.</w:t>
      </w:r>
      <w:r w:rsidR="00B971FB" w:rsidRPr="00B53F89">
        <w:t xml:space="preserve"> </w:t>
      </w:r>
    </w:p>
    <w:p w14:paraId="1D1B78BF" w14:textId="448FCE6B" w:rsidR="008C7725" w:rsidRPr="00B53F89" w:rsidRDefault="00067B76" w:rsidP="007E1FBE">
      <w:r>
        <w:t xml:space="preserve">We plan to </w:t>
      </w:r>
      <w:r w:rsidR="00CB4118" w:rsidRPr="00B53F89">
        <w:t>release</w:t>
      </w:r>
      <w:r w:rsidR="00CB4118" w:rsidRPr="00B53F89" w:rsidDel="008F3780">
        <w:t xml:space="preserve"> </w:t>
      </w:r>
      <w:r w:rsidR="00CB4118" w:rsidRPr="00B53F89">
        <w:t xml:space="preserve">a discussion paper </w:t>
      </w:r>
      <w:r w:rsidR="00FC330D">
        <w:t>in</w:t>
      </w:r>
      <w:r w:rsidR="00CB4118" w:rsidRPr="00B53F89">
        <w:t xml:space="preserve"> Q</w:t>
      </w:r>
      <w:r w:rsidR="00E31005">
        <w:t>4</w:t>
      </w:r>
      <w:r w:rsidR="00CB4118" w:rsidRPr="00452E22">
        <w:t xml:space="preserve"> 20</w:t>
      </w:r>
      <w:r w:rsidR="00C2204C" w:rsidRPr="00452E22">
        <w:t>20</w:t>
      </w:r>
      <w:r>
        <w:t>, review submissions and develop a way forward</w:t>
      </w:r>
      <w:r w:rsidR="008C7725" w:rsidRPr="00B53F89">
        <w:t>.</w:t>
      </w:r>
      <w:r w:rsidR="00CF7C7A" w:rsidRPr="00B53F89">
        <w:t xml:space="preserve"> </w:t>
      </w:r>
    </w:p>
    <w:p w14:paraId="41F3EB63" w14:textId="77777777" w:rsidR="00B971FB" w:rsidRPr="00B53F89" w:rsidRDefault="00992750" w:rsidP="002A179F">
      <w:pPr>
        <w:pStyle w:val="Heading3"/>
      </w:pPr>
      <w:bookmarkStart w:id="366" w:name="_Toc51864343"/>
      <w:r w:rsidRPr="00B53F89">
        <w:lastRenderedPageBreak/>
        <w:t>Updating regulatory arrangement</w:t>
      </w:r>
      <w:r w:rsidR="00985FA1" w:rsidRPr="00B53F89">
        <w:t>s</w:t>
      </w:r>
      <w:r w:rsidRPr="00B53F89">
        <w:t xml:space="preserve"> for space</w:t>
      </w:r>
      <w:r w:rsidR="000B35F0" w:rsidRPr="00B53F89">
        <w:t>-</w:t>
      </w:r>
      <w:r w:rsidRPr="00B53F89">
        <w:t>based communications systems</w:t>
      </w:r>
      <w:bookmarkEnd w:id="366"/>
      <w:r w:rsidRPr="00B53F89">
        <w:t xml:space="preserve"> </w:t>
      </w:r>
    </w:p>
    <w:p w14:paraId="5750FD06" w14:textId="67480F98" w:rsidR="00483DC5" w:rsidRPr="00B53F89" w:rsidRDefault="00067B76" w:rsidP="007E1FBE">
      <w:r>
        <w:t>We</w:t>
      </w:r>
      <w:r w:rsidR="00FB6B0A" w:rsidRPr="00B53F89">
        <w:t xml:space="preserve"> will continue to monitor trends in the spectrum needs of space-based communications systems, as well as developments in emerging space-based technologies and applications. </w:t>
      </w:r>
    </w:p>
    <w:p w14:paraId="428D02A1" w14:textId="41AC1A26" w:rsidR="00B514B8" w:rsidRPr="00B53F89" w:rsidRDefault="00FB6B0A" w:rsidP="007E1FBE">
      <w:r w:rsidRPr="00B53F89">
        <w:t xml:space="preserve">Organisations planning new satellite communication systems and intending to use existing systems are encouraged to contact </w:t>
      </w:r>
      <w:r w:rsidR="00067B76">
        <w:t>us</w:t>
      </w:r>
      <w:r w:rsidRPr="00B53F89">
        <w:t xml:space="preserve"> to discuss whether such updates are required and </w:t>
      </w:r>
      <w:r w:rsidR="004A3036" w:rsidRPr="00B53F89">
        <w:t xml:space="preserve">if so, </w:t>
      </w:r>
      <w:r w:rsidRPr="00B53F89">
        <w:t>the</w:t>
      </w:r>
      <w:r w:rsidR="004A3036" w:rsidRPr="00B53F89">
        <w:t>ir</w:t>
      </w:r>
      <w:r w:rsidRPr="00B53F89">
        <w:t xml:space="preserve"> timing.</w:t>
      </w:r>
      <w:r w:rsidR="001355CA" w:rsidRPr="00B53F89">
        <w:t xml:space="preserve"> Any future work will depend on stakeholder feedback, priority </w:t>
      </w:r>
      <w:r w:rsidR="00067B76">
        <w:t>compared</w:t>
      </w:r>
      <w:r w:rsidR="00067B76" w:rsidRPr="00B53F89">
        <w:t xml:space="preserve"> </w:t>
      </w:r>
      <w:r w:rsidR="001355CA" w:rsidRPr="00B53F89">
        <w:t xml:space="preserve">to other projects in the ACMA’s </w:t>
      </w:r>
      <w:r w:rsidR="00151518" w:rsidRPr="00B53F89">
        <w:t xml:space="preserve">annual </w:t>
      </w:r>
      <w:r w:rsidR="001355CA" w:rsidRPr="00B53F89">
        <w:t>work program</w:t>
      </w:r>
      <w:r w:rsidR="00067B76">
        <w:t>,</w:t>
      </w:r>
      <w:r w:rsidR="001355CA" w:rsidRPr="00B53F89">
        <w:t xml:space="preserve"> and technical viability</w:t>
      </w:r>
      <w:r w:rsidR="001C3B42" w:rsidRPr="00B53F89">
        <w:t>—</w:t>
      </w:r>
      <w:r w:rsidR="001355CA" w:rsidRPr="00B53F89">
        <w:t>for example</w:t>
      </w:r>
      <w:r w:rsidR="004A3036" w:rsidRPr="00B53F89">
        <w:t>,</w:t>
      </w:r>
      <w:r w:rsidR="001355CA" w:rsidRPr="00B53F89">
        <w:t xml:space="preserve"> consideration of </w:t>
      </w:r>
      <w:r w:rsidR="00B514B8" w:rsidRPr="00B53F89">
        <w:t xml:space="preserve">the potential impact on terrestrial services. </w:t>
      </w:r>
    </w:p>
    <w:p w14:paraId="4C7BDBB5" w14:textId="154DDF30" w:rsidR="00AF65F1" w:rsidRPr="00B53F89" w:rsidRDefault="00C61727" w:rsidP="002A179F">
      <w:pPr>
        <w:pStyle w:val="Heading3"/>
      </w:pPr>
      <w:bookmarkStart w:id="367" w:name="_Toc51864344"/>
      <w:bookmarkStart w:id="368" w:name="_Hlk33087236"/>
      <w:r>
        <w:t>Ongoing</w:t>
      </w:r>
      <w:r w:rsidRPr="00B53F89">
        <w:t xml:space="preserve"> </w:t>
      </w:r>
      <w:r w:rsidR="00AF65F1" w:rsidRPr="00B53F89">
        <w:t>review of space licensing procedures</w:t>
      </w:r>
      <w:bookmarkEnd w:id="367"/>
    </w:p>
    <w:p w14:paraId="4AFB39FF" w14:textId="2F55B58F" w:rsidR="00D34C68" w:rsidRPr="00B53F89" w:rsidRDefault="00067B76" w:rsidP="002A179F">
      <w:r>
        <w:t>We</w:t>
      </w:r>
      <w:r w:rsidR="00FB6B0A" w:rsidRPr="00B53F89">
        <w:t xml:space="preserve"> </w:t>
      </w:r>
      <w:r w:rsidR="00C61727">
        <w:t>will continue to</w:t>
      </w:r>
      <w:r w:rsidR="00822964" w:rsidRPr="00B53F89">
        <w:t xml:space="preserve"> </w:t>
      </w:r>
      <w:r w:rsidR="00C61727">
        <w:t xml:space="preserve">review </w:t>
      </w:r>
      <w:r>
        <w:t>our</w:t>
      </w:r>
      <w:r w:rsidRPr="00B53F89">
        <w:t xml:space="preserve"> </w:t>
      </w:r>
      <w:r w:rsidR="00822964" w:rsidRPr="00B53F89">
        <w:t>administrative assessment procedures for apparatus licensing of space</w:t>
      </w:r>
      <w:r w:rsidR="004A3036" w:rsidRPr="00B53F89">
        <w:t>-</w:t>
      </w:r>
      <w:r w:rsidR="00822964" w:rsidRPr="00B53F89">
        <w:t>based communications systems</w:t>
      </w:r>
      <w:r w:rsidR="00FB6B0A" w:rsidRPr="00B53F89">
        <w:t xml:space="preserve">. </w:t>
      </w:r>
      <w:r w:rsidR="00C61727">
        <w:t xml:space="preserve">Future work will </w:t>
      </w:r>
      <w:r>
        <w:t>use</w:t>
      </w:r>
      <w:r w:rsidR="00C61727">
        <w:t xml:space="preserve"> feedback received to Phase 1 of the review of licensing procedures for space-based communications. A suggested scope for further work was outlined in this phase</w:t>
      </w:r>
      <w:r>
        <w:t>,</w:t>
      </w:r>
      <w:r w:rsidR="00C61727">
        <w:t xml:space="preserve"> which received broad support in submissions. </w:t>
      </w:r>
      <w:r w:rsidR="00F86DFB">
        <w:t xml:space="preserve">The work will be appropriately timed, </w:t>
      </w:r>
      <w:r w:rsidR="00C61727">
        <w:t>in</w:t>
      </w:r>
      <w:r w:rsidR="00F60BF4">
        <w:t xml:space="preserve">cluding in connection with the implementation of outcomes of WRC-19. </w:t>
      </w:r>
      <w:bookmarkEnd w:id="368"/>
    </w:p>
    <w:p w14:paraId="1BFE7BD2" w14:textId="1BE005EE" w:rsidR="00A0073F" w:rsidRPr="00B53F89" w:rsidRDefault="00A0073F" w:rsidP="002A179F">
      <w:pPr>
        <w:pStyle w:val="Heading3"/>
      </w:pPr>
      <w:bookmarkStart w:id="369" w:name="_Toc51864345"/>
      <w:r w:rsidRPr="00B53F89">
        <w:t>Filing and coordination of Australian satellite systems</w:t>
      </w:r>
      <w:bookmarkEnd w:id="369"/>
      <w:r w:rsidRPr="00B53F89">
        <w:t xml:space="preserve"> </w:t>
      </w:r>
    </w:p>
    <w:p w14:paraId="0CE0EC74" w14:textId="05271767" w:rsidR="00A0073F" w:rsidRPr="00B53F89" w:rsidRDefault="00A0073F" w:rsidP="007E1FBE">
      <w:pPr>
        <w:pStyle w:val="Paragraphbeforelist"/>
        <w:keepNext/>
        <w:keepLines/>
        <w:rPr>
          <w:szCs w:val="20"/>
        </w:rPr>
      </w:pPr>
      <w:r w:rsidRPr="00B53F89">
        <w:t xml:space="preserve">In accordance with the </w:t>
      </w:r>
      <w:hyperlink r:id="rId101" w:tgtFrame="_top" w:history="1">
        <w:r w:rsidRPr="00B53F89">
          <w:rPr>
            <w:rStyle w:val="Hyperlink"/>
          </w:rPr>
          <w:t>Australian procedures for the coordination and notification of satellite systems</w:t>
        </w:r>
      </w:hyperlink>
      <w:r w:rsidR="00A312EF" w:rsidRPr="00B53F89">
        <w:rPr>
          <w:rStyle w:val="Hyperlink"/>
          <w:color w:val="auto"/>
          <w:u w:val="none"/>
        </w:rPr>
        <w:t>,</w:t>
      </w:r>
      <w:r w:rsidRPr="00B53F89">
        <w:t xml:space="preserve"> the ACMA has an ongoing role in the filing and coordination of </w:t>
      </w:r>
      <w:r w:rsidRPr="00B53F89">
        <w:rPr>
          <w:szCs w:val="20"/>
        </w:rPr>
        <w:t>Australian satellite systems with the ITU. This includes:</w:t>
      </w:r>
    </w:p>
    <w:p w14:paraId="2BDBC45B" w14:textId="77777777" w:rsidR="00A0073F" w:rsidRPr="00B53F89" w:rsidRDefault="00A0073F" w:rsidP="007E1FBE">
      <w:pPr>
        <w:pStyle w:val="ListBullet"/>
        <w:tabs>
          <w:tab w:val="num" w:pos="-260"/>
        </w:tabs>
        <w:ind w:left="284" w:hanging="284"/>
      </w:pPr>
      <w:r w:rsidRPr="00B53F89">
        <w:t>assisting Australian satellite operators with ongoing satellite coordination negotiations with other administrations</w:t>
      </w:r>
    </w:p>
    <w:p w14:paraId="2908A2F6" w14:textId="0607223C" w:rsidR="00A0073F" w:rsidRPr="00B53F89" w:rsidRDefault="00F86DFB" w:rsidP="007E1FBE">
      <w:pPr>
        <w:pStyle w:val="ListBullet"/>
        <w:tabs>
          <w:tab w:val="num" w:pos="-260"/>
        </w:tabs>
        <w:ind w:left="284" w:hanging="284"/>
      </w:pPr>
      <w:r w:rsidRPr="00B53F89">
        <w:t>assess</w:t>
      </w:r>
      <w:r>
        <w:t>ing</w:t>
      </w:r>
      <w:r w:rsidRPr="00B53F89">
        <w:t xml:space="preserve"> </w:t>
      </w:r>
      <w:r w:rsidR="00A0073F" w:rsidRPr="00B53F89">
        <w:t>new notices related to progress of existing Australian satellite networks</w:t>
      </w:r>
    </w:p>
    <w:p w14:paraId="4B609148" w14:textId="77777777" w:rsidR="00A0073F" w:rsidRPr="00B53F89" w:rsidRDefault="00A0073F" w:rsidP="007E1FBE">
      <w:pPr>
        <w:pStyle w:val="ListBullet"/>
        <w:keepNext w:val="0"/>
        <w:keepLines w:val="0"/>
        <w:tabs>
          <w:tab w:val="num" w:pos="-260"/>
        </w:tabs>
        <w:ind w:left="284" w:hanging="284"/>
      </w:pPr>
      <w:r w:rsidRPr="00B53F89">
        <w:t>filing of new Australian satellite networks</w:t>
      </w:r>
    </w:p>
    <w:p w14:paraId="52B24FCC" w14:textId="77777777" w:rsidR="00A0073F" w:rsidRPr="00B53F89" w:rsidRDefault="00A0073F" w:rsidP="007E1FBE">
      <w:pPr>
        <w:pStyle w:val="ListBulletLast"/>
        <w:ind w:left="284" w:hanging="284"/>
      </w:pPr>
      <w:r w:rsidRPr="00B53F89">
        <w:t xml:space="preserve">supporting international administration-level satellite coordination meetings with other </w:t>
      </w:r>
      <w:r w:rsidR="00A312EF" w:rsidRPr="00B53F89">
        <w:t>a</w:t>
      </w:r>
      <w:r w:rsidRPr="00B53F89">
        <w:t>dministrations</w:t>
      </w:r>
      <w:r w:rsidR="00A312EF" w:rsidRPr="00B53F89">
        <w:t>.</w:t>
      </w:r>
    </w:p>
    <w:p w14:paraId="1DAC1A61" w14:textId="13A3820A" w:rsidR="00AF65F1" w:rsidRPr="00B53F89" w:rsidRDefault="00D34C68" w:rsidP="002A179F">
      <w:pPr>
        <w:pStyle w:val="Heading3"/>
      </w:pPr>
      <w:bookmarkStart w:id="370" w:name="_Toc51864346"/>
      <w:bookmarkStart w:id="371" w:name="_Hlk33104932"/>
      <w:r w:rsidRPr="00B53F89">
        <w:t>Updating procedures for submission of Australian satellite networks to the ITU</w:t>
      </w:r>
      <w:bookmarkEnd w:id="370"/>
    </w:p>
    <w:p w14:paraId="30E0FA1C" w14:textId="1CE45977" w:rsidR="00D80F4A" w:rsidRDefault="00AF65F1" w:rsidP="007E1FBE">
      <w:pPr>
        <w:rPr>
          <w:rFonts w:cs="Arial"/>
        </w:rPr>
      </w:pPr>
      <w:r w:rsidRPr="00B53F89">
        <w:t xml:space="preserve">Australian procedures for the coordination and notification of satellite systems with the ITU were developed in 2012. </w:t>
      </w:r>
      <w:r w:rsidR="0076382A" w:rsidRPr="00B53F89">
        <w:t xml:space="preserve">Outcomes of WRC-19 </w:t>
      </w:r>
      <w:r w:rsidR="00C4094F">
        <w:t xml:space="preserve">will need to be considered for </w:t>
      </w:r>
      <w:r w:rsidR="00F00875">
        <w:t>inclusion</w:t>
      </w:r>
      <w:r w:rsidR="00C4094F">
        <w:t xml:space="preserve"> in </w:t>
      </w:r>
      <w:r w:rsidR="0076382A" w:rsidRPr="00B53F89">
        <w:t>possible updates</w:t>
      </w:r>
      <w:r w:rsidR="00194846" w:rsidRPr="00B53F89">
        <w:t xml:space="preserve"> to those procedures</w:t>
      </w:r>
      <w:r w:rsidR="0076382A" w:rsidRPr="00B53F89">
        <w:t xml:space="preserve">. </w:t>
      </w:r>
      <w:r w:rsidR="00D80F4A">
        <w:t xml:space="preserve">With the </w:t>
      </w:r>
      <w:r w:rsidR="00D80F4A" w:rsidRPr="00E45E03">
        <w:rPr>
          <w:rFonts w:cs="Arial"/>
        </w:rPr>
        <w:t>continuing growth and innovation in the provision of satellite-delivered telecommunications and in space science services</w:t>
      </w:r>
      <w:r w:rsidR="00F00875">
        <w:rPr>
          <w:rFonts w:cs="Arial"/>
        </w:rPr>
        <w:t>,</w:t>
      </w:r>
      <w:r w:rsidR="00D80F4A">
        <w:rPr>
          <w:rFonts w:cs="Arial"/>
        </w:rPr>
        <w:t xml:space="preserve"> </w:t>
      </w:r>
      <w:r w:rsidR="00F86DFB">
        <w:rPr>
          <w:rFonts w:cs="Arial"/>
        </w:rPr>
        <w:t>we</w:t>
      </w:r>
      <w:r w:rsidR="00D80F4A">
        <w:rPr>
          <w:rFonts w:cs="Arial"/>
        </w:rPr>
        <w:t xml:space="preserve"> also consider it timely to review the procedures to ensure they are fit</w:t>
      </w:r>
      <w:r w:rsidR="00F86DFB">
        <w:rPr>
          <w:rFonts w:cs="Arial"/>
        </w:rPr>
        <w:t>-</w:t>
      </w:r>
      <w:r w:rsidR="00D80F4A">
        <w:rPr>
          <w:rFonts w:cs="Arial"/>
        </w:rPr>
        <w:t>for</w:t>
      </w:r>
      <w:r w:rsidR="00F86DFB">
        <w:rPr>
          <w:rFonts w:cs="Arial"/>
        </w:rPr>
        <w:t>-</w:t>
      </w:r>
      <w:r w:rsidR="00D80F4A">
        <w:rPr>
          <w:rFonts w:cs="Arial"/>
        </w:rPr>
        <w:t>purpose.</w:t>
      </w:r>
    </w:p>
    <w:p w14:paraId="44580556" w14:textId="02C0719C" w:rsidR="00AF65F1" w:rsidRPr="000220F0" w:rsidRDefault="00147F0C" w:rsidP="007E1FBE">
      <w:r w:rsidRPr="000220F0">
        <w:t xml:space="preserve">Any future </w:t>
      </w:r>
      <w:r w:rsidR="00AF65F1" w:rsidRPr="000220F0">
        <w:t xml:space="preserve">update will consider whether </w:t>
      </w:r>
      <w:r w:rsidR="00A312EF" w:rsidRPr="000220F0">
        <w:t xml:space="preserve">providing </w:t>
      </w:r>
      <w:r w:rsidR="00AF65F1" w:rsidRPr="000220F0">
        <w:t>better support</w:t>
      </w:r>
      <w:r w:rsidR="00A312EF" w:rsidRPr="000220F0">
        <w:t xml:space="preserve"> to</w:t>
      </w:r>
      <w:r w:rsidR="00AF65F1" w:rsidRPr="000220F0">
        <w:t xml:space="preserve"> innovations such as the deployment of low-cost, miniaturised space hardware (often referred to as nanosats, cubesats or smallsats), changes in ITU requirements and general improvements,</w:t>
      </w:r>
      <w:r w:rsidR="00A312EF" w:rsidRPr="000220F0">
        <w:t xml:space="preserve"> is required.</w:t>
      </w:r>
    </w:p>
    <w:p w14:paraId="7FD191F9" w14:textId="0B791AE8" w:rsidR="00AF65F1" w:rsidRPr="000220F0" w:rsidRDefault="000220F0" w:rsidP="007E1FBE">
      <w:bookmarkStart w:id="372" w:name="_Hlk16254282"/>
      <w:r>
        <w:t>Our</w:t>
      </w:r>
      <w:r w:rsidR="00147F0C" w:rsidRPr="000220F0">
        <w:t xml:space="preserve"> </w:t>
      </w:r>
      <w:r w:rsidR="00D80F4A" w:rsidRPr="000220F0">
        <w:t xml:space="preserve">preliminary view is that </w:t>
      </w:r>
      <w:r w:rsidR="008B77BF" w:rsidRPr="000220F0">
        <w:t>there</w:t>
      </w:r>
      <w:r w:rsidR="00D80F4A" w:rsidRPr="000220F0">
        <w:t xml:space="preserve"> is benefit in focusing on targeted updates </w:t>
      </w:r>
      <w:r w:rsidR="008B77BF" w:rsidRPr="000220F0">
        <w:t>to</w:t>
      </w:r>
      <w:r w:rsidR="00D80F4A" w:rsidRPr="000220F0">
        <w:t xml:space="preserve"> key areas rather than undertak</w:t>
      </w:r>
      <w:r w:rsidR="008B77BF" w:rsidRPr="000220F0">
        <w:t>ing</w:t>
      </w:r>
      <w:r w:rsidR="00D80F4A" w:rsidRPr="000220F0">
        <w:t xml:space="preserve"> an entire review (which is likely to be a lengthy task). </w:t>
      </w:r>
      <w:r w:rsidR="00140F39" w:rsidRPr="000220F0">
        <w:t xml:space="preserve">For example, </w:t>
      </w:r>
      <w:r w:rsidR="002F450E" w:rsidRPr="000220F0" w:rsidDel="00140F39">
        <w:t>i</w:t>
      </w:r>
      <w:r w:rsidR="00E94117" w:rsidRPr="000220F0" w:rsidDel="00140F39">
        <w:t>t</w:t>
      </w:r>
      <w:r w:rsidR="00E94117" w:rsidRPr="000220F0">
        <w:t xml:space="preserve"> </w:t>
      </w:r>
      <w:r w:rsidR="00E94117" w:rsidRPr="000220F0" w:rsidDel="0097320E">
        <w:t xml:space="preserve">is </w:t>
      </w:r>
      <w:r w:rsidR="00140F39" w:rsidRPr="000220F0">
        <w:t xml:space="preserve">most likely </w:t>
      </w:r>
      <w:r w:rsidR="00E94117" w:rsidRPr="000220F0">
        <w:t xml:space="preserve">that work on spectrum for small satellites </w:t>
      </w:r>
      <w:r w:rsidR="00140F39" w:rsidRPr="000220F0">
        <w:t xml:space="preserve">will </w:t>
      </w:r>
      <w:r w:rsidR="00E94117" w:rsidRPr="000220F0">
        <w:t xml:space="preserve">result in </w:t>
      </w:r>
      <w:r w:rsidR="00147F0C" w:rsidRPr="000220F0">
        <w:t xml:space="preserve">the need </w:t>
      </w:r>
      <w:r w:rsidR="008B77BF" w:rsidRPr="000220F0">
        <w:t>for</w:t>
      </w:r>
      <w:r w:rsidR="00140F39" w:rsidRPr="000220F0">
        <w:t xml:space="preserve"> </w:t>
      </w:r>
      <w:r w:rsidR="008B77BF" w:rsidRPr="000220F0">
        <w:t xml:space="preserve">a </w:t>
      </w:r>
      <w:r w:rsidR="00140F39" w:rsidRPr="000220F0">
        <w:t>target</w:t>
      </w:r>
      <w:r w:rsidR="008B77BF" w:rsidRPr="000220F0">
        <w:t>ed</w:t>
      </w:r>
      <w:r w:rsidR="00140F39" w:rsidRPr="000220F0">
        <w:t xml:space="preserve"> </w:t>
      </w:r>
      <w:r w:rsidR="00E94117" w:rsidRPr="000220F0">
        <w:t>update.</w:t>
      </w:r>
    </w:p>
    <w:p w14:paraId="2B895CEB" w14:textId="442A76EA" w:rsidR="00140F39" w:rsidRDefault="00140F39" w:rsidP="007E1FBE">
      <w:r w:rsidRPr="000220F0">
        <w:lastRenderedPageBreak/>
        <w:t>It is also possible that the outcome of the Communications portfolio five-yearly Portfolio Charging Review</w:t>
      </w:r>
      <w:r w:rsidR="00C800C5" w:rsidRPr="000220F0">
        <w:rPr>
          <w:rStyle w:val="FootnoteReference"/>
        </w:rPr>
        <w:footnoteReference w:id="57"/>
      </w:r>
      <w:r w:rsidR="00C800C5" w:rsidRPr="000220F0">
        <w:t xml:space="preserve"> </w:t>
      </w:r>
      <w:r w:rsidRPr="000220F0">
        <w:t xml:space="preserve">will require a review of </w:t>
      </w:r>
      <w:r w:rsidR="000220F0">
        <w:t xml:space="preserve">our </w:t>
      </w:r>
      <w:r w:rsidRPr="000220F0">
        <w:t xml:space="preserve">satellite filing cost recovery process to ensure that practices are consistent </w:t>
      </w:r>
      <w:r w:rsidR="00C800C5" w:rsidRPr="000220F0">
        <w:t>with outcomes of that work.</w:t>
      </w:r>
      <w:r w:rsidR="001E2C64">
        <w:t xml:space="preserve"> </w:t>
      </w:r>
    </w:p>
    <w:p w14:paraId="4F1C0441" w14:textId="369C3ADB" w:rsidR="00140F39" w:rsidRPr="00B53F89" w:rsidRDefault="00F86DFB" w:rsidP="00EA03E8">
      <w:pPr>
        <w:pStyle w:val="Paragraph"/>
      </w:pPr>
      <w:r>
        <w:t>We</w:t>
      </w:r>
      <w:r w:rsidR="001E2C64">
        <w:t xml:space="preserve"> will consider timing of this work in </w:t>
      </w:r>
      <w:r w:rsidR="77D015E7">
        <w:t xml:space="preserve">the first half of </w:t>
      </w:r>
      <w:r w:rsidR="001E2C64">
        <w:t>202</w:t>
      </w:r>
      <w:r w:rsidR="77D015E7">
        <w:t>1</w:t>
      </w:r>
      <w:r w:rsidR="001E2C64">
        <w:t>.</w:t>
      </w:r>
      <w:bookmarkEnd w:id="371"/>
    </w:p>
    <w:p w14:paraId="33259D72" w14:textId="27E49F62" w:rsidR="00770CB1" w:rsidRPr="00B53F89" w:rsidRDefault="00770CB1" w:rsidP="007E1FBE">
      <w:pPr>
        <w:keepNext/>
        <w:spacing w:before="60" w:after="0"/>
      </w:pPr>
      <w:bookmarkStart w:id="373" w:name="_Toc510795083"/>
      <w:bookmarkStart w:id="374" w:name="_Toc511716286"/>
      <w:bookmarkStart w:id="375" w:name="_Toc511719097"/>
      <w:bookmarkStart w:id="376" w:name="_Toc522794092"/>
      <w:bookmarkStart w:id="377" w:name="_Hlk48924347"/>
      <w:bookmarkEnd w:id="372"/>
      <w:r w:rsidRPr="006A2F04">
        <w:rPr>
          <w:noProof/>
        </w:rPr>
        <w:drawing>
          <wp:inline distT="0" distB="0" distL="0" distR="0" wp14:anchorId="08C32FD2" wp14:editId="430E4E20">
            <wp:extent cx="342900" cy="361950"/>
            <wp:effectExtent l="0" t="0" r="0" b="0"/>
            <wp:docPr id="93" name="Picture 9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25DA0694" w14:textId="73B9B948" w:rsidR="00B830D0" w:rsidRPr="00B53F89" w:rsidRDefault="00B830D0" w:rsidP="002A179F">
      <w:pPr>
        <w:pStyle w:val="Heading2"/>
        <w:spacing w:before="60"/>
      </w:pPr>
      <w:bookmarkStart w:id="378" w:name="_Toc31892822"/>
      <w:bookmarkStart w:id="379" w:name="_Toc36207438"/>
      <w:bookmarkStart w:id="380" w:name="_Toc39568018"/>
      <w:bookmarkStart w:id="381" w:name="_Toc51846284"/>
      <w:bookmarkStart w:id="382" w:name="_Toc51864347"/>
      <w:r w:rsidRPr="00B53F89">
        <w:t>Low interference potential devices</w:t>
      </w:r>
      <w:bookmarkEnd w:id="373"/>
      <w:bookmarkEnd w:id="374"/>
      <w:bookmarkEnd w:id="375"/>
      <w:bookmarkEnd w:id="376"/>
      <w:bookmarkEnd w:id="378"/>
      <w:bookmarkEnd w:id="379"/>
      <w:bookmarkEnd w:id="380"/>
      <w:bookmarkEnd w:id="381"/>
      <w:bookmarkEnd w:id="382"/>
    </w:p>
    <w:p w14:paraId="7BDBA217" w14:textId="2AEE38F1" w:rsidR="00C568CD" w:rsidRPr="00B53F89" w:rsidRDefault="00A312EF" w:rsidP="003612AF">
      <w:pPr>
        <w:spacing w:after="80"/>
        <w:rPr>
          <w:rFonts w:cs="Arial"/>
        </w:rPr>
      </w:pPr>
      <w:r w:rsidRPr="00B53F89">
        <w:t>In</w:t>
      </w:r>
      <w:r w:rsidR="00B830D0" w:rsidRPr="00B53F89">
        <w:t xml:space="preserve"> </w:t>
      </w:r>
      <w:r w:rsidR="00E301E2" w:rsidRPr="00B53F89">
        <w:t xml:space="preserve">December </w:t>
      </w:r>
      <w:r w:rsidR="00B830D0" w:rsidRPr="00B53F89">
        <w:t>201</w:t>
      </w:r>
      <w:r w:rsidR="00E301E2" w:rsidRPr="00B53F89">
        <w:t>8</w:t>
      </w:r>
      <w:r w:rsidRPr="00B53F89">
        <w:t>,</w:t>
      </w:r>
      <w:r w:rsidR="00B830D0" w:rsidRPr="00B53F89">
        <w:t xml:space="preserve"> </w:t>
      </w:r>
      <w:r w:rsidR="00F86DFB">
        <w:t>we</w:t>
      </w:r>
      <w:r w:rsidR="00B830D0" w:rsidRPr="00B53F89">
        <w:t xml:space="preserve"> </w:t>
      </w:r>
      <w:r w:rsidR="00F11130" w:rsidRPr="00B53F89">
        <w:t xml:space="preserve">commenced consultation </w:t>
      </w:r>
      <w:r w:rsidR="00B830D0" w:rsidRPr="00B53F89">
        <w:t>on proposed update</w:t>
      </w:r>
      <w:r w:rsidR="00C33CDD" w:rsidRPr="00B53F89">
        <w:t>s</w:t>
      </w:r>
      <w:r w:rsidR="00B830D0" w:rsidRPr="00B53F89">
        <w:t xml:space="preserve"> to the </w:t>
      </w:r>
      <w:r w:rsidR="00A56FF3" w:rsidRPr="00B53F89">
        <w:t>LIPD class licence</w:t>
      </w:r>
      <w:r w:rsidR="00B830D0" w:rsidRPr="00B53F89">
        <w:t>.</w:t>
      </w:r>
      <w:r w:rsidR="00C568CD" w:rsidRPr="00B53F89">
        <w:t xml:space="preserve"> The proposed updates considered</w:t>
      </w:r>
      <w:r w:rsidR="00C568CD" w:rsidRPr="00B53F89">
        <w:rPr>
          <w:rFonts w:cs="Arial"/>
        </w:rPr>
        <w:t>:</w:t>
      </w:r>
    </w:p>
    <w:p w14:paraId="33E637E1" w14:textId="0F9A8950" w:rsidR="00C568CD" w:rsidRPr="00B53F89" w:rsidRDefault="00714BBD" w:rsidP="003612AF">
      <w:pPr>
        <w:pStyle w:val="ListBullet"/>
        <w:keepNext w:val="0"/>
        <w:keepLines w:val="0"/>
        <w:ind w:left="284" w:hanging="284"/>
      </w:pPr>
      <w:r w:rsidRPr="00B53F89">
        <w:t>u</w:t>
      </w:r>
      <w:r w:rsidR="00C568CD" w:rsidRPr="00B53F89">
        <w:t>pdating and expanding existing 60 GHz arrangements (57</w:t>
      </w:r>
      <w:r w:rsidRPr="00B53F89">
        <w:t>–</w:t>
      </w:r>
      <w:r w:rsidR="00C568CD" w:rsidRPr="00B53F89">
        <w:t>66 GHz) for data communication systems, including 5G. Specifically:</w:t>
      </w:r>
    </w:p>
    <w:p w14:paraId="24338789" w14:textId="018E4AD3" w:rsidR="00C568CD" w:rsidRPr="00B53F89" w:rsidRDefault="00714BBD" w:rsidP="003612AF">
      <w:pPr>
        <w:pStyle w:val="ListBullet2"/>
        <w:ind w:left="851" w:hanging="494"/>
      </w:pPr>
      <w:r w:rsidRPr="00B53F89">
        <w:t>a</w:t>
      </w:r>
      <w:r w:rsidR="00C568CD" w:rsidRPr="00B53F89">
        <w:t>dding 66–71 GHz</w:t>
      </w:r>
    </w:p>
    <w:p w14:paraId="2E8428E3" w14:textId="2A63AFF0" w:rsidR="00C568CD" w:rsidRPr="00B53F89" w:rsidRDefault="00714BBD" w:rsidP="003612AF">
      <w:pPr>
        <w:pStyle w:val="ListBullet2"/>
        <w:ind w:left="851" w:hanging="494"/>
      </w:pPr>
      <w:r w:rsidRPr="00B53F89">
        <w:t>u</w:t>
      </w:r>
      <w:r w:rsidR="00C568CD" w:rsidRPr="00B53F89">
        <w:t>pdating existing arrangements in 57–66 GHz regarding indoor and outdoor data communications systems</w:t>
      </w:r>
    </w:p>
    <w:p w14:paraId="73596451" w14:textId="785C699E" w:rsidR="00C568CD" w:rsidRPr="00B53F89" w:rsidRDefault="008E6685" w:rsidP="003612AF">
      <w:pPr>
        <w:pStyle w:val="ListBullet2"/>
        <w:ind w:left="851" w:hanging="494"/>
      </w:pPr>
      <w:r w:rsidRPr="00A12C5B">
        <w:t>a</w:t>
      </w:r>
      <w:r w:rsidR="00C568CD" w:rsidRPr="00A12C5B">
        <w:t>dding</w:t>
      </w:r>
      <w:r w:rsidR="00C568CD" w:rsidRPr="00B53F89">
        <w:t xml:space="preserve"> new arrangements for ‘</w:t>
      </w:r>
      <w:r w:rsidR="00446847" w:rsidRPr="00B53F89">
        <w:t>a</w:t>
      </w:r>
      <w:r w:rsidR="00C568CD" w:rsidRPr="00B53F89">
        <w:t>ll transmitters’ in 57–64 GHz</w:t>
      </w:r>
    </w:p>
    <w:p w14:paraId="476A76CE" w14:textId="485389B5" w:rsidR="00C568CD" w:rsidRPr="00B53F89" w:rsidRDefault="00714BBD" w:rsidP="003612AF">
      <w:pPr>
        <w:pStyle w:val="ListBullet2"/>
        <w:ind w:left="851" w:hanging="494"/>
      </w:pPr>
      <w:r w:rsidRPr="00B53F89">
        <w:t>r</w:t>
      </w:r>
      <w:r w:rsidR="00C568CD" w:rsidRPr="00B53F89">
        <w:t>evising arrangements for underground transmitters in certain bands supporting fixed and mobile services between 70–520 MHz</w:t>
      </w:r>
    </w:p>
    <w:p w14:paraId="5A5C8E95" w14:textId="0C4CDCB8" w:rsidR="00C568CD" w:rsidRPr="00B53F89" w:rsidRDefault="00714BBD" w:rsidP="003612AF">
      <w:pPr>
        <w:pStyle w:val="ListBullet2"/>
        <w:ind w:left="851" w:hanging="494"/>
      </w:pPr>
      <w:r w:rsidRPr="00B53F89">
        <w:t>a</w:t>
      </w:r>
      <w:r w:rsidR="00C568CD" w:rsidRPr="00B53F89">
        <w:t>dding support for higher power radiodetermination transmitters</w:t>
      </w:r>
      <w:r w:rsidR="000E208F" w:rsidRPr="00B53F89">
        <w:t>, that is,</w:t>
      </w:r>
      <w:r w:rsidR="00C568CD" w:rsidRPr="00B53F89">
        <w:t xml:space="preserve"> radars (76–77</w:t>
      </w:r>
      <w:r w:rsidR="00463A65" w:rsidRPr="00B53F89">
        <w:t> </w:t>
      </w:r>
      <w:r w:rsidR="00C568CD" w:rsidRPr="00B53F89">
        <w:t>GHz)</w:t>
      </w:r>
    </w:p>
    <w:p w14:paraId="2BD6CA7D" w14:textId="57B185A3" w:rsidR="00C568CD" w:rsidRPr="00B53F89" w:rsidRDefault="00714BBD" w:rsidP="003612AF">
      <w:pPr>
        <w:pStyle w:val="ListBullet2"/>
        <w:ind w:left="851" w:hanging="494"/>
      </w:pPr>
      <w:r w:rsidRPr="00B53F89">
        <w:t>a</w:t>
      </w:r>
      <w:r w:rsidR="00C568CD" w:rsidRPr="00B53F89">
        <w:t>dding support for ground and wall penetration radar as an adjunct to current apparatus licence arrangements (30–12400 MHz)</w:t>
      </w:r>
    </w:p>
    <w:p w14:paraId="39E5ABB3" w14:textId="5060A816" w:rsidR="00C568CD" w:rsidRPr="00B53F89" w:rsidRDefault="00714BBD" w:rsidP="003612AF">
      <w:pPr>
        <w:pStyle w:val="ListBullet2"/>
        <w:ind w:left="851" w:hanging="494"/>
      </w:pPr>
      <w:r w:rsidRPr="00B53F89">
        <w:t>a</w:t>
      </w:r>
      <w:r w:rsidR="00C568CD" w:rsidRPr="00B53F89">
        <w:t>ligning existing arrangements for ultra-wideband devices with US and European arrangements for generic (indoor and handheld) devices (3100–3400 MHz and 8500–9000 MHz) and aircraft applications (6000–8500 MHz).</w:t>
      </w:r>
    </w:p>
    <w:p w14:paraId="4F1A744B" w14:textId="77777777" w:rsidR="00AC2377" w:rsidRPr="00B53F89" w:rsidRDefault="00AC2377" w:rsidP="002A179F">
      <w:pPr>
        <w:pStyle w:val="Heading3"/>
      </w:pPr>
      <w:bookmarkStart w:id="383" w:name="_Toc39568019"/>
      <w:bookmarkStart w:id="384" w:name="_Toc51864348"/>
      <w:r w:rsidRPr="00B53F89">
        <w:t>Progress achieved</w:t>
      </w:r>
      <w:bookmarkEnd w:id="383"/>
      <w:bookmarkEnd w:id="384"/>
      <w:r w:rsidRPr="00B53F89">
        <w:t xml:space="preserve"> </w:t>
      </w:r>
    </w:p>
    <w:p w14:paraId="44EC53D0" w14:textId="721AED17" w:rsidR="00B830D0" w:rsidRPr="00B53F89" w:rsidRDefault="008B2C3F" w:rsidP="003612AF">
      <w:pPr>
        <w:keepNext/>
        <w:keepLines/>
      </w:pPr>
      <w:r>
        <w:t>We finished</w:t>
      </w:r>
      <w:r w:rsidR="00213B58" w:rsidRPr="00B53F89">
        <w:t xml:space="preserve"> this review </w:t>
      </w:r>
      <w:r w:rsidR="000544B1" w:rsidRPr="00B53F89">
        <w:t>and varied the</w:t>
      </w:r>
      <w:r w:rsidR="00213B58" w:rsidRPr="00B53F89">
        <w:t xml:space="preserve"> LIPD </w:t>
      </w:r>
      <w:r w:rsidR="000544B1" w:rsidRPr="00B53F89">
        <w:t xml:space="preserve">class licence </w:t>
      </w:r>
      <w:r w:rsidR="00213B58" w:rsidRPr="00B53F89">
        <w:t xml:space="preserve">in </w:t>
      </w:r>
      <w:r w:rsidR="00EB11B8">
        <w:t>September</w:t>
      </w:r>
      <w:r w:rsidR="00EB11B8" w:rsidRPr="00B53F89">
        <w:t xml:space="preserve"> </w:t>
      </w:r>
      <w:r w:rsidR="00213B58" w:rsidRPr="00B53F89">
        <w:t>2019</w:t>
      </w:r>
      <w:r w:rsidR="00B830D0" w:rsidRPr="00B53F89">
        <w:t>.</w:t>
      </w:r>
    </w:p>
    <w:p w14:paraId="395821FD" w14:textId="0E066FD6" w:rsidR="00B830D0" w:rsidRPr="00B53F89" w:rsidRDefault="00B830D0" w:rsidP="002A179F">
      <w:pPr>
        <w:pStyle w:val="Heading3"/>
      </w:pPr>
      <w:bookmarkStart w:id="385" w:name="_Toc39568020"/>
      <w:bookmarkStart w:id="386" w:name="_Toc51864349"/>
      <w:r w:rsidRPr="00B53F89">
        <w:t xml:space="preserve">Activities planned for </w:t>
      </w:r>
      <w:r w:rsidR="00CD5AE7">
        <w:t>2020</w:t>
      </w:r>
      <w:r w:rsidR="008B2C3F">
        <w:t>–</w:t>
      </w:r>
      <w:r w:rsidR="00CD5AE7">
        <w:t>21</w:t>
      </w:r>
      <w:bookmarkEnd w:id="385"/>
      <w:bookmarkEnd w:id="386"/>
      <w:r w:rsidRPr="00B53F89">
        <w:t xml:space="preserve"> </w:t>
      </w:r>
    </w:p>
    <w:p w14:paraId="1A5DDA4A" w14:textId="11F68DDF" w:rsidR="00C568CD" w:rsidRDefault="00403305" w:rsidP="007E1FBE">
      <w:pPr>
        <w:rPr>
          <w:rFonts w:cs="Arial"/>
          <w:szCs w:val="20"/>
        </w:rPr>
      </w:pPr>
      <w:bookmarkStart w:id="387" w:name="_Hlk3357645"/>
      <w:r>
        <w:rPr>
          <w:rFonts w:cs="Arial"/>
          <w:szCs w:val="20"/>
        </w:rPr>
        <w:t xml:space="preserve">The LIPD class licence is updated regularly. We are currently monitoring developments and plan to consult on the next </w:t>
      </w:r>
      <w:r w:rsidR="004B254B">
        <w:rPr>
          <w:rFonts w:cs="Arial"/>
          <w:szCs w:val="20"/>
        </w:rPr>
        <w:t xml:space="preserve">update </w:t>
      </w:r>
      <w:r>
        <w:rPr>
          <w:rFonts w:cs="Arial"/>
          <w:szCs w:val="20"/>
        </w:rPr>
        <w:t>of the LIPD class licence in Q3 2020</w:t>
      </w:r>
      <w:r w:rsidR="00C568CD" w:rsidRPr="00B53F89">
        <w:rPr>
          <w:rFonts w:cs="Arial"/>
          <w:szCs w:val="20"/>
        </w:rPr>
        <w:t>.</w:t>
      </w:r>
      <w:bookmarkEnd w:id="387"/>
    </w:p>
    <w:p w14:paraId="7AF87D64" w14:textId="77777777" w:rsidR="004C7362" w:rsidRPr="00B53F89" w:rsidRDefault="004C7362" w:rsidP="004C7362">
      <w:pPr>
        <w:keepNext/>
        <w:spacing w:before="60" w:after="0"/>
      </w:pPr>
      <w:r w:rsidRPr="006A2F04">
        <w:rPr>
          <w:noProof/>
        </w:rPr>
        <w:drawing>
          <wp:inline distT="0" distB="0" distL="0" distR="0" wp14:anchorId="3D5034DF" wp14:editId="490910F3">
            <wp:extent cx="342900" cy="361950"/>
            <wp:effectExtent l="0" t="0" r="0" b="0"/>
            <wp:docPr id="239" name="Picture 239"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29EF538D" w14:textId="754E9943" w:rsidR="004C7362" w:rsidRPr="00B53F89" w:rsidRDefault="006511E4" w:rsidP="004C7362">
      <w:pPr>
        <w:pStyle w:val="Heading2"/>
        <w:spacing w:before="60"/>
      </w:pPr>
      <w:bookmarkStart w:id="388" w:name="_Toc51846285"/>
      <w:bookmarkStart w:id="389" w:name="_Toc51864350"/>
      <w:r w:rsidRPr="006A2F04">
        <w:rPr>
          <w:noProof/>
        </w:rPr>
        <w:drawing>
          <wp:inline distT="0" distB="0" distL="0" distR="0" wp14:anchorId="635A9CC5" wp14:editId="263D0E1B">
            <wp:extent cx="245110" cy="140970"/>
            <wp:effectExtent l="0" t="0" r="2540" b="0"/>
            <wp:docPr id="248" name="Picture 248" descr="A picture containing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7" name="Picture 7" descr="A picture containing clipart&#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t xml:space="preserve">  </w:t>
      </w:r>
      <w:r w:rsidR="004C7362">
        <w:t>Intelligent Transport Systems</w:t>
      </w:r>
      <w:bookmarkEnd w:id="388"/>
      <w:bookmarkEnd w:id="389"/>
    </w:p>
    <w:p w14:paraId="5D650331" w14:textId="27D28032" w:rsidR="004C7362" w:rsidRPr="0043285E" w:rsidRDefault="004C7362" w:rsidP="005D3F52">
      <w:pPr>
        <w:rPr>
          <w:rFonts w:cs="Arial"/>
          <w:szCs w:val="20"/>
        </w:rPr>
      </w:pPr>
      <w:r w:rsidRPr="005D3F52">
        <w:rPr>
          <w:rFonts w:cs="Arial"/>
          <w:szCs w:val="20"/>
        </w:rPr>
        <w:t>In December 2017, after consultation with the automotive industry</w:t>
      </w:r>
      <w:r w:rsidR="005D3F52" w:rsidRPr="005D3F52">
        <w:rPr>
          <w:rFonts w:cs="Arial"/>
          <w:szCs w:val="20"/>
        </w:rPr>
        <w:t>,</w:t>
      </w:r>
      <w:r w:rsidRPr="005D3F52">
        <w:rPr>
          <w:rFonts w:cs="Arial"/>
          <w:szCs w:val="20"/>
        </w:rPr>
        <w:t xml:space="preserve"> the ACMA put in place a class licence authorising the op</w:t>
      </w:r>
      <w:r w:rsidRPr="0043285E">
        <w:rPr>
          <w:rFonts w:cs="Arial"/>
          <w:szCs w:val="20"/>
        </w:rPr>
        <w:t xml:space="preserve">eration of Intelligent transport systems (ITS) in Australia. </w:t>
      </w:r>
    </w:p>
    <w:p w14:paraId="073846C5" w14:textId="77777777" w:rsidR="004C7362" w:rsidRPr="0043285E" w:rsidRDefault="004C7362" w:rsidP="005D3F52">
      <w:pPr>
        <w:rPr>
          <w:rFonts w:cs="Arial"/>
          <w:szCs w:val="20"/>
        </w:rPr>
      </w:pPr>
      <w:r w:rsidRPr="0043285E">
        <w:rPr>
          <w:rFonts w:cs="Arial"/>
          <w:szCs w:val="20"/>
        </w:rPr>
        <w:t xml:space="preserve">ITS are a range of wireless technologies that are designed to enable vehicle-to-vehicle, vehicle-to-person or vehicle-to-structure communications.    </w:t>
      </w:r>
    </w:p>
    <w:p w14:paraId="14FFB07C" w14:textId="77777777" w:rsidR="004C7362" w:rsidRPr="0043285E" w:rsidRDefault="004C7362" w:rsidP="005D3F52">
      <w:pPr>
        <w:rPr>
          <w:rFonts w:cs="Arial"/>
          <w:szCs w:val="20"/>
        </w:rPr>
      </w:pPr>
      <w:r w:rsidRPr="0043285E">
        <w:rPr>
          <w:rFonts w:cs="Arial"/>
          <w:szCs w:val="20"/>
        </w:rPr>
        <w:lastRenderedPageBreak/>
        <w:t xml:space="preserve">The arrangements support the use of complying wireless technologies and devices in the frequency range 5855 MHz to 5925 MHz (the 5.9 GHz band). </w:t>
      </w:r>
    </w:p>
    <w:p w14:paraId="30225260" w14:textId="5395A961" w:rsidR="004C7362" w:rsidRPr="0043285E" w:rsidRDefault="004C7362" w:rsidP="005D3F52">
      <w:pPr>
        <w:rPr>
          <w:rFonts w:cs="Arial"/>
          <w:szCs w:val="20"/>
        </w:rPr>
      </w:pPr>
      <w:r w:rsidRPr="0043285E">
        <w:rPr>
          <w:rFonts w:cs="Arial"/>
          <w:szCs w:val="20"/>
        </w:rPr>
        <w:t>At the time, following advice from and in consultation with industry, the ACMA reflected the current European standard for Cooperative ITS (C-ITS) in the arrangements in the class licence. The ACMA however indicated that further standards could be incorporated if appropriate.</w:t>
      </w:r>
    </w:p>
    <w:p w14:paraId="2FBEF1BC" w14:textId="77777777" w:rsidR="004C7362" w:rsidRPr="0043285E" w:rsidRDefault="004C7362" w:rsidP="005D3F52">
      <w:pPr>
        <w:rPr>
          <w:rFonts w:cs="Arial"/>
          <w:szCs w:val="20"/>
        </w:rPr>
      </w:pPr>
      <w:r w:rsidRPr="0043285E">
        <w:rPr>
          <w:rFonts w:cs="Arial"/>
          <w:szCs w:val="20"/>
        </w:rPr>
        <w:t xml:space="preserve">The arrangements are contained in the Radiocommunications (Intelligent Transport Systems) Class Licence 2017. </w:t>
      </w:r>
    </w:p>
    <w:p w14:paraId="534B1C2C" w14:textId="77777777" w:rsidR="004C7362" w:rsidRPr="00B53F89" w:rsidRDefault="004C7362" w:rsidP="004C7362">
      <w:pPr>
        <w:pStyle w:val="Heading3"/>
      </w:pPr>
      <w:bookmarkStart w:id="390" w:name="_Toc51864351"/>
      <w:r w:rsidRPr="00B53F89">
        <w:t>Progress achieved</w:t>
      </w:r>
      <w:bookmarkEnd w:id="390"/>
      <w:r w:rsidRPr="00B53F89">
        <w:t xml:space="preserve"> </w:t>
      </w:r>
    </w:p>
    <w:p w14:paraId="03849C67" w14:textId="77777777" w:rsidR="004C7362" w:rsidRPr="00B53F89" w:rsidRDefault="004C7362" w:rsidP="004C7362">
      <w:pPr>
        <w:keepNext/>
        <w:keepLines/>
      </w:pPr>
      <w:r>
        <w:t>We made t</w:t>
      </w:r>
      <w:r w:rsidRPr="00D82EB3">
        <w:t xml:space="preserve">he Class Licence on 18 December 2017 and </w:t>
      </w:r>
      <w:r>
        <w:t xml:space="preserve">it </w:t>
      </w:r>
      <w:r w:rsidRPr="00D82EB3">
        <w:t>came into effect on 5 January 2018.</w:t>
      </w:r>
    </w:p>
    <w:p w14:paraId="1170DBC9" w14:textId="77777777" w:rsidR="004C7362" w:rsidRPr="00B53F89" w:rsidRDefault="004C7362" w:rsidP="004C7362">
      <w:pPr>
        <w:pStyle w:val="Heading3"/>
      </w:pPr>
      <w:bookmarkStart w:id="391" w:name="_Toc51864352"/>
      <w:r w:rsidRPr="00B53F89">
        <w:t xml:space="preserve">Activities planned for </w:t>
      </w:r>
      <w:r>
        <w:t>2020–21</w:t>
      </w:r>
      <w:bookmarkEnd w:id="391"/>
      <w:r w:rsidRPr="00B53F89">
        <w:t xml:space="preserve"> </w:t>
      </w:r>
    </w:p>
    <w:p w14:paraId="31AC629F" w14:textId="35A36871" w:rsidR="004C7362" w:rsidRPr="00D82EB3" w:rsidRDefault="004C7362" w:rsidP="004C7362">
      <w:r>
        <w:t xml:space="preserve">Industry feedback to the FYSO indicated interest in changes to the ITS Class Licence to accommodate V2X technology and potentially implementation of channelisation arrangements. </w:t>
      </w:r>
      <w:r w:rsidRPr="00D82EB3">
        <w:t xml:space="preserve">We will continue to monitor the developments in C-ITS and </w:t>
      </w:r>
      <w:r>
        <w:t xml:space="preserve">have </w:t>
      </w:r>
      <w:r w:rsidRPr="00D82EB3">
        <w:t>include</w:t>
      </w:r>
      <w:r>
        <w:t>d</w:t>
      </w:r>
      <w:r w:rsidRPr="00D82EB3">
        <w:t xml:space="preserve"> an item </w:t>
      </w:r>
      <w:r w:rsidR="0043285E">
        <w:t>i</w:t>
      </w:r>
      <w:r w:rsidRPr="00D82EB3">
        <w:t xml:space="preserve">n </w:t>
      </w:r>
      <w:r>
        <w:t xml:space="preserve">the work plan to </w:t>
      </w:r>
      <w:r w:rsidRPr="00D82EB3">
        <w:t>review</w:t>
      </w:r>
      <w:r>
        <w:t xml:space="preserve"> the current</w:t>
      </w:r>
      <w:r w:rsidRPr="00D82EB3">
        <w:t xml:space="preserve"> arrangements </w:t>
      </w:r>
      <w:r w:rsidR="00AD6D0F">
        <w:t>commencing</w:t>
      </w:r>
      <w:r w:rsidRPr="00D82EB3">
        <w:t xml:space="preserve"> Q</w:t>
      </w:r>
      <w:r>
        <w:t>2</w:t>
      </w:r>
      <w:r w:rsidRPr="00D82EB3">
        <w:t xml:space="preserve"> 202</w:t>
      </w:r>
      <w:r>
        <w:t>1</w:t>
      </w:r>
      <w:r w:rsidRPr="00D82EB3">
        <w:t>.</w:t>
      </w:r>
    </w:p>
    <w:p w14:paraId="361E799D" w14:textId="1DBAAED2" w:rsidR="00770CB1" w:rsidRPr="00B53F89" w:rsidRDefault="00770CB1" w:rsidP="007E1FBE">
      <w:pPr>
        <w:keepNext/>
        <w:spacing w:before="60" w:after="0"/>
      </w:pPr>
      <w:bookmarkStart w:id="392" w:name="_Toc510795084"/>
      <w:bookmarkStart w:id="393" w:name="_Toc511716287"/>
      <w:bookmarkStart w:id="394" w:name="_Toc511719098"/>
      <w:bookmarkStart w:id="395" w:name="_Toc522794093"/>
      <w:bookmarkEnd w:id="377"/>
      <w:r w:rsidRPr="006A2F04">
        <w:rPr>
          <w:noProof/>
        </w:rPr>
        <w:drawing>
          <wp:inline distT="0" distB="0" distL="0" distR="0" wp14:anchorId="1DD163A4" wp14:editId="04E84AA5">
            <wp:extent cx="342900" cy="361950"/>
            <wp:effectExtent l="0" t="0" r="0" b="0"/>
            <wp:docPr id="94" name="Picture 94"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60B5404" w14:textId="245398ED" w:rsidR="00A91C26" w:rsidRPr="00B53F89" w:rsidRDefault="00B830D0" w:rsidP="002A179F">
      <w:pPr>
        <w:pStyle w:val="Heading2"/>
        <w:spacing w:before="60"/>
      </w:pPr>
      <w:bookmarkStart w:id="396" w:name="_Toc31892823"/>
      <w:bookmarkStart w:id="397" w:name="_Toc36207439"/>
      <w:bookmarkStart w:id="398" w:name="_Toc51846286"/>
      <w:bookmarkStart w:id="399" w:name="_Toc51864353"/>
      <w:r w:rsidRPr="00B53F89" w:rsidDel="007E55F4">
        <w:t>Amateur radio</w:t>
      </w:r>
      <w:bookmarkEnd w:id="392"/>
      <w:bookmarkEnd w:id="393"/>
      <w:bookmarkEnd w:id="394"/>
      <w:bookmarkEnd w:id="395"/>
      <w:bookmarkEnd w:id="396"/>
      <w:bookmarkEnd w:id="397"/>
      <w:bookmarkEnd w:id="398"/>
      <w:bookmarkEnd w:id="399"/>
    </w:p>
    <w:p w14:paraId="7A4D37C2" w14:textId="358E62F8" w:rsidR="00431E8B" w:rsidRPr="00B53F89" w:rsidRDefault="001D3F8B" w:rsidP="003612AF">
      <w:r w:rsidRPr="00B53F89">
        <w:t xml:space="preserve">WRC-15 introduced a secondary allocation </w:t>
      </w:r>
      <w:r w:rsidR="00E20EBC" w:rsidRPr="00B53F89">
        <w:t xml:space="preserve">for </w:t>
      </w:r>
      <w:r w:rsidRPr="00B53F89">
        <w:t>the amateur service in the frequency band 5351.5–5366.5 kHz with a maximum radiated power of 15 W (</w:t>
      </w:r>
      <w:r w:rsidR="004C506A" w:rsidRPr="00B53F89">
        <w:t>EIRP</w:t>
      </w:r>
      <w:r w:rsidRPr="00B53F89">
        <w:t>)</w:t>
      </w:r>
      <w:r w:rsidR="008B2C3F">
        <w:t>.</w:t>
      </w:r>
      <w:r w:rsidR="00E20EBC" w:rsidRPr="00B53F89">
        <w:rPr>
          <w:rStyle w:val="FootnoteReference"/>
          <w:b/>
        </w:rPr>
        <w:footnoteReference w:id="58"/>
      </w:r>
      <w:r w:rsidRPr="00B53F89">
        <w:t xml:space="preserve"> </w:t>
      </w:r>
      <w:r w:rsidR="00E20EBC" w:rsidRPr="00B53F89">
        <w:t>While the spectrum allocation is in</w:t>
      </w:r>
      <w:r w:rsidR="002F450E" w:rsidRPr="00B53F89">
        <w:t>cluded</w:t>
      </w:r>
      <w:r w:rsidR="008E6685" w:rsidRPr="00B53F89">
        <w:t xml:space="preserve"> in</w:t>
      </w:r>
      <w:r w:rsidR="002F450E" w:rsidRPr="00B53F89">
        <w:t xml:space="preserve"> </w:t>
      </w:r>
      <w:r w:rsidR="00E20EBC" w:rsidRPr="00B53F89">
        <w:t xml:space="preserve">the ARSP, </w:t>
      </w:r>
      <w:r w:rsidR="00E20EBC" w:rsidRPr="00B53F89" w:rsidDel="008B2C3F">
        <w:t xml:space="preserve">the </w:t>
      </w:r>
      <w:r w:rsidR="00E20EBC" w:rsidRPr="00B53F89">
        <w:t>technical feasibility and associate</w:t>
      </w:r>
      <w:r w:rsidR="00236532" w:rsidRPr="00B53F89">
        <w:t>d</w:t>
      </w:r>
      <w:r w:rsidR="00E20EBC" w:rsidRPr="00B53F89">
        <w:t xml:space="preserve"> technical conditions that could support operation in Australia</w:t>
      </w:r>
      <w:r w:rsidR="008B2C3F">
        <w:t xml:space="preserve"> are yet to be considered</w:t>
      </w:r>
      <w:r w:rsidR="00E20EBC" w:rsidRPr="00B53F89">
        <w:t>.</w:t>
      </w:r>
    </w:p>
    <w:p w14:paraId="3DC5E468" w14:textId="327793BE" w:rsidR="00E20EBC" w:rsidRPr="00B53F89" w:rsidRDefault="00E20EBC" w:rsidP="003612AF">
      <w:r w:rsidRPr="00B53F89" w:rsidDel="007E55F4">
        <w:t>In</w:t>
      </w:r>
      <w:r w:rsidR="002F450E" w:rsidRPr="00B53F89">
        <w:t xml:space="preserve"> </w:t>
      </w:r>
      <w:r w:rsidR="002F450E" w:rsidRPr="00B53F89" w:rsidDel="007E55F4">
        <w:t>Australia</w:t>
      </w:r>
      <w:r w:rsidRPr="00B53F89" w:rsidDel="007E55F4">
        <w:t xml:space="preserve">, the band is currently used by some emergency service and law enforcement organisations for mobile operations. </w:t>
      </w:r>
      <w:r w:rsidR="0066184D" w:rsidRPr="00B53F89">
        <w:t xml:space="preserve">The Department of </w:t>
      </w:r>
      <w:r w:rsidRPr="00B53F89" w:rsidDel="007E55F4">
        <w:t xml:space="preserve">Defence also uses these frequencies in support of key capabilities. </w:t>
      </w:r>
      <w:r w:rsidR="008B2C3F">
        <w:t>We</w:t>
      </w:r>
      <w:r w:rsidRPr="00B53F89" w:rsidDel="007E55F4">
        <w:t xml:space="preserve"> consulted with local stakeholders on this potential allocation in the lead-up to WRC-15. Stakeholder views were varied, with opposition to the allocation from </w:t>
      </w:r>
      <w:r w:rsidR="0066184D" w:rsidRPr="00B53F89">
        <w:t xml:space="preserve">the Department of </w:t>
      </w:r>
      <w:r w:rsidRPr="00B53F89" w:rsidDel="007E55F4">
        <w:t>Defence, due to the potential for interference to its systems</w:t>
      </w:r>
      <w:r w:rsidR="00483DC5" w:rsidRPr="00B53F89">
        <w:t>.</w:t>
      </w:r>
    </w:p>
    <w:p w14:paraId="2D70AD70" w14:textId="306BBD16" w:rsidR="00D42D90" w:rsidRPr="00B53F89" w:rsidRDefault="00D42D90" w:rsidP="002A179F">
      <w:pPr>
        <w:pStyle w:val="Heading3"/>
      </w:pPr>
      <w:bookmarkStart w:id="400" w:name="_Toc51864354"/>
      <w:r w:rsidRPr="00B53F89">
        <w:t xml:space="preserve">Activities planned for </w:t>
      </w:r>
      <w:r w:rsidR="00CD5AE7">
        <w:t>2020</w:t>
      </w:r>
      <w:r w:rsidR="008B2C3F">
        <w:t>–</w:t>
      </w:r>
      <w:r w:rsidR="00CD5AE7">
        <w:t>21</w:t>
      </w:r>
      <w:bookmarkEnd w:id="400"/>
      <w:r w:rsidRPr="00B53F89">
        <w:t xml:space="preserve"> </w:t>
      </w:r>
    </w:p>
    <w:p w14:paraId="6731DE49" w14:textId="25A7A3D2" w:rsidR="001D3F8B" w:rsidRPr="00B53F89" w:rsidRDefault="00DC630C" w:rsidP="007E1FBE">
      <w:r>
        <w:t>Earlier this year</w:t>
      </w:r>
      <w:r w:rsidR="00E20EBC" w:rsidRPr="00B53F89">
        <w:t xml:space="preserve">, </w:t>
      </w:r>
      <w:r w:rsidR="008B2C3F">
        <w:t>we</w:t>
      </w:r>
      <w:r w:rsidR="00E20EBC" w:rsidRPr="00B53F89">
        <w:t xml:space="preserve"> </w:t>
      </w:r>
      <w:r w:rsidR="00D42D90" w:rsidRPr="00B53F89">
        <w:t>publish</w:t>
      </w:r>
      <w:r>
        <w:t>ed</w:t>
      </w:r>
      <w:r w:rsidR="00D42D90" w:rsidRPr="00B53F89">
        <w:t xml:space="preserve"> </w:t>
      </w:r>
      <w:r w:rsidR="00E20EBC" w:rsidRPr="00B53F89">
        <w:t>a discussion paper seeking views o</w:t>
      </w:r>
      <w:r w:rsidR="0008463B" w:rsidRPr="00B53F89">
        <w:t>n</w:t>
      </w:r>
      <w:r w:rsidR="00E20EBC" w:rsidRPr="00B53F89">
        <w:t xml:space="preserve"> </w:t>
      </w:r>
      <w:r w:rsidR="000D3BF0">
        <w:t>the feasibility and associated</w:t>
      </w:r>
      <w:r w:rsidR="00E20EBC" w:rsidRPr="00B53F89">
        <w:t xml:space="preserve"> implementation issues</w:t>
      </w:r>
      <w:r w:rsidR="00CB1255">
        <w:t xml:space="preserve"> of the potential allocation</w:t>
      </w:r>
      <w:r w:rsidR="00E20EBC" w:rsidRPr="00B53F89">
        <w:t xml:space="preserve">, </w:t>
      </w:r>
      <w:bookmarkStart w:id="401" w:name="_Hlk2680328"/>
      <w:r w:rsidR="00E20EBC" w:rsidRPr="00B53F89">
        <w:t xml:space="preserve">including appropriate technical conditions and </w:t>
      </w:r>
      <w:r w:rsidR="00932BC3" w:rsidRPr="00B53F89">
        <w:t xml:space="preserve">in </w:t>
      </w:r>
      <w:r w:rsidR="00E20EBC" w:rsidRPr="00B53F89">
        <w:t xml:space="preserve">which part of the band </w:t>
      </w:r>
      <w:r w:rsidR="00F11130" w:rsidRPr="00B53F89">
        <w:t xml:space="preserve">the </w:t>
      </w:r>
      <w:r w:rsidR="002F450E" w:rsidRPr="00B53F89">
        <w:t>amateur</w:t>
      </w:r>
      <w:r w:rsidR="00E20EBC" w:rsidRPr="00B53F89">
        <w:t xml:space="preserve"> </w:t>
      </w:r>
      <w:r w:rsidR="00F11130" w:rsidRPr="00B53F89">
        <w:t xml:space="preserve">service </w:t>
      </w:r>
      <w:r w:rsidR="00932BC3" w:rsidRPr="00B53F89">
        <w:t xml:space="preserve">could be </w:t>
      </w:r>
      <w:r w:rsidR="002F450E" w:rsidRPr="00B53F89">
        <w:t>s</w:t>
      </w:r>
      <w:r w:rsidR="00E20EBC" w:rsidRPr="00B53F89">
        <w:t>upported</w:t>
      </w:r>
      <w:bookmarkEnd w:id="401"/>
      <w:r w:rsidR="00E20EBC" w:rsidRPr="00B53F89">
        <w:t xml:space="preserve">. </w:t>
      </w:r>
      <w:r>
        <w:t>Responses are being reviewed and a decision on further action, if any, will be communicated in Q4 2020.</w:t>
      </w:r>
    </w:p>
    <w:p w14:paraId="3A4A6944" w14:textId="06FC63EC" w:rsidR="00770CB1" w:rsidRPr="00B53F89" w:rsidRDefault="00FE7029" w:rsidP="007E1FBE">
      <w:pPr>
        <w:keepNext/>
        <w:spacing w:before="60" w:after="0"/>
      </w:pPr>
      <w:bookmarkStart w:id="402" w:name="_Toc510795085"/>
      <w:bookmarkStart w:id="403" w:name="_Toc511716288"/>
      <w:bookmarkStart w:id="404" w:name="_Toc511719099"/>
      <w:bookmarkStart w:id="405" w:name="_Toc522794094"/>
      <w:bookmarkStart w:id="406" w:name="_Hlk16255540"/>
      <w:r w:rsidRPr="006A2F04">
        <w:rPr>
          <w:noProof/>
        </w:rPr>
        <w:lastRenderedPageBreak/>
        <w:drawing>
          <wp:inline distT="0" distB="0" distL="0" distR="0" wp14:anchorId="119C84C2" wp14:editId="3C9DC98A">
            <wp:extent cx="341630" cy="359410"/>
            <wp:effectExtent l="0" t="0" r="1270" b="2540"/>
            <wp:docPr id="194" name="Picture 194"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770CB1" w:rsidRPr="006A2F04">
        <w:rPr>
          <w:noProof/>
        </w:rPr>
        <w:drawing>
          <wp:inline distT="0" distB="0" distL="0" distR="0" wp14:anchorId="3C5C34D5" wp14:editId="38639AAF">
            <wp:extent cx="342900" cy="361950"/>
            <wp:effectExtent l="0" t="0" r="0" b="0"/>
            <wp:docPr id="96" name="Picture 96"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B271CEA" w14:textId="047F6155" w:rsidR="00785F7B" w:rsidRPr="00B53F89" w:rsidRDefault="00785F7B" w:rsidP="00B92D2A">
      <w:pPr>
        <w:pStyle w:val="Heading2"/>
        <w:spacing w:before="60"/>
      </w:pPr>
      <w:bookmarkStart w:id="407" w:name="_Toc31892824"/>
      <w:bookmarkStart w:id="408" w:name="_Toc36207440"/>
      <w:bookmarkStart w:id="409" w:name="_Toc51846287"/>
      <w:bookmarkStart w:id="410" w:name="_Toc51864355"/>
      <w:bookmarkStart w:id="411" w:name="_Hlk36535657"/>
      <w:r w:rsidRPr="00B53F89">
        <w:t>Ongoing review of spectrum planning, assignment and coordination requirements</w:t>
      </w:r>
      <w:bookmarkEnd w:id="402"/>
      <w:bookmarkEnd w:id="403"/>
      <w:bookmarkEnd w:id="404"/>
      <w:bookmarkEnd w:id="405"/>
      <w:bookmarkEnd w:id="407"/>
      <w:bookmarkEnd w:id="408"/>
      <w:bookmarkEnd w:id="409"/>
      <w:bookmarkEnd w:id="410"/>
    </w:p>
    <w:bookmarkEnd w:id="406"/>
    <w:bookmarkEnd w:id="411"/>
    <w:p w14:paraId="4FFA0FF5" w14:textId="2D53239D" w:rsidR="005B5690" w:rsidRPr="00B53F89" w:rsidRDefault="008B2C3F" w:rsidP="003612AF">
      <w:r>
        <w:t>We have</w:t>
      </w:r>
      <w:r w:rsidR="005B5690" w:rsidRPr="00B53F89">
        <w:t xml:space="preserve"> an ongoing program of review of the </w:t>
      </w:r>
      <w:r w:rsidR="00443B2B" w:rsidRPr="00443B2B">
        <w:t>spectrum planning</w:t>
      </w:r>
      <w:r w:rsidR="005B5690" w:rsidRPr="00B53F89">
        <w:t xml:space="preserve"> technical framework to ensure its currency and consistency with current technologies and operational practices. </w:t>
      </w:r>
    </w:p>
    <w:p w14:paraId="237414D9" w14:textId="7FAF30C4" w:rsidR="005B5690" w:rsidRPr="00B53F89" w:rsidRDefault="005B5690" w:rsidP="003612AF">
      <w:r w:rsidRPr="00B53F89">
        <w:t xml:space="preserve">This work is primarily focused on frequency coordination requirements for apparatus-licensed services. This material is predominately recorded in </w:t>
      </w:r>
      <w:r w:rsidR="00483DC5" w:rsidRPr="00B53F89">
        <w:t>RALIs</w:t>
      </w:r>
      <w:r w:rsidRPr="00B53F89">
        <w:t>. Consideration of spectrum-licensing technical frameworks and ensuring the continuing appropriateness of spectrum embargoes are additional elements of this work program.</w:t>
      </w:r>
    </w:p>
    <w:p w14:paraId="1BB8020A" w14:textId="6FA9DA02" w:rsidR="007677E6" w:rsidRPr="00B53F89" w:rsidRDefault="005B5690" w:rsidP="003612AF">
      <w:r w:rsidRPr="00B53F89">
        <w:t>In September 2018</w:t>
      </w:r>
      <w:r w:rsidR="00EB229F" w:rsidRPr="00B53F89">
        <w:t>,</w:t>
      </w:r>
      <w:r w:rsidRPr="00B53F89">
        <w:t xml:space="preserve"> following industry consultation</w:t>
      </w:r>
      <w:r w:rsidR="00EB229F" w:rsidRPr="00B53F89">
        <w:t>,</w:t>
      </w:r>
      <w:r w:rsidRPr="00B53F89">
        <w:t xml:space="preserve"> </w:t>
      </w:r>
      <w:r w:rsidR="008B2C3F">
        <w:t>we</w:t>
      </w:r>
      <w:r w:rsidRPr="00B53F89">
        <w:t xml:space="preserve"> released </w:t>
      </w:r>
      <w:r w:rsidR="008B2C3F">
        <w:t>our</w:t>
      </w:r>
      <w:r w:rsidR="008B2C3F" w:rsidRPr="00B53F89">
        <w:t xml:space="preserve"> </w:t>
      </w:r>
      <w:hyperlink r:id="rId103" w:history="1">
        <w:r w:rsidR="008B2C3F">
          <w:rPr>
            <w:rStyle w:val="Hyperlink"/>
          </w:rPr>
          <w:t>f</w:t>
        </w:r>
        <w:r w:rsidRPr="00B53F89">
          <w:rPr>
            <w:rStyle w:val="Hyperlink"/>
          </w:rPr>
          <w:t>requency coordination requirements review work program</w:t>
        </w:r>
      </w:hyperlink>
      <w:r w:rsidRPr="00B53F89">
        <w:t xml:space="preserve"> for 2018</w:t>
      </w:r>
      <w:r w:rsidR="001470A3" w:rsidRPr="00B53F89">
        <w:t>–</w:t>
      </w:r>
      <w:r w:rsidRPr="00B53F89">
        <w:t>19.</w:t>
      </w:r>
      <w:r w:rsidR="00A0146D">
        <w:t xml:space="preserve"> </w:t>
      </w:r>
      <w:r w:rsidRPr="00B53F89">
        <w:t>Th</w:t>
      </w:r>
      <w:r w:rsidR="00B65737" w:rsidRPr="00B53F89">
        <w:t>is</w:t>
      </w:r>
      <w:r w:rsidRPr="00B53F89">
        <w:t xml:space="preserve"> work program outlined updates to frequency coordination rules (</w:t>
      </w:r>
      <w:r w:rsidR="00624C6C" w:rsidRPr="00B53F89">
        <w:t xml:space="preserve">as </w:t>
      </w:r>
      <w:r w:rsidRPr="00B53F89">
        <w:t>recorded in</w:t>
      </w:r>
      <w:r w:rsidR="00624C6C" w:rsidRPr="00B53F89">
        <w:t xml:space="preserve"> RALIs)</w:t>
      </w:r>
      <w:r w:rsidR="005F64FB">
        <w:t>.</w:t>
      </w:r>
      <w:r w:rsidRPr="00B53F89">
        <w:t xml:space="preserve"> </w:t>
      </w:r>
    </w:p>
    <w:p w14:paraId="3516EBEA" w14:textId="77777777" w:rsidR="00AA099C" w:rsidRPr="00B53F89" w:rsidRDefault="005F07AD" w:rsidP="00B92D2A">
      <w:pPr>
        <w:pStyle w:val="Heading3"/>
      </w:pPr>
      <w:bookmarkStart w:id="412" w:name="_Toc51864356"/>
      <w:r w:rsidRPr="00B53F89">
        <w:t>Progress achieved</w:t>
      </w:r>
      <w:bookmarkEnd w:id="412"/>
    </w:p>
    <w:p w14:paraId="2496477C" w14:textId="2AA7E886" w:rsidR="00CA6ED9" w:rsidRPr="00B53F89" w:rsidRDefault="00CA6ED9" w:rsidP="003612AF">
      <w:r w:rsidRPr="00B53F89">
        <w:t xml:space="preserve">In July 2019, RALI FX01 was updated to include coordination arrangements between 400 MHz wideband fixed services and narrowband services. This was the subject of a </w:t>
      </w:r>
      <w:hyperlink r:id="rId104" w:history="1">
        <w:r w:rsidRPr="00B53F89">
          <w:rPr>
            <w:rStyle w:val="Hyperlink"/>
          </w:rPr>
          <w:t>consultation process</w:t>
        </w:r>
      </w:hyperlink>
      <w:r w:rsidRPr="00B53F89">
        <w:t xml:space="preserve"> in March 2019. </w:t>
      </w:r>
    </w:p>
    <w:p w14:paraId="3CDA22D6" w14:textId="621D72F0" w:rsidR="00444646" w:rsidRPr="00B53F89" w:rsidRDefault="00444646" w:rsidP="003612AF">
      <w:r w:rsidRPr="00B53F89">
        <w:t xml:space="preserve">Coordination requirements for </w:t>
      </w:r>
      <w:r w:rsidR="008B2C3F">
        <w:t>e</w:t>
      </w:r>
      <w:r w:rsidRPr="00B53F89">
        <w:t>arth station protection zones were updated in August 2019</w:t>
      </w:r>
      <w:r w:rsidR="008B2C3F">
        <w:t>,</w:t>
      </w:r>
      <w:r w:rsidRPr="00B53F89">
        <w:t xml:space="preserve"> following the </w:t>
      </w:r>
      <w:hyperlink r:id="rId105" w:history="1">
        <w:r w:rsidRPr="00B53F89">
          <w:rPr>
            <w:rStyle w:val="Hyperlink"/>
          </w:rPr>
          <w:t>December 2018 consultation</w:t>
        </w:r>
      </w:hyperlink>
      <w:r w:rsidRPr="00B53F89">
        <w:t xml:space="preserve"> on changes to RALI MS 44. </w:t>
      </w:r>
    </w:p>
    <w:p w14:paraId="0246A307" w14:textId="60A8D61D" w:rsidR="00F223BA" w:rsidRPr="00B53F89" w:rsidRDefault="00444646" w:rsidP="003612AF">
      <w:r w:rsidRPr="00B53F89">
        <w:t xml:space="preserve">Updates to several RALIs were provided for </w:t>
      </w:r>
      <w:hyperlink r:id="rId106" w:history="1">
        <w:r w:rsidRPr="00B53F89">
          <w:rPr>
            <w:rStyle w:val="Hyperlink"/>
          </w:rPr>
          <w:t>comment from industry</w:t>
        </w:r>
      </w:hyperlink>
      <w:r w:rsidRPr="00B53F89">
        <w:t xml:space="preserve"> in December 2018. In August 2019, RALI MS 33 and MS 34 were updated to support PTS operation in underground environments in the 1800 MHz and 2 GHz bands outside of spectrum licensing areas, and RALI MS 35 was updated to </w:t>
      </w:r>
      <w:r w:rsidR="004313FB" w:rsidRPr="00B53F89">
        <w:t>i</w:t>
      </w:r>
      <w:r w:rsidR="00F223BA" w:rsidRPr="00B53F89">
        <w:t xml:space="preserve">nclude additional radar sites for coordination between 2.5 GHz band </w:t>
      </w:r>
      <w:r w:rsidR="00452BAB" w:rsidRPr="00B53F89">
        <w:t>(2.5–2.69 GHz)</w:t>
      </w:r>
      <w:r w:rsidR="00F223BA" w:rsidRPr="00B53F89">
        <w:t xml:space="preserve"> spectrum</w:t>
      </w:r>
      <w:r w:rsidR="00D1527A" w:rsidRPr="00B53F89">
        <w:t>-</w:t>
      </w:r>
      <w:r w:rsidR="00F223BA" w:rsidRPr="00B53F89">
        <w:t xml:space="preserve">licensed transmitters with radiodetermination stations operated by the </w:t>
      </w:r>
      <w:r w:rsidR="001D0A2E" w:rsidRPr="00B53F89">
        <w:t>D</w:t>
      </w:r>
      <w:r w:rsidR="00F223BA" w:rsidRPr="00B53F89">
        <w:t>epartment of Defence in the 2700</w:t>
      </w:r>
      <w:r w:rsidR="00243870" w:rsidRPr="00B53F89">
        <w:t>–</w:t>
      </w:r>
      <w:r w:rsidR="00F223BA" w:rsidRPr="00B53F89">
        <w:t>2900 MHz band</w:t>
      </w:r>
      <w:r w:rsidR="004313FB" w:rsidRPr="00B53F89">
        <w:t>.</w:t>
      </w:r>
      <w:r w:rsidR="00CA6ED9" w:rsidRPr="00B53F89">
        <w:t xml:space="preserve"> </w:t>
      </w:r>
    </w:p>
    <w:p w14:paraId="58F8AF87" w14:textId="1ECF56E7" w:rsidR="00F27C8F" w:rsidRPr="00B53F89" w:rsidRDefault="008B2C3F" w:rsidP="003612AF">
      <w:r>
        <w:t>We are</w:t>
      </w:r>
      <w:r w:rsidR="00F27C8F" w:rsidRPr="00B53F89">
        <w:t xml:space="preserve"> also considering a broader review of the spectrum planning framework. </w:t>
      </w:r>
      <w:r w:rsidR="00F27C8F" w:rsidRPr="00B53F89">
        <w:rPr>
          <w:bCs/>
        </w:rPr>
        <w:t>The framework is complex, made up of a large array of interlinking technical and policy documents. The content and interrelationships can be difficult to understand and interpret, even for experienced practitioners, with information on any one service or part of the spectrum contained over multiple documents. A number of broad areas for review have become apparent, including improving the transparency and clarity of the framework overall</w:t>
      </w:r>
      <w:r w:rsidR="00F27C8F" w:rsidRPr="00B53F89">
        <w:rPr>
          <w:b/>
          <w:bCs/>
        </w:rPr>
        <w:t>.</w:t>
      </w:r>
    </w:p>
    <w:p w14:paraId="796282AE" w14:textId="2CE9F7AF" w:rsidR="00785F7B" w:rsidRPr="00B53F89" w:rsidRDefault="00785F7B" w:rsidP="00B92D2A">
      <w:pPr>
        <w:pStyle w:val="Heading3"/>
      </w:pPr>
      <w:bookmarkStart w:id="413" w:name="_Toc51864357"/>
      <w:r w:rsidRPr="00B53F89">
        <w:t xml:space="preserve">Activities planned for </w:t>
      </w:r>
      <w:r w:rsidR="00CD5AE7">
        <w:t>2020</w:t>
      </w:r>
      <w:r w:rsidR="008B2C3F">
        <w:t>–</w:t>
      </w:r>
      <w:r w:rsidR="00CD5AE7">
        <w:t>21</w:t>
      </w:r>
      <w:bookmarkEnd w:id="413"/>
    </w:p>
    <w:p w14:paraId="3A1B141B" w14:textId="096E7561" w:rsidR="00824F96" w:rsidRPr="00B53F89" w:rsidRDefault="00824F96" w:rsidP="007E1FBE">
      <w:bookmarkStart w:id="414" w:name="_Hlk17104741"/>
      <w:bookmarkStart w:id="415" w:name="_Hlk17104573"/>
      <w:r w:rsidRPr="00B53F89">
        <w:t xml:space="preserve">In addition </w:t>
      </w:r>
      <w:r w:rsidR="00407F95" w:rsidRPr="00B53F89">
        <w:t xml:space="preserve">to </w:t>
      </w:r>
      <w:r w:rsidRPr="00B53F89">
        <w:t>progressing tasks already identified in the review work program</w:t>
      </w:r>
      <w:r w:rsidR="008B2C3F">
        <w:t>, we</w:t>
      </w:r>
      <w:r w:rsidRPr="00B53F89">
        <w:t xml:space="preserve"> intend to seek</w:t>
      </w:r>
      <w:r w:rsidR="00C33CDD" w:rsidRPr="00B53F89">
        <w:t xml:space="preserve"> industry</w:t>
      </w:r>
      <w:r w:rsidRPr="00B53F89">
        <w:t xml:space="preserve"> comment on a draft up</w:t>
      </w:r>
      <w:r w:rsidR="00B53F89">
        <w:t>d</w:t>
      </w:r>
      <w:r w:rsidRPr="00B53F89">
        <w:t>ate</w:t>
      </w:r>
      <w:r w:rsidR="00B53F89">
        <w:t>d</w:t>
      </w:r>
      <w:r w:rsidRPr="00B53F89">
        <w:t xml:space="preserve"> frequency coordination review work program in Q4 </w:t>
      </w:r>
      <w:r w:rsidR="00A0146D" w:rsidRPr="00B53F89">
        <w:t>20</w:t>
      </w:r>
      <w:r w:rsidR="00A0146D">
        <w:t>20</w:t>
      </w:r>
      <w:r w:rsidRPr="00B53F89">
        <w:t>.</w:t>
      </w:r>
    </w:p>
    <w:p w14:paraId="17540A68" w14:textId="35FFFD11" w:rsidR="00215AD1" w:rsidRPr="00B53F89" w:rsidRDefault="00EB63FC" w:rsidP="00EA03E8">
      <w:pPr>
        <w:pStyle w:val="Heading2"/>
        <w:keepLines/>
      </w:pPr>
      <w:bookmarkStart w:id="416" w:name="_Toc31892825"/>
      <w:bookmarkStart w:id="417" w:name="_Toc36207441"/>
      <w:bookmarkStart w:id="418" w:name="_Toc51846288"/>
      <w:bookmarkStart w:id="419" w:name="_Toc51864358"/>
      <w:bookmarkEnd w:id="414"/>
      <w:bookmarkEnd w:id="415"/>
      <w:r w:rsidRPr="006A2F04">
        <w:rPr>
          <w:noProof/>
        </w:rPr>
        <w:lastRenderedPageBreak/>
        <w:drawing>
          <wp:inline distT="0" distB="0" distL="0" distR="0" wp14:anchorId="389C480C" wp14:editId="5E84CA27">
            <wp:extent cx="244475" cy="140335"/>
            <wp:effectExtent l="0" t="0" r="3175" b="0"/>
            <wp:docPr id="249" name="Picture 249"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215AD1" w:rsidRPr="00B53F89">
        <w:t>Review of spectrum licen</w:t>
      </w:r>
      <w:r w:rsidR="00493062" w:rsidRPr="00B53F89">
        <w:t>c</w:t>
      </w:r>
      <w:r w:rsidR="00215AD1" w:rsidRPr="00B53F89">
        <w:t>e technical frameworks</w:t>
      </w:r>
      <w:bookmarkEnd w:id="416"/>
      <w:bookmarkEnd w:id="417"/>
      <w:bookmarkEnd w:id="418"/>
      <w:bookmarkEnd w:id="419"/>
    </w:p>
    <w:p w14:paraId="573620F7" w14:textId="2D811D17" w:rsidR="007845B1" w:rsidRDefault="00594CD7" w:rsidP="00EA03E8">
      <w:pPr>
        <w:keepNext/>
        <w:keepLines/>
        <w:rPr>
          <w:rFonts w:cs="Arial"/>
        </w:rPr>
      </w:pPr>
      <w:r>
        <w:t>In November 2019</w:t>
      </w:r>
      <w:r w:rsidR="008C34AD">
        <w:t>,</w:t>
      </w:r>
      <w:r>
        <w:t xml:space="preserve"> </w:t>
      </w:r>
      <w:r w:rsidR="008B2C3F">
        <w:t>we</w:t>
      </w:r>
      <w:r>
        <w:t xml:space="preserve"> consulted with spectrum licensees </w:t>
      </w:r>
      <w:r w:rsidR="00DA2894">
        <w:t>about</w:t>
      </w:r>
      <w:r w:rsidDel="00DA2894">
        <w:t xml:space="preserve"> </w:t>
      </w:r>
      <w:r w:rsidR="00DA2894">
        <w:t xml:space="preserve">a </w:t>
      </w:r>
      <w:r>
        <w:t xml:space="preserve">review of current arrangements </w:t>
      </w:r>
      <w:r w:rsidRPr="00B53F89">
        <w:rPr>
          <w:rFonts w:cs="Arial"/>
        </w:rPr>
        <w:t xml:space="preserve">in bands that are already licensed for wireless broadband </w:t>
      </w:r>
      <w:r w:rsidR="008C34AD">
        <w:rPr>
          <w:rFonts w:cs="Arial"/>
        </w:rPr>
        <w:t>to ensure</w:t>
      </w:r>
      <w:r w:rsidRPr="00B53F89">
        <w:rPr>
          <w:rFonts w:cs="Arial"/>
        </w:rPr>
        <w:t xml:space="preserve"> existing allocations are efficient and can cater for new technology developments such as 5G</w:t>
      </w:r>
      <w:r>
        <w:rPr>
          <w:rFonts w:cs="Arial"/>
        </w:rPr>
        <w:t>.</w:t>
      </w:r>
      <w:r w:rsidR="00C93BF6">
        <w:rPr>
          <w:rFonts w:cs="Arial"/>
        </w:rPr>
        <w:t xml:space="preserve"> </w:t>
      </w:r>
      <w:r>
        <w:rPr>
          <w:rFonts w:cs="Arial"/>
        </w:rPr>
        <w:t xml:space="preserve">The consultation identified </w:t>
      </w:r>
      <w:r w:rsidR="00E1361A">
        <w:rPr>
          <w:rFonts w:cs="Arial"/>
        </w:rPr>
        <w:t xml:space="preserve">interest in reviewing all technical frameworks below 4 GHz. </w:t>
      </w:r>
    </w:p>
    <w:p w14:paraId="0833B1D1" w14:textId="77777777" w:rsidR="00D22560" w:rsidRDefault="00D22560" w:rsidP="00EA03E8">
      <w:pPr>
        <w:keepNext/>
        <w:keepLines/>
      </w:pPr>
      <w:r>
        <w:t>Based on feedback received from spectrum licensees, the ACMA has prioritised bands for review and developed an associated workplan.</w:t>
      </w:r>
    </w:p>
    <w:p w14:paraId="42396103" w14:textId="1A23E9AE" w:rsidR="00D22560" w:rsidRDefault="00D22560" w:rsidP="00D22560">
      <w:r>
        <w:t xml:space="preserve">The </w:t>
      </w:r>
      <w:hyperlink r:id="rId107" w:history="1">
        <w:r w:rsidRPr="00DC33F7">
          <w:rPr>
            <w:rStyle w:val="Hyperlink"/>
          </w:rPr>
          <w:t>3.4 GHz band was the first band to be considered</w:t>
        </w:r>
      </w:hyperlink>
      <w:r>
        <w:t xml:space="preserve">, with the review of the core condition relating to unwanted emissions. This work was completed in </w:t>
      </w:r>
      <w:r w:rsidRPr="00CD444C">
        <w:t>Q2</w:t>
      </w:r>
      <w:r>
        <w:t xml:space="preserve"> </w:t>
      </w:r>
      <w:r w:rsidRPr="00CD444C">
        <w:t>2020</w:t>
      </w:r>
      <w:r>
        <w:t xml:space="preserve">. </w:t>
      </w:r>
    </w:p>
    <w:p w14:paraId="60673A01" w14:textId="3470B2CE" w:rsidR="00215AD1" w:rsidRPr="00B53F89" w:rsidRDefault="00215AD1" w:rsidP="00B92D2A">
      <w:pPr>
        <w:pStyle w:val="Heading3"/>
      </w:pPr>
      <w:bookmarkStart w:id="420" w:name="_Toc51864359"/>
      <w:r w:rsidRPr="00B53F89">
        <w:t xml:space="preserve">Activities planned for </w:t>
      </w:r>
      <w:r w:rsidR="00B33CBB" w:rsidRPr="00B53F89">
        <w:t>20</w:t>
      </w:r>
      <w:r w:rsidR="00B33CBB">
        <w:t>20</w:t>
      </w:r>
      <w:r w:rsidRPr="00B53F89">
        <w:t>–2</w:t>
      </w:r>
      <w:r w:rsidR="00B33CBB">
        <w:t>1</w:t>
      </w:r>
      <w:bookmarkEnd w:id="420"/>
      <w:r w:rsidRPr="00B53F89">
        <w:t xml:space="preserve"> </w:t>
      </w:r>
    </w:p>
    <w:p w14:paraId="2B7D25D5" w14:textId="5251359C" w:rsidR="00E1361A" w:rsidRDefault="003C429C" w:rsidP="007E1FBE">
      <w:r>
        <w:t xml:space="preserve">Work on the 2.3 GHz and 1.8 GHz bands </w:t>
      </w:r>
      <w:r w:rsidR="00DA2894">
        <w:t>started</w:t>
      </w:r>
      <w:r>
        <w:t xml:space="preserve"> in Q1 2020</w:t>
      </w:r>
      <w:r w:rsidR="00E1361A">
        <w:t xml:space="preserve">. It is planned that the review of these bands will be </w:t>
      </w:r>
      <w:r>
        <w:t>completed in Q4</w:t>
      </w:r>
      <w:r w:rsidR="0098016D">
        <w:t xml:space="preserve"> 2020</w:t>
      </w:r>
      <w:r w:rsidR="00E1361A">
        <w:t xml:space="preserve">, </w:t>
      </w:r>
      <w:r w:rsidR="007D659D">
        <w:t xml:space="preserve">following consultation in </w:t>
      </w:r>
      <w:r w:rsidR="009E194D">
        <w:t>Q4</w:t>
      </w:r>
      <w:r w:rsidR="007D659D">
        <w:t xml:space="preserve"> 2020</w:t>
      </w:r>
      <w:r>
        <w:t>.</w:t>
      </w:r>
      <w:r w:rsidR="00E1361A">
        <w:t xml:space="preserve"> </w:t>
      </w:r>
    </w:p>
    <w:p w14:paraId="359ED90F" w14:textId="776D9B48" w:rsidR="00E1361A" w:rsidRDefault="00F14DED" w:rsidP="007E1FBE">
      <w:r>
        <w:t>The bands</w:t>
      </w:r>
      <w:r w:rsidR="00657077">
        <w:t xml:space="preserve"> </w:t>
      </w:r>
      <w:r w:rsidR="00756DF6">
        <w:t>7</w:t>
      </w:r>
      <w:r w:rsidR="00657077">
        <w:t xml:space="preserve">00 MHz, </w:t>
      </w:r>
      <w:r w:rsidR="00756DF6">
        <w:t>8</w:t>
      </w:r>
      <w:r w:rsidR="00657077">
        <w:t xml:space="preserve">00 MHz, 2.1 GHz and 2.6 GHz have been identified in the work program. </w:t>
      </w:r>
      <w:r w:rsidR="00596E60">
        <w:t>The 2.6 GHz band has been prioritised as the next band for consideration</w:t>
      </w:r>
      <w:r w:rsidR="00DA2894">
        <w:t>, with other bands to follow</w:t>
      </w:r>
      <w:r w:rsidR="00596E60">
        <w:t xml:space="preserve">. </w:t>
      </w:r>
    </w:p>
    <w:p w14:paraId="1C8670A5" w14:textId="6980203B" w:rsidR="00493EE3" w:rsidRPr="00B53F89" w:rsidRDefault="00493EE3" w:rsidP="00B92D2A">
      <w:pPr>
        <w:pStyle w:val="Heading2"/>
      </w:pPr>
      <w:bookmarkStart w:id="421" w:name="_Toc31892826"/>
      <w:bookmarkStart w:id="422" w:name="_Toc36207442"/>
      <w:bookmarkStart w:id="423" w:name="_Toc51846289"/>
      <w:bookmarkStart w:id="424" w:name="_Toc51864360"/>
      <w:r w:rsidRPr="00B53F89">
        <w:t>Spectrum</w:t>
      </w:r>
      <w:r w:rsidR="00DA2894">
        <w:t>-</w:t>
      </w:r>
      <w:r w:rsidRPr="00B53F89">
        <w:t>sharing approaches</w:t>
      </w:r>
      <w:bookmarkEnd w:id="421"/>
      <w:bookmarkEnd w:id="422"/>
      <w:bookmarkEnd w:id="423"/>
      <w:bookmarkEnd w:id="424"/>
    </w:p>
    <w:p w14:paraId="19455BE9" w14:textId="3BF74BD6" w:rsidR="00436AC2" w:rsidRPr="00B53F89" w:rsidRDefault="00424B25" w:rsidP="003612AF">
      <w:r w:rsidRPr="00B53F89">
        <w:rPr>
          <w:rFonts w:cs="Arial"/>
        </w:rPr>
        <w:t xml:space="preserve">The ACMA </w:t>
      </w:r>
      <w:r w:rsidR="00622DBC" w:rsidRPr="00B53F89">
        <w:rPr>
          <w:rFonts w:cs="Arial"/>
        </w:rPr>
        <w:t>has commenced a</w:t>
      </w:r>
      <w:r w:rsidRPr="00B53F89">
        <w:rPr>
          <w:rFonts w:cs="Arial"/>
        </w:rPr>
        <w:t xml:space="preserve"> discussion </w:t>
      </w:r>
      <w:r w:rsidR="00622DBC" w:rsidRPr="00B53F89">
        <w:rPr>
          <w:rFonts w:cs="Arial"/>
        </w:rPr>
        <w:t xml:space="preserve">with stakeholders </w:t>
      </w:r>
      <w:r w:rsidRPr="00B53F89">
        <w:rPr>
          <w:rFonts w:cs="Arial"/>
        </w:rPr>
        <w:t xml:space="preserve">on how </w:t>
      </w:r>
      <w:r w:rsidR="00622DBC" w:rsidRPr="00B53F89">
        <w:rPr>
          <w:rFonts w:cs="Arial"/>
        </w:rPr>
        <w:t>new approaches to sharing</w:t>
      </w:r>
      <w:r w:rsidRPr="00B53F89">
        <w:rPr>
          <w:rFonts w:cs="Arial"/>
        </w:rPr>
        <w:t xml:space="preserve"> might improve the management of and access to spectrum.</w:t>
      </w:r>
      <w:r w:rsidR="00436AC2" w:rsidRPr="00B53F89">
        <w:t xml:space="preserve"> </w:t>
      </w:r>
    </w:p>
    <w:p w14:paraId="175170A9" w14:textId="274DB562" w:rsidR="00BC3396" w:rsidRPr="00B53F89" w:rsidRDefault="00F14DED" w:rsidP="00B92D2A">
      <w:pPr>
        <w:pStyle w:val="Heading3"/>
      </w:pPr>
      <w:bookmarkStart w:id="425" w:name="_Toc51864361"/>
      <w:r>
        <w:t>Progress achieved</w:t>
      </w:r>
      <w:bookmarkEnd w:id="425"/>
    </w:p>
    <w:p w14:paraId="6AD67BBD" w14:textId="213B3818" w:rsidR="00493EE3" w:rsidRDefault="00DA2894" w:rsidP="003612AF">
      <w:r>
        <w:t>We</w:t>
      </w:r>
      <w:r w:rsidR="00493EE3" w:rsidRPr="00B53F89">
        <w:t xml:space="preserve"> held a tune-up event in </w:t>
      </w:r>
      <w:r w:rsidR="00AC7712" w:rsidRPr="00B53F89">
        <w:t>August 2019</w:t>
      </w:r>
      <w:r w:rsidR="00493EE3" w:rsidRPr="00B53F89">
        <w:t xml:space="preserve"> on new and emerging approaches to spectrum sharing. </w:t>
      </w:r>
      <w:r w:rsidR="002C2521" w:rsidRPr="00B53F89">
        <w:t xml:space="preserve">The tune-up was informed by a </w:t>
      </w:r>
      <w:hyperlink r:id="rId108" w:history="1">
        <w:r w:rsidR="002C2521" w:rsidRPr="00B53F89">
          <w:rPr>
            <w:rStyle w:val="Hyperlink"/>
          </w:rPr>
          <w:t>discussion paper</w:t>
        </w:r>
      </w:hyperlink>
      <w:r w:rsidR="002C2521" w:rsidRPr="00B53F89">
        <w:t xml:space="preserve"> released in early Aug</w:t>
      </w:r>
      <w:r w:rsidR="00CC24F8" w:rsidRPr="00B53F89">
        <w:t>u</w:t>
      </w:r>
      <w:r w:rsidR="002C2521" w:rsidRPr="00B53F89">
        <w:t xml:space="preserve">st. </w:t>
      </w:r>
      <w:r w:rsidR="00493EE3" w:rsidRPr="00B53F89">
        <w:t>Topics covered included approaches to spectrum sharing</w:t>
      </w:r>
      <w:r>
        <w:t xml:space="preserve"> and</w:t>
      </w:r>
      <w:r w:rsidR="00493EE3" w:rsidRPr="00B53F89">
        <w:t xml:space="preserve"> their applicability to the Australian environment</w:t>
      </w:r>
      <w:r>
        <w:t>,</w:t>
      </w:r>
      <w:r w:rsidR="00493EE3" w:rsidRPr="00B53F89">
        <w:t xml:space="preserve"> recent international developments and how and why similar arrang</w:t>
      </w:r>
      <w:r w:rsidR="00436AC2" w:rsidRPr="00B53F89">
        <w:t>e</w:t>
      </w:r>
      <w:r w:rsidR="00493EE3" w:rsidRPr="00B53F89">
        <w:t>ments might be adopted domestically</w:t>
      </w:r>
      <w:r>
        <w:t>,</w:t>
      </w:r>
      <w:r w:rsidRPr="00B53F89">
        <w:t xml:space="preserve"> </w:t>
      </w:r>
      <w:r w:rsidR="00493EE3" w:rsidRPr="00B53F89">
        <w:t>how sharing affects incumbent users and how shared access can be managed by industry operators and third parties.</w:t>
      </w:r>
      <w:r w:rsidR="00864463">
        <w:t xml:space="preserve"> </w:t>
      </w:r>
      <w:r w:rsidR="00864463" w:rsidRPr="00864463">
        <w:t>A follow-up paper setting out next steps was released in Q2 2020.</w:t>
      </w:r>
    </w:p>
    <w:p w14:paraId="5FA18D6E" w14:textId="7C8D1BCA" w:rsidR="00F14DED" w:rsidRPr="00B53F89" w:rsidRDefault="00F14DED" w:rsidP="00B92D2A">
      <w:pPr>
        <w:pStyle w:val="Heading3"/>
      </w:pPr>
      <w:bookmarkStart w:id="426" w:name="_Toc51864362"/>
      <w:r w:rsidRPr="00B53F89">
        <w:t xml:space="preserve">Activities planned for </w:t>
      </w:r>
      <w:r>
        <w:t>2020</w:t>
      </w:r>
      <w:r w:rsidR="00F774CF" w:rsidRPr="00F774CF">
        <w:t>–</w:t>
      </w:r>
      <w:r>
        <w:t>21</w:t>
      </w:r>
      <w:bookmarkEnd w:id="426"/>
      <w:r w:rsidRPr="00B53F89">
        <w:t xml:space="preserve"> </w:t>
      </w:r>
    </w:p>
    <w:p w14:paraId="2236FE09" w14:textId="64BCB0BE" w:rsidR="00864463" w:rsidRDefault="00864463" w:rsidP="007E1FBE">
      <w:r>
        <w:t xml:space="preserve">Ongoing consideration of </w:t>
      </w:r>
      <w:r w:rsidRPr="0053295D">
        <w:t xml:space="preserve">new approaches to </w:t>
      </w:r>
      <w:r>
        <w:t xml:space="preserve">spectrum </w:t>
      </w:r>
      <w:r w:rsidRPr="0053295D">
        <w:t>sharing</w:t>
      </w:r>
    </w:p>
    <w:p w14:paraId="3141686E" w14:textId="40BA2D41" w:rsidR="004924DC" w:rsidRPr="00B53F89" w:rsidRDefault="004924DC" w:rsidP="00B92D2A">
      <w:pPr>
        <w:pStyle w:val="Heading2"/>
      </w:pPr>
      <w:bookmarkStart w:id="427" w:name="_Toc36207443"/>
      <w:bookmarkStart w:id="428" w:name="_Toc51846290"/>
      <w:bookmarkStart w:id="429" w:name="_Toc51864363"/>
      <w:r>
        <w:t>Future band</w:t>
      </w:r>
      <w:r w:rsidR="00EA305B">
        <w:t>-</w:t>
      </w:r>
      <w:r>
        <w:t>planning priorities</w:t>
      </w:r>
      <w:bookmarkEnd w:id="427"/>
      <w:bookmarkEnd w:id="428"/>
      <w:bookmarkEnd w:id="429"/>
    </w:p>
    <w:p w14:paraId="7C46A2D0" w14:textId="017C5220" w:rsidR="00B0312B" w:rsidRDefault="004924DC" w:rsidP="007E1FBE">
      <w:pPr>
        <w:rPr>
          <w:rFonts w:cs="Arial"/>
        </w:rPr>
      </w:pPr>
      <w:r>
        <w:rPr>
          <w:rFonts w:cs="Arial"/>
        </w:rPr>
        <w:t>A majority of the band</w:t>
      </w:r>
      <w:r w:rsidR="00EA305B">
        <w:rPr>
          <w:rFonts w:cs="Arial"/>
        </w:rPr>
        <w:t>-</w:t>
      </w:r>
      <w:r>
        <w:rPr>
          <w:rFonts w:cs="Arial"/>
        </w:rPr>
        <w:t>planning activities for 2020</w:t>
      </w:r>
      <w:r w:rsidR="00DA2894">
        <w:t>–</w:t>
      </w:r>
      <w:r>
        <w:rPr>
          <w:rFonts w:cs="Arial"/>
        </w:rPr>
        <w:t>21</w:t>
      </w:r>
      <w:r w:rsidDel="00DA2894">
        <w:rPr>
          <w:rFonts w:cs="Arial"/>
        </w:rPr>
        <w:t xml:space="preserve"> </w:t>
      </w:r>
      <w:r>
        <w:rPr>
          <w:rFonts w:cs="Arial"/>
        </w:rPr>
        <w:t xml:space="preserve">will be focused </w:t>
      </w:r>
      <w:r w:rsidR="00E1361A">
        <w:rPr>
          <w:rFonts w:cs="Arial"/>
        </w:rPr>
        <w:t xml:space="preserve">on </w:t>
      </w:r>
      <w:r w:rsidR="00DA2894">
        <w:rPr>
          <w:rFonts w:cs="Arial"/>
        </w:rPr>
        <w:t xml:space="preserve">prioritising, </w:t>
      </w:r>
      <w:r>
        <w:rPr>
          <w:rFonts w:cs="Arial"/>
        </w:rPr>
        <w:t xml:space="preserve">progressing and finalising </w:t>
      </w:r>
      <w:r w:rsidR="00E1361A">
        <w:rPr>
          <w:rFonts w:cs="Arial"/>
        </w:rPr>
        <w:t xml:space="preserve">the </w:t>
      </w:r>
      <w:r>
        <w:rPr>
          <w:rFonts w:cs="Arial"/>
        </w:rPr>
        <w:t xml:space="preserve">ongoing work for bands already identified in the </w:t>
      </w:r>
      <w:r w:rsidR="00DA2894" w:rsidRPr="00B26CA1">
        <w:rPr>
          <w:rFonts w:cs="Arial"/>
        </w:rPr>
        <w:t>i</w:t>
      </w:r>
      <w:r w:rsidRPr="00B26CA1">
        <w:rPr>
          <w:rFonts w:cs="Arial"/>
        </w:rPr>
        <w:t xml:space="preserve">nitial </w:t>
      </w:r>
      <w:r w:rsidR="00DA2894" w:rsidRPr="00B26CA1">
        <w:rPr>
          <w:rFonts w:cs="Arial"/>
        </w:rPr>
        <w:t>i</w:t>
      </w:r>
      <w:r w:rsidRPr="00B26CA1">
        <w:rPr>
          <w:rFonts w:cs="Arial"/>
        </w:rPr>
        <w:t>nvestigation</w:t>
      </w:r>
      <w:r>
        <w:rPr>
          <w:rFonts w:cs="Arial"/>
        </w:rPr>
        <w:t xml:space="preserve">, </w:t>
      </w:r>
      <w:r w:rsidR="00DA2894" w:rsidRPr="00B26CA1">
        <w:rPr>
          <w:rFonts w:cs="Arial"/>
        </w:rPr>
        <w:t>p</w:t>
      </w:r>
      <w:r w:rsidRPr="00B26CA1">
        <w:rPr>
          <w:rFonts w:cs="Arial"/>
        </w:rPr>
        <w:t xml:space="preserve">reliminary </w:t>
      </w:r>
      <w:r w:rsidR="00DA2894" w:rsidRPr="00B26CA1">
        <w:rPr>
          <w:rFonts w:cs="Arial"/>
        </w:rPr>
        <w:t>r</w:t>
      </w:r>
      <w:r w:rsidRPr="00B26CA1">
        <w:rPr>
          <w:rFonts w:cs="Arial"/>
        </w:rPr>
        <w:t>eplanning</w:t>
      </w:r>
      <w:r>
        <w:rPr>
          <w:rFonts w:cs="Arial"/>
        </w:rPr>
        <w:t xml:space="preserve"> and </w:t>
      </w:r>
      <w:r w:rsidR="004D4979" w:rsidRPr="00B26CA1">
        <w:rPr>
          <w:rFonts w:cs="Arial"/>
        </w:rPr>
        <w:t>implementation</w:t>
      </w:r>
      <w:r>
        <w:rPr>
          <w:rFonts w:cs="Arial"/>
        </w:rPr>
        <w:t xml:space="preserve"> stages. </w:t>
      </w:r>
    </w:p>
    <w:p w14:paraId="22BE9BC9" w14:textId="69B38FC8" w:rsidR="00917AA5" w:rsidRDefault="004924DC" w:rsidP="007E1FBE">
      <w:pPr>
        <w:pStyle w:val="Paragraphbeforelist"/>
      </w:pPr>
      <w:r>
        <w:t>As discussed, t</w:t>
      </w:r>
      <w:r w:rsidRPr="00B53F89">
        <w:t>he ACMA</w:t>
      </w:r>
      <w:r>
        <w:t xml:space="preserve"> is aware there is interest </w:t>
      </w:r>
      <w:r w:rsidR="00917AA5">
        <w:t>in progressing work on the following bands:</w:t>
      </w:r>
    </w:p>
    <w:p w14:paraId="6E535F73" w14:textId="13582547" w:rsidR="00917AA5" w:rsidRPr="006C6463" w:rsidRDefault="00917AA5" w:rsidP="007E1FBE">
      <w:pPr>
        <w:pStyle w:val="ListBullet"/>
        <w:keepNext w:val="0"/>
        <w:keepLines w:val="0"/>
        <w:ind w:left="284" w:hanging="284"/>
        <w:rPr>
          <w:rFonts w:eastAsiaTheme="minorEastAsia"/>
        </w:rPr>
      </w:pPr>
      <w:r w:rsidRPr="006C6463">
        <w:rPr>
          <w:rFonts w:eastAsiaTheme="minorEastAsia"/>
        </w:rPr>
        <w:t>1.5 GHz:</w:t>
      </w:r>
      <w:r w:rsidR="0091633E" w:rsidRPr="006C6463">
        <w:rPr>
          <w:rFonts w:eastAsiaTheme="minorEastAsia"/>
        </w:rPr>
        <w:t xml:space="preserve"> </w:t>
      </w:r>
      <w:r w:rsidR="00DA2894">
        <w:rPr>
          <w:rFonts w:eastAsiaTheme="minorEastAsia"/>
        </w:rPr>
        <w:t>We</w:t>
      </w:r>
      <w:r w:rsidR="0091633E" w:rsidRPr="006C6463">
        <w:rPr>
          <w:rFonts w:eastAsiaTheme="minorEastAsia"/>
        </w:rPr>
        <w:t xml:space="preserve"> consider there is </w:t>
      </w:r>
      <w:r w:rsidRPr="006C6463">
        <w:rPr>
          <w:rFonts w:eastAsiaTheme="minorEastAsia"/>
        </w:rPr>
        <w:t xml:space="preserve">benefit in </w:t>
      </w:r>
      <w:r w:rsidR="0091633E" w:rsidRPr="006C6463">
        <w:rPr>
          <w:rFonts w:eastAsiaTheme="minorEastAsia"/>
        </w:rPr>
        <w:t>considering the 1427</w:t>
      </w:r>
      <w:r w:rsidR="00DA2894">
        <w:t>–</w:t>
      </w:r>
      <w:r w:rsidR="0091633E" w:rsidRPr="006C6463">
        <w:rPr>
          <w:rFonts w:eastAsiaTheme="minorEastAsia"/>
        </w:rPr>
        <w:t xml:space="preserve">1518 MHz, </w:t>
      </w:r>
      <w:r w:rsidR="000B4A57" w:rsidRPr="006C6463">
        <w:rPr>
          <w:rFonts w:eastAsiaTheme="minorEastAsia"/>
        </w:rPr>
        <w:t>1518</w:t>
      </w:r>
      <w:r w:rsidR="00DA2894">
        <w:t>–</w:t>
      </w:r>
      <w:r w:rsidR="000B4A57" w:rsidRPr="006C6463">
        <w:rPr>
          <w:rFonts w:eastAsiaTheme="minorEastAsia"/>
        </w:rPr>
        <w:t>1525 MHz and 1668</w:t>
      </w:r>
      <w:r w:rsidR="00DA2894">
        <w:t>–</w:t>
      </w:r>
      <w:r w:rsidR="000B4A57" w:rsidRPr="006C6463">
        <w:rPr>
          <w:rFonts w:eastAsiaTheme="minorEastAsia"/>
        </w:rPr>
        <w:t>1675 MHz bands</w:t>
      </w:r>
      <w:r w:rsidR="0091633E" w:rsidRPr="006C6463">
        <w:rPr>
          <w:rFonts w:eastAsiaTheme="minorEastAsia"/>
        </w:rPr>
        <w:t xml:space="preserve"> in one process. This is </w:t>
      </w:r>
      <w:r w:rsidR="00E679F2" w:rsidRPr="006C6463">
        <w:rPr>
          <w:rFonts w:eastAsiaTheme="minorEastAsia"/>
        </w:rPr>
        <w:t xml:space="preserve">due to </w:t>
      </w:r>
      <w:r w:rsidR="008B5168">
        <w:rPr>
          <w:rFonts w:eastAsiaTheme="minorEastAsia"/>
        </w:rPr>
        <w:t xml:space="preserve">a </w:t>
      </w:r>
      <w:r w:rsidR="00E679F2" w:rsidRPr="006C6463">
        <w:rPr>
          <w:rFonts w:eastAsiaTheme="minorEastAsia"/>
        </w:rPr>
        <w:t xml:space="preserve">potential coexistence issue at the </w:t>
      </w:r>
      <w:r w:rsidR="0091633E" w:rsidRPr="006C6463">
        <w:rPr>
          <w:rFonts w:eastAsiaTheme="minorEastAsia"/>
        </w:rPr>
        <w:t>common frequency boundary at 1518</w:t>
      </w:r>
      <w:r w:rsidR="00E679F2" w:rsidRPr="006C6463">
        <w:rPr>
          <w:rFonts w:eastAsiaTheme="minorEastAsia"/>
        </w:rPr>
        <w:t xml:space="preserve"> MHz. Consequently</w:t>
      </w:r>
      <w:r w:rsidR="00B0312B" w:rsidRPr="006C6463">
        <w:rPr>
          <w:rFonts w:eastAsiaTheme="minorEastAsia"/>
        </w:rPr>
        <w:t>,</w:t>
      </w:r>
      <w:r w:rsidR="0091633E" w:rsidRPr="006C6463">
        <w:rPr>
          <w:rFonts w:eastAsiaTheme="minorEastAsia"/>
        </w:rPr>
        <w:t xml:space="preserve"> decisions made for one band could impact decisions made for the other. </w:t>
      </w:r>
    </w:p>
    <w:p w14:paraId="0D8EC4D6" w14:textId="2A5FB428" w:rsidR="00917AA5" w:rsidRPr="00917AA5" w:rsidRDefault="00917AA5" w:rsidP="00B92D2A">
      <w:pPr>
        <w:pStyle w:val="Bulletlevel1last"/>
      </w:pPr>
      <w:r w:rsidRPr="006C6463">
        <w:rPr>
          <w:rFonts w:eastAsiaTheme="minorEastAsia"/>
        </w:rPr>
        <w:t>40 GHz and 47 GHz: These bands are of significant interest for both terrestrial 5G and satellite broadband services. They were recently identified for IMT at WRC-19 and the satellite industry have indicated an interest in using the bands for high-throughput satellite services. For the satellite industry</w:t>
      </w:r>
      <w:r w:rsidR="008B5168">
        <w:rPr>
          <w:rFonts w:eastAsiaTheme="minorEastAsia"/>
        </w:rPr>
        <w:t>,</w:t>
      </w:r>
      <w:r w:rsidRPr="006C6463">
        <w:rPr>
          <w:rFonts w:eastAsiaTheme="minorEastAsia"/>
        </w:rPr>
        <w:t xml:space="preserve"> the bands are linked </w:t>
      </w:r>
      <w:r w:rsidR="008B5168">
        <w:rPr>
          <w:rFonts w:eastAsiaTheme="minorEastAsia"/>
        </w:rPr>
        <w:lastRenderedPageBreak/>
        <w:t>because</w:t>
      </w:r>
      <w:r w:rsidRPr="006C6463">
        <w:rPr>
          <w:rFonts w:eastAsiaTheme="minorEastAsia"/>
        </w:rPr>
        <w:t xml:space="preserve"> the 40 GHz band is used for space-to-</w:t>
      </w:r>
      <w:r w:rsidR="00F61895">
        <w:rPr>
          <w:rFonts w:eastAsiaTheme="minorEastAsia"/>
        </w:rPr>
        <w:t>e</w:t>
      </w:r>
      <w:r w:rsidRPr="006C6463">
        <w:rPr>
          <w:rFonts w:eastAsiaTheme="minorEastAsia"/>
        </w:rPr>
        <w:t>arth link and the 47 GHz</w:t>
      </w:r>
      <w:r w:rsidR="00F61895">
        <w:rPr>
          <w:rFonts w:eastAsiaTheme="minorEastAsia"/>
        </w:rPr>
        <w:t>,</w:t>
      </w:r>
      <w:r w:rsidRPr="006C6463">
        <w:rPr>
          <w:rFonts w:eastAsiaTheme="minorEastAsia"/>
        </w:rPr>
        <w:t xml:space="preserve"> along with 48.2</w:t>
      </w:r>
      <w:r w:rsidR="00F61895">
        <w:t>–</w:t>
      </w:r>
      <w:r w:rsidRPr="006C6463">
        <w:rPr>
          <w:rFonts w:eastAsiaTheme="minorEastAsia"/>
        </w:rPr>
        <w:t>50.2 GHz</w:t>
      </w:r>
      <w:r w:rsidR="00F61895">
        <w:rPr>
          <w:rFonts w:eastAsiaTheme="minorEastAsia"/>
        </w:rPr>
        <w:t xml:space="preserve"> and </w:t>
      </w:r>
      <w:r w:rsidRPr="006C6463">
        <w:rPr>
          <w:rFonts w:eastAsiaTheme="minorEastAsia"/>
        </w:rPr>
        <w:t>50.4</w:t>
      </w:r>
      <w:r w:rsidR="00F61895">
        <w:t>–</w:t>
      </w:r>
      <w:r w:rsidRPr="006C6463">
        <w:rPr>
          <w:rFonts w:eastAsiaTheme="minorEastAsia"/>
        </w:rPr>
        <w:t>52.</w:t>
      </w:r>
      <w:r w:rsidR="00E06BE1" w:rsidRPr="006C6463">
        <w:rPr>
          <w:rFonts w:eastAsiaTheme="minorEastAsia"/>
        </w:rPr>
        <w:t>4</w:t>
      </w:r>
      <w:r w:rsidRPr="006C6463">
        <w:rPr>
          <w:rFonts w:eastAsiaTheme="minorEastAsia"/>
        </w:rPr>
        <w:t xml:space="preserve"> GHz bands</w:t>
      </w:r>
      <w:r w:rsidR="00F61895">
        <w:rPr>
          <w:rFonts w:eastAsiaTheme="minorEastAsia"/>
        </w:rPr>
        <w:t>,</w:t>
      </w:r>
      <w:r w:rsidRPr="006C6463">
        <w:rPr>
          <w:rFonts w:eastAsiaTheme="minorEastAsia"/>
        </w:rPr>
        <w:t xml:space="preserve"> are used for the associated </w:t>
      </w:r>
      <w:r w:rsidR="00F61895">
        <w:rPr>
          <w:rFonts w:eastAsiaTheme="minorEastAsia"/>
        </w:rPr>
        <w:t>e</w:t>
      </w:r>
      <w:r w:rsidRPr="006C6463">
        <w:rPr>
          <w:rFonts w:eastAsiaTheme="minorEastAsia"/>
        </w:rPr>
        <w:t xml:space="preserve">arth-to-space link. Consequently, there may be benefit in </w:t>
      </w:r>
      <w:r w:rsidR="0091633E" w:rsidRPr="006C6463">
        <w:rPr>
          <w:rFonts w:eastAsiaTheme="minorEastAsia"/>
        </w:rPr>
        <w:t>considering</w:t>
      </w:r>
      <w:r w:rsidRPr="006C6463">
        <w:rPr>
          <w:rFonts w:eastAsiaTheme="minorEastAsia"/>
        </w:rPr>
        <w:t xml:space="preserve"> the</w:t>
      </w:r>
      <w:r w:rsidR="00F61895">
        <w:rPr>
          <w:rFonts w:eastAsiaTheme="minorEastAsia"/>
        </w:rPr>
        <w:t>se</w:t>
      </w:r>
      <w:r w:rsidRPr="006C6463">
        <w:rPr>
          <w:rFonts w:eastAsiaTheme="minorEastAsia"/>
        </w:rPr>
        <w:t xml:space="preserve"> </w:t>
      </w:r>
      <w:r w:rsidR="00E06BE1" w:rsidRPr="006C6463">
        <w:rPr>
          <w:rFonts w:eastAsiaTheme="minorEastAsia"/>
        </w:rPr>
        <w:t xml:space="preserve">bands </w:t>
      </w:r>
      <w:r w:rsidRPr="006C6463">
        <w:rPr>
          <w:rFonts w:eastAsiaTheme="minorEastAsia"/>
        </w:rPr>
        <w:t xml:space="preserve">in one process. </w:t>
      </w:r>
      <w:r w:rsidR="00E06BE1" w:rsidRPr="006C6463">
        <w:rPr>
          <w:rFonts w:eastAsiaTheme="minorEastAsia"/>
        </w:rPr>
        <w:t>Due to proximity</w:t>
      </w:r>
      <w:r w:rsidR="00614D6F" w:rsidRPr="006C6463">
        <w:rPr>
          <w:rFonts w:eastAsiaTheme="minorEastAsia"/>
        </w:rPr>
        <w:t>,</w:t>
      </w:r>
      <w:r w:rsidR="00E06BE1" w:rsidRPr="006C6463">
        <w:rPr>
          <w:rFonts w:eastAsiaTheme="minorEastAsia"/>
        </w:rPr>
        <w:t xml:space="preserve"> </w:t>
      </w:r>
      <w:r w:rsidR="000B4A57" w:rsidRPr="006C6463">
        <w:rPr>
          <w:rFonts w:eastAsiaTheme="minorEastAsia"/>
        </w:rPr>
        <w:t xml:space="preserve">consideration </w:t>
      </w:r>
      <w:r w:rsidR="00E06BE1" w:rsidRPr="006C6463">
        <w:rPr>
          <w:rFonts w:eastAsiaTheme="minorEastAsia"/>
        </w:rPr>
        <w:t xml:space="preserve">could also </w:t>
      </w:r>
      <w:r w:rsidR="000B4A57" w:rsidRPr="006C6463">
        <w:rPr>
          <w:rFonts w:eastAsiaTheme="minorEastAsia"/>
        </w:rPr>
        <w:t>be given to</w:t>
      </w:r>
      <w:r w:rsidR="00E06BE1" w:rsidRPr="006C6463">
        <w:rPr>
          <w:rFonts w:eastAsiaTheme="minorEastAsia"/>
        </w:rPr>
        <w:t xml:space="preserve"> the </w:t>
      </w:r>
      <w:r w:rsidR="00614D6F" w:rsidRPr="006C6463">
        <w:rPr>
          <w:rFonts w:eastAsiaTheme="minorEastAsia"/>
        </w:rPr>
        <w:t>46</w:t>
      </w:r>
      <w:r w:rsidR="00E06BE1" w:rsidRPr="006C6463">
        <w:rPr>
          <w:rFonts w:eastAsiaTheme="minorEastAsia"/>
        </w:rPr>
        <w:t xml:space="preserve"> GHz band.</w:t>
      </w:r>
    </w:p>
    <w:p w14:paraId="5C18A437" w14:textId="7120439E" w:rsidR="004924DC" w:rsidRPr="00B53F89" w:rsidRDefault="00EB63FC" w:rsidP="00B92D2A">
      <w:pPr>
        <w:pStyle w:val="Heading3"/>
      </w:pPr>
      <w:bookmarkStart w:id="430" w:name="_Toc51864364"/>
      <w:r w:rsidRPr="006A2F04">
        <w:rPr>
          <w:noProof/>
        </w:rPr>
        <w:drawing>
          <wp:inline distT="0" distB="0" distL="0" distR="0" wp14:anchorId="7DCEEEDE" wp14:editId="06AEBF33">
            <wp:extent cx="244475" cy="140335"/>
            <wp:effectExtent l="0" t="0" r="3175" b="0"/>
            <wp:docPr id="250" name="Picture 250"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4924DC" w:rsidRPr="00B53F89">
        <w:t xml:space="preserve">Activities planned for </w:t>
      </w:r>
      <w:r w:rsidR="00F14DED">
        <w:t>2020</w:t>
      </w:r>
      <w:r w:rsidR="00F61895">
        <w:t>–</w:t>
      </w:r>
      <w:r w:rsidR="00F14DED">
        <w:t>21</w:t>
      </w:r>
      <w:bookmarkEnd w:id="430"/>
      <w:r w:rsidR="004924DC" w:rsidRPr="00B53F89">
        <w:t xml:space="preserve"> </w:t>
      </w:r>
    </w:p>
    <w:p w14:paraId="5FB9C58A" w14:textId="16E0EA95" w:rsidR="00D146B1" w:rsidRDefault="00D146B1" w:rsidP="004924DC">
      <w:pPr>
        <w:rPr>
          <w:rFonts w:cs="Arial"/>
        </w:rPr>
      </w:pPr>
      <w:r w:rsidRPr="000D716C">
        <w:t>The ACMA will not progress consideration of the 1.</w:t>
      </w:r>
      <w:r w:rsidRPr="000D716C" w:rsidDel="000220F0">
        <w:t>5</w:t>
      </w:r>
      <w:r w:rsidRPr="000D716C">
        <w:t> GHz band or the 40 GHz, 47 GHz and 48.2</w:t>
      </w:r>
      <w:r w:rsidR="00F774CF" w:rsidRPr="00F774CF">
        <w:t>–</w:t>
      </w:r>
      <w:r w:rsidRPr="000D716C">
        <w:t>52.4 GHz bands during the 2020</w:t>
      </w:r>
      <w:r w:rsidR="00F774CF" w:rsidRPr="00F774CF">
        <w:t>–</w:t>
      </w:r>
      <w:r w:rsidRPr="000D716C">
        <w:t xml:space="preserve">2021 financial year. </w:t>
      </w:r>
      <w:r w:rsidRPr="00D146B1">
        <w:t>We</w:t>
      </w:r>
      <w:r>
        <w:t xml:space="preserve"> will instead </w:t>
      </w:r>
      <w:r>
        <w:rPr>
          <w:rFonts w:cs="Arial"/>
        </w:rPr>
        <w:t xml:space="preserve">focus on prioritising, progressing, and finalising the ongoing work for bands already identified in the initial investigation, preliminary replanning and </w:t>
      </w:r>
      <w:r w:rsidR="000D716C">
        <w:rPr>
          <w:rFonts w:cs="Arial"/>
        </w:rPr>
        <w:t>implementation</w:t>
      </w:r>
      <w:r>
        <w:rPr>
          <w:rFonts w:cs="Arial"/>
        </w:rPr>
        <w:t xml:space="preserve"> stages. </w:t>
      </w:r>
    </w:p>
    <w:p w14:paraId="5AEB5A64" w14:textId="26806D19" w:rsidR="00200768" w:rsidRPr="00B53F89" w:rsidRDefault="00D146B1" w:rsidP="004924DC">
      <w:r>
        <w:rPr>
          <w:rFonts w:cs="Arial"/>
        </w:rPr>
        <w:t>Progression of these band will be reassessed as part of the FYSO</w:t>
      </w:r>
      <w:r w:rsidR="000D716C">
        <w:rPr>
          <w:rFonts w:cs="Arial"/>
        </w:rPr>
        <w:t xml:space="preserve"> 2021</w:t>
      </w:r>
      <w:r w:rsidR="00F774CF" w:rsidRPr="00F774CF">
        <w:rPr>
          <w:rFonts w:cs="Arial"/>
        </w:rPr>
        <w:t>–</w:t>
      </w:r>
      <w:r w:rsidR="000D716C">
        <w:rPr>
          <w:rFonts w:cs="Arial"/>
        </w:rPr>
        <w:t>25</w:t>
      </w:r>
      <w:r w:rsidRPr="000D716C">
        <w:t>.</w:t>
      </w:r>
      <w:r w:rsidR="008D04BA" w:rsidRPr="000220F0" w:rsidDel="00D146B1">
        <w:t xml:space="preserve"> </w:t>
      </w:r>
    </w:p>
    <w:p w14:paraId="52D28BA5" w14:textId="126B149E" w:rsidR="003F4B80" w:rsidRPr="00B53F89" w:rsidRDefault="003C4953" w:rsidP="00775B4A">
      <w:pPr>
        <w:pStyle w:val="Heading1"/>
      </w:pPr>
      <w:bookmarkStart w:id="431" w:name="_The_forward_allocation"/>
      <w:bookmarkStart w:id="432" w:name="_Toc510104961"/>
      <w:bookmarkStart w:id="433" w:name="_Toc510105758"/>
      <w:bookmarkStart w:id="434" w:name="_Toc510795090"/>
      <w:bookmarkStart w:id="435" w:name="_Toc511716291"/>
      <w:bookmarkStart w:id="436" w:name="_Toc511719102"/>
      <w:bookmarkStart w:id="437" w:name="_Toc522794095"/>
      <w:bookmarkStart w:id="438" w:name="_Toc31892827"/>
      <w:bookmarkStart w:id="439" w:name="_Toc36207444"/>
      <w:bookmarkStart w:id="440" w:name="_Toc51846291"/>
      <w:bookmarkStart w:id="441" w:name="_Toc51864365"/>
      <w:bookmarkEnd w:id="431"/>
      <w:r>
        <w:lastRenderedPageBreak/>
        <w:t>F</w:t>
      </w:r>
      <w:r w:rsidR="003F4B80" w:rsidRPr="00B53F89">
        <w:t>orward allocation work plan</w:t>
      </w:r>
      <w:bookmarkEnd w:id="432"/>
      <w:bookmarkEnd w:id="433"/>
      <w:bookmarkEnd w:id="434"/>
      <w:bookmarkEnd w:id="435"/>
      <w:bookmarkEnd w:id="436"/>
      <w:bookmarkEnd w:id="437"/>
      <w:bookmarkEnd w:id="438"/>
      <w:bookmarkEnd w:id="439"/>
      <w:bookmarkEnd w:id="440"/>
      <w:bookmarkEnd w:id="441"/>
    </w:p>
    <w:p w14:paraId="72441613" w14:textId="1CC09874" w:rsidR="003F4B80" w:rsidRPr="00B53F89" w:rsidRDefault="003F4B80">
      <w:pPr>
        <w:pStyle w:val="Heading2"/>
        <w:rPr>
          <w:rFonts w:eastAsiaTheme="majorEastAsia"/>
        </w:rPr>
      </w:pPr>
      <w:bookmarkStart w:id="442" w:name="_Toc510104962"/>
      <w:bookmarkStart w:id="443" w:name="_Toc510105759"/>
      <w:bookmarkStart w:id="444" w:name="_Toc510795091"/>
      <w:bookmarkStart w:id="445" w:name="_Toc511716292"/>
      <w:bookmarkStart w:id="446" w:name="_Toc511719103"/>
      <w:bookmarkStart w:id="447" w:name="_Toc522794096"/>
      <w:bookmarkStart w:id="448" w:name="_Toc31892828"/>
      <w:bookmarkStart w:id="449" w:name="_Toc51846292"/>
      <w:bookmarkStart w:id="450" w:name="_Toc51864366"/>
      <w:bookmarkStart w:id="451" w:name="_Toc36207445"/>
      <w:r w:rsidRPr="00B53F89">
        <w:rPr>
          <w:rFonts w:eastAsiaTheme="majorEastAsia"/>
        </w:rPr>
        <w:t xml:space="preserve">Purpose of the </w:t>
      </w:r>
      <w:r w:rsidR="00327EA2" w:rsidRPr="00B53F89">
        <w:rPr>
          <w:rFonts w:eastAsiaTheme="majorEastAsia"/>
        </w:rPr>
        <w:t xml:space="preserve">forward </w:t>
      </w:r>
      <w:r w:rsidRPr="00B53F89">
        <w:rPr>
          <w:rFonts w:eastAsiaTheme="majorEastAsia"/>
        </w:rPr>
        <w:t xml:space="preserve">allocation </w:t>
      </w:r>
      <w:bookmarkEnd w:id="442"/>
      <w:bookmarkEnd w:id="443"/>
      <w:bookmarkEnd w:id="444"/>
      <w:r w:rsidR="00BA6010" w:rsidRPr="00B53F89">
        <w:rPr>
          <w:rFonts w:eastAsiaTheme="majorEastAsia"/>
        </w:rPr>
        <w:t>work plan</w:t>
      </w:r>
      <w:bookmarkEnd w:id="445"/>
      <w:bookmarkEnd w:id="446"/>
      <w:bookmarkEnd w:id="447"/>
      <w:bookmarkEnd w:id="448"/>
      <w:bookmarkEnd w:id="449"/>
      <w:bookmarkEnd w:id="450"/>
      <w:r w:rsidRPr="00B53F89">
        <w:rPr>
          <w:rFonts w:eastAsiaTheme="majorEastAsia"/>
        </w:rPr>
        <w:t xml:space="preserve"> </w:t>
      </w:r>
      <w:bookmarkEnd w:id="451"/>
    </w:p>
    <w:p w14:paraId="390FCEA3" w14:textId="6CC2A453" w:rsidR="003F4B80" w:rsidRPr="00B53F89" w:rsidRDefault="003F4B80" w:rsidP="00513FDE">
      <w:pPr>
        <w:pStyle w:val="Paragraphbeforelist"/>
      </w:pPr>
      <w:r w:rsidRPr="00B53F89">
        <w:t xml:space="preserve">Timely access to spectrum is of increasing importance to an innovative and dynamic </w:t>
      </w:r>
      <w:r w:rsidR="003D4996" w:rsidRPr="00B53F89">
        <w:t>economy</w:t>
      </w:r>
      <w:r w:rsidRPr="00B53F89">
        <w:t>. For incumbent and prospective spectrum users, th</w:t>
      </w:r>
      <w:r w:rsidR="00D433F2" w:rsidRPr="00B53F89">
        <w:t>is forward</w:t>
      </w:r>
      <w:r w:rsidRPr="00B53F89">
        <w:t xml:space="preserve"> allocation work </w:t>
      </w:r>
      <w:r w:rsidR="0088477E" w:rsidRPr="00B53F89">
        <w:t xml:space="preserve">plan </w:t>
      </w:r>
      <w:r w:rsidRPr="00B53F89">
        <w:t>provide</w:t>
      </w:r>
      <w:r w:rsidR="00280702" w:rsidRPr="00B53F89">
        <w:t>s</w:t>
      </w:r>
      <w:r w:rsidRPr="00B53F89">
        <w:t xml:space="preserve"> information for stakeholders </w:t>
      </w:r>
      <w:r w:rsidR="0072754E" w:rsidRPr="00B53F89">
        <w:t xml:space="preserve">about </w:t>
      </w:r>
      <w:r w:rsidRPr="00B53F89">
        <w:t>the planning status and possible timing</w:t>
      </w:r>
      <w:r w:rsidR="003A1815" w:rsidRPr="00B53F89">
        <w:t xml:space="preserve"> and sequencing</w:t>
      </w:r>
      <w:r w:rsidRPr="00B53F89">
        <w:t xml:space="preserve"> of </w:t>
      </w:r>
      <w:r w:rsidR="00682BE8" w:rsidRPr="00B53F89">
        <w:t>major spectrum allocations</w:t>
      </w:r>
      <w:r w:rsidR="00280702" w:rsidRPr="00B53F89">
        <w:t>,</w:t>
      </w:r>
      <w:r w:rsidRPr="00B53F89">
        <w:t xml:space="preserve"> to better support:</w:t>
      </w:r>
    </w:p>
    <w:p w14:paraId="2E77273F" w14:textId="77777777" w:rsidR="003F4B80" w:rsidRPr="00B53F89" w:rsidRDefault="003F4B80" w:rsidP="0054588C">
      <w:pPr>
        <w:pStyle w:val="ListBullet"/>
        <w:keepNext w:val="0"/>
        <w:keepLines w:val="0"/>
        <w:ind w:left="284" w:hanging="284"/>
      </w:pPr>
      <w:r w:rsidRPr="00B53F89">
        <w:rPr>
          <w:rFonts w:eastAsiaTheme="minorEastAsia"/>
        </w:rPr>
        <w:t xml:space="preserve">strategic network planning by </w:t>
      </w:r>
      <w:r w:rsidRPr="00F0187E">
        <w:rPr>
          <w:rFonts w:eastAsiaTheme="minorEastAsia"/>
        </w:rPr>
        <w:t>spectrum</w:t>
      </w:r>
      <w:r w:rsidRPr="00B53F89">
        <w:rPr>
          <w:rFonts w:eastAsiaTheme="minorEastAsia"/>
        </w:rPr>
        <w:t xml:space="preserve"> users </w:t>
      </w:r>
    </w:p>
    <w:p w14:paraId="2C29622C" w14:textId="77777777" w:rsidR="003F4B80" w:rsidRPr="00B53F89" w:rsidRDefault="003F4B80" w:rsidP="0054588C">
      <w:pPr>
        <w:pStyle w:val="ListBullet"/>
        <w:keepNext w:val="0"/>
        <w:keepLines w:val="0"/>
        <w:ind w:left="284" w:hanging="284"/>
      </w:pPr>
      <w:r w:rsidRPr="00B53F89">
        <w:rPr>
          <w:rFonts w:eastAsiaTheme="minorEastAsia"/>
        </w:rPr>
        <w:t>technology deployment planning</w:t>
      </w:r>
    </w:p>
    <w:p w14:paraId="4AA7F3FF" w14:textId="03A1A43C" w:rsidR="003F4B80" w:rsidRPr="00B53F89" w:rsidRDefault="003F4B80" w:rsidP="00A10BF6">
      <w:pPr>
        <w:pStyle w:val="ListBulletLast"/>
        <w:ind w:left="284" w:hanging="284"/>
        <w:rPr>
          <w:rFonts w:eastAsiaTheme="minorEastAsia"/>
        </w:rPr>
      </w:pPr>
      <w:r w:rsidRPr="00B53F89">
        <w:rPr>
          <w:rFonts w:eastAsiaTheme="minorEastAsia"/>
        </w:rPr>
        <w:t>capital-raising.</w:t>
      </w:r>
    </w:p>
    <w:p w14:paraId="28485874" w14:textId="6B0BA4F6" w:rsidR="003F4B80" w:rsidRPr="00B53F89" w:rsidRDefault="001D0A2E">
      <w:r w:rsidRPr="00B53F89">
        <w:t>Under current law, s</w:t>
      </w:r>
      <w:r w:rsidR="003F4B80" w:rsidRPr="00B53F89">
        <w:t>pecific allocation</w:t>
      </w:r>
      <w:r w:rsidR="00D23F2E" w:rsidRPr="00B53F89">
        <w:t xml:space="preserve"> processe</w:t>
      </w:r>
      <w:r w:rsidR="003F4B80" w:rsidRPr="00B53F89">
        <w:t>s depend on ACMA and</w:t>
      </w:r>
      <w:r w:rsidR="00C61075" w:rsidRPr="00B53F89">
        <w:t xml:space="preserve">, in some cases, </w:t>
      </w:r>
      <w:r w:rsidR="00AA6D3C" w:rsidRPr="00B53F89">
        <w:t>M</w:t>
      </w:r>
      <w:r w:rsidR="003F4B80" w:rsidRPr="00B53F89">
        <w:t xml:space="preserve">inisterial decisions made during the planning </w:t>
      </w:r>
      <w:r w:rsidR="00D23EA9" w:rsidRPr="00B53F89">
        <w:t>and allocation stages</w:t>
      </w:r>
      <w:r w:rsidR="003F4B80" w:rsidRPr="00B53F89">
        <w:t>, and reflect other relevant government policy considerations about planning priorities. Information from incumbent and prospective spectrum users about the demand for access to specific bands and the timing of any possible allocation will also provide important input to allocation decisions.</w:t>
      </w:r>
    </w:p>
    <w:p w14:paraId="7A76134F" w14:textId="512ACCA1" w:rsidR="003F4B80" w:rsidRPr="00B53F89" w:rsidRDefault="003F4B80">
      <w:r w:rsidRPr="00B53F89">
        <w:t>There is no certainty that any band will move to</w:t>
      </w:r>
      <w:r w:rsidR="001D0A2E" w:rsidRPr="00B53F89">
        <w:t xml:space="preserve"> changed</w:t>
      </w:r>
      <w:r w:rsidRPr="00B53F89">
        <w:t xml:space="preserve"> allocation </w:t>
      </w:r>
      <w:r w:rsidR="001D0A2E" w:rsidRPr="00B53F89">
        <w:t xml:space="preserve">arrangements </w:t>
      </w:r>
      <w:r w:rsidRPr="00B53F89">
        <w:t xml:space="preserve">until </w:t>
      </w:r>
      <w:r w:rsidR="00A96CF8" w:rsidRPr="00B53F89">
        <w:t xml:space="preserve">the relevant </w:t>
      </w:r>
      <w:r w:rsidRPr="00B53F89">
        <w:t xml:space="preserve">formal decision has been made. </w:t>
      </w:r>
      <w:r w:rsidR="00F61895">
        <w:t>We</w:t>
      </w:r>
      <w:r w:rsidRPr="00B53F89">
        <w:t xml:space="preserve"> emphasise that the information presented here does not in any way pre-empt such formal decisions.</w:t>
      </w:r>
      <w:r w:rsidR="00447762" w:rsidRPr="00B53F89">
        <w:t xml:space="preserve"> </w:t>
      </w:r>
    </w:p>
    <w:p w14:paraId="1ECFAE3E" w14:textId="7A70367B" w:rsidR="003F4B80" w:rsidRPr="00B53F89" w:rsidRDefault="003F4B80">
      <w:r w:rsidRPr="00B53F89">
        <w:t>Even once a formal decision has been made to move towards a</w:t>
      </w:r>
      <w:r w:rsidR="001D0A2E" w:rsidRPr="00B53F89">
        <w:t xml:space="preserve"> changed</w:t>
      </w:r>
      <w:r w:rsidRPr="00B53F89">
        <w:t xml:space="preserve"> allocation</w:t>
      </w:r>
      <w:r w:rsidR="001D0A2E" w:rsidRPr="00B53F89">
        <w:t xml:space="preserve"> arrangement</w:t>
      </w:r>
      <w:r w:rsidRPr="00B53F89">
        <w:t xml:space="preserve">, the specific design of each </w:t>
      </w:r>
      <w:r w:rsidR="001D0A2E" w:rsidRPr="00B53F89">
        <w:t xml:space="preserve">arrangement is dependent on a range of planning </w:t>
      </w:r>
      <w:r w:rsidR="00352C46" w:rsidRPr="00B53F89">
        <w:t xml:space="preserve">and allocation </w:t>
      </w:r>
      <w:r w:rsidR="001D0A2E" w:rsidRPr="00B53F89">
        <w:t xml:space="preserve">decisions yet to be made. These considerations include, </w:t>
      </w:r>
      <w:r w:rsidRPr="00B53F89">
        <w:t>for example, allocation timing, methodology</w:t>
      </w:r>
      <w:r w:rsidR="001D0A2E" w:rsidRPr="00B53F89">
        <w:t xml:space="preserve"> (such as whether it involves an auction</w:t>
      </w:r>
      <w:r w:rsidR="00C33CDD" w:rsidRPr="00B53F89">
        <w:t>,</w:t>
      </w:r>
      <w:r w:rsidR="001D0A2E" w:rsidRPr="00B53F89">
        <w:t xml:space="preserve"> other price-based allocation or conversion of existing apparatus licences to spectrum licences, and whether it involves the issue of apparatus or spectrum licences, or a combination)</w:t>
      </w:r>
      <w:r w:rsidRPr="00B53F89">
        <w:t xml:space="preserve"> and lot configuration. </w:t>
      </w:r>
      <w:r w:rsidR="00F61895">
        <w:t>We</w:t>
      </w:r>
      <w:r w:rsidRPr="00B53F89">
        <w:t xml:space="preserve"> </w:t>
      </w:r>
      <w:r w:rsidR="003A1815" w:rsidRPr="00B53F89">
        <w:t>will</w:t>
      </w:r>
      <w:r w:rsidRPr="00B53F89">
        <w:t xml:space="preserve"> take account of feedback from industry about likely demand and their priorities for access to particular spectrum bands. </w:t>
      </w:r>
    </w:p>
    <w:p w14:paraId="6A9885C4" w14:textId="27C01AE6" w:rsidR="00F61895" w:rsidRDefault="00F61895" w:rsidP="00513FDE">
      <w:pPr>
        <w:pStyle w:val="Paragraphbeforelist"/>
      </w:pPr>
      <w:r>
        <w:t>We have</w:t>
      </w:r>
      <w:r w:rsidR="00C61075" w:rsidRPr="00B53F89">
        <w:t xml:space="preserve"> completed a number of allocation and re-issue processes in recent years, providing significant predictability </w:t>
      </w:r>
      <w:r w:rsidR="00825E73">
        <w:t>about</w:t>
      </w:r>
      <w:r w:rsidR="00825E73" w:rsidRPr="00B53F89">
        <w:t xml:space="preserve"> </w:t>
      </w:r>
      <w:r w:rsidR="00C61075" w:rsidRPr="00B53F89">
        <w:t>spectrum availability in a number of key bands including</w:t>
      </w:r>
      <w:r>
        <w:t>:</w:t>
      </w:r>
      <w:r w:rsidR="00C61075" w:rsidRPr="00B53F89">
        <w:t xml:space="preserve"> </w:t>
      </w:r>
    </w:p>
    <w:p w14:paraId="696A74EE" w14:textId="1A64CC74" w:rsidR="00F61895" w:rsidRDefault="00C61075" w:rsidP="00513FDE">
      <w:pPr>
        <w:pStyle w:val="Bulletlevel1"/>
      </w:pPr>
      <w:r w:rsidRPr="00B53F89">
        <w:t>700 MHz</w:t>
      </w:r>
      <w:r w:rsidR="009655EF" w:rsidRPr="00B53F89">
        <w:t xml:space="preserve"> (7</w:t>
      </w:r>
      <w:r w:rsidR="00015E27" w:rsidRPr="00B53F89">
        <w:t>0</w:t>
      </w:r>
      <w:r w:rsidR="009655EF" w:rsidRPr="00B53F89">
        <w:t>3</w:t>
      </w:r>
      <w:r w:rsidR="003208A0" w:rsidRPr="00B53F89">
        <w:rPr>
          <w:rFonts w:hint="eastAsia"/>
        </w:rPr>
        <w:t>–</w:t>
      </w:r>
      <w:r w:rsidR="009655EF" w:rsidRPr="00B53F89">
        <w:t>7</w:t>
      </w:r>
      <w:r w:rsidR="00015E27" w:rsidRPr="00B53F89">
        <w:t>4</w:t>
      </w:r>
      <w:r w:rsidR="009655EF" w:rsidRPr="00B53F89">
        <w:t>8 MHz and 7</w:t>
      </w:r>
      <w:r w:rsidR="00015E27" w:rsidRPr="00B53F89">
        <w:t>5</w:t>
      </w:r>
      <w:r w:rsidR="009655EF" w:rsidRPr="00B53F89">
        <w:t>8</w:t>
      </w:r>
      <w:r w:rsidR="003208A0" w:rsidRPr="00B53F89">
        <w:rPr>
          <w:rFonts w:hint="eastAsia"/>
        </w:rPr>
        <w:t>–</w:t>
      </w:r>
      <w:r w:rsidR="00015E27" w:rsidRPr="00B53F89">
        <w:t>803</w:t>
      </w:r>
      <w:r w:rsidR="009655EF" w:rsidRPr="00B53F89">
        <w:t xml:space="preserve"> MHz)</w:t>
      </w:r>
      <w:r w:rsidRPr="00B53F89">
        <w:t xml:space="preserve"> </w:t>
      </w:r>
    </w:p>
    <w:p w14:paraId="462144CE" w14:textId="442F893A" w:rsidR="00F61895" w:rsidRDefault="00C61075" w:rsidP="00513FDE">
      <w:pPr>
        <w:pStyle w:val="Bulletlevel1"/>
      </w:pPr>
      <w:r w:rsidRPr="00B53F89">
        <w:t>1800 MHz</w:t>
      </w:r>
      <w:r w:rsidR="009655EF" w:rsidRPr="00B53F89">
        <w:t xml:space="preserve"> (1725</w:t>
      </w:r>
      <w:r w:rsidR="009655EF" w:rsidRPr="00B53F89">
        <w:rPr>
          <w:rFonts w:hint="eastAsia"/>
        </w:rPr>
        <w:t>–</w:t>
      </w:r>
      <w:r w:rsidR="009655EF" w:rsidRPr="00B53F89">
        <w:t>1785 MHz and 1820</w:t>
      </w:r>
      <w:r w:rsidR="009655EF" w:rsidRPr="00B53F89">
        <w:rPr>
          <w:rFonts w:hint="eastAsia"/>
        </w:rPr>
        <w:t>–</w:t>
      </w:r>
      <w:r w:rsidR="009655EF" w:rsidRPr="00B53F89">
        <w:t>1880 MHz</w:t>
      </w:r>
      <w:bookmarkStart w:id="452" w:name="_Hlk16255418"/>
      <w:r w:rsidR="00F61895" w:rsidRPr="00B53F89">
        <w:t>)</w:t>
      </w:r>
    </w:p>
    <w:p w14:paraId="2EFB84D9" w14:textId="40311B37" w:rsidR="00F61895" w:rsidRDefault="00C61075" w:rsidP="00513FDE">
      <w:pPr>
        <w:pStyle w:val="Bulletlevel1"/>
      </w:pPr>
      <w:r w:rsidRPr="00B53F89">
        <w:t>2</w:t>
      </w:r>
      <w:r w:rsidR="00FD7182" w:rsidRPr="00B53F89">
        <w:t>.1</w:t>
      </w:r>
      <w:r w:rsidRPr="00B53F89">
        <w:t xml:space="preserve"> GHz</w:t>
      </w:r>
      <w:r w:rsidR="00FD7182" w:rsidRPr="00B53F89">
        <w:t xml:space="preserve"> apparatus PTS</w:t>
      </w:r>
      <w:r w:rsidR="003D632C" w:rsidRPr="00B53F89">
        <w:t xml:space="preserve"> (</w:t>
      </w:r>
      <w:r w:rsidR="00633E1E" w:rsidRPr="00B53F89">
        <w:t>1920</w:t>
      </w:r>
      <w:r w:rsidR="00243870" w:rsidRPr="00B53F89">
        <w:t>–</w:t>
      </w:r>
      <w:r w:rsidR="00633E1E" w:rsidRPr="00B53F89">
        <w:t xml:space="preserve">1980 </w:t>
      </w:r>
      <w:r w:rsidR="00825E73" w:rsidRPr="00B53F89">
        <w:t xml:space="preserve">MHz </w:t>
      </w:r>
      <w:r w:rsidR="00633E1E" w:rsidRPr="00B53F89">
        <w:t>and 2110</w:t>
      </w:r>
      <w:r w:rsidR="00243870" w:rsidRPr="00B53F89">
        <w:t>–</w:t>
      </w:r>
      <w:r w:rsidR="00633E1E" w:rsidRPr="00B53F89">
        <w:t>2170 MHz</w:t>
      </w:r>
      <w:bookmarkEnd w:id="452"/>
      <w:r w:rsidR="00F61895" w:rsidRPr="00B53F89">
        <w:t>)</w:t>
      </w:r>
    </w:p>
    <w:p w14:paraId="64F173C2" w14:textId="683B4E77" w:rsidR="00F61895" w:rsidRDefault="00C61075" w:rsidP="00513FDE">
      <w:pPr>
        <w:pStyle w:val="Bulletlevel1"/>
      </w:pPr>
      <w:r w:rsidRPr="00B53F89">
        <w:t>2.3 GHz</w:t>
      </w:r>
      <w:r w:rsidR="009655EF" w:rsidRPr="00B53F89">
        <w:t xml:space="preserve"> (2302</w:t>
      </w:r>
      <w:r w:rsidR="003208A0" w:rsidRPr="00B53F89">
        <w:rPr>
          <w:rFonts w:hint="eastAsia"/>
        </w:rPr>
        <w:t>–</w:t>
      </w:r>
      <w:r w:rsidR="009655EF" w:rsidRPr="00B53F89">
        <w:t>2400 MHz</w:t>
      </w:r>
      <w:r w:rsidR="00F61895" w:rsidRPr="00B53F89">
        <w:t>)</w:t>
      </w:r>
    </w:p>
    <w:p w14:paraId="7BDB9FD0" w14:textId="463E07FE" w:rsidR="00F61895" w:rsidRDefault="00C61075" w:rsidP="00513FDE">
      <w:pPr>
        <w:pStyle w:val="Bulletlevel1"/>
      </w:pPr>
      <w:r w:rsidRPr="00B53F89">
        <w:t>3.4 GHz</w:t>
      </w:r>
      <w:r w:rsidR="009655EF" w:rsidRPr="00B53F89">
        <w:t xml:space="preserve"> (3425</w:t>
      </w:r>
      <w:r w:rsidR="003208A0" w:rsidRPr="00B53F89">
        <w:rPr>
          <w:rFonts w:hint="eastAsia"/>
        </w:rPr>
        <w:t>–</w:t>
      </w:r>
      <w:r w:rsidR="009655EF" w:rsidRPr="00B53F89">
        <w:t>3492.5 MHz and 3542.5</w:t>
      </w:r>
      <w:r w:rsidR="003208A0" w:rsidRPr="00B53F89">
        <w:rPr>
          <w:rFonts w:hint="eastAsia"/>
        </w:rPr>
        <w:t>–</w:t>
      </w:r>
      <w:r w:rsidR="009655EF" w:rsidRPr="00B53F89">
        <w:t>3575 MHz)</w:t>
      </w:r>
    </w:p>
    <w:p w14:paraId="0C036E1F" w14:textId="77777777" w:rsidR="00F61895" w:rsidRDefault="00D23F2E" w:rsidP="00513FDE">
      <w:pPr>
        <w:pStyle w:val="Bulletlevel1last"/>
      </w:pPr>
      <w:r w:rsidRPr="00B53F89">
        <w:t>3.6 GHz</w:t>
      </w:r>
      <w:r w:rsidR="009655EF" w:rsidRPr="00B53F89">
        <w:t xml:space="preserve"> (3575</w:t>
      </w:r>
      <w:r w:rsidR="003208A0" w:rsidRPr="00B53F89">
        <w:rPr>
          <w:rFonts w:hint="eastAsia"/>
        </w:rPr>
        <w:t>–</w:t>
      </w:r>
      <w:r w:rsidR="009655EF" w:rsidRPr="00B53F89">
        <w:t>3700 MHz)</w:t>
      </w:r>
      <w:r w:rsidR="00C61075" w:rsidRPr="00B53F89">
        <w:t xml:space="preserve">. </w:t>
      </w:r>
    </w:p>
    <w:p w14:paraId="11067ED7" w14:textId="54C5702B" w:rsidR="00A61888" w:rsidRPr="00B53F89" w:rsidRDefault="00C61075" w:rsidP="00633E1E">
      <w:r w:rsidRPr="00B53F89">
        <w:t xml:space="preserve">This has set the stage </w:t>
      </w:r>
      <w:r w:rsidR="00A61888" w:rsidRPr="00B53F89">
        <w:t xml:space="preserve">not only </w:t>
      </w:r>
      <w:r w:rsidRPr="00B53F89">
        <w:t xml:space="preserve">for </w:t>
      </w:r>
      <w:r w:rsidR="00637513">
        <w:t>service quality enhancements</w:t>
      </w:r>
      <w:r w:rsidR="00A61888" w:rsidRPr="00B53F89">
        <w:t xml:space="preserve"> and greater </w:t>
      </w:r>
      <w:r w:rsidR="00637513">
        <w:t xml:space="preserve">service </w:t>
      </w:r>
      <w:r w:rsidR="00A61888" w:rsidRPr="00B53F89">
        <w:t>choice for consumers</w:t>
      </w:r>
      <w:r w:rsidR="00CD20C4" w:rsidRPr="00B53F89">
        <w:t xml:space="preserve">, </w:t>
      </w:r>
      <w:r w:rsidR="00F41CDB" w:rsidRPr="00B53F89">
        <w:t>bu</w:t>
      </w:r>
      <w:r w:rsidR="00A61888" w:rsidRPr="00B53F89">
        <w:t xml:space="preserve">t also </w:t>
      </w:r>
      <w:r w:rsidR="00F61895">
        <w:t xml:space="preserve">for </w:t>
      </w:r>
      <w:r w:rsidR="00A61888" w:rsidRPr="00B53F89">
        <w:t>increase</w:t>
      </w:r>
      <w:r w:rsidR="00637513">
        <w:t>d</w:t>
      </w:r>
      <w:r w:rsidR="00A61888" w:rsidRPr="00B53F89">
        <w:t xml:space="preserve"> opportunities for licensees to undertak</w:t>
      </w:r>
      <w:r w:rsidR="001C2180" w:rsidRPr="00B53F89">
        <w:t>e</w:t>
      </w:r>
      <w:r w:rsidR="00A61888" w:rsidRPr="00B53F89">
        <w:t xml:space="preserve"> trading and contribute to defragmentation in some bands, allowing more efficient use of spectrum.</w:t>
      </w:r>
    </w:p>
    <w:p w14:paraId="40BF17EC" w14:textId="0FD4BDD1" w:rsidR="000220F0" w:rsidRDefault="008F041B" w:rsidP="000220F0">
      <w:r w:rsidRPr="000220F0">
        <w:t xml:space="preserve">Following the proposed </w:t>
      </w:r>
      <w:r w:rsidR="003F4B80" w:rsidRPr="000220F0">
        <w:t>series of timing and sequencing options for allocations planned over the next few years</w:t>
      </w:r>
      <w:r w:rsidRPr="000220F0">
        <w:t xml:space="preserve"> that </w:t>
      </w:r>
      <w:r w:rsidR="00825E73">
        <w:t>were</w:t>
      </w:r>
      <w:r w:rsidR="00825E73" w:rsidRPr="000220F0">
        <w:t xml:space="preserve"> </w:t>
      </w:r>
      <w:r w:rsidRPr="000220F0">
        <w:t xml:space="preserve">published in the FYSO </w:t>
      </w:r>
      <w:r w:rsidR="00FD47C3" w:rsidRPr="000220F0">
        <w:t>2019</w:t>
      </w:r>
      <w:r w:rsidR="00F61895" w:rsidRPr="000220F0">
        <w:t>–</w:t>
      </w:r>
      <w:r w:rsidR="00FD47C3" w:rsidRPr="000220F0">
        <w:t>23</w:t>
      </w:r>
      <w:r w:rsidRPr="000220F0">
        <w:t xml:space="preserve">, we updated the forward allocation </w:t>
      </w:r>
      <w:r w:rsidR="0088477E" w:rsidRPr="000220F0">
        <w:t xml:space="preserve">plan </w:t>
      </w:r>
      <w:r w:rsidR="00C958F9">
        <w:t>in the draft FYSO 2020</w:t>
      </w:r>
      <w:r w:rsidR="00F774CF" w:rsidRPr="00F774CF">
        <w:t>–</w:t>
      </w:r>
      <w:r w:rsidR="00C958F9">
        <w:t xml:space="preserve">24 </w:t>
      </w:r>
      <w:r w:rsidR="00FD47C3" w:rsidRPr="000220F0">
        <w:t xml:space="preserve">and </w:t>
      </w:r>
      <w:r w:rsidR="00C958F9">
        <w:t>sought</w:t>
      </w:r>
      <w:r w:rsidR="00FD47C3" w:rsidRPr="000220F0">
        <w:t xml:space="preserve"> stakeholder feedback</w:t>
      </w:r>
      <w:r w:rsidR="000220F0" w:rsidRPr="000220F0">
        <w:t>.</w:t>
      </w:r>
      <w:bookmarkStart w:id="453" w:name="_Toc510104964"/>
      <w:bookmarkStart w:id="454" w:name="_Toc510105761"/>
      <w:bookmarkStart w:id="455" w:name="_Toc510795093"/>
      <w:bookmarkStart w:id="456" w:name="_Toc511716294"/>
      <w:bookmarkStart w:id="457" w:name="_Toc511719105"/>
      <w:bookmarkStart w:id="458" w:name="_Toc522794098"/>
      <w:bookmarkStart w:id="459" w:name="_Toc31892829"/>
      <w:bookmarkStart w:id="460" w:name="_Toc36207446"/>
    </w:p>
    <w:p w14:paraId="5BFEF011" w14:textId="2E1D9A8E" w:rsidR="003F4B80" w:rsidRPr="00B53F89" w:rsidRDefault="003F4B80" w:rsidP="000220F0">
      <w:pPr>
        <w:pStyle w:val="Heading2"/>
      </w:pPr>
      <w:bookmarkStart w:id="461" w:name="_Toc51846293"/>
      <w:bookmarkStart w:id="462" w:name="_Toc51864367"/>
      <w:r w:rsidRPr="00B53F89">
        <w:lastRenderedPageBreak/>
        <w:t>What we</w:t>
      </w:r>
      <w:r w:rsidR="005D49BC">
        <w:t xml:space="preserve"> are</w:t>
      </w:r>
      <w:r w:rsidRPr="00B53F89">
        <w:t xml:space="preserve"> proposing</w:t>
      </w:r>
      <w:bookmarkEnd w:id="453"/>
      <w:bookmarkEnd w:id="454"/>
      <w:bookmarkEnd w:id="455"/>
      <w:bookmarkEnd w:id="456"/>
      <w:bookmarkEnd w:id="457"/>
      <w:bookmarkEnd w:id="458"/>
      <w:bookmarkEnd w:id="459"/>
      <w:bookmarkEnd w:id="460"/>
      <w:bookmarkEnd w:id="461"/>
      <w:bookmarkEnd w:id="462"/>
    </w:p>
    <w:p w14:paraId="672AD33E" w14:textId="357657F7" w:rsidR="003F4B80" w:rsidRPr="00B53F89" w:rsidRDefault="005234FD" w:rsidP="0000565B">
      <w:pPr>
        <w:keepNext/>
      </w:pPr>
      <w:r w:rsidRPr="00B53F89">
        <w:t>T</w:t>
      </w:r>
      <w:r w:rsidR="003F4B80" w:rsidRPr="00B53F89">
        <w:t xml:space="preserve">he set of spectrum bands </w:t>
      </w:r>
      <w:r w:rsidR="002026C0" w:rsidRPr="00B53F89">
        <w:t xml:space="preserve">under consideration for potential </w:t>
      </w:r>
      <w:r w:rsidR="003F4B80" w:rsidRPr="00B53F89">
        <w:t xml:space="preserve">future </w:t>
      </w:r>
      <w:r w:rsidR="001B12D2" w:rsidRPr="00B53F89">
        <w:rPr>
          <w:rFonts w:cs="Arial"/>
        </w:rPr>
        <w:t>major allocations</w:t>
      </w:r>
      <w:r w:rsidR="001B12D2" w:rsidRPr="00B53F89" w:rsidDel="001B12D2">
        <w:t xml:space="preserve"> </w:t>
      </w:r>
      <w:r w:rsidR="003F4B80" w:rsidRPr="00B53F89">
        <w:t>is outlined in Table</w:t>
      </w:r>
      <w:r w:rsidR="00D71281" w:rsidRPr="00B53F89">
        <w:t xml:space="preserve"> </w:t>
      </w:r>
      <w:r w:rsidR="00196553" w:rsidRPr="00B53F89">
        <w:t>1</w:t>
      </w:r>
      <w:r w:rsidR="00D71281" w:rsidRPr="00B53F89">
        <w:t>0</w:t>
      </w:r>
      <w:r w:rsidR="004047DA" w:rsidRPr="00B53F89">
        <w:t>.</w:t>
      </w:r>
      <w:r w:rsidR="003F4B80" w:rsidRPr="00B53F89">
        <w:t xml:space="preserve"> </w:t>
      </w:r>
    </w:p>
    <w:p w14:paraId="70F6EA28" w14:textId="6A86E9DF" w:rsidR="00585FB9" w:rsidRPr="00B53F89" w:rsidRDefault="00585FB9" w:rsidP="00A10BF6">
      <w:pPr>
        <w:pStyle w:val="ACMATableHeader"/>
      </w:pPr>
      <w:r w:rsidRPr="00B53F89">
        <w:t>Spectrum b</w:t>
      </w:r>
      <w:r w:rsidRPr="00913721">
        <w:t>ands under consideration</w:t>
      </w:r>
      <w:r w:rsidR="0093278E" w:rsidRPr="00913721">
        <w:t xml:space="preserve"> for </w:t>
      </w:r>
      <w:r w:rsidR="00A13E17" w:rsidRPr="00913721">
        <w:t>potential future</w:t>
      </w:r>
      <w:r w:rsidR="0093278E" w:rsidRPr="00913721">
        <w:t xml:space="preserve"> allocations</w:t>
      </w:r>
      <w:r w:rsidR="00825E73" w:rsidRPr="006A2F04">
        <w:rPr>
          <w:noProof/>
        </w:rPr>
        <w:drawing>
          <wp:inline distT="0" distB="0" distL="0" distR="0" wp14:anchorId="0C1A6376" wp14:editId="6B664EA0">
            <wp:extent cx="244475" cy="140335"/>
            <wp:effectExtent l="0" t="0" r="3175" b="0"/>
            <wp:docPr id="276" name="Picture 276"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tbl>
      <w:tblPr>
        <w:tblW w:w="5000" w:type="pct"/>
        <w:tblCellMar>
          <w:top w:w="57" w:type="dxa"/>
          <w:left w:w="57" w:type="dxa"/>
          <w:bottom w:w="57" w:type="dxa"/>
          <w:right w:w="57" w:type="dxa"/>
        </w:tblCellMar>
        <w:tblLook w:val="04A0" w:firstRow="1" w:lastRow="0" w:firstColumn="1" w:lastColumn="0" w:noHBand="0" w:noVBand="1"/>
        <w:tblCaption w:val="Spectrum bands currently being considered for allocation"/>
        <w:tblDescription w:val="Table includes information about multi-band residual lots, 3.6 GHz band, 850 MHz band, 900 MHz band, mmWave band and 1.5 GHz band."/>
      </w:tblPr>
      <w:tblGrid>
        <w:gridCol w:w="1272"/>
        <w:gridCol w:w="1685"/>
        <w:gridCol w:w="1581"/>
        <w:gridCol w:w="3123"/>
      </w:tblGrid>
      <w:tr w:rsidR="00585FB9" w:rsidRPr="00B53F89" w14:paraId="44DE40DA" w14:textId="77777777" w:rsidTr="00DE694D">
        <w:trPr>
          <w:tblHeader/>
        </w:trPr>
        <w:tc>
          <w:tcPr>
            <w:tcW w:w="830"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4B81EB4E" w14:textId="77777777" w:rsidR="00585FB9" w:rsidRPr="00B53F89" w:rsidRDefault="00585FB9" w:rsidP="00B747E1">
            <w:pPr>
              <w:pStyle w:val="TableHeading"/>
            </w:pPr>
            <w:r w:rsidRPr="00B53F89">
              <w:t>Band name</w:t>
            </w:r>
          </w:p>
        </w:tc>
        <w:tc>
          <w:tcPr>
            <w:tcW w:w="1100"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522CE308" w14:textId="3476D809" w:rsidR="00585FB9" w:rsidRPr="00B53F89" w:rsidRDefault="00585FB9" w:rsidP="00B747E1">
            <w:pPr>
              <w:pStyle w:val="TableHeading"/>
            </w:pPr>
            <w:r w:rsidRPr="00B53F89">
              <w:t>Spectrum parameters</w:t>
            </w:r>
          </w:p>
        </w:tc>
        <w:tc>
          <w:tcPr>
            <w:tcW w:w="1032"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1F0E7FA0" w14:textId="77777777" w:rsidR="00585FB9" w:rsidRPr="00B53F89" w:rsidRDefault="00585FB9" w:rsidP="00B747E1">
            <w:pPr>
              <w:pStyle w:val="TableHeading"/>
            </w:pPr>
            <w:r w:rsidRPr="00B53F89">
              <w:t>Current use</w:t>
            </w:r>
          </w:p>
        </w:tc>
        <w:tc>
          <w:tcPr>
            <w:tcW w:w="2038"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0A42EF2D" w14:textId="77777777" w:rsidR="00585FB9" w:rsidRPr="00B53F89" w:rsidRDefault="00585FB9" w:rsidP="00B747E1">
            <w:pPr>
              <w:pStyle w:val="TableHeading"/>
            </w:pPr>
            <w:r w:rsidRPr="00B53F89">
              <w:t>Comments</w:t>
            </w:r>
          </w:p>
        </w:tc>
      </w:tr>
      <w:tr w:rsidR="00D22603" w:rsidRPr="00B53F89" w14:paraId="372F35B3"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FFFFFF" w:themeFill="background1"/>
          </w:tcPr>
          <w:p w14:paraId="21FFD4F4" w14:textId="6A3F307F" w:rsidR="00D22603" w:rsidRPr="00B53F89" w:rsidRDefault="00D22603" w:rsidP="00D22603">
            <w:pPr>
              <w:spacing w:after="0"/>
              <w:rPr>
                <w:szCs w:val="20"/>
              </w:rPr>
            </w:pPr>
            <w:r>
              <w:rPr>
                <w:szCs w:val="20"/>
              </w:rPr>
              <w:t>26 GHz band</w:t>
            </w:r>
          </w:p>
        </w:tc>
        <w:tc>
          <w:tcPr>
            <w:tcW w:w="1100" w:type="pct"/>
            <w:tcBorders>
              <w:top w:val="single" w:sz="4" w:space="0" w:color="auto"/>
              <w:left w:val="single" w:sz="4" w:space="0" w:color="auto"/>
              <w:bottom w:val="single" w:sz="4" w:space="0" w:color="auto"/>
              <w:right w:val="single" w:sz="4" w:space="0" w:color="auto"/>
            </w:tcBorders>
            <w:shd w:val="clear" w:color="auto" w:fill="FFFFFF" w:themeFill="background1"/>
          </w:tcPr>
          <w:p w14:paraId="6E994EA2" w14:textId="01FCEAE0" w:rsidR="00D22603" w:rsidRPr="00B53F89" w:rsidRDefault="00D22603" w:rsidP="00D22603">
            <w:pPr>
              <w:spacing w:after="0"/>
              <w:rPr>
                <w:szCs w:val="20"/>
              </w:rPr>
            </w:pPr>
            <w:r>
              <w:t>24.25</w:t>
            </w:r>
            <w:r w:rsidRPr="00B53F89">
              <w:rPr>
                <w:szCs w:val="20"/>
              </w:rPr>
              <w:t>–</w:t>
            </w:r>
            <w:r>
              <w:t>27.5</w:t>
            </w:r>
            <w:r w:rsidR="00825E73">
              <w:t xml:space="preserve"> GHz</w:t>
            </w:r>
          </w:p>
        </w:tc>
        <w:tc>
          <w:tcPr>
            <w:tcW w:w="1032" w:type="pct"/>
            <w:tcBorders>
              <w:top w:val="single" w:sz="4" w:space="0" w:color="auto"/>
              <w:left w:val="single" w:sz="4" w:space="0" w:color="auto"/>
              <w:bottom w:val="single" w:sz="4" w:space="0" w:color="auto"/>
              <w:right w:val="single" w:sz="4" w:space="0" w:color="auto"/>
            </w:tcBorders>
            <w:shd w:val="clear" w:color="auto" w:fill="FFFFFF" w:themeFill="background1"/>
          </w:tcPr>
          <w:p w14:paraId="0A6A8D53" w14:textId="4C2042E4" w:rsidR="00D22603" w:rsidRPr="00B53F89" w:rsidRDefault="00825E73" w:rsidP="00D22603">
            <w:pPr>
              <w:spacing w:after="0"/>
              <w:rPr>
                <w:szCs w:val="20"/>
              </w:rPr>
            </w:pPr>
            <w:r>
              <w:rPr>
                <w:szCs w:val="20"/>
              </w:rPr>
              <w:t>n/a</w:t>
            </w:r>
          </w:p>
        </w:tc>
        <w:tc>
          <w:tcPr>
            <w:tcW w:w="2038" w:type="pct"/>
            <w:tcBorders>
              <w:top w:val="single" w:sz="4" w:space="0" w:color="auto"/>
              <w:left w:val="single" w:sz="4" w:space="0" w:color="auto"/>
              <w:bottom w:val="single" w:sz="4" w:space="0" w:color="auto"/>
              <w:right w:val="single" w:sz="4" w:space="0" w:color="auto"/>
            </w:tcBorders>
            <w:shd w:val="clear" w:color="auto" w:fill="FFFFFF" w:themeFill="background1"/>
          </w:tcPr>
          <w:p w14:paraId="34BC4EFE" w14:textId="7C238FFB" w:rsidR="00D22603" w:rsidRPr="00B53F89" w:rsidRDefault="00D22603" w:rsidP="00D22603">
            <w:pPr>
              <w:spacing w:after="40"/>
              <w:rPr>
                <w:szCs w:val="20"/>
              </w:rPr>
            </w:pPr>
            <w:r>
              <w:rPr>
                <w:szCs w:val="20"/>
              </w:rPr>
              <w:t xml:space="preserve">We are establishing arrangements </w:t>
            </w:r>
            <w:r>
              <w:t>for class, apparatus and spectrum licensing in the 26 GHz band to facilitate a broad range of wireless broadband use</w:t>
            </w:r>
            <w:r w:rsidR="00CC5C49">
              <w:t>-</w:t>
            </w:r>
            <w:r>
              <w:t xml:space="preserve">cases. We expect apparatus licences to be available from Q4 2020, with an auction of spectrum licences expected to commence in </w:t>
            </w:r>
            <w:r w:rsidR="004E52CA" w:rsidRPr="004E52CA">
              <w:t>Q1–2 2021 (noting Easter)</w:t>
            </w:r>
            <w:r w:rsidR="00825E73">
              <w:t>.</w:t>
            </w:r>
          </w:p>
        </w:tc>
      </w:tr>
      <w:tr w:rsidR="00D22603" w:rsidRPr="00B53F89" w14:paraId="485F47DB" w14:textId="77777777" w:rsidTr="008450FA">
        <w:tc>
          <w:tcPr>
            <w:tcW w:w="83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92BDC2F" w14:textId="6160E929" w:rsidR="00D22603" w:rsidRPr="00B53F89" w:rsidRDefault="00B03328" w:rsidP="00D22603">
            <w:pPr>
              <w:spacing w:after="0"/>
              <w:rPr>
                <w:szCs w:val="20"/>
              </w:rPr>
            </w:pPr>
            <w:r w:rsidRPr="00B53F89">
              <w:rPr>
                <w:szCs w:val="20"/>
              </w:rPr>
              <w:t>28 GHz band</w:t>
            </w:r>
          </w:p>
        </w:tc>
        <w:tc>
          <w:tcPr>
            <w:tcW w:w="110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2AACDD8" w14:textId="67D6F68A" w:rsidR="00D22603" w:rsidRPr="00B53F89" w:rsidRDefault="00B03328" w:rsidP="00D22603">
            <w:pPr>
              <w:spacing w:after="0"/>
              <w:rPr>
                <w:szCs w:val="20"/>
              </w:rPr>
            </w:pPr>
            <w:r w:rsidRPr="00B53F89">
              <w:t>27.5–29.5 GHz</w:t>
            </w:r>
          </w:p>
        </w:tc>
        <w:tc>
          <w:tcPr>
            <w:tcW w:w="1032"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DA797FC" w14:textId="79D20E1E" w:rsidR="00D22603" w:rsidRPr="00B53F89" w:rsidRDefault="00B03328" w:rsidP="00D22603">
            <w:pPr>
              <w:spacing w:after="0"/>
              <w:rPr>
                <w:szCs w:val="20"/>
              </w:rPr>
            </w:pPr>
            <w:r w:rsidRPr="00B53F89">
              <w:rPr>
                <w:szCs w:val="20"/>
              </w:rPr>
              <w:t xml:space="preserve">FSS, </w:t>
            </w:r>
            <w:r>
              <w:rPr>
                <w:szCs w:val="20"/>
              </w:rPr>
              <w:t>f</w:t>
            </w:r>
            <w:r w:rsidRPr="00B53F89">
              <w:rPr>
                <w:szCs w:val="20"/>
              </w:rPr>
              <w:t>ixed point-to-</w:t>
            </w:r>
            <w:r>
              <w:rPr>
                <w:szCs w:val="20"/>
              </w:rPr>
              <w:t>multi</w:t>
            </w:r>
            <w:r w:rsidRPr="00B53F89">
              <w:rPr>
                <w:szCs w:val="20"/>
              </w:rPr>
              <w:t>point, body scanner</w:t>
            </w:r>
            <w:r w:rsidR="00C36500">
              <w:rPr>
                <w:szCs w:val="20"/>
              </w:rPr>
              <w:t xml:space="preserve"> </w:t>
            </w:r>
          </w:p>
        </w:tc>
        <w:tc>
          <w:tcPr>
            <w:tcW w:w="2038"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17E6115" w14:textId="3546D7D0" w:rsidR="00D22603" w:rsidRPr="00B53F89" w:rsidRDefault="00B03328" w:rsidP="00D22603">
            <w:pPr>
              <w:spacing w:after="40"/>
              <w:rPr>
                <w:szCs w:val="20"/>
              </w:rPr>
            </w:pPr>
            <w:r>
              <w:rPr>
                <w:szCs w:val="20"/>
              </w:rPr>
              <w:t>We</w:t>
            </w:r>
            <w:r w:rsidRPr="002C65C9">
              <w:rPr>
                <w:szCs w:val="20"/>
              </w:rPr>
              <w:t xml:space="preserve"> will consult on proposed arrangements in </w:t>
            </w:r>
            <w:r>
              <w:rPr>
                <w:szCs w:val="20"/>
              </w:rPr>
              <w:t>Q3</w:t>
            </w:r>
            <w:r w:rsidR="00D94151">
              <w:rPr>
                <w:szCs w:val="20"/>
              </w:rPr>
              <w:t>–</w:t>
            </w:r>
            <w:r w:rsidR="005A0715">
              <w:rPr>
                <w:szCs w:val="20"/>
              </w:rPr>
              <w:t>4</w:t>
            </w:r>
            <w:r>
              <w:rPr>
                <w:szCs w:val="20"/>
              </w:rPr>
              <w:t xml:space="preserve"> </w:t>
            </w:r>
            <w:r w:rsidRPr="002C65C9">
              <w:rPr>
                <w:szCs w:val="20"/>
              </w:rPr>
              <w:t>2020</w:t>
            </w:r>
            <w:r w:rsidR="00C36500">
              <w:rPr>
                <w:szCs w:val="20"/>
              </w:rPr>
              <w:t>, including changes to the CSO class licence for frequencies below 28.3 GHz</w:t>
            </w:r>
            <w:r w:rsidR="00CA72D5">
              <w:rPr>
                <w:szCs w:val="20"/>
              </w:rPr>
              <w:t>.</w:t>
            </w:r>
          </w:p>
        </w:tc>
      </w:tr>
      <w:tr w:rsidR="00445F0B" w:rsidRPr="00B53F89" w14:paraId="36EAC64E"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FFFFFF" w:themeFill="background1"/>
          </w:tcPr>
          <w:p w14:paraId="1D6ACB2E" w14:textId="4AD5394B" w:rsidR="00445F0B" w:rsidRPr="00B53F89" w:rsidRDefault="00445F0B" w:rsidP="00445F0B">
            <w:pPr>
              <w:spacing w:after="0"/>
              <w:rPr>
                <w:szCs w:val="20"/>
              </w:rPr>
            </w:pPr>
            <w:r w:rsidRPr="00B53F89">
              <w:rPr>
                <w:szCs w:val="20"/>
              </w:rPr>
              <w:t xml:space="preserve">850 MHz </w:t>
            </w:r>
            <w:r w:rsidR="00545114" w:rsidRPr="00B53F89">
              <w:rPr>
                <w:szCs w:val="20"/>
              </w:rPr>
              <w:t xml:space="preserve">expansion </w:t>
            </w:r>
            <w:r w:rsidRPr="00B53F89">
              <w:rPr>
                <w:szCs w:val="20"/>
              </w:rPr>
              <w:t>band</w:t>
            </w:r>
          </w:p>
        </w:tc>
        <w:tc>
          <w:tcPr>
            <w:tcW w:w="1100" w:type="pct"/>
            <w:tcBorders>
              <w:top w:val="single" w:sz="4" w:space="0" w:color="auto"/>
              <w:left w:val="single" w:sz="4" w:space="0" w:color="auto"/>
              <w:bottom w:val="single" w:sz="4" w:space="0" w:color="auto"/>
              <w:right w:val="single" w:sz="4" w:space="0" w:color="auto"/>
            </w:tcBorders>
            <w:shd w:val="clear" w:color="auto" w:fill="FFFFFF" w:themeFill="background1"/>
          </w:tcPr>
          <w:p w14:paraId="25017157" w14:textId="2033F8C1" w:rsidR="00445F0B" w:rsidRPr="00B53F89" w:rsidRDefault="00445F0B" w:rsidP="00445F0B">
            <w:pPr>
              <w:spacing w:after="0"/>
              <w:rPr>
                <w:szCs w:val="20"/>
              </w:rPr>
            </w:pPr>
            <w:r w:rsidRPr="00B53F89">
              <w:rPr>
                <w:szCs w:val="20"/>
              </w:rPr>
              <w:t xml:space="preserve">809–824 MHz and </w:t>
            </w:r>
            <w:r w:rsidR="00FA7A83" w:rsidRPr="00B53F89">
              <w:rPr>
                <w:szCs w:val="20"/>
              </w:rPr>
              <w:br/>
            </w:r>
            <w:r w:rsidRPr="00B53F89">
              <w:rPr>
                <w:szCs w:val="20"/>
              </w:rPr>
              <w:t>85</w:t>
            </w:r>
            <w:r w:rsidR="000718EC" w:rsidRPr="00B53F89">
              <w:rPr>
                <w:szCs w:val="20"/>
              </w:rPr>
              <w:t>4</w:t>
            </w:r>
            <w:r w:rsidRPr="00B53F89">
              <w:rPr>
                <w:szCs w:val="20"/>
              </w:rPr>
              <w:t>–8</w:t>
            </w:r>
            <w:r w:rsidR="000718EC" w:rsidRPr="00B53F89">
              <w:rPr>
                <w:szCs w:val="20"/>
              </w:rPr>
              <w:t>69</w:t>
            </w:r>
            <w:r w:rsidRPr="00B53F89">
              <w:rPr>
                <w:szCs w:val="20"/>
              </w:rPr>
              <w:t xml:space="preserve"> MHz</w:t>
            </w:r>
          </w:p>
        </w:tc>
        <w:tc>
          <w:tcPr>
            <w:tcW w:w="1032" w:type="pct"/>
            <w:tcBorders>
              <w:top w:val="single" w:sz="4" w:space="0" w:color="auto"/>
              <w:left w:val="single" w:sz="4" w:space="0" w:color="auto"/>
              <w:bottom w:val="single" w:sz="4" w:space="0" w:color="auto"/>
              <w:right w:val="single" w:sz="4" w:space="0" w:color="auto"/>
            </w:tcBorders>
            <w:shd w:val="clear" w:color="auto" w:fill="FFFFFF" w:themeFill="background1"/>
          </w:tcPr>
          <w:p w14:paraId="4365D0FA" w14:textId="1BFA91C9" w:rsidR="00445F0B" w:rsidRPr="00B53F89" w:rsidRDefault="00445F0B" w:rsidP="00445F0B">
            <w:pPr>
              <w:spacing w:after="0"/>
              <w:rPr>
                <w:szCs w:val="20"/>
              </w:rPr>
            </w:pPr>
            <w:r w:rsidRPr="00B53F89">
              <w:rPr>
                <w:szCs w:val="20"/>
              </w:rPr>
              <w:t>Fixed links</w:t>
            </w:r>
            <w:r w:rsidR="005428EA" w:rsidRPr="00B53F89">
              <w:rPr>
                <w:szCs w:val="20"/>
              </w:rPr>
              <w:t xml:space="preserve"> point-to-point</w:t>
            </w:r>
            <w:r w:rsidRPr="00B53F89">
              <w:rPr>
                <w:szCs w:val="20"/>
              </w:rPr>
              <w:t>, point-to-multipoint, land mobile</w:t>
            </w:r>
          </w:p>
        </w:tc>
        <w:tc>
          <w:tcPr>
            <w:tcW w:w="2038" w:type="pct"/>
            <w:tcBorders>
              <w:top w:val="single" w:sz="4" w:space="0" w:color="auto"/>
              <w:left w:val="single" w:sz="4" w:space="0" w:color="auto"/>
              <w:bottom w:val="single" w:sz="4" w:space="0" w:color="auto"/>
              <w:right w:val="single" w:sz="4" w:space="0" w:color="auto"/>
            </w:tcBorders>
            <w:shd w:val="clear" w:color="auto" w:fill="FFFFFF" w:themeFill="background1"/>
          </w:tcPr>
          <w:p w14:paraId="2C79C13B" w14:textId="60A49870" w:rsidR="00BA4904" w:rsidRDefault="00445F0B" w:rsidP="008450FA">
            <w:pPr>
              <w:spacing w:after="120"/>
              <w:rPr>
                <w:szCs w:val="20"/>
              </w:rPr>
            </w:pPr>
            <w:r w:rsidRPr="00B53F89">
              <w:rPr>
                <w:szCs w:val="20"/>
              </w:rPr>
              <w:t xml:space="preserve">Decision to re-farm </w:t>
            </w:r>
            <w:r w:rsidR="002616CF" w:rsidRPr="00B53F89">
              <w:rPr>
                <w:szCs w:val="20"/>
              </w:rPr>
              <w:t xml:space="preserve">optimised for </w:t>
            </w:r>
            <w:r w:rsidR="0072787A" w:rsidRPr="00B53F89">
              <w:rPr>
                <w:szCs w:val="20"/>
              </w:rPr>
              <w:t>wireless</w:t>
            </w:r>
            <w:r w:rsidR="002616CF" w:rsidRPr="00B53F89">
              <w:rPr>
                <w:szCs w:val="20"/>
              </w:rPr>
              <w:t xml:space="preserve"> broadband was </w:t>
            </w:r>
            <w:r w:rsidRPr="00B53F89">
              <w:rPr>
                <w:szCs w:val="20"/>
              </w:rPr>
              <w:t xml:space="preserve">made </w:t>
            </w:r>
            <w:r w:rsidR="00C107F5" w:rsidRPr="00B53F89">
              <w:rPr>
                <w:szCs w:val="20"/>
              </w:rPr>
              <w:t>in November 2015. C</w:t>
            </w:r>
            <w:r w:rsidRPr="00B53F89">
              <w:rPr>
                <w:szCs w:val="20"/>
              </w:rPr>
              <w:t xml:space="preserve">learance process </w:t>
            </w:r>
            <w:r w:rsidR="00C107F5" w:rsidRPr="00B53F89">
              <w:rPr>
                <w:szCs w:val="20"/>
              </w:rPr>
              <w:t xml:space="preserve">extends </w:t>
            </w:r>
            <w:r w:rsidRPr="00B53F89">
              <w:rPr>
                <w:szCs w:val="20"/>
              </w:rPr>
              <w:t>to 2024</w:t>
            </w:r>
            <w:r w:rsidR="00F61895">
              <w:rPr>
                <w:szCs w:val="20"/>
              </w:rPr>
              <w:t>.</w:t>
            </w:r>
          </w:p>
          <w:p w14:paraId="340ECD67" w14:textId="0CD84AF4" w:rsidR="00445F0B" w:rsidRPr="00B53F89" w:rsidRDefault="00BA4904" w:rsidP="00CA72D5">
            <w:pPr>
              <w:spacing w:after="0"/>
              <w:rPr>
                <w:szCs w:val="20"/>
              </w:rPr>
            </w:pPr>
            <w:r>
              <w:rPr>
                <w:szCs w:val="20"/>
              </w:rPr>
              <w:t>We consulted on a draft reallocation recommendation in Q2 2020</w:t>
            </w:r>
            <w:r w:rsidR="00C4034C">
              <w:rPr>
                <w:szCs w:val="20"/>
              </w:rPr>
              <w:t>.</w:t>
            </w:r>
            <w:r>
              <w:rPr>
                <w:szCs w:val="20"/>
              </w:rPr>
              <w:t xml:space="preserve"> </w:t>
            </w:r>
            <w:r w:rsidR="00C4034C">
              <w:rPr>
                <w:szCs w:val="20"/>
              </w:rPr>
              <w:t>If</w:t>
            </w:r>
            <w:r w:rsidR="0077499E">
              <w:rPr>
                <w:szCs w:val="20"/>
              </w:rPr>
              <w:t xml:space="preserve"> the Minister</w:t>
            </w:r>
            <w:r w:rsidR="00C4034C">
              <w:rPr>
                <w:szCs w:val="20"/>
              </w:rPr>
              <w:t xml:space="preserve"> decides to reallocate spectrum, we will consult on draft allocation instruments in Q1–2 2021</w:t>
            </w:r>
            <w:r w:rsidR="00B35964">
              <w:rPr>
                <w:szCs w:val="20"/>
              </w:rPr>
              <w:t>.</w:t>
            </w:r>
          </w:p>
        </w:tc>
      </w:tr>
      <w:tr w:rsidR="00585FB9" w:rsidRPr="00B53F89" w14:paraId="41402908" w14:textId="77777777" w:rsidTr="0000565B">
        <w:tc>
          <w:tcPr>
            <w:tcW w:w="83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C668AA" w14:textId="01B3AA0F" w:rsidR="00585FB9" w:rsidRPr="00B53F89" w:rsidRDefault="00585FB9" w:rsidP="00585FB9">
            <w:pPr>
              <w:spacing w:after="0"/>
              <w:rPr>
                <w:szCs w:val="20"/>
              </w:rPr>
            </w:pPr>
            <w:r w:rsidRPr="00B53F89">
              <w:rPr>
                <w:szCs w:val="20"/>
              </w:rPr>
              <w:t>900 MHz band</w:t>
            </w:r>
          </w:p>
        </w:tc>
        <w:tc>
          <w:tcPr>
            <w:tcW w:w="110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1AA22CA" w14:textId="77777777" w:rsidR="00585FB9" w:rsidRPr="00B53F89" w:rsidRDefault="00585FB9" w:rsidP="00585FB9">
            <w:pPr>
              <w:spacing w:after="0"/>
              <w:rPr>
                <w:szCs w:val="20"/>
              </w:rPr>
            </w:pPr>
            <w:r w:rsidRPr="00B53F89">
              <w:rPr>
                <w:szCs w:val="20"/>
              </w:rPr>
              <w:t xml:space="preserve">890–915 MHz and </w:t>
            </w:r>
            <w:r w:rsidR="00FA7A83" w:rsidRPr="00B53F89">
              <w:rPr>
                <w:szCs w:val="20"/>
              </w:rPr>
              <w:br/>
            </w:r>
            <w:r w:rsidRPr="00B53F89">
              <w:rPr>
                <w:szCs w:val="20"/>
              </w:rPr>
              <w:t>935–960 MHz</w:t>
            </w:r>
          </w:p>
        </w:tc>
        <w:tc>
          <w:tcPr>
            <w:tcW w:w="1032"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70581D7" w14:textId="45D6E755" w:rsidR="00585FB9" w:rsidRPr="00B53F89" w:rsidRDefault="00585FB9" w:rsidP="00585FB9">
            <w:pPr>
              <w:spacing w:after="0"/>
              <w:rPr>
                <w:szCs w:val="20"/>
              </w:rPr>
            </w:pPr>
            <w:r w:rsidRPr="00B53F89">
              <w:rPr>
                <w:szCs w:val="20"/>
              </w:rPr>
              <w:t>3G, 4G</w:t>
            </w:r>
          </w:p>
        </w:tc>
        <w:tc>
          <w:tcPr>
            <w:tcW w:w="2038"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41A9DF0" w14:textId="4135A801" w:rsidR="00585FB9" w:rsidRDefault="00F61895" w:rsidP="008450FA">
            <w:pPr>
              <w:spacing w:after="120"/>
              <w:rPr>
                <w:szCs w:val="20"/>
              </w:rPr>
            </w:pPr>
            <w:r>
              <w:rPr>
                <w:szCs w:val="20"/>
              </w:rPr>
              <w:t>I</w:t>
            </w:r>
            <w:r w:rsidR="008413A9">
              <w:rPr>
                <w:szCs w:val="20"/>
              </w:rPr>
              <w:t>n December 2019</w:t>
            </w:r>
            <w:r>
              <w:rPr>
                <w:szCs w:val="20"/>
              </w:rPr>
              <w:t>, we released</w:t>
            </w:r>
            <w:r w:rsidR="008413A9">
              <w:rPr>
                <w:szCs w:val="20"/>
              </w:rPr>
              <w:t xml:space="preserve"> a decision paper </w:t>
            </w:r>
            <w:r w:rsidR="00825E73">
              <w:rPr>
                <w:szCs w:val="20"/>
              </w:rPr>
              <w:t>recommending</w:t>
            </w:r>
            <w:r w:rsidR="008413A9">
              <w:rPr>
                <w:szCs w:val="20"/>
              </w:rPr>
              <w:t xml:space="preserve"> the </w:t>
            </w:r>
            <w:r w:rsidR="008413A9" w:rsidRPr="008413A9">
              <w:rPr>
                <w:szCs w:val="20"/>
              </w:rPr>
              <w:t xml:space="preserve">best way to achieve reconfiguration of the 900 MHz band </w:t>
            </w:r>
            <w:r w:rsidR="00825E73">
              <w:rPr>
                <w:szCs w:val="20"/>
              </w:rPr>
              <w:t>was</w:t>
            </w:r>
            <w:r w:rsidR="008413A9" w:rsidRPr="008413A9">
              <w:rPr>
                <w:szCs w:val="20"/>
              </w:rPr>
              <w:t xml:space="preserve"> to undertake a band clearance and price-based allocation in conjunction with an allocation of spectrum in the 850 MHz expansion band.</w:t>
            </w:r>
          </w:p>
          <w:p w14:paraId="172BE381" w14:textId="3AA1F8D0" w:rsidR="000A1580" w:rsidRDefault="00BA4904" w:rsidP="00B275EF">
            <w:pPr>
              <w:spacing w:after="120"/>
              <w:rPr>
                <w:szCs w:val="20"/>
              </w:rPr>
            </w:pPr>
            <w:r>
              <w:rPr>
                <w:szCs w:val="20"/>
              </w:rPr>
              <w:t>We consulted on a draft reallocation recommendation in Q2 2020</w:t>
            </w:r>
            <w:r w:rsidR="004D2721">
              <w:rPr>
                <w:szCs w:val="20"/>
              </w:rPr>
              <w:t>.</w:t>
            </w:r>
            <w:r>
              <w:rPr>
                <w:szCs w:val="20"/>
              </w:rPr>
              <w:t xml:space="preserve"> </w:t>
            </w:r>
          </w:p>
          <w:p w14:paraId="2BC8610E" w14:textId="72D315FB" w:rsidR="00585FB9" w:rsidRPr="00B53F89" w:rsidRDefault="000A1580" w:rsidP="00513FDE">
            <w:pPr>
              <w:spacing w:after="0"/>
              <w:rPr>
                <w:szCs w:val="20"/>
              </w:rPr>
            </w:pPr>
            <w:r>
              <w:t>If the Minister decides to reallocate spectrum</w:t>
            </w:r>
            <w:r w:rsidR="00CA72D5">
              <w:t>,</w:t>
            </w:r>
            <w:r>
              <w:t xml:space="preserve"> we will consult on draft allocation instruments in Q1</w:t>
            </w:r>
            <w:r w:rsidR="00B275EF">
              <w:t>–</w:t>
            </w:r>
            <w:r>
              <w:t>2 2021.</w:t>
            </w:r>
          </w:p>
        </w:tc>
      </w:tr>
      <w:tr w:rsidR="00165AF9" w:rsidRPr="00B53F89" w14:paraId="17B5C0DB"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auto"/>
          </w:tcPr>
          <w:p w14:paraId="501806EC" w14:textId="66A40C47" w:rsidR="00165AF9" w:rsidRPr="00B53F89" w:rsidRDefault="00165AF9" w:rsidP="00D22603">
            <w:pPr>
              <w:spacing w:after="0"/>
              <w:rPr>
                <w:szCs w:val="20"/>
              </w:rPr>
            </w:pPr>
            <w:r w:rsidRPr="00B53F89">
              <w:lastRenderedPageBreak/>
              <w:t>3400–3575 MHz</w:t>
            </w:r>
            <w:r w:rsidRPr="00B53F89">
              <w:rPr>
                <w:szCs w:val="20"/>
              </w:rPr>
              <w:t xml:space="preserve"> band</w:t>
            </w:r>
          </w:p>
        </w:tc>
        <w:tc>
          <w:tcPr>
            <w:tcW w:w="1100" w:type="pct"/>
            <w:tcBorders>
              <w:top w:val="single" w:sz="4" w:space="0" w:color="auto"/>
              <w:left w:val="single" w:sz="4" w:space="0" w:color="auto"/>
              <w:bottom w:val="single" w:sz="4" w:space="0" w:color="auto"/>
              <w:right w:val="single" w:sz="4" w:space="0" w:color="auto"/>
            </w:tcBorders>
            <w:shd w:val="clear" w:color="auto" w:fill="auto"/>
          </w:tcPr>
          <w:p w14:paraId="44CE5A42" w14:textId="732099AA" w:rsidR="00165AF9" w:rsidRPr="00B53F89" w:rsidRDefault="00165AF9" w:rsidP="00D22603">
            <w:pPr>
              <w:spacing w:after="0"/>
              <w:rPr>
                <w:szCs w:val="20"/>
              </w:rPr>
            </w:pPr>
            <w:r w:rsidRPr="00B53F89">
              <w:rPr>
                <w:szCs w:val="20"/>
              </w:rPr>
              <w:t>3400–3575 MHz</w:t>
            </w:r>
          </w:p>
        </w:tc>
        <w:tc>
          <w:tcPr>
            <w:tcW w:w="1032" w:type="pct"/>
            <w:tcBorders>
              <w:top w:val="single" w:sz="4" w:space="0" w:color="auto"/>
              <w:left w:val="single" w:sz="4" w:space="0" w:color="auto"/>
              <w:bottom w:val="single" w:sz="4" w:space="0" w:color="auto"/>
              <w:right w:val="single" w:sz="4" w:space="0" w:color="auto"/>
            </w:tcBorders>
            <w:shd w:val="clear" w:color="auto" w:fill="auto"/>
          </w:tcPr>
          <w:p w14:paraId="3B697D9A" w14:textId="169FA1AE" w:rsidR="00165AF9" w:rsidRPr="00B53F89" w:rsidRDefault="00165AF9" w:rsidP="00D22603">
            <w:pPr>
              <w:spacing w:after="0"/>
              <w:rPr>
                <w:szCs w:val="20"/>
              </w:rPr>
            </w:pPr>
            <w:r w:rsidRPr="00B53F89">
              <w:rPr>
                <w:szCs w:val="20"/>
              </w:rPr>
              <w:t xml:space="preserve">Fixed </w:t>
            </w:r>
            <w:r>
              <w:rPr>
                <w:szCs w:val="20"/>
              </w:rPr>
              <w:t>w</w:t>
            </w:r>
            <w:r w:rsidRPr="00B53F89">
              <w:rPr>
                <w:szCs w:val="20"/>
              </w:rPr>
              <w:t>ireless, point-to-multipoint, 5G</w:t>
            </w:r>
          </w:p>
        </w:tc>
        <w:tc>
          <w:tcPr>
            <w:tcW w:w="2038" w:type="pct"/>
            <w:tcBorders>
              <w:top w:val="single" w:sz="4" w:space="0" w:color="auto"/>
              <w:left w:val="single" w:sz="4" w:space="0" w:color="auto"/>
              <w:bottom w:val="single" w:sz="4" w:space="0" w:color="auto"/>
              <w:right w:val="single" w:sz="4" w:space="0" w:color="auto"/>
            </w:tcBorders>
            <w:shd w:val="clear" w:color="auto" w:fill="auto"/>
          </w:tcPr>
          <w:p w14:paraId="66566D0A" w14:textId="77777777" w:rsidR="00825E73" w:rsidRDefault="00165AF9" w:rsidP="00825E73">
            <w:pPr>
              <w:spacing w:after="120"/>
              <w:rPr>
                <w:szCs w:val="20"/>
              </w:rPr>
            </w:pPr>
            <w:r>
              <w:rPr>
                <w:szCs w:val="20"/>
              </w:rPr>
              <w:t>We announced the outcomes of our review in November 2019.</w:t>
            </w:r>
          </w:p>
          <w:p w14:paraId="59045ECD" w14:textId="7328BF5C" w:rsidR="00165AF9" w:rsidRDefault="00165AF9" w:rsidP="00825E73">
            <w:pPr>
              <w:spacing w:after="0"/>
              <w:rPr>
                <w:szCs w:val="20"/>
              </w:rPr>
            </w:pPr>
            <w:r>
              <w:rPr>
                <w:szCs w:val="20"/>
              </w:rPr>
              <w:t xml:space="preserve">Work has commenced to restack incumbent services in the band. After this is achieved, and </w:t>
            </w:r>
            <w:r>
              <w:t xml:space="preserve">if the Minister </w:t>
            </w:r>
            <w:r w:rsidR="002374AC">
              <w:t>decides</w:t>
            </w:r>
            <w:r>
              <w:t xml:space="preserve"> to designate spectrum for spectrum licensing</w:t>
            </w:r>
            <w:r>
              <w:rPr>
                <w:szCs w:val="20"/>
              </w:rPr>
              <w:t xml:space="preserve">, work will </w:t>
            </w:r>
            <w:r w:rsidR="00825E73">
              <w:rPr>
                <w:szCs w:val="20"/>
              </w:rPr>
              <w:t xml:space="preserve">start </w:t>
            </w:r>
            <w:r>
              <w:rPr>
                <w:szCs w:val="20"/>
              </w:rPr>
              <w:t>to convert NBN Co’s apparatus licences to spectrum licences and allocate 25</w:t>
            </w:r>
            <w:r>
              <w:t>–</w:t>
            </w:r>
            <w:r>
              <w:rPr>
                <w:szCs w:val="20"/>
              </w:rPr>
              <w:t>42.5 MHz of additional spectrum for spectrum licences in regional areas. 75 MHz of spectrum may also be made available in urban areas excised from NBN Co’s converted licences; however, this is pending the development of interference management criteria and an assessment of the appropriate licensing type to use.</w:t>
            </w:r>
          </w:p>
        </w:tc>
      </w:tr>
      <w:tr w:rsidR="00165AF9" w:rsidRPr="00B53F89" w14:paraId="0A99B7BF" w14:textId="77777777" w:rsidTr="00612519">
        <w:tc>
          <w:tcPr>
            <w:tcW w:w="83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A576E9C" w14:textId="71CA8437" w:rsidR="00165AF9" w:rsidRPr="00B53F89" w:rsidRDefault="00D24786" w:rsidP="00D22603">
            <w:pPr>
              <w:spacing w:after="0"/>
              <w:rPr>
                <w:szCs w:val="20"/>
              </w:rPr>
            </w:pPr>
            <w:r>
              <w:t>3700</w:t>
            </w:r>
            <w:r w:rsidR="00825E73" w:rsidRPr="00B53F89">
              <w:rPr>
                <w:szCs w:val="20"/>
              </w:rPr>
              <w:t>–</w:t>
            </w:r>
            <w:r>
              <w:t>4200 MHz</w:t>
            </w:r>
          </w:p>
        </w:tc>
        <w:tc>
          <w:tcPr>
            <w:tcW w:w="110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73B0DAB" w14:textId="54F6DEC6" w:rsidR="00165AF9" w:rsidRPr="00B53F89" w:rsidRDefault="00D24786" w:rsidP="00D22603">
            <w:pPr>
              <w:spacing w:after="0"/>
              <w:rPr>
                <w:szCs w:val="20"/>
              </w:rPr>
            </w:pPr>
            <w:r>
              <w:rPr>
                <w:szCs w:val="20"/>
              </w:rPr>
              <w:t>3700</w:t>
            </w:r>
            <w:r w:rsidRPr="00B53F89">
              <w:rPr>
                <w:szCs w:val="20"/>
              </w:rPr>
              <w:t>–</w:t>
            </w:r>
            <w:r>
              <w:rPr>
                <w:szCs w:val="20"/>
              </w:rPr>
              <w:t>4200 MHz</w:t>
            </w:r>
          </w:p>
        </w:tc>
        <w:tc>
          <w:tcPr>
            <w:tcW w:w="1032"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883F66" w14:textId="2A94F8AB" w:rsidR="00165AF9" w:rsidRPr="00B53F89" w:rsidRDefault="00D24786" w:rsidP="00D22603">
            <w:pPr>
              <w:spacing w:after="0"/>
              <w:rPr>
                <w:szCs w:val="20"/>
              </w:rPr>
            </w:pPr>
            <w:r>
              <w:rPr>
                <w:szCs w:val="20"/>
              </w:rPr>
              <w:t>Fixed links, satellite earth stations</w:t>
            </w:r>
          </w:p>
        </w:tc>
        <w:tc>
          <w:tcPr>
            <w:tcW w:w="2038"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8F503A6" w14:textId="12F490CE" w:rsidR="00165AF9" w:rsidRDefault="00D24786" w:rsidP="00D22603">
            <w:pPr>
              <w:spacing w:after="0"/>
              <w:rPr>
                <w:szCs w:val="20"/>
              </w:rPr>
            </w:pPr>
            <w:r>
              <w:rPr>
                <w:szCs w:val="20"/>
              </w:rPr>
              <w:t xml:space="preserve">The band has been flagged as </w:t>
            </w:r>
            <w:r w:rsidR="001913EB">
              <w:rPr>
                <w:szCs w:val="20"/>
              </w:rPr>
              <w:t xml:space="preserve">a </w:t>
            </w:r>
            <w:r>
              <w:rPr>
                <w:szCs w:val="20"/>
              </w:rPr>
              <w:t>candidate for review with the possibility of some spectrum being suitable for allocation for wireless broadband.</w:t>
            </w:r>
          </w:p>
        </w:tc>
      </w:tr>
      <w:tr w:rsidR="00BD5B2C" w:rsidRPr="00B53F89" w14:paraId="53CA9632"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auto"/>
          </w:tcPr>
          <w:p w14:paraId="5289C32F" w14:textId="77777777" w:rsidR="00BD5B2C" w:rsidRPr="00B53F89" w:rsidRDefault="00BD5B2C" w:rsidP="006F5B0F">
            <w:pPr>
              <w:spacing w:after="0"/>
              <w:rPr>
                <w:szCs w:val="20"/>
              </w:rPr>
            </w:pPr>
            <w:r w:rsidRPr="00B53F89">
              <w:rPr>
                <w:szCs w:val="20"/>
              </w:rPr>
              <w:t>1.5 GHz band</w:t>
            </w:r>
          </w:p>
        </w:tc>
        <w:tc>
          <w:tcPr>
            <w:tcW w:w="1100" w:type="pct"/>
            <w:tcBorders>
              <w:top w:val="single" w:sz="4" w:space="0" w:color="auto"/>
              <w:left w:val="single" w:sz="4" w:space="0" w:color="auto"/>
              <w:bottom w:val="single" w:sz="4" w:space="0" w:color="auto"/>
              <w:right w:val="single" w:sz="4" w:space="0" w:color="auto"/>
            </w:tcBorders>
            <w:shd w:val="clear" w:color="auto" w:fill="auto"/>
          </w:tcPr>
          <w:p w14:paraId="0A11C762" w14:textId="0B1D0476" w:rsidR="00BD5B2C" w:rsidRPr="00B53F89" w:rsidRDefault="00BD5B2C" w:rsidP="006F5B0F">
            <w:pPr>
              <w:spacing w:after="0"/>
              <w:rPr>
                <w:szCs w:val="20"/>
              </w:rPr>
            </w:pPr>
            <w:r w:rsidRPr="00B53F89">
              <w:rPr>
                <w:szCs w:val="20"/>
              </w:rPr>
              <w:t>1427–1518 MHz</w:t>
            </w:r>
          </w:p>
        </w:tc>
        <w:tc>
          <w:tcPr>
            <w:tcW w:w="1032" w:type="pct"/>
            <w:tcBorders>
              <w:top w:val="single" w:sz="4" w:space="0" w:color="auto"/>
              <w:left w:val="single" w:sz="4" w:space="0" w:color="auto"/>
              <w:bottom w:val="single" w:sz="4" w:space="0" w:color="auto"/>
              <w:right w:val="single" w:sz="4" w:space="0" w:color="auto"/>
            </w:tcBorders>
            <w:shd w:val="clear" w:color="auto" w:fill="auto"/>
          </w:tcPr>
          <w:p w14:paraId="671A9DE4" w14:textId="55931258" w:rsidR="00BD5B2C" w:rsidRPr="00B53F89" w:rsidRDefault="005428EA" w:rsidP="006F5B0F">
            <w:pPr>
              <w:spacing w:after="0"/>
              <w:rPr>
                <w:szCs w:val="20"/>
              </w:rPr>
            </w:pPr>
            <w:r w:rsidRPr="00B53F89">
              <w:rPr>
                <w:szCs w:val="20"/>
              </w:rPr>
              <w:t>Fixed links</w:t>
            </w:r>
            <w:r w:rsidR="00BD5B2C" w:rsidRPr="00B53F89">
              <w:rPr>
                <w:szCs w:val="20"/>
              </w:rPr>
              <w:t xml:space="preserve">, some </w:t>
            </w:r>
            <w:r w:rsidR="00744060" w:rsidRPr="00B53F89">
              <w:rPr>
                <w:szCs w:val="20"/>
              </w:rPr>
              <w:t>point-to-</w:t>
            </w:r>
            <w:r w:rsidR="00BD5B2C" w:rsidRPr="00B53F89">
              <w:rPr>
                <w:szCs w:val="20"/>
              </w:rPr>
              <w:t xml:space="preserve">multipoint, </w:t>
            </w:r>
            <w:r w:rsidR="0066184D" w:rsidRPr="00B53F89">
              <w:rPr>
                <w:szCs w:val="20"/>
              </w:rPr>
              <w:t>d</w:t>
            </w:r>
            <w:r w:rsidR="00BD5B2C" w:rsidRPr="00B53F89">
              <w:rPr>
                <w:szCs w:val="20"/>
              </w:rPr>
              <w:t>efence</w:t>
            </w:r>
          </w:p>
        </w:tc>
        <w:tc>
          <w:tcPr>
            <w:tcW w:w="2038" w:type="pct"/>
            <w:tcBorders>
              <w:top w:val="single" w:sz="4" w:space="0" w:color="auto"/>
              <w:left w:val="single" w:sz="4" w:space="0" w:color="auto"/>
              <w:bottom w:val="single" w:sz="4" w:space="0" w:color="auto"/>
              <w:right w:val="single" w:sz="4" w:space="0" w:color="auto"/>
            </w:tcBorders>
            <w:shd w:val="clear" w:color="auto" w:fill="auto"/>
          </w:tcPr>
          <w:p w14:paraId="35CEA632" w14:textId="50F993BA" w:rsidR="00BD5B2C" w:rsidRPr="00B53F89" w:rsidRDefault="00646AE3" w:rsidP="006F5B0F">
            <w:pPr>
              <w:spacing w:after="0"/>
              <w:rPr>
                <w:szCs w:val="20"/>
              </w:rPr>
            </w:pPr>
            <w:r>
              <w:rPr>
                <w:szCs w:val="20"/>
              </w:rPr>
              <w:t xml:space="preserve">The band has been flagged as </w:t>
            </w:r>
            <w:r w:rsidR="001913EB">
              <w:rPr>
                <w:szCs w:val="20"/>
              </w:rPr>
              <w:t xml:space="preserve">a </w:t>
            </w:r>
            <w:r>
              <w:rPr>
                <w:szCs w:val="20"/>
              </w:rPr>
              <w:t>candidate for review with the possibility of some spectrum being suitable for allocation for wireless broadband.</w:t>
            </w:r>
          </w:p>
        </w:tc>
      </w:tr>
      <w:tr w:rsidR="00887BC0" w:rsidRPr="00B53F89" w14:paraId="2E800A6B" w14:textId="77777777" w:rsidTr="00612519">
        <w:tc>
          <w:tcPr>
            <w:tcW w:w="83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3D7E3E1" w14:textId="691A0C5F" w:rsidR="00887BC0" w:rsidRPr="00B53F89" w:rsidRDefault="00887BC0" w:rsidP="006F5B0F">
            <w:pPr>
              <w:spacing w:after="0"/>
              <w:rPr>
                <w:szCs w:val="20"/>
              </w:rPr>
            </w:pPr>
            <w:r>
              <w:t>2 GHz</w:t>
            </w:r>
          </w:p>
        </w:tc>
        <w:tc>
          <w:tcPr>
            <w:tcW w:w="110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C4DE0A5" w14:textId="7EFCABF0" w:rsidR="00887BC0" w:rsidRPr="00B53F89" w:rsidRDefault="00887BC0" w:rsidP="006F5B0F">
            <w:pPr>
              <w:spacing w:after="0"/>
              <w:rPr>
                <w:szCs w:val="20"/>
              </w:rPr>
            </w:pPr>
            <w:r>
              <w:rPr>
                <w:szCs w:val="20"/>
              </w:rPr>
              <w:t>1980</w:t>
            </w:r>
            <w:r w:rsidR="00F774CF" w:rsidRPr="00F774CF">
              <w:rPr>
                <w:szCs w:val="20"/>
              </w:rPr>
              <w:t>–</w:t>
            </w:r>
            <w:r>
              <w:rPr>
                <w:szCs w:val="20"/>
              </w:rPr>
              <w:t xml:space="preserve">2010 MHz and </w:t>
            </w:r>
            <w:r>
              <w:rPr>
                <w:szCs w:val="20"/>
              </w:rPr>
              <w:br/>
              <w:t>2170</w:t>
            </w:r>
            <w:r w:rsidR="00F774CF" w:rsidRPr="00F774CF">
              <w:rPr>
                <w:szCs w:val="20"/>
              </w:rPr>
              <w:t>–</w:t>
            </w:r>
            <w:r>
              <w:rPr>
                <w:szCs w:val="20"/>
              </w:rPr>
              <w:t>2200 MHz</w:t>
            </w:r>
          </w:p>
        </w:tc>
        <w:tc>
          <w:tcPr>
            <w:tcW w:w="1032"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2AFCC5F" w14:textId="6FE26D57" w:rsidR="00887BC0" w:rsidRPr="00B53F89" w:rsidRDefault="00887BC0" w:rsidP="006F5B0F">
            <w:pPr>
              <w:spacing w:after="0"/>
              <w:rPr>
                <w:szCs w:val="20"/>
              </w:rPr>
            </w:pPr>
            <w:r>
              <w:rPr>
                <w:szCs w:val="20"/>
              </w:rPr>
              <w:t>Television outside broadcast, fixed point</w:t>
            </w:r>
            <w:r w:rsidR="00825E73">
              <w:rPr>
                <w:szCs w:val="20"/>
              </w:rPr>
              <w:t>-</w:t>
            </w:r>
            <w:r>
              <w:rPr>
                <w:szCs w:val="20"/>
              </w:rPr>
              <w:t>to</w:t>
            </w:r>
            <w:r w:rsidR="00825E73">
              <w:rPr>
                <w:szCs w:val="20"/>
              </w:rPr>
              <w:t>-</w:t>
            </w:r>
            <w:r>
              <w:rPr>
                <w:szCs w:val="20"/>
              </w:rPr>
              <w:t>point links in remote areas</w:t>
            </w:r>
          </w:p>
        </w:tc>
        <w:tc>
          <w:tcPr>
            <w:tcW w:w="2038"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D40155A" w14:textId="078885EE" w:rsidR="00887BC0" w:rsidRDefault="00887BC0" w:rsidP="006F5B0F">
            <w:pPr>
              <w:spacing w:after="0"/>
              <w:rPr>
                <w:szCs w:val="20"/>
              </w:rPr>
            </w:pPr>
            <w:r>
              <w:rPr>
                <w:szCs w:val="20"/>
              </w:rPr>
              <w:t xml:space="preserve">The band has been flagged as </w:t>
            </w:r>
            <w:r w:rsidR="001913EB">
              <w:rPr>
                <w:szCs w:val="20"/>
              </w:rPr>
              <w:t xml:space="preserve">a </w:t>
            </w:r>
            <w:r>
              <w:rPr>
                <w:szCs w:val="20"/>
              </w:rPr>
              <w:t>candidate for review with the possibility of some spectrum being suitable for allocation for mobile satellite services.</w:t>
            </w:r>
          </w:p>
        </w:tc>
      </w:tr>
    </w:tbl>
    <w:p w14:paraId="49E775B1" w14:textId="277540EC" w:rsidR="00A443F4" w:rsidRDefault="00A443F4" w:rsidP="0054588C">
      <w:pPr>
        <w:spacing w:before="60" w:after="0"/>
      </w:pPr>
    </w:p>
    <w:p w14:paraId="0528720C" w14:textId="77777777" w:rsidR="00A443F4" w:rsidRPr="00B53F89" w:rsidRDefault="00A443F4" w:rsidP="00A443F4">
      <w:pPr>
        <w:spacing w:before="60" w:after="0"/>
      </w:pPr>
      <w:r w:rsidRPr="006A2F04">
        <w:rPr>
          <w:noProof/>
        </w:rPr>
        <w:drawing>
          <wp:inline distT="0" distB="0" distL="0" distR="0" wp14:anchorId="45B98F1C" wp14:editId="7AB3FB90">
            <wp:extent cx="342900" cy="361950"/>
            <wp:effectExtent l="0" t="0" r="0" b="0"/>
            <wp:docPr id="102" name="Picture 10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5C6ADB5" wp14:editId="1202F643">
            <wp:extent cx="342900" cy="361950"/>
            <wp:effectExtent l="0" t="0" r="0" b="0"/>
            <wp:docPr id="103" name="Picture 10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6AE2556" wp14:editId="31DB022D">
            <wp:extent cx="342900" cy="361950"/>
            <wp:effectExtent l="0" t="0" r="0" b="0"/>
            <wp:docPr id="105" name="Picture 105"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9EF3916" wp14:editId="296DD86F">
            <wp:extent cx="342900" cy="361950"/>
            <wp:effectExtent l="0" t="0" r="0" b="0"/>
            <wp:docPr id="106" name="Picture 106"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614F330" wp14:editId="1CC2629D">
            <wp:extent cx="341630" cy="359410"/>
            <wp:effectExtent l="0" t="0" r="1270" b="2540"/>
            <wp:docPr id="197" name="Picture 197"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684DE358" wp14:editId="0F179DA9">
            <wp:extent cx="342900" cy="361950"/>
            <wp:effectExtent l="0" t="0" r="0" b="0"/>
            <wp:docPr id="107" name="Picture 107"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BABFC57" w14:textId="77777777" w:rsidR="00A443F4" w:rsidRPr="00B53F89" w:rsidRDefault="00A443F4" w:rsidP="00A443F4">
      <w:pPr>
        <w:pStyle w:val="Heading3"/>
        <w:keepNext w:val="0"/>
        <w:rPr>
          <w:rFonts w:asciiTheme="majorHAnsi" w:eastAsiaTheme="majorEastAsia" w:hAnsiTheme="majorHAnsi"/>
          <w:sz w:val="26"/>
        </w:rPr>
      </w:pPr>
      <w:bookmarkStart w:id="463" w:name="_Toc51864368"/>
      <w:r w:rsidRPr="00B53F89">
        <w:t>26 GHz</w:t>
      </w:r>
      <w:bookmarkEnd w:id="463"/>
    </w:p>
    <w:p w14:paraId="0FFC8879" w14:textId="77777777" w:rsidR="00A443F4" w:rsidRPr="00B53F89" w:rsidRDefault="00A443F4" w:rsidP="00A443F4">
      <w:r w:rsidRPr="00B53F89">
        <w:t>In September 2018</w:t>
      </w:r>
      <w:r>
        <w:t>,</w:t>
      </w:r>
      <w:r w:rsidRPr="00B53F89">
        <w:t xml:space="preserve"> </w:t>
      </w:r>
      <w:r>
        <w:t>we</w:t>
      </w:r>
      <w:r w:rsidRPr="00B53F89">
        <w:t xml:space="preserve"> released an </w:t>
      </w:r>
      <w:hyperlink r:id="rId109" w:history="1">
        <w:r w:rsidRPr="00B53F89">
          <w:rPr>
            <w:rStyle w:val="Hyperlink"/>
          </w:rPr>
          <w:t>options paper</w:t>
        </w:r>
      </w:hyperlink>
      <w:r w:rsidRPr="00B53F89">
        <w:t xml:space="preserve"> outlining the various planning and configuration options for the 26 GHz band, and seeking views on the proposal that the band proceeds to allocation. </w:t>
      </w:r>
    </w:p>
    <w:p w14:paraId="660C4EF7" w14:textId="77777777" w:rsidR="00A443F4" w:rsidRPr="00B53F89" w:rsidRDefault="00A443F4" w:rsidP="00A443F4">
      <w:r>
        <w:t>After considering</w:t>
      </w:r>
      <w:r w:rsidRPr="00B53F89">
        <w:t xml:space="preserve"> submissions to the options paper</w:t>
      </w:r>
      <w:r>
        <w:t xml:space="preserve">, we </w:t>
      </w:r>
      <w:r w:rsidRPr="00B53F89">
        <w:t xml:space="preserve">released a </w:t>
      </w:r>
      <w:hyperlink r:id="rId110" w:history="1">
        <w:r w:rsidRPr="00B53F89">
          <w:rPr>
            <w:rStyle w:val="Hyperlink"/>
          </w:rPr>
          <w:t>decision paper</w:t>
        </w:r>
      </w:hyperlink>
      <w:r w:rsidRPr="00B53F89">
        <w:t xml:space="preserve"> in April 2019 detailing decisions and preliminary views for the introduction of wireless broadband in the 26 GHz band. That paper described proposed arrangements for spectrum, apparatus and class licensing in parts of the band.</w:t>
      </w:r>
    </w:p>
    <w:p w14:paraId="013E3EBD" w14:textId="20F61630" w:rsidR="00A443F4" w:rsidRPr="00B53F89" w:rsidRDefault="00A443F4" w:rsidP="00A443F4">
      <w:pPr>
        <w:pStyle w:val="Paragraphbeforelist"/>
      </w:pPr>
      <w:r w:rsidRPr="00B53F89">
        <w:lastRenderedPageBreak/>
        <w:t xml:space="preserve">In addition to class licensing 24.25–25.1 GHz, </w:t>
      </w:r>
      <w:r>
        <w:t xml:space="preserve">we </w:t>
      </w:r>
      <w:r w:rsidRPr="00B53F89">
        <w:t>proposed three distinct approaches in the 26 GHz band:</w:t>
      </w:r>
    </w:p>
    <w:p w14:paraId="4BF98671" w14:textId="77777777" w:rsidR="00A443F4" w:rsidRPr="00B53F89" w:rsidRDefault="00A443F4" w:rsidP="00A443F4">
      <w:pPr>
        <w:pStyle w:val="ListBullet"/>
        <w:keepNext w:val="0"/>
        <w:keepLines w:val="0"/>
        <w:numPr>
          <w:ilvl w:val="0"/>
          <w:numId w:val="1"/>
        </w:numPr>
        <w:ind w:left="284" w:hanging="284"/>
      </w:pPr>
      <w:r w:rsidRPr="00B53F89">
        <w:t>25.1–27.5 GHz in defined areas (metropolitan and regional centres): spectrum licences allocated via auction</w:t>
      </w:r>
    </w:p>
    <w:p w14:paraId="3EA77638" w14:textId="77777777" w:rsidR="00A443F4" w:rsidRPr="00B53F89" w:rsidRDefault="00A443F4" w:rsidP="00A443F4">
      <w:pPr>
        <w:pStyle w:val="ListBullet"/>
        <w:keepNext w:val="0"/>
        <w:keepLines w:val="0"/>
        <w:numPr>
          <w:ilvl w:val="0"/>
          <w:numId w:val="1"/>
        </w:numPr>
        <w:ind w:left="284" w:hanging="284"/>
      </w:pPr>
      <w:r w:rsidRPr="00B53F89">
        <w:t>25.1–27.5 GHz in all other areas: apparatus licences</w:t>
      </w:r>
    </w:p>
    <w:p w14:paraId="396F0721" w14:textId="77777777" w:rsidR="00A443F4" w:rsidRPr="00B53F89" w:rsidRDefault="00A443F4" w:rsidP="00A443F4">
      <w:pPr>
        <w:pStyle w:val="ListBulletLast"/>
        <w:numPr>
          <w:ilvl w:val="0"/>
          <w:numId w:val="1"/>
        </w:numPr>
        <w:ind w:left="284" w:hanging="284"/>
      </w:pPr>
      <w:r w:rsidRPr="00B53F89">
        <w:t>24.7–25.1 GHz Australia-wide: apparatus licences.</w:t>
      </w:r>
    </w:p>
    <w:p w14:paraId="73714D15" w14:textId="77777777" w:rsidR="00A443F4" w:rsidRPr="00D904DC" w:rsidRDefault="00A443F4" w:rsidP="00A443F4">
      <w:r w:rsidRPr="00B53F89">
        <w:t xml:space="preserve">In May 2019, </w:t>
      </w:r>
      <w:r>
        <w:t>we</w:t>
      </w:r>
      <w:r w:rsidRPr="00B53F89">
        <w:t xml:space="preserve"> released a </w:t>
      </w:r>
      <w:hyperlink r:id="rId111" w:history="1">
        <w:r w:rsidRPr="00B53F89">
          <w:rPr>
            <w:rStyle w:val="Hyperlink"/>
          </w:rPr>
          <w:t>consultation paper</w:t>
        </w:r>
      </w:hyperlink>
      <w:r w:rsidRPr="00B53F89">
        <w:t xml:space="preserve"> outlining a draft spectrum reallocation recommendation for the 26 GHz band. The paper sought views on the terms of a spectrum reallocation recommendation for the 26 GHz band that the ACMA proposed to give the Minister for Communications, Cyber Safety and the Arts under section 153F of </w:t>
      </w:r>
      <w:r w:rsidRPr="00D904DC">
        <w:t xml:space="preserve">the </w:t>
      </w:r>
      <w:hyperlink r:id="rId112" w:history="1">
        <w:r w:rsidRPr="00D904DC">
          <w:rPr>
            <w:rStyle w:val="Hyperlink"/>
            <w:i/>
          </w:rPr>
          <w:t>Radiocommunications Act 1992</w:t>
        </w:r>
      </w:hyperlink>
      <w:r w:rsidRPr="00D904DC">
        <w:t xml:space="preserve">. We made a recommendation to the Minister regarding the allocation of spectrum licences in the 26 GHz band in Q3 2019. </w:t>
      </w:r>
    </w:p>
    <w:p w14:paraId="5CA72580" w14:textId="77777777" w:rsidR="00A443F4" w:rsidRPr="00D904DC" w:rsidRDefault="00A443F4" w:rsidP="00A443F4">
      <w:r w:rsidRPr="00D904DC">
        <w:t xml:space="preserve">In October 2019, the Minister declared the 25.1–27.5 GHz frequency range for reallocation by issue of spectrum licence in 29 </w:t>
      </w:r>
      <w:r>
        <w:t>defined</w:t>
      </w:r>
      <w:r w:rsidRPr="00D904DC">
        <w:t xml:space="preserve"> areas. </w:t>
      </w:r>
    </w:p>
    <w:p w14:paraId="1356778B" w14:textId="25D2F704" w:rsidR="00A443F4" w:rsidRPr="00D904DC" w:rsidRDefault="00A443F4" w:rsidP="00A443F4">
      <w:r w:rsidRPr="00D904DC">
        <w:t xml:space="preserve">We are now preparing to allocate the declared spectrum by auction, expected to </w:t>
      </w:r>
      <w:r>
        <w:t>commence</w:t>
      </w:r>
      <w:r w:rsidRPr="00D904DC">
        <w:t xml:space="preserve"> in </w:t>
      </w:r>
      <w:r w:rsidR="0030578C">
        <w:t>Q1</w:t>
      </w:r>
      <w:r w:rsidRPr="00D904DC">
        <w:t xml:space="preserve"> 2021. </w:t>
      </w:r>
      <w:r>
        <w:t>Following consultation on the draft technical and allocation instruments in Q3 2020, t</w:t>
      </w:r>
      <w:r w:rsidRPr="00D904DC">
        <w:t xml:space="preserve">he next step in the process is to </w:t>
      </w:r>
      <w:r>
        <w:t xml:space="preserve">finalise these </w:t>
      </w:r>
      <w:r w:rsidRPr="00D904DC">
        <w:t>instruments to support the allocation</w:t>
      </w:r>
      <w:r>
        <w:t xml:space="preserve"> of spectrum licences</w:t>
      </w:r>
      <w:r w:rsidRPr="00D904DC">
        <w:t xml:space="preserve">. </w:t>
      </w:r>
    </w:p>
    <w:p w14:paraId="7734D361" w14:textId="228AB29C" w:rsidR="00A443F4" w:rsidRDefault="00A443F4" w:rsidP="00A443F4">
      <w:r w:rsidRPr="00D904DC">
        <w:t>We convened a Technical Liaison Group (TLG) comprising</w:t>
      </w:r>
      <w:r>
        <w:t xml:space="preserve"> interested stakeholders to inform the development of technical arrangements for 26 GHz band spectrum licences and apparatus-licensed wireless broadband services in the 26 GHz band. </w:t>
      </w:r>
    </w:p>
    <w:p w14:paraId="5186E124" w14:textId="3DF2D65A" w:rsidR="00607003" w:rsidRDefault="003B7571" w:rsidP="00607003">
      <w:r>
        <w:t>Following the TLG process, w</w:t>
      </w:r>
      <w:r w:rsidR="00607003">
        <w:t xml:space="preserve">e consulted </w:t>
      </w:r>
      <w:r>
        <w:t>publicly</w:t>
      </w:r>
      <w:r w:rsidR="00607003">
        <w:t xml:space="preserve"> on the technical framework, pricing and allocation policy for apparatus licences in the 26 GHz band in Q3 2020. We expect to make a final decision on these matters in Q4 2020. </w:t>
      </w:r>
    </w:p>
    <w:p w14:paraId="409E1FCF" w14:textId="1BBDE803" w:rsidR="00A443F4" w:rsidRDefault="00607003" w:rsidP="0094159B">
      <w:pPr>
        <w:pStyle w:val="Paragraph"/>
      </w:pPr>
      <w:r>
        <w:t xml:space="preserve">We expect to open a window for applications for apparatus licences in parts of the </w:t>
      </w:r>
      <w:r w:rsidR="00DA186F">
        <w:t>26 </w:t>
      </w:r>
      <w:r>
        <w:t>GHz band in Q4 2020.</w:t>
      </w:r>
    </w:p>
    <w:p w14:paraId="140E0EBE" w14:textId="77777777" w:rsidR="00A443F4" w:rsidRPr="0094159B" w:rsidRDefault="00A443F4" w:rsidP="00A443F4">
      <w:pPr>
        <w:spacing w:before="60" w:after="0"/>
      </w:pPr>
      <w:r w:rsidRPr="0094159B">
        <w:rPr>
          <w:noProof/>
        </w:rPr>
        <w:drawing>
          <wp:inline distT="0" distB="0" distL="0" distR="0" wp14:anchorId="18080515" wp14:editId="06B7C24F">
            <wp:extent cx="341630" cy="359410"/>
            <wp:effectExtent l="0" t="0" r="1270" b="2540"/>
            <wp:docPr id="198" name="Picture 198"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94159B">
        <w:rPr>
          <w:noProof/>
        </w:rPr>
        <w:drawing>
          <wp:inline distT="0" distB="0" distL="0" distR="0" wp14:anchorId="52A615B5" wp14:editId="489BA5C2">
            <wp:extent cx="342900" cy="361950"/>
            <wp:effectExtent l="0" t="0" r="0" b="0"/>
            <wp:docPr id="111" name="Picture 111"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94159B">
        <w:rPr>
          <w:noProof/>
        </w:rPr>
        <w:drawing>
          <wp:inline distT="0" distB="0" distL="0" distR="0" wp14:anchorId="1632D7A0" wp14:editId="3786C7ED">
            <wp:extent cx="342900" cy="361950"/>
            <wp:effectExtent l="0" t="0" r="0" b="0"/>
            <wp:docPr id="112" name="Picture 112"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94159B">
        <w:rPr>
          <w:noProof/>
        </w:rPr>
        <w:drawing>
          <wp:inline distT="0" distB="0" distL="0" distR="0" wp14:anchorId="48B0AEC8" wp14:editId="3D2E06C6">
            <wp:extent cx="342900" cy="361950"/>
            <wp:effectExtent l="0" t="0" r="0" b="0"/>
            <wp:docPr id="189" name="Picture 18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94159B">
        <w:rPr>
          <w:noProof/>
        </w:rPr>
        <w:drawing>
          <wp:inline distT="0" distB="0" distL="0" distR="0" wp14:anchorId="29C6A4C9" wp14:editId="44AC781A">
            <wp:extent cx="342900" cy="361950"/>
            <wp:effectExtent l="0" t="0" r="0" b="0"/>
            <wp:docPr id="192" name="Picture 192"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94159B">
        <w:rPr>
          <w:noProof/>
        </w:rPr>
        <w:drawing>
          <wp:inline distT="0" distB="0" distL="0" distR="0" wp14:anchorId="2788696B" wp14:editId="3740FDE5">
            <wp:extent cx="342900" cy="361950"/>
            <wp:effectExtent l="0" t="0" r="0" b="0"/>
            <wp:docPr id="113" name="Picture 113"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A5852AE" w14:textId="77777777" w:rsidR="00A443F4" w:rsidRPr="00B53F89" w:rsidRDefault="00A443F4" w:rsidP="00A443F4">
      <w:pPr>
        <w:pStyle w:val="Heading3"/>
        <w:keepNext w:val="0"/>
        <w:rPr>
          <w:rFonts w:eastAsiaTheme="majorEastAsia"/>
        </w:rPr>
      </w:pPr>
      <w:bookmarkStart w:id="464" w:name="_Toc51864369"/>
      <w:r w:rsidRPr="0094159B">
        <w:t xml:space="preserve">28 </w:t>
      </w:r>
      <w:r w:rsidRPr="0094159B">
        <w:rPr>
          <w:rFonts w:eastAsiaTheme="majorEastAsia"/>
        </w:rPr>
        <w:t>GHz</w:t>
      </w:r>
      <w:bookmarkEnd w:id="464"/>
    </w:p>
    <w:p w14:paraId="2968DE3D" w14:textId="0A237293" w:rsidR="00A443F4" w:rsidRPr="00B53F89" w:rsidRDefault="00A443F4" w:rsidP="00A443F4">
      <w:pPr>
        <w:rPr>
          <w:rFonts w:eastAsiaTheme="majorEastAsia"/>
        </w:rPr>
      </w:pPr>
      <w:r w:rsidRPr="00B53F89">
        <w:rPr>
          <w:rFonts w:eastAsiaTheme="majorEastAsia"/>
        </w:rPr>
        <w:t>The ACMA has previously committed to investigating the possibility of establishing new apparatus-licensed point-to-multipoint arrangements for wireless broadband in part of the 28 GHz band.</w:t>
      </w:r>
      <w:r w:rsidRPr="00B53F89">
        <w:rPr>
          <w:rStyle w:val="FootnoteReference"/>
        </w:rPr>
        <w:footnoteReference w:id="59"/>
      </w:r>
      <w:r w:rsidRPr="00B53F89">
        <w:rPr>
          <w:rFonts w:eastAsiaTheme="majorEastAsia"/>
        </w:rPr>
        <w:t xml:space="preserve"> In September 2018</w:t>
      </w:r>
      <w:r>
        <w:rPr>
          <w:rFonts w:eastAsiaTheme="majorEastAsia"/>
        </w:rPr>
        <w:t>,</w:t>
      </w:r>
      <w:r w:rsidRPr="00B53F89">
        <w:rPr>
          <w:rFonts w:eastAsiaTheme="majorEastAsia"/>
        </w:rPr>
        <w:t xml:space="preserve"> </w:t>
      </w:r>
      <w:r>
        <w:rPr>
          <w:rFonts w:eastAsiaTheme="majorEastAsia"/>
        </w:rPr>
        <w:t>we</w:t>
      </w:r>
      <w:r w:rsidRPr="00B53F89">
        <w:rPr>
          <w:rFonts w:eastAsiaTheme="majorEastAsia"/>
        </w:rPr>
        <w:t xml:space="preserve"> released a </w:t>
      </w:r>
      <w:hyperlink r:id="rId113" w:history="1">
        <w:r w:rsidRPr="00B53F89">
          <w:rPr>
            <w:rStyle w:val="Hyperlink"/>
            <w:rFonts w:eastAsiaTheme="majorEastAsia"/>
          </w:rPr>
          <w:t>discussion paper</w:t>
        </w:r>
      </w:hyperlink>
      <w:r w:rsidR="00DA186F" w:rsidRPr="002C62A5">
        <w:rPr>
          <w:rStyle w:val="Hyperlink"/>
          <w:rFonts w:eastAsiaTheme="majorEastAsia"/>
          <w:color w:val="auto"/>
          <w:u w:val="none"/>
        </w:rPr>
        <w:t>,</w:t>
      </w:r>
      <w:r w:rsidRPr="00B53F89">
        <w:rPr>
          <w:rFonts w:eastAsiaTheme="majorEastAsia"/>
        </w:rPr>
        <w:t xml:space="preserve"> commencing a review of all potential uses of the band. </w:t>
      </w:r>
    </w:p>
    <w:p w14:paraId="37229BE8" w14:textId="77777777" w:rsidR="00A443F4" w:rsidRPr="00B53F89" w:rsidRDefault="00A443F4" w:rsidP="00A443F4">
      <w:pPr>
        <w:rPr>
          <w:rFonts w:eastAsiaTheme="majorEastAsia"/>
        </w:rPr>
      </w:pPr>
      <w:r w:rsidRPr="00B53F89">
        <w:rPr>
          <w:rFonts w:eastAsiaTheme="majorEastAsia"/>
        </w:rPr>
        <w:t xml:space="preserve">Currently, the 28 GHz band is used by the FSS for both apparatus-licensed, coordinated earth stations and, in part of the band, for ubiquitously deployed, uncoordinated, class-licensed earth stations (both fixed and mobile applications). Both FSS uses of the band are expected to continue and require ongoing regulatory support. In addition to FSS uses, part of the 28 GHz band is also currently planned for fixed point-to-point links. </w:t>
      </w:r>
    </w:p>
    <w:p w14:paraId="45C3F3A4" w14:textId="77777777" w:rsidR="00A443F4" w:rsidRPr="00B53F89" w:rsidRDefault="00A443F4" w:rsidP="00A443F4">
      <w:pPr>
        <w:rPr>
          <w:rFonts w:eastAsiaTheme="majorEastAsia"/>
        </w:rPr>
      </w:pPr>
      <w:r w:rsidRPr="00B53F89">
        <w:rPr>
          <w:rFonts w:eastAsiaTheme="majorEastAsia"/>
        </w:rPr>
        <w:t>There has been growing interest internationally and domestically in making more of the band available for ubiquitous earth station deployments. A number of satellite operat</w:t>
      </w:r>
      <w:r>
        <w:rPr>
          <w:rFonts w:eastAsiaTheme="majorEastAsia"/>
        </w:rPr>
        <w:t>o</w:t>
      </w:r>
      <w:r w:rsidRPr="00B53F89">
        <w:rPr>
          <w:rFonts w:eastAsiaTheme="majorEastAsia"/>
        </w:rPr>
        <w:t xml:space="preserve">rs are considering or are in the process of launching satellite networks that can take advantage of this. In the US and other major markets, there have also been moves to make some or all of the band available for wide area wireless broadband use </w:t>
      </w:r>
      <w:r w:rsidRPr="00B53F89">
        <w:rPr>
          <w:rFonts w:eastAsiaTheme="majorEastAsia"/>
        </w:rPr>
        <w:lastRenderedPageBreak/>
        <w:t xml:space="preserve">(both fixed and mobile applications). This international interest is part of broader momentum in support of mmWave bands for 5G wireless broadband services. This is expected to create a viable equipment ecosystem for both wide-area wireless broadband services as well as localised fixed and mobile wireless broadband services (typically deployed by WISPs, miners and other FWA operators). </w:t>
      </w:r>
    </w:p>
    <w:p w14:paraId="0966A4B0" w14:textId="77BC992A" w:rsidR="00A443F4" w:rsidRDefault="00A443F4" w:rsidP="00A443F4">
      <w:r w:rsidRPr="00B53F89">
        <w:rPr>
          <w:rFonts w:eastAsiaTheme="majorEastAsia"/>
        </w:rPr>
        <w:t xml:space="preserve">Due to these competing interests, </w:t>
      </w:r>
      <w:r w:rsidR="00DA186F">
        <w:rPr>
          <w:rFonts w:eastAsiaTheme="majorEastAsia"/>
        </w:rPr>
        <w:t xml:space="preserve">we </w:t>
      </w:r>
      <w:r>
        <w:rPr>
          <w:rFonts w:eastAsiaTheme="majorEastAsia"/>
        </w:rPr>
        <w:t>considered</w:t>
      </w:r>
      <w:r w:rsidRPr="00B53F89">
        <w:rPr>
          <w:rFonts w:eastAsiaTheme="majorEastAsia"/>
        </w:rPr>
        <w:t xml:space="preserve"> planning options in the 28 GHz band. </w:t>
      </w:r>
      <w:r w:rsidRPr="00B53F89">
        <w:t xml:space="preserve">An </w:t>
      </w:r>
      <w:hyperlink r:id="rId114" w:history="1">
        <w:r w:rsidRPr="00B53F89">
          <w:rPr>
            <w:rStyle w:val="Hyperlink"/>
          </w:rPr>
          <w:t>options paper</w:t>
        </w:r>
      </w:hyperlink>
      <w:r w:rsidRPr="00B53F89">
        <w:t xml:space="preserve"> presenting different band</w:t>
      </w:r>
      <w:r w:rsidR="00EA305B">
        <w:t>-</w:t>
      </w:r>
      <w:r w:rsidRPr="00B53F89">
        <w:t>planning arrangements was re</w:t>
      </w:r>
      <w:r>
        <w:t>le</w:t>
      </w:r>
      <w:r w:rsidRPr="00B53F89">
        <w:t>a</w:t>
      </w:r>
      <w:r>
        <w:t>s</w:t>
      </w:r>
      <w:r w:rsidRPr="00B53F89">
        <w:t xml:space="preserve">ed in Q2 2019. </w:t>
      </w:r>
      <w:r>
        <w:t>We</w:t>
      </w:r>
      <w:r w:rsidRPr="00B53F89">
        <w:t xml:space="preserve"> considered submissions to the options paper and released a </w:t>
      </w:r>
      <w:hyperlink r:id="rId115" w:history="1">
        <w:r w:rsidRPr="00B53F89">
          <w:rPr>
            <w:rStyle w:val="Hyperlink"/>
          </w:rPr>
          <w:t>paper</w:t>
        </w:r>
      </w:hyperlink>
      <w:r w:rsidRPr="00B53F89">
        <w:t xml:space="preserve"> in </w:t>
      </w:r>
      <w:r>
        <w:t>September</w:t>
      </w:r>
      <w:r w:rsidRPr="00B53F89">
        <w:t xml:space="preserve"> 2019 detailing decisions and preliminary views for the </w:t>
      </w:r>
      <w:r>
        <w:t>proposed services</w:t>
      </w:r>
      <w:r w:rsidRPr="00B53F89">
        <w:t xml:space="preserve"> in the 2</w:t>
      </w:r>
      <w:r>
        <w:t>8</w:t>
      </w:r>
      <w:r w:rsidRPr="00B53F89">
        <w:t xml:space="preserve"> GHz band.</w:t>
      </w:r>
    </w:p>
    <w:p w14:paraId="41C899B4" w14:textId="46679BEE" w:rsidR="00A443F4" w:rsidRDefault="00A443F4" w:rsidP="00A443F4">
      <w:r w:rsidRPr="00F56121">
        <w:t xml:space="preserve">To give effect to </w:t>
      </w:r>
      <w:r w:rsidR="009A22D3">
        <w:t xml:space="preserve">some of </w:t>
      </w:r>
      <w:r w:rsidRPr="00F56121">
        <w:t xml:space="preserve">the decisions and preliminary views outlined </w:t>
      </w:r>
      <w:r>
        <w:t>in the decisions paper</w:t>
      </w:r>
      <w:r w:rsidRPr="00F56121">
        <w:t xml:space="preserve">, </w:t>
      </w:r>
      <w:r>
        <w:t>we</w:t>
      </w:r>
      <w:r w:rsidRPr="00F56121">
        <w:t xml:space="preserve"> </w:t>
      </w:r>
      <w:r>
        <w:t xml:space="preserve">updated the CSO class licence to include the 28.3–29.5 GHz frequency range. We have </w:t>
      </w:r>
      <w:r w:rsidR="00DA186F">
        <w:t>started</w:t>
      </w:r>
      <w:r w:rsidR="00DA186F" w:rsidRPr="00F56121">
        <w:t xml:space="preserve"> </w:t>
      </w:r>
      <w:r w:rsidRPr="00F56121">
        <w:t xml:space="preserve">work </w:t>
      </w:r>
      <w:r>
        <w:t xml:space="preserve">on analysis of the technical considerations for </w:t>
      </w:r>
      <w:r w:rsidR="00E2004A">
        <w:t>a further update to the CSO class licence, for</w:t>
      </w:r>
      <w:r>
        <w:t xml:space="preserve"> the possible inclusion of frequencies below 28.3 GHz and other implementation aspects flowing from the decisions paper</w:t>
      </w:r>
      <w:r w:rsidR="00E2004A">
        <w:t>. We</w:t>
      </w:r>
      <w:r>
        <w:t xml:space="preserve"> will consult on proposed arrangements in Q</w:t>
      </w:r>
      <w:r w:rsidR="00E2004A">
        <w:t>4</w:t>
      </w:r>
      <w:r>
        <w:t xml:space="preserve"> 2020. </w:t>
      </w:r>
    </w:p>
    <w:p w14:paraId="2580C473" w14:textId="7D1E94A5" w:rsidR="00A443F4" w:rsidRDefault="003B7571" w:rsidP="00FF36D0">
      <w:pPr>
        <w:pStyle w:val="Paragraph"/>
      </w:pPr>
      <w:r>
        <w:t xml:space="preserve">We consulted in Q3 2020 </w:t>
      </w:r>
      <w:r w:rsidR="00A443F4">
        <w:t>on the technical framework, pricing</w:t>
      </w:r>
      <w:r>
        <w:t>,</w:t>
      </w:r>
      <w:r w:rsidR="00A443F4">
        <w:t xml:space="preserve"> and allocation policy </w:t>
      </w:r>
      <w:r>
        <w:t xml:space="preserve">for </w:t>
      </w:r>
      <w:r w:rsidR="00A443F4">
        <w:t xml:space="preserve">apparatus licences </w:t>
      </w:r>
      <w:r w:rsidR="00950636">
        <w:t xml:space="preserve">in </w:t>
      </w:r>
      <w:r>
        <w:t xml:space="preserve">the </w:t>
      </w:r>
      <w:r w:rsidR="00950636">
        <w:t xml:space="preserve">28 GHz band </w:t>
      </w:r>
      <w:r>
        <w:t xml:space="preserve">(concurrently with consultation on the 26 GHz band). </w:t>
      </w:r>
      <w:r w:rsidR="00A443F4">
        <w:t>Final decisions will follow the timetable for the 26 GHz band.</w:t>
      </w:r>
    </w:p>
    <w:p w14:paraId="12D0BD86" w14:textId="188FB265" w:rsidR="003612AF" w:rsidRPr="00B53F89" w:rsidRDefault="003612AF" w:rsidP="00856C29">
      <w:pPr>
        <w:spacing w:after="0"/>
      </w:pPr>
      <w:r w:rsidRPr="006A2F04">
        <w:rPr>
          <w:noProof/>
        </w:rPr>
        <w:drawing>
          <wp:inline distT="0" distB="0" distL="0" distR="0" wp14:anchorId="5BBB8EC7" wp14:editId="45614A13">
            <wp:extent cx="342900" cy="361950"/>
            <wp:effectExtent l="0" t="0" r="0" b="0"/>
            <wp:docPr id="24" name="Picture 2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FC3576A" w14:textId="740CEC52" w:rsidR="00C12F50" w:rsidRPr="00B53F89" w:rsidRDefault="003F4B80" w:rsidP="0054588C">
      <w:pPr>
        <w:pStyle w:val="Heading3"/>
        <w:keepNext w:val="0"/>
      </w:pPr>
      <w:bookmarkStart w:id="465" w:name="_Toc31892830"/>
      <w:bookmarkStart w:id="466" w:name="_Toc36207447"/>
      <w:bookmarkStart w:id="467" w:name="_Toc51864370"/>
      <w:r w:rsidRPr="00B53F89">
        <w:t>850 MHz</w:t>
      </w:r>
      <w:r w:rsidR="00F640C7" w:rsidRPr="00B53F89">
        <w:t xml:space="preserve"> expansion band</w:t>
      </w:r>
      <w:bookmarkEnd w:id="465"/>
      <w:bookmarkEnd w:id="466"/>
      <w:bookmarkEnd w:id="467"/>
    </w:p>
    <w:p w14:paraId="1FC8EA62" w14:textId="23BDCED6" w:rsidR="00E059A6" w:rsidRDefault="003F4B80">
      <w:r w:rsidRPr="00B53F89">
        <w:t xml:space="preserve">In late 2015, </w:t>
      </w:r>
      <w:r w:rsidR="00F40BC9">
        <w:t>we</w:t>
      </w:r>
      <w:r w:rsidRPr="00B53F89">
        <w:t xml:space="preserve"> finalised a review of the 803–960 MHz band</w:t>
      </w:r>
      <w:r w:rsidR="00DA186F">
        <w:t xml:space="preserve"> and</w:t>
      </w:r>
      <w:r w:rsidRPr="00B53F89">
        <w:t xml:space="preserve"> </w:t>
      </w:r>
      <w:r w:rsidR="00DA186F" w:rsidRPr="00B53F89">
        <w:t>decid</w:t>
      </w:r>
      <w:r w:rsidR="00DA186F">
        <w:t>ed</w:t>
      </w:r>
      <w:r w:rsidR="00DA186F" w:rsidRPr="00B53F89">
        <w:t xml:space="preserve"> </w:t>
      </w:r>
      <w:r w:rsidRPr="00B53F89">
        <w:t>to reallocate</w:t>
      </w:r>
      <w:r w:rsidR="002A6185" w:rsidRPr="00B53F89">
        <w:t xml:space="preserve"> </w:t>
      </w:r>
      <w:r w:rsidR="002A6185" w:rsidRPr="00B53F89" w:rsidDel="00F40BC9">
        <w:t>2</w:t>
      </w:r>
      <w:r w:rsidR="00F40BC9">
        <w:t> </w:t>
      </w:r>
      <w:r w:rsidR="002A6185" w:rsidRPr="00B53F89">
        <w:t>x 15 MHz in</w:t>
      </w:r>
      <w:r w:rsidRPr="00B53F89">
        <w:t xml:space="preserve"> the 850 MHz expansion band for spectrum licences configured for wireless broadband. </w:t>
      </w:r>
    </w:p>
    <w:p w14:paraId="43FD41C4" w14:textId="6DF9B606" w:rsidR="005B397B" w:rsidRPr="00B53F89" w:rsidRDefault="003F4B80">
      <w:r w:rsidRPr="00B53F89">
        <w:t xml:space="preserve">The band is being cleared progressively, and is expected to be fully cleared by 2024, although a significant portion of the band will be available for use from mid-2021. </w:t>
      </w:r>
    </w:p>
    <w:p w14:paraId="65D0E83F" w14:textId="08F41588" w:rsidR="005B397B" w:rsidRPr="00B53F89" w:rsidRDefault="005B397B">
      <w:r w:rsidRPr="00B53F89" w:rsidDel="00C232CA">
        <w:t xml:space="preserve">The </w:t>
      </w:r>
      <w:r w:rsidRPr="00B53F89">
        <w:t xml:space="preserve">850 MHz expansion band </w:t>
      </w:r>
      <w:r w:rsidR="00C232CA" w:rsidRPr="00B53F89">
        <w:t xml:space="preserve">has </w:t>
      </w:r>
      <w:r w:rsidRPr="00B53F89">
        <w:t>value as a substitute for wireless broadband licences in the 900 MHz band</w:t>
      </w:r>
      <w:r w:rsidR="00810445" w:rsidRPr="00B53F89">
        <w:t xml:space="preserve">. </w:t>
      </w:r>
    </w:p>
    <w:p w14:paraId="0A8639C0" w14:textId="77777777" w:rsidR="00E059A6" w:rsidRDefault="005B397B" w:rsidP="002E3C54">
      <w:r w:rsidRPr="00B53F89">
        <w:t xml:space="preserve">The addition of a 1 MHz guard band between the 850 MHz band base-transmit segment and the </w:t>
      </w:r>
      <w:r w:rsidR="00E03672" w:rsidRPr="00B53F89">
        <w:t>900</w:t>
      </w:r>
      <w:r w:rsidRPr="00B53F89">
        <w:t xml:space="preserve"> MHz</w:t>
      </w:r>
      <w:r w:rsidR="00E03672" w:rsidRPr="00B53F89">
        <w:t xml:space="preserve"> band</w:t>
      </w:r>
      <w:r w:rsidRPr="00B53F89">
        <w:t xml:space="preserve"> base-receive segment </w:t>
      </w:r>
      <w:r w:rsidR="00252ACF" w:rsidRPr="00B53F89">
        <w:t xml:space="preserve">is necessary to </w:t>
      </w:r>
      <w:r w:rsidRPr="00B53F89">
        <w:t xml:space="preserve">optimise the utility of the lower segment in the </w:t>
      </w:r>
      <w:r w:rsidR="00E03672" w:rsidRPr="00B53F89">
        <w:t>900</w:t>
      </w:r>
      <w:r w:rsidRPr="00B53F89">
        <w:t xml:space="preserve"> MHz band</w:t>
      </w:r>
      <w:r w:rsidR="00252ACF" w:rsidRPr="00B53F89">
        <w:t xml:space="preserve"> for wireless broadband</w:t>
      </w:r>
      <w:r w:rsidRPr="00B53F89">
        <w:t xml:space="preserve">. </w:t>
      </w:r>
    </w:p>
    <w:p w14:paraId="684D5D24" w14:textId="054007AA" w:rsidR="00E059A6" w:rsidRDefault="00DA186F" w:rsidP="002E3C54">
      <w:r>
        <w:t>Before</w:t>
      </w:r>
      <w:r w:rsidR="005B397B" w:rsidRPr="00B53F89">
        <w:t xml:space="preserve"> the current spectrum licences</w:t>
      </w:r>
      <w:r>
        <w:t xml:space="preserve"> expire</w:t>
      </w:r>
      <w:r w:rsidR="005B397B" w:rsidRPr="00B53F89">
        <w:t xml:space="preserve"> in 2028, this can only be achieved </w:t>
      </w:r>
      <w:r>
        <w:t>by</w:t>
      </w:r>
      <w:r w:rsidRPr="00B53F89">
        <w:t xml:space="preserve"> </w:t>
      </w:r>
      <w:r w:rsidR="005B397B" w:rsidRPr="00B53F89">
        <w:t xml:space="preserve">a voluntary (negotiated) downshift of the existing 850 MHz band spectrum licences, which are held by </w:t>
      </w:r>
      <w:r w:rsidR="0064601E">
        <w:t xml:space="preserve">TPG Telecom </w:t>
      </w:r>
      <w:r w:rsidR="005B397B" w:rsidRPr="00B53F89">
        <w:t xml:space="preserve">and Telstra. </w:t>
      </w:r>
    </w:p>
    <w:p w14:paraId="6687AF35" w14:textId="196C3C2E" w:rsidR="00EB1009" w:rsidRDefault="005B397B" w:rsidP="002E3C54">
      <w:r w:rsidRPr="00B53F89">
        <w:t xml:space="preserve">The availability of the </w:t>
      </w:r>
      <w:r w:rsidR="00AF675B" w:rsidRPr="00B53F89">
        <w:t>1 </w:t>
      </w:r>
      <w:r w:rsidRPr="00B53F89">
        <w:t>MHz of spectrum immediately below the 850 MHz base</w:t>
      </w:r>
      <w:r w:rsidR="00AF675B" w:rsidRPr="00B53F89">
        <w:t>-</w:t>
      </w:r>
      <w:r w:rsidRPr="00B53F89">
        <w:t xml:space="preserve">transmit segment </w:t>
      </w:r>
      <w:r w:rsidR="00252ACF" w:rsidRPr="00B53F89">
        <w:t xml:space="preserve">to accommodate the downshift </w:t>
      </w:r>
      <w:r w:rsidRPr="00B53F89">
        <w:t xml:space="preserve">will be critical to </w:t>
      </w:r>
      <w:r w:rsidR="00252ACF" w:rsidRPr="00B53F89">
        <w:t>these negotiations</w:t>
      </w:r>
      <w:r w:rsidRPr="00B53F89">
        <w:t xml:space="preserve">. </w:t>
      </w:r>
    </w:p>
    <w:p w14:paraId="36F8E70A" w14:textId="77777777" w:rsidR="00E059A6" w:rsidRDefault="00F40BC9" w:rsidP="002E3C54">
      <w:r>
        <w:t>We have</w:t>
      </w:r>
      <w:r w:rsidR="00EB1009" w:rsidRPr="00B53F89">
        <w:t xml:space="preserve"> </w:t>
      </w:r>
      <w:r w:rsidR="00DF43B1" w:rsidRPr="00B53F89">
        <w:t>consider</w:t>
      </w:r>
      <w:r w:rsidR="00D936EF">
        <w:t>ed</w:t>
      </w:r>
      <w:r w:rsidR="00DF43B1" w:rsidRPr="00B53F89">
        <w:t xml:space="preserve"> </w:t>
      </w:r>
      <w:r w:rsidR="001B76CC" w:rsidRPr="00B53F89">
        <w:t>optimisation options for the 900 MHz and 850 MHz expansion band</w:t>
      </w:r>
      <w:r w:rsidR="00BC0C4A" w:rsidRPr="00B53F89">
        <w:t>s</w:t>
      </w:r>
      <w:r w:rsidR="00EB1009">
        <w:t xml:space="preserve"> and released a decision paper for the reconfiguration of the 900 MHz band and allocation of the 850 MHz expansion band</w:t>
      </w:r>
      <w:r>
        <w:t xml:space="preserve"> in December 2019</w:t>
      </w:r>
      <w:r w:rsidR="001B76CC" w:rsidRPr="00B53F89">
        <w:t>.</w:t>
      </w:r>
      <w:r w:rsidR="00EB1009">
        <w:t xml:space="preserve"> </w:t>
      </w:r>
    </w:p>
    <w:p w14:paraId="079CC46E" w14:textId="34D9882E" w:rsidR="00B674E2" w:rsidRPr="00B53F89" w:rsidRDefault="00F40BC9" w:rsidP="002E3C54">
      <w:r>
        <w:t>T</w:t>
      </w:r>
      <w:r w:rsidR="00EB1009">
        <w:t>he paper</w:t>
      </w:r>
      <w:r w:rsidR="00EB1009" w:rsidRPr="00EB1009" w:rsidDel="00F40BC9">
        <w:t xml:space="preserve"> </w:t>
      </w:r>
      <w:r w:rsidR="00DA186F">
        <w:t>recommended</w:t>
      </w:r>
      <w:r>
        <w:t xml:space="preserve"> </w:t>
      </w:r>
      <w:r w:rsidR="00EB1009" w:rsidRPr="00EB1009">
        <w:t xml:space="preserve">that the best way to achieve reconfiguration of the 900 MHz band </w:t>
      </w:r>
      <w:r w:rsidR="00CC5C49">
        <w:t>was</w:t>
      </w:r>
      <w:r w:rsidR="00CC5C49" w:rsidRPr="00EB1009">
        <w:t xml:space="preserve"> </w:t>
      </w:r>
      <w:r w:rsidR="00EB1009" w:rsidRPr="00EB1009">
        <w:t>to undertake a band clearance and price-based allocation in conjunction with an allocation of spectrum in the 850 MHz expansion band.</w:t>
      </w:r>
    </w:p>
    <w:p w14:paraId="7890ACB8" w14:textId="3E6F66D3" w:rsidR="00EB1009" w:rsidRDefault="00B73252" w:rsidP="002E3C54">
      <w:bookmarkStart w:id="468" w:name="_Hlk2859258"/>
      <w:bookmarkStart w:id="469" w:name="_Hlk38962180"/>
      <w:r w:rsidRPr="00B53F89">
        <w:lastRenderedPageBreak/>
        <w:t>The Australian Government has</w:t>
      </w:r>
      <w:r w:rsidR="00A272A4" w:rsidRPr="00A272A4">
        <w:t xml:space="preserve"> </w:t>
      </w:r>
      <w:r w:rsidRPr="00B53F89" w:rsidDel="00A272A4">
        <w:t>set aside 2 x 5 MHz of spectrum in the 850</w:t>
      </w:r>
      <w:r w:rsidR="00F40BC9" w:rsidDel="00A272A4">
        <w:t> </w:t>
      </w:r>
      <w:r w:rsidRPr="00B53F89" w:rsidDel="00A272A4">
        <w:t xml:space="preserve">MHz expansion band for </w:t>
      </w:r>
      <w:r w:rsidR="007B521D">
        <w:t xml:space="preserve">national </w:t>
      </w:r>
      <w:r w:rsidR="002A6185" w:rsidRPr="00B53F89">
        <w:t xml:space="preserve">PSMB </w:t>
      </w:r>
      <w:r w:rsidRPr="00B53F89" w:rsidDel="002A6185">
        <w:t>capability</w:t>
      </w:r>
      <w:r w:rsidR="00E059A6">
        <w:t>.</w:t>
      </w:r>
      <w:bookmarkEnd w:id="468"/>
      <w:r w:rsidR="00E059A6">
        <w:t xml:space="preserve"> </w:t>
      </w:r>
      <w:r w:rsidR="00666097" w:rsidRPr="00666097">
        <w:t xml:space="preserve">We remain available to work with </w:t>
      </w:r>
      <w:r w:rsidR="00EC7850">
        <w:t>s</w:t>
      </w:r>
      <w:r w:rsidR="00666097" w:rsidRPr="00666097">
        <w:t xml:space="preserve">tates and </w:t>
      </w:r>
      <w:r w:rsidR="00EC7850">
        <w:t>t</w:t>
      </w:r>
      <w:r w:rsidR="00666097" w:rsidRPr="00666097">
        <w:t>erritories to support the planned proof</w:t>
      </w:r>
      <w:r w:rsidR="00EC7850">
        <w:t>-</w:t>
      </w:r>
      <w:r w:rsidR="00666097" w:rsidRPr="00666097">
        <w:t>of</w:t>
      </w:r>
      <w:r w:rsidR="00EC7850">
        <w:t>-</w:t>
      </w:r>
      <w:r w:rsidR="00666097" w:rsidRPr="00666097">
        <w:t>concept trial through the identification and authorisation of appropriate spectrum for the trial.</w:t>
      </w:r>
    </w:p>
    <w:p w14:paraId="404EF4B0" w14:textId="34A115FB" w:rsidR="00B674E2" w:rsidRPr="00B53F89" w:rsidRDefault="00EC269D" w:rsidP="002E3C54">
      <w:r>
        <w:t xml:space="preserve">In </w:t>
      </w:r>
      <w:r w:rsidR="004F0ACD">
        <w:t>Q2</w:t>
      </w:r>
      <w:r>
        <w:t xml:space="preserve"> 2020</w:t>
      </w:r>
      <w:r w:rsidR="00D948B2">
        <w:t>,</w:t>
      </w:r>
      <w:r>
        <w:t xml:space="preserve"> w</w:t>
      </w:r>
      <w:r w:rsidR="00B674E2">
        <w:t>e consult</w:t>
      </w:r>
      <w:r>
        <w:t>ed</w:t>
      </w:r>
      <w:r w:rsidR="00B674E2">
        <w:t xml:space="preserve"> on a draft recommendation to reallocate spectrum</w:t>
      </w:r>
      <w:r w:rsidR="000F7E14">
        <w:t xml:space="preserve"> in the 850/900 MHz band</w:t>
      </w:r>
      <w:r w:rsidR="00B674E2">
        <w:t xml:space="preserve"> for spectrum licensing</w:t>
      </w:r>
      <w:r w:rsidR="000F7E14">
        <w:t xml:space="preserve">. </w:t>
      </w:r>
    </w:p>
    <w:p w14:paraId="6EE64FAE" w14:textId="7C0C0B9C" w:rsidR="001C2BF4" w:rsidRPr="00B53F89" w:rsidRDefault="001C2BF4" w:rsidP="00EC7994">
      <w:pPr>
        <w:spacing w:after="0"/>
      </w:pPr>
      <w:bookmarkStart w:id="470" w:name="_Toc522794099"/>
      <w:bookmarkStart w:id="471" w:name="_Toc510104965"/>
      <w:bookmarkStart w:id="472" w:name="_Toc510105762"/>
      <w:bookmarkStart w:id="473" w:name="_Toc510795094"/>
      <w:bookmarkStart w:id="474" w:name="_Toc511716295"/>
      <w:bookmarkStart w:id="475" w:name="_Toc511719106"/>
      <w:bookmarkEnd w:id="469"/>
      <w:r w:rsidRPr="006A2F04">
        <w:rPr>
          <w:noProof/>
        </w:rPr>
        <w:drawing>
          <wp:inline distT="0" distB="0" distL="0" distR="0" wp14:anchorId="4C905892" wp14:editId="58A2BDE4">
            <wp:extent cx="342900" cy="361950"/>
            <wp:effectExtent l="0" t="0" r="0" b="0"/>
            <wp:docPr id="161" name="Picture 16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603853" w:rsidRPr="006A2F04">
        <w:rPr>
          <w:noProof/>
        </w:rPr>
        <w:drawing>
          <wp:inline distT="0" distB="0" distL="0" distR="0" wp14:anchorId="7DA82289" wp14:editId="3641D47C">
            <wp:extent cx="342900" cy="361950"/>
            <wp:effectExtent l="0" t="0" r="0" b="0"/>
            <wp:docPr id="171" name="Picture 171"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603853" w:rsidRPr="006A2F04">
        <w:rPr>
          <w:noProof/>
        </w:rPr>
        <w:drawing>
          <wp:inline distT="0" distB="0" distL="0" distR="0" wp14:anchorId="21D5F8D9" wp14:editId="28B8624B">
            <wp:extent cx="342900" cy="361950"/>
            <wp:effectExtent l="0" t="0" r="0" b="0"/>
            <wp:docPr id="172" name="Picture 172"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603853" w:rsidRPr="006A2F04">
        <w:rPr>
          <w:noProof/>
        </w:rPr>
        <w:drawing>
          <wp:inline distT="0" distB="0" distL="0" distR="0" wp14:anchorId="7526686A" wp14:editId="5D809761">
            <wp:extent cx="342900" cy="361950"/>
            <wp:effectExtent l="0" t="0" r="0" b="0"/>
            <wp:docPr id="173" name="Picture 17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603853" w:rsidRPr="006A2F04">
        <w:rPr>
          <w:noProof/>
        </w:rPr>
        <w:drawing>
          <wp:inline distT="0" distB="0" distL="0" distR="0" wp14:anchorId="6DD958A9" wp14:editId="462B465B">
            <wp:extent cx="342900" cy="361950"/>
            <wp:effectExtent l="0" t="0" r="0" b="0"/>
            <wp:docPr id="170" name="Picture 170"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ED05E9C" w14:textId="41E59162" w:rsidR="001F03F1" w:rsidRPr="00B53F89" w:rsidRDefault="001F03F1" w:rsidP="0054588C">
      <w:pPr>
        <w:pStyle w:val="Heading3"/>
        <w:keepNext w:val="0"/>
      </w:pPr>
      <w:bookmarkStart w:id="476" w:name="_Toc31892831"/>
      <w:bookmarkStart w:id="477" w:name="_Toc36207448"/>
      <w:bookmarkStart w:id="478" w:name="_Toc51864371"/>
      <w:r w:rsidRPr="00B53F89">
        <w:t>900 MHz</w:t>
      </w:r>
      <w:bookmarkEnd w:id="476"/>
      <w:bookmarkEnd w:id="477"/>
      <w:bookmarkEnd w:id="478"/>
    </w:p>
    <w:p w14:paraId="3426EDC2" w14:textId="5E5A44C7" w:rsidR="001F03F1" w:rsidRPr="00B53F89" w:rsidRDefault="001F03F1" w:rsidP="001F03F1">
      <w:r w:rsidRPr="00B53F89">
        <w:t xml:space="preserve">In October 2017, </w:t>
      </w:r>
      <w:r w:rsidR="00F40BC9">
        <w:t>we</w:t>
      </w:r>
      <w:r w:rsidRPr="00B53F89">
        <w:t xml:space="preserve"> published</w:t>
      </w:r>
      <w:r w:rsidRPr="00B53F89" w:rsidDel="00F40BC9">
        <w:t xml:space="preserve"> </w:t>
      </w:r>
      <w:r w:rsidR="00F40BC9">
        <w:t>our</w:t>
      </w:r>
      <w:r w:rsidR="00F40BC9" w:rsidRPr="00B53F89">
        <w:t xml:space="preserve"> </w:t>
      </w:r>
      <w:r w:rsidRPr="00B53F89">
        <w:t xml:space="preserve">planning decision on the 900 MHz band, and consulted on specific configuration arrangements for the band in </w:t>
      </w:r>
      <w:hyperlink r:id="rId116" w:history="1">
        <w:r w:rsidRPr="006A2F04">
          <w:rPr>
            <w:rStyle w:val="Hyperlink"/>
            <w:i/>
            <w:iCs/>
          </w:rPr>
          <w:t>Reconfiguring the 890−915/935−960 MHz band: Way forward</w:t>
        </w:r>
      </w:hyperlink>
      <w:r w:rsidRPr="00B53F89">
        <w:t>. Submitters to the 900 MHz reconfiguration consultations raised concerns about the spectrum available for reallocation, including the role of 900 MHz in 3G regional coverage, and mitigations for consumers migrating from 2G to 3G and 4G technologies.</w:t>
      </w:r>
    </w:p>
    <w:p w14:paraId="10677AB3" w14:textId="4A582498" w:rsidR="00D936EF" w:rsidRDefault="001F03F1" w:rsidP="001F03F1">
      <w:r w:rsidRPr="00B53F89">
        <w:t xml:space="preserve">Further consultation on configuration options for the 900 MHz band </w:t>
      </w:r>
      <w:r w:rsidR="00125B1C" w:rsidRPr="00B53F89">
        <w:t xml:space="preserve">was </w:t>
      </w:r>
      <w:r w:rsidRPr="00B53F89">
        <w:t>conducted in Q</w:t>
      </w:r>
      <w:r w:rsidR="00E00B33" w:rsidRPr="00B53F89">
        <w:t>2</w:t>
      </w:r>
      <w:r w:rsidRPr="00B53F89">
        <w:t xml:space="preserve"> 2019</w:t>
      </w:r>
      <w:r w:rsidR="00C0070D" w:rsidRPr="00B53F89">
        <w:t xml:space="preserve"> (see </w:t>
      </w:r>
      <w:hyperlink r:id="rId117" w:history="1">
        <w:r w:rsidR="00C0070D" w:rsidRPr="006A2F04">
          <w:rPr>
            <w:rStyle w:val="Hyperlink"/>
            <w:i/>
            <w:iCs/>
          </w:rPr>
          <w:t>Reconfiguring the 900 MHz band</w:t>
        </w:r>
      </w:hyperlink>
      <w:r w:rsidR="00C0070D" w:rsidRPr="00B53F89">
        <w:t>)</w:t>
      </w:r>
      <w:r w:rsidRPr="00B53F89">
        <w:t>.</w:t>
      </w:r>
      <w:r w:rsidR="008C0480" w:rsidRPr="00B53F89">
        <w:t xml:space="preserve"> </w:t>
      </w:r>
      <w:r w:rsidR="00F40BC9">
        <w:t>Our</w:t>
      </w:r>
      <w:r w:rsidR="007E4B7B" w:rsidRPr="00B53F89">
        <w:t xml:space="preserve"> approach include</w:t>
      </w:r>
      <w:r w:rsidR="00D936EF">
        <w:t>d</w:t>
      </w:r>
      <w:r w:rsidR="007E4B7B" w:rsidRPr="00B53F89">
        <w:t xml:space="preserve"> </w:t>
      </w:r>
      <w:r w:rsidR="007E4B7B" w:rsidRPr="00B53F89">
        <w:rPr>
          <w:szCs w:val="20"/>
        </w:rPr>
        <w:t xml:space="preserve">a focus on optimising the band for </w:t>
      </w:r>
      <w:r w:rsidR="00B3622F" w:rsidRPr="00B53F89">
        <w:rPr>
          <w:szCs w:val="20"/>
        </w:rPr>
        <w:t>4G (and</w:t>
      </w:r>
      <w:r w:rsidR="00EC7850">
        <w:rPr>
          <w:szCs w:val="20"/>
        </w:rPr>
        <w:t>,</w:t>
      </w:r>
      <w:r w:rsidR="00B3622F" w:rsidRPr="00B53F89">
        <w:rPr>
          <w:szCs w:val="20"/>
        </w:rPr>
        <w:t xml:space="preserve"> in the </w:t>
      </w:r>
      <w:r w:rsidR="007E4B7B" w:rsidRPr="00B53F89">
        <w:rPr>
          <w:szCs w:val="20"/>
        </w:rPr>
        <w:t>longer term</w:t>
      </w:r>
      <w:r w:rsidR="00EC7850">
        <w:rPr>
          <w:szCs w:val="20"/>
        </w:rPr>
        <w:t>,</w:t>
      </w:r>
      <w:r w:rsidR="007E4B7B" w:rsidRPr="00B53F89">
        <w:rPr>
          <w:szCs w:val="20"/>
        </w:rPr>
        <w:t xml:space="preserve"> 5G</w:t>
      </w:r>
      <w:r w:rsidR="00B3622F" w:rsidRPr="00B53F89">
        <w:rPr>
          <w:szCs w:val="20"/>
        </w:rPr>
        <w:t>)</w:t>
      </w:r>
      <w:r w:rsidR="007E4B7B" w:rsidRPr="00B53F89">
        <w:rPr>
          <w:szCs w:val="20"/>
        </w:rPr>
        <w:t xml:space="preserve">, providing flexibility for licensees to negotiate a downshift in the 850 MHz band, </w:t>
      </w:r>
      <w:r w:rsidR="00DE77D0" w:rsidRPr="00B53F89">
        <w:rPr>
          <w:szCs w:val="20"/>
        </w:rPr>
        <w:t>conver</w:t>
      </w:r>
      <w:r w:rsidR="00DE77D0">
        <w:rPr>
          <w:szCs w:val="20"/>
        </w:rPr>
        <w:t>ting</w:t>
      </w:r>
      <w:r w:rsidR="00DE77D0" w:rsidRPr="00B53F89">
        <w:rPr>
          <w:szCs w:val="20"/>
        </w:rPr>
        <w:t xml:space="preserve"> </w:t>
      </w:r>
      <w:r w:rsidR="007E4B7B" w:rsidRPr="00B53F89">
        <w:rPr>
          <w:szCs w:val="20"/>
        </w:rPr>
        <w:t>to longer</w:t>
      </w:r>
      <w:r w:rsidR="00EC7850">
        <w:rPr>
          <w:szCs w:val="20"/>
        </w:rPr>
        <w:t>-</w:t>
      </w:r>
      <w:r w:rsidR="007E4B7B" w:rsidRPr="00B53F89">
        <w:rPr>
          <w:szCs w:val="20"/>
        </w:rPr>
        <w:t>term licence tenure</w:t>
      </w:r>
      <w:r w:rsidR="00B64CCC" w:rsidRPr="00B53F89">
        <w:rPr>
          <w:szCs w:val="20"/>
        </w:rPr>
        <w:t>, and enabling licensees to mitigate risks to consumer services</w:t>
      </w:r>
      <w:r w:rsidR="007E4B7B" w:rsidRPr="00B53F89">
        <w:t>.</w:t>
      </w:r>
    </w:p>
    <w:p w14:paraId="5D15E95E" w14:textId="0FD5D76D" w:rsidR="00D936EF" w:rsidRDefault="00D936EF" w:rsidP="001F03F1">
      <w:r w:rsidRPr="00D936EF">
        <w:t xml:space="preserve">A key issue raised in the consultation concerned the risk to continuity of service provision to consumers </w:t>
      </w:r>
      <w:r w:rsidR="00965368">
        <w:t>if</w:t>
      </w:r>
      <w:r w:rsidR="00965368" w:rsidRPr="00D936EF">
        <w:t xml:space="preserve"> </w:t>
      </w:r>
      <w:r w:rsidRPr="00D936EF">
        <w:t>an</w:t>
      </w:r>
      <w:r w:rsidR="000F7E14">
        <w:t xml:space="preserve"> </w:t>
      </w:r>
      <w:r w:rsidRPr="00D936EF">
        <w:t xml:space="preserve">operator </w:t>
      </w:r>
      <w:r w:rsidR="00965368">
        <w:t xml:space="preserve">was </w:t>
      </w:r>
      <w:r w:rsidRPr="00D936EF">
        <w:t xml:space="preserve">not successful in gaining access to spectrum. </w:t>
      </w:r>
    </w:p>
    <w:p w14:paraId="33F350F6" w14:textId="3D61B14A" w:rsidR="001F03F1" w:rsidRDefault="00D936EF" w:rsidP="001F03F1">
      <w:r>
        <w:t>I</w:t>
      </w:r>
      <w:r w:rsidRPr="00D936EF">
        <w:t>n December 2019</w:t>
      </w:r>
      <w:r>
        <w:t xml:space="preserve">, </w:t>
      </w:r>
      <w:r w:rsidR="001F694F">
        <w:t>we</w:t>
      </w:r>
      <w:r>
        <w:t xml:space="preserve"> released</w:t>
      </w:r>
      <w:r w:rsidRPr="00D936EF">
        <w:t xml:space="preserve"> a decisions paper for the reconfiguration of the 900 MHz band and allocation of the 850 MHz expansion band. In the paper, </w:t>
      </w:r>
      <w:r w:rsidR="001F694F">
        <w:t>we</w:t>
      </w:r>
      <w:r w:rsidRPr="00D936EF">
        <w:t xml:space="preserve"> indicated </w:t>
      </w:r>
      <w:r w:rsidR="001F694F">
        <w:t>we</w:t>
      </w:r>
      <w:r w:rsidR="001F694F" w:rsidRPr="00D936EF">
        <w:t xml:space="preserve"> </w:t>
      </w:r>
      <w:r w:rsidRPr="00D936EF">
        <w:t>remain</w:t>
      </w:r>
      <w:r w:rsidR="001F694F">
        <w:t>ed</w:t>
      </w:r>
      <w:r w:rsidRPr="00D936EF">
        <w:t xml:space="preserve"> of the view that the best way to achieve reconfiguration of the 900 MHz band is to undertake a band clearance and price-based allocation in conjunction with an allocation of spectrum in the 850 MHz expansion </w:t>
      </w:r>
      <w:r w:rsidRPr="00D936EF" w:rsidDel="004C0B22">
        <w:t>band</w:t>
      </w:r>
      <w:r w:rsidR="004C0B22" w:rsidRPr="00D936EF">
        <w:t>.</w:t>
      </w:r>
    </w:p>
    <w:p w14:paraId="53328A12" w14:textId="631E9A53" w:rsidR="00F56121" w:rsidRPr="00B53F89" w:rsidRDefault="00F56121" w:rsidP="00C24269">
      <w:pPr>
        <w:pStyle w:val="Paragraph"/>
      </w:pPr>
      <w:r w:rsidRPr="00F56121">
        <w:t xml:space="preserve">To give effect to the decisions and preliminary views outlined </w:t>
      </w:r>
      <w:r>
        <w:t>in the decisions paper</w:t>
      </w:r>
      <w:r w:rsidRPr="00F56121">
        <w:t xml:space="preserve">, work </w:t>
      </w:r>
      <w:r w:rsidR="00A00C2F">
        <w:t xml:space="preserve">has </w:t>
      </w:r>
      <w:r w:rsidR="008F5FBF">
        <w:t xml:space="preserve">begun </w:t>
      </w:r>
      <w:r w:rsidRPr="00F56121">
        <w:t xml:space="preserve">on the reallocation of the 900 MHz band and the 850 MHz expansion band. </w:t>
      </w:r>
      <w:r w:rsidR="008F5FBF">
        <w:t xml:space="preserve">We </w:t>
      </w:r>
      <w:r w:rsidR="008F5FBF" w:rsidRPr="00F56121">
        <w:t>consult</w:t>
      </w:r>
      <w:r w:rsidR="008F5FBF">
        <w:t>ed</w:t>
      </w:r>
      <w:r w:rsidR="008F5FBF" w:rsidRPr="00F56121">
        <w:t xml:space="preserve"> </w:t>
      </w:r>
      <w:r w:rsidRPr="00F56121">
        <w:t xml:space="preserve">on a draft reallocation recommendation </w:t>
      </w:r>
      <w:r w:rsidR="00444031">
        <w:t>for</w:t>
      </w:r>
      <w:r w:rsidRPr="00F56121">
        <w:t xml:space="preserve"> the Min</w:t>
      </w:r>
      <w:r w:rsidR="00512D77">
        <w:t>i</w:t>
      </w:r>
      <w:r w:rsidRPr="00F56121">
        <w:t>ster</w:t>
      </w:r>
      <w:r w:rsidR="00A00C2F">
        <w:t xml:space="preserve"> in Q2 2020</w:t>
      </w:r>
      <w:r w:rsidR="000F444F">
        <w:t>.</w:t>
      </w:r>
    </w:p>
    <w:p w14:paraId="44C64E8C" w14:textId="77777777" w:rsidR="0008335B" w:rsidRPr="00B53F89" w:rsidRDefault="0008335B" w:rsidP="0008335B">
      <w:pPr>
        <w:spacing w:before="60" w:after="0"/>
      </w:pPr>
      <w:r w:rsidRPr="006A2F04">
        <w:rPr>
          <w:noProof/>
        </w:rPr>
        <w:drawing>
          <wp:inline distT="0" distB="0" distL="0" distR="0" wp14:anchorId="38FA7334" wp14:editId="7B226E33">
            <wp:extent cx="342900" cy="361950"/>
            <wp:effectExtent l="0" t="0" r="0" b="0"/>
            <wp:docPr id="165" name="Picture 16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2EA9256" wp14:editId="2BFCD82B">
            <wp:extent cx="342900" cy="361950"/>
            <wp:effectExtent l="0" t="0" r="0" b="0"/>
            <wp:docPr id="6" name="Picture 6"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DFDA4E4" wp14:editId="26AB8C4E">
            <wp:extent cx="342900" cy="361950"/>
            <wp:effectExtent l="0" t="0" r="0" b="0"/>
            <wp:docPr id="166" name="Picture 166"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E325F22" wp14:editId="0D786A2E">
            <wp:extent cx="342900" cy="361950"/>
            <wp:effectExtent l="0" t="0" r="0" b="0"/>
            <wp:docPr id="167" name="Picture 167"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F8E1D7B" wp14:editId="6A0DEF6B">
            <wp:extent cx="342900" cy="361950"/>
            <wp:effectExtent l="0" t="0" r="0" b="0"/>
            <wp:docPr id="12" name="Picture 12"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3A6BFC0" wp14:editId="1F170776">
            <wp:extent cx="342900" cy="361950"/>
            <wp:effectExtent l="0" t="0" r="0" b="0"/>
            <wp:docPr id="168" name="Picture 168"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186041F" wp14:editId="1D58F354">
            <wp:extent cx="341630" cy="359410"/>
            <wp:effectExtent l="0" t="0" r="1270" b="2540"/>
            <wp:docPr id="196" name="Picture 196"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787B9DBA" wp14:editId="395EDBF6">
            <wp:extent cx="342900" cy="361950"/>
            <wp:effectExtent l="0" t="0" r="0" b="0"/>
            <wp:docPr id="15" name="Picture 1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6C02D2D" w14:textId="77777777" w:rsidR="0008335B" w:rsidRPr="00B53F89" w:rsidRDefault="0008335B" w:rsidP="0008335B">
      <w:pPr>
        <w:pStyle w:val="Heading3"/>
        <w:keepNext w:val="0"/>
        <w:rPr>
          <w:rFonts w:eastAsiaTheme="majorEastAsia"/>
        </w:rPr>
      </w:pPr>
      <w:bookmarkStart w:id="479" w:name="_Toc51864372"/>
      <w:r w:rsidRPr="00B53F89">
        <w:t xml:space="preserve">3400–3575 </w:t>
      </w:r>
      <w:r w:rsidRPr="00B53F89">
        <w:rPr>
          <w:rFonts w:eastAsiaTheme="majorEastAsia"/>
        </w:rPr>
        <w:t>MHz</w:t>
      </w:r>
      <w:bookmarkEnd w:id="479"/>
    </w:p>
    <w:p w14:paraId="1591C26F" w14:textId="29C33811" w:rsidR="0008335B" w:rsidRPr="00B53F89" w:rsidRDefault="0008335B" w:rsidP="0008335B">
      <w:r w:rsidRPr="00B53F89">
        <w:t>Stakeholder engagement in the lead-up to the 3.6 GHz auction in 2018 identified optimising spectrum and apparatus licence arrangements</w:t>
      </w:r>
      <w:r w:rsidRPr="00B53F89" w:rsidDel="00181D78">
        <w:t xml:space="preserve"> </w:t>
      </w:r>
      <w:r w:rsidRPr="00B53F89">
        <w:t xml:space="preserve">in the adjacent 3400–3575 MHz band as an important priority. This </w:t>
      </w:r>
      <w:r w:rsidR="008F5FBF">
        <w:t>was</w:t>
      </w:r>
      <w:r w:rsidRPr="00B53F89">
        <w:t xml:space="preserve"> expected to result in more efficient use of spectrum and a reduction in deployment costs. </w:t>
      </w:r>
    </w:p>
    <w:p w14:paraId="13DCE0D0" w14:textId="77777777" w:rsidR="0008335B" w:rsidRPr="00B53F89" w:rsidRDefault="0008335B" w:rsidP="0008335B">
      <w:pPr>
        <w:pStyle w:val="Paragraphbeforelist"/>
        <w:keepNext/>
        <w:keepLines/>
      </w:pPr>
      <w:r>
        <w:t>We</w:t>
      </w:r>
      <w:r w:rsidRPr="00B53F89">
        <w:t xml:space="preserve"> release</w:t>
      </w:r>
      <w:r>
        <w:t>d</w:t>
      </w:r>
      <w:r w:rsidRPr="00B53F89" w:rsidDel="001F694F">
        <w:t xml:space="preserve"> </w:t>
      </w:r>
      <w:r w:rsidRPr="00B53F89">
        <w:t xml:space="preserve">an </w:t>
      </w:r>
      <w:hyperlink r:id="rId118" w:history="1">
        <w:r w:rsidRPr="00B53F89">
          <w:rPr>
            <w:rStyle w:val="Hyperlink"/>
          </w:rPr>
          <w:t>options paper</w:t>
        </w:r>
      </w:hyperlink>
      <w:r w:rsidRPr="00B53F89">
        <w:t xml:space="preserve"> in April 2019</w:t>
      </w:r>
      <w:r>
        <w:t xml:space="preserve"> and announced the outcomes of this review in November 2019. This included:</w:t>
      </w:r>
      <w:r w:rsidRPr="00B53F89">
        <w:t xml:space="preserve"> </w:t>
      </w:r>
    </w:p>
    <w:p w14:paraId="1BA93FCA" w14:textId="77777777" w:rsidR="0008335B" w:rsidRDefault="0008335B" w:rsidP="0008335B">
      <w:pPr>
        <w:pStyle w:val="Bulletlevel1"/>
        <w:keepNext/>
        <w:keepLines/>
        <w:numPr>
          <w:ilvl w:val="0"/>
          <w:numId w:val="1"/>
        </w:numPr>
      </w:pPr>
      <w:r>
        <w:t>restacking incumbent services to consolidated arrangements</w:t>
      </w:r>
    </w:p>
    <w:p w14:paraId="4700F303" w14:textId="7EB6D814" w:rsidR="0008335B" w:rsidRDefault="0008335B" w:rsidP="0008335B">
      <w:pPr>
        <w:pStyle w:val="Bulletlevel1"/>
        <w:keepNext/>
        <w:keepLines/>
        <w:numPr>
          <w:ilvl w:val="0"/>
          <w:numId w:val="1"/>
        </w:numPr>
      </w:pPr>
      <w:r>
        <w:t xml:space="preserve">if the Minister </w:t>
      </w:r>
      <w:r w:rsidR="008F5FBF">
        <w:t>decides</w:t>
      </w:r>
      <w:r>
        <w:t xml:space="preserve"> to designate spectrum, converting NBN Co’s apparatus licences to spectrum licences</w:t>
      </w:r>
    </w:p>
    <w:p w14:paraId="0A7790A3" w14:textId="77777777" w:rsidR="0008335B" w:rsidRDefault="0008335B" w:rsidP="0008335B">
      <w:pPr>
        <w:pStyle w:val="Bulletlevel1"/>
        <w:numPr>
          <w:ilvl w:val="0"/>
          <w:numId w:val="1"/>
        </w:numPr>
      </w:pPr>
      <w:r>
        <w:t>making more spectrum available for point-to-multipoint apparatus licensing in regional and remote areas</w:t>
      </w:r>
    </w:p>
    <w:p w14:paraId="27F468D3" w14:textId="73A4BEC4" w:rsidR="0008335B" w:rsidRDefault="0008335B" w:rsidP="0008335B">
      <w:pPr>
        <w:pStyle w:val="Bulletlevel1"/>
        <w:numPr>
          <w:ilvl w:val="0"/>
          <w:numId w:val="1"/>
        </w:numPr>
      </w:pPr>
      <w:r>
        <w:lastRenderedPageBreak/>
        <w:t xml:space="preserve">if the Minister </w:t>
      </w:r>
      <w:r w:rsidR="008F5FBF">
        <w:t>decides</w:t>
      </w:r>
      <w:r>
        <w:t xml:space="preserve"> to designate spectrum, making more spectrum available for spectrum licensing in regional areas</w:t>
      </w:r>
    </w:p>
    <w:p w14:paraId="6666358D" w14:textId="77777777" w:rsidR="0008335B" w:rsidRDefault="0008335B" w:rsidP="0008335B">
      <w:pPr>
        <w:pStyle w:val="Bulletlevel1last"/>
        <w:numPr>
          <w:ilvl w:val="0"/>
          <w:numId w:val="1"/>
        </w:numPr>
      </w:pPr>
      <w:r>
        <w:t>excising unused urban areas of NBN Co’s licences in the band and making them available for use by other wireless broadband operators.</w:t>
      </w:r>
    </w:p>
    <w:p w14:paraId="7A214653" w14:textId="737EE9D6" w:rsidR="0008335B" w:rsidRDefault="0008335B" w:rsidP="0008335B">
      <w:pPr>
        <w:rPr>
          <w:szCs w:val="20"/>
        </w:rPr>
      </w:pPr>
      <w:r>
        <w:t xml:space="preserve">We are in the process of implementing the outcomes of our review of the 3400–3575 MHz band. </w:t>
      </w:r>
      <w:r>
        <w:rPr>
          <w:szCs w:val="20"/>
        </w:rPr>
        <w:t>Initially, this involves restacking incumbent services in the band</w:t>
      </w:r>
      <w:r w:rsidR="008F5FBF">
        <w:rPr>
          <w:szCs w:val="20"/>
        </w:rPr>
        <w:t xml:space="preserve">, which </w:t>
      </w:r>
      <w:r>
        <w:rPr>
          <w:szCs w:val="20"/>
        </w:rPr>
        <w:t xml:space="preserve">is expected to be completed on or before 30 November 2020. Once this is done, and if the Minister </w:t>
      </w:r>
      <w:r w:rsidR="008F5FBF">
        <w:rPr>
          <w:szCs w:val="20"/>
        </w:rPr>
        <w:t>decides</w:t>
      </w:r>
      <w:r>
        <w:rPr>
          <w:szCs w:val="20"/>
        </w:rPr>
        <w:t xml:space="preserve"> to designate spectrum for spectrum licensing, the process to convert NBN Co’s apparatus licences to spectrum licences will </w:t>
      </w:r>
      <w:r w:rsidR="008F5FBF">
        <w:rPr>
          <w:szCs w:val="20"/>
        </w:rPr>
        <w:t>start</w:t>
      </w:r>
      <w:r>
        <w:rPr>
          <w:szCs w:val="20"/>
        </w:rPr>
        <w:t>. Notionally, this will commence in Q3</w:t>
      </w:r>
      <w:r>
        <w:t>–</w:t>
      </w:r>
      <w:r>
        <w:rPr>
          <w:szCs w:val="20"/>
        </w:rPr>
        <w:t xml:space="preserve">4 2020 and finish in Q2 2021. </w:t>
      </w:r>
    </w:p>
    <w:p w14:paraId="6993D1C4" w14:textId="6DA5C3C2" w:rsidR="0008335B" w:rsidRDefault="0008335B" w:rsidP="0008335B">
      <w:pPr>
        <w:rPr>
          <w:szCs w:val="20"/>
        </w:rPr>
      </w:pPr>
      <w:r>
        <w:rPr>
          <w:szCs w:val="20"/>
        </w:rPr>
        <w:t>Work on the allocation process for the anticipated 25</w:t>
      </w:r>
      <w:r>
        <w:t>–</w:t>
      </w:r>
      <w:r>
        <w:rPr>
          <w:szCs w:val="20"/>
        </w:rPr>
        <w:t xml:space="preserve">42.5 MHz of remaining spectrum covered in any Ministerial designation will </w:t>
      </w:r>
      <w:r w:rsidR="008F5FBF">
        <w:rPr>
          <w:szCs w:val="20"/>
        </w:rPr>
        <w:t xml:space="preserve">start </w:t>
      </w:r>
      <w:r>
        <w:rPr>
          <w:szCs w:val="20"/>
        </w:rPr>
        <w:t xml:space="preserve">after the conversions of NBN Co’s licences is completed and unused urban areas have been excised from their licence holdings. Notionally, an allocation could occur in Q1 2023. </w:t>
      </w:r>
      <w:r w:rsidRPr="00E12491">
        <w:rPr>
          <w:szCs w:val="20"/>
        </w:rPr>
        <w:t xml:space="preserve">This may </w:t>
      </w:r>
      <w:r>
        <w:rPr>
          <w:szCs w:val="20"/>
        </w:rPr>
        <w:t xml:space="preserve">also </w:t>
      </w:r>
      <w:r w:rsidRPr="00E12491">
        <w:rPr>
          <w:szCs w:val="20"/>
        </w:rPr>
        <w:t xml:space="preserve">include </w:t>
      </w:r>
      <w:r w:rsidR="008F5FBF">
        <w:rPr>
          <w:szCs w:val="20"/>
        </w:rPr>
        <w:t>75 </w:t>
      </w:r>
      <w:r>
        <w:rPr>
          <w:szCs w:val="20"/>
        </w:rPr>
        <w:t>MHz of spectrum excised from NBN Co’s spectrum licences</w:t>
      </w:r>
      <w:r w:rsidRPr="00E12491">
        <w:rPr>
          <w:szCs w:val="20"/>
        </w:rPr>
        <w:t xml:space="preserve">. If it does not, these areas will be made available </w:t>
      </w:r>
      <w:r w:rsidR="008F5FBF">
        <w:rPr>
          <w:szCs w:val="20"/>
        </w:rPr>
        <w:t>by</w:t>
      </w:r>
      <w:r w:rsidR="008F5FBF" w:rsidRPr="00E12491">
        <w:rPr>
          <w:szCs w:val="20"/>
        </w:rPr>
        <w:t xml:space="preserve"> </w:t>
      </w:r>
      <w:r w:rsidRPr="00E12491">
        <w:rPr>
          <w:szCs w:val="20"/>
        </w:rPr>
        <w:t>other appropriate means.</w:t>
      </w:r>
    </w:p>
    <w:p w14:paraId="66E33088" w14:textId="77777777" w:rsidR="0008335B" w:rsidRPr="00B53F89" w:rsidRDefault="0008335B" w:rsidP="0008335B">
      <w:pPr>
        <w:pStyle w:val="Heading3"/>
        <w:keepNext w:val="0"/>
        <w:rPr>
          <w:rFonts w:eastAsiaTheme="majorEastAsia"/>
        </w:rPr>
      </w:pPr>
      <w:bookmarkStart w:id="480" w:name="_Toc51864373"/>
      <w:r w:rsidRPr="006A2F04">
        <w:rPr>
          <w:noProof/>
        </w:rPr>
        <w:drawing>
          <wp:inline distT="0" distB="0" distL="0" distR="0" wp14:anchorId="07293BB8" wp14:editId="53E4C308">
            <wp:extent cx="244475" cy="140335"/>
            <wp:effectExtent l="0" t="0" r="3175" b="0"/>
            <wp:docPr id="252" name="Picture 252"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3700–4200</w:t>
      </w:r>
      <w:r w:rsidRPr="00B53F89">
        <w:t xml:space="preserve"> </w:t>
      </w:r>
      <w:r w:rsidRPr="00B53F89">
        <w:rPr>
          <w:rFonts w:eastAsiaTheme="majorEastAsia"/>
        </w:rPr>
        <w:t>MHz</w:t>
      </w:r>
      <w:bookmarkEnd w:id="480"/>
    </w:p>
    <w:p w14:paraId="410AE931" w14:textId="3E2272BA" w:rsidR="0008335B" w:rsidRDefault="0008335B" w:rsidP="0008335B">
      <w:r>
        <w:t>The 3700</w:t>
      </w:r>
      <w:r w:rsidR="00F774CF" w:rsidRPr="00F774CF">
        <w:t>–</w:t>
      </w:r>
      <w:r>
        <w:t xml:space="preserve">4200 MHz band is currently being reviewed, with a </w:t>
      </w:r>
      <w:hyperlink r:id="rId119" w:history="1">
        <w:r w:rsidRPr="0054608C">
          <w:rPr>
            <w:rStyle w:val="Hyperlink"/>
          </w:rPr>
          <w:t>discussion paper</w:t>
        </w:r>
      </w:hyperlink>
      <w:r>
        <w:t xml:space="preserve"> released in 2019. That paper identified a number of trends that suggest there is the potential case for wireless broadband arrangements to be established in some of the band. This was followed by an </w:t>
      </w:r>
      <w:hyperlink r:id="rId120" w:history="1">
        <w:r w:rsidRPr="0054608C">
          <w:rPr>
            <w:rStyle w:val="Hyperlink"/>
          </w:rPr>
          <w:t>options paper</w:t>
        </w:r>
      </w:hyperlink>
      <w:r>
        <w:t xml:space="preserve"> in July 2020</w:t>
      </w:r>
      <w:r w:rsidR="008F5FBF">
        <w:t>,</w:t>
      </w:r>
      <w:r>
        <w:t xml:space="preserve"> which presented </w:t>
      </w:r>
      <w:r w:rsidR="008F5FBF">
        <w:t xml:space="preserve">changing </w:t>
      </w:r>
      <w:r>
        <w:t>arrangements in the band to accommodate wireless broadband and proposed replanning options. No outcomes have</w:t>
      </w:r>
      <w:r w:rsidR="008F2ABD">
        <w:t xml:space="preserve"> </w:t>
      </w:r>
      <w:r>
        <w:t>been decided on the future of the band, including if and how spectrum would be allocated for wireless broadband services.</w:t>
      </w:r>
    </w:p>
    <w:p w14:paraId="10567B69" w14:textId="1B9218C6" w:rsidR="00770CB1" w:rsidRPr="00B53F89" w:rsidRDefault="00770CB1" w:rsidP="0054588C">
      <w:pPr>
        <w:spacing w:before="60" w:after="0"/>
      </w:pPr>
      <w:r w:rsidRPr="006A2F04">
        <w:rPr>
          <w:noProof/>
        </w:rPr>
        <w:drawing>
          <wp:inline distT="0" distB="0" distL="0" distR="0" wp14:anchorId="3DEB3B3F" wp14:editId="044CC305">
            <wp:extent cx="342900" cy="361950"/>
            <wp:effectExtent l="0" t="0" r="0" b="0"/>
            <wp:docPr id="99" name="Picture 9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E7029" w:rsidRPr="006A2F04">
        <w:rPr>
          <w:noProof/>
        </w:rPr>
        <w:drawing>
          <wp:inline distT="0" distB="0" distL="0" distR="0" wp14:anchorId="0A81FC91" wp14:editId="37C2F61B">
            <wp:extent cx="341630" cy="359410"/>
            <wp:effectExtent l="0" t="0" r="1270" b="2540"/>
            <wp:docPr id="195" name="Picture 195"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051029" w:rsidRPr="006A2F04">
        <w:rPr>
          <w:noProof/>
        </w:rPr>
        <w:drawing>
          <wp:inline distT="0" distB="0" distL="0" distR="0" wp14:anchorId="0AC6C27B" wp14:editId="061F9C3D">
            <wp:extent cx="342900" cy="361950"/>
            <wp:effectExtent l="0" t="0" r="0" b="0"/>
            <wp:docPr id="181" name="Picture 181"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DF1BA4" w:rsidRPr="006A2F04">
        <w:rPr>
          <w:noProof/>
        </w:rPr>
        <w:drawing>
          <wp:inline distT="0" distB="0" distL="0" distR="0" wp14:anchorId="762933A2" wp14:editId="25AEB2DB">
            <wp:extent cx="342900" cy="361950"/>
            <wp:effectExtent l="0" t="0" r="0" b="0"/>
            <wp:docPr id="180" name="Picture 180"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43FB0" w:rsidRPr="006A2F04">
        <w:rPr>
          <w:noProof/>
        </w:rPr>
        <w:drawing>
          <wp:inline distT="0" distB="0" distL="0" distR="0" wp14:anchorId="47B9726C" wp14:editId="3067649D">
            <wp:extent cx="342900" cy="361950"/>
            <wp:effectExtent l="0" t="0" r="0" b="0"/>
            <wp:docPr id="182" name="Picture 182"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43FB0" w:rsidRPr="006A2F04">
        <w:rPr>
          <w:noProof/>
        </w:rPr>
        <w:drawing>
          <wp:inline distT="0" distB="0" distL="0" distR="0" wp14:anchorId="48DBA1C9" wp14:editId="2CDA897E">
            <wp:extent cx="342900" cy="361950"/>
            <wp:effectExtent l="0" t="0" r="0" b="0"/>
            <wp:docPr id="183" name="Picture 18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43FB0" w:rsidRPr="006A2F04">
        <w:rPr>
          <w:noProof/>
        </w:rPr>
        <w:drawing>
          <wp:inline distT="0" distB="0" distL="0" distR="0" wp14:anchorId="7873C140" wp14:editId="0BC9AAB7">
            <wp:extent cx="342900" cy="361950"/>
            <wp:effectExtent l="0" t="0" r="0" b="0"/>
            <wp:docPr id="184" name="Picture 184"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9D1B2A3" wp14:editId="29C6C435">
            <wp:extent cx="342900" cy="361950"/>
            <wp:effectExtent l="0" t="0" r="0" b="0"/>
            <wp:docPr id="100" name="Picture 100"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D39851D" w14:textId="706799C0" w:rsidR="001F03F1" w:rsidRPr="00B53F89" w:rsidRDefault="001F03F1" w:rsidP="0054588C">
      <w:pPr>
        <w:pStyle w:val="Heading3"/>
        <w:keepNext w:val="0"/>
      </w:pPr>
      <w:bookmarkStart w:id="481" w:name="_Toc31892832"/>
      <w:bookmarkStart w:id="482" w:name="_Toc36207449"/>
      <w:bookmarkStart w:id="483" w:name="_Toc51864374"/>
      <w:r w:rsidRPr="00B53F89">
        <w:t>1.5 GHz</w:t>
      </w:r>
      <w:bookmarkEnd w:id="481"/>
      <w:bookmarkEnd w:id="482"/>
      <w:bookmarkEnd w:id="483"/>
    </w:p>
    <w:p w14:paraId="596BA6B7" w14:textId="59C120B2" w:rsidR="00002B03" w:rsidRPr="00B53F89" w:rsidRDefault="00002B03" w:rsidP="00513FDE">
      <w:r w:rsidRPr="00B53F89">
        <w:t xml:space="preserve">In June 2017, </w:t>
      </w:r>
      <w:r w:rsidR="001F694F">
        <w:t>we</w:t>
      </w:r>
      <w:r w:rsidRPr="00B53F89">
        <w:t xml:space="preserve"> released a </w:t>
      </w:r>
      <w:r w:rsidR="001077CF" w:rsidRPr="001077CF">
        <w:rPr>
          <w:rFonts w:eastAsiaTheme="majorEastAsia"/>
        </w:rPr>
        <w:t>consultation package</w:t>
      </w:r>
      <w:r w:rsidRPr="00B53F89">
        <w:t xml:space="preserve"> including </w:t>
      </w:r>
      <w:hyperlink r:id="rId121" w:history="1">
        <w:r w:rsidRPr="00B53F89">
          <w:rPr>
            <w:rStyle w:val="Hyperlink"/>
            <w:rFonts w:cs="Arial"/>
            <w:i/>
            <w:szCs w:val="20"/>
          </w:rPr>
          <w:t>Future use of the 1.5 GHz and 3.6 GHz bands—Summary of and response to 3.6 GHz submissions</w:t>
        </w:r>
      </w:hyperlink>
      <w:r w:rsidRPr="00B53F89">
        <w:t xml:space="preserve">. This detailed the ACMA’s decision to progress the 1.5 GHz band to the </w:t>
      </w:r>
      <w:r w:rsidRPr="00EA7ABB">
        <w:rPr>
          <w:iCs/>
        </w:rPr>
        <w:t>preliminary replanning</w:t>
      </w:r>
      <w:r w:rsidRPr="00B53F89">
        <w:t xml:space="preserve"> stage of the ACMA’s process for consideration of additional spectrum for </w:t>
      </w:r>
      <w:r w:rsidR="008C0480" w:rsidRPr="00B53F89">
        <w:t>mobile broadband</w:t>
      </w:r>
      <w:r w:rsidRPr="00B53F89">
        <w:t xml:space="preserve"> services.</w:t>
      </w:r>
    </w:p>
    <w:p w14:paraId="6CF67C42" w14:textId="23910F35" w:rsidR="00EA1B63" w:rsidRPr="00B53F89" w:rsidRDefault="000908EE" w:rsidP="00513FDE">
      <w:pPr>
        <w:rPr>
          <w:rFonts w:cs="Arial"/>
          <w:szCs w:val="20"/>
        </w:rPr>
      </w:pPr>
      <w:r w:rsidRPr="00B53F89">
        <w:rPr>
          <w:rFonts w:eastAsiaTheme="majorEastAsia"/>
        </w:rPr>
        <w:t>Ongoing work in international spectrum harmonisation, technology standardisation and coexistence with other services will clarify the amount of spectrum that could be made available for allocation</w:t>
      </w:r>
      <w:r w:rsidRPr="00B53F89" w:rsidDel="001F694F">
        <w:rPr>
          <w:rFonts w:eastAsiaTheme="majorEastAsia"/>
        </w:rPr>
        <w:t>.</w:t>
      </w:r>
      <w:r w:rsidRPr="00B53F89" w:rsidDel="001F694F">
        <w:rPr>
          <w:rFonts w:eastAsiaTheme="majorEastAsia" w:cs="Arial"/>
          <w:szCs w:val="20"/>
        </w:rPr>
        <w:t xml:space="preserve"> </w:t>
      </w:r>
      <w:r w:rsidR="00925362" w:rsidRPr="00B53F89">
        <w:rPr>
          <w:rFonts w:cs="Arial"/>
          <w:szCs w:val="20"/>
        </w:rPr>
        <w:t>This</w:t>
      </w:r>
      <w:r w:rsidR="008F5FBF">
        <w:rPr>
          <w:rFonts w:cs="Arial"/>
          <w:szCs w:val="20"/>
        </w:rPr>
        <w:t>,</w:t>
      </w:r>
      <w:r w:rsidR="00925362" w:rsidRPr="00B53F89">
        <w:rPr>
          <w:rFonts w:cs="Arial"/>
          <w:szCs w:val="20"/>
        </w:rPr>
        <w:t xml:space="preserve"> and other </w:t>
      </w:r>
      <w:r w:rsidR="00EE6E9B" w:rsidRPr="00B53F89">
        <w:rPr>
          <w:rFonts w:cs="Arial"/>
          <w:szCs w:val="20"/>
        </w:rPr>
        <w:t>considerations</w:t>
      </w:r>
      <w:r w:rsidR="008F5FBF">
        <w:rPr>
          <w:rFonts w:cs="Arial"/>
          <w:szCs w:val="20"/>
        </w:rPr>
        <w:t>,</w:t>
      </w:r>
      <w:r w:rsidR="00925362" w:rsidRPr="00B53F89">
        <w:rPr>
          <w:rFonts w:cs="Arial"/>
          <w:szCs w:val="20"/>
        </w:rPr>
        <w:t xml:space="preserve"> would be determined in further replanning activities that would be undertaken</w:t>
      </w:r>
      <w:r w:rsidR="008F5FBF">
        <w:rPr>
          <w:rFonts w:cs="Arial"/>
          <w:szCs w:val="20"/>
        </w:rPr>
        <w:t>,</w:t>
      </w:r>
      <w:r w:rsidR="00925362" w:rsidRPr="00B53F89">
        <w:rPr>
          <w:rFonts w:cs="Arial"/>
          <w:szCs w:val="20"/>
        </w:rPr>
        <w:t xml:space="preserve"> together with co</w:t>
      </w:r>
      <w:r w:rsidR="00EE6E9B" w:rsidRPr="00B53F89">
        <w:rPr>
          <w:rFonts w:cs="Arial"/>
          <w:szCs w:val="20"/>
        </w:rPr>
        <w:t>nsid</w:t>
      </w:r>
      <w:r w:rsidR="00925362" w:rsidRPr="00B53F89">
        <w:rPr>
          <w:rFonts w:cs="Arial"/>
          <w:szCs w:val="20"/>
        </w:rPr>
        <w:t>er</w:t>
      </w:r>
      <w:r w:rsidR="001D6F68" w:rsidRPr="00B53F89">
        <w:rPr>
          <w:rFonts w:cs="Arial"/>
          <w:szCs w:val="20"/>
        </w:rPr>
        <w:t>ation of</w:t>
      </w:r>
      <w:r w:rsidR="00925362" w:rsidRPr="00B53F89">
        <w:rPr>
          <w:rFonts w:cs="Arial"/>
          <w:szCs w:val="20"/>
        </w:rPr>
        <w:t xml:space="preserve"> the upper adjacent band that is of interest for L</w:t>
      </w:r>
      <w:r w:rsidR="008B211A" w:rsidRPr="00B53F89">
        <w:rPr>
          <w:rFonts w:cs="Arial"/>
          <w:szCs w:val="20"/>
        </w:rPr>
        <w:t>-</w:t>
      </w:r>
      <w:r w:rsidR="00925362" w:rsidRPr="00B53F89">
        <w:rPr>
          <w:rFonts w:cs="Arial"/>
          <w:szCs w:val="20"/>
        </w:rPr>
        <w:t>band MSS services.</w:t>
      </w:r>
    </w:p>
    <w:p w14:paraId="37134929" w14:textId="5466D556" w:rsidR="00F05FB5" w:rsidRPr="00F05FB5" w:rsidRDefault="006F5B0F" w:rsidP="00D04000">
      <w:r w:rsidRPr="00B53F89">
        <w:t xml:space="preserve">Feedback to </w:t>
      </w:r>
      <w:r w:rsidR="005862A9">
        <w:t>recent</w:t>
      </w:r>
      <w:r w:rsidRPr="00B53F89">
        <w:t xml:space="preserve"> </w:t>
      </w:r>
      <w:r w:rsidR="005548E6" w:rsidRPr="00B53F89">
        <w:t xml:space="preserve">draft </w:t>
      </w:r>
      <w:r w:rsidRPr="00B53F89">
        <w:t>FYSO</w:t>
      </w:r>
      <w:r w:rsidR="005862A9">
        <w:t>s</w:t>
      </w:r>
      <w:r w:rsidRPr="00B53F89">
        <w:t xml:space="preserve"> </w:t>
      </w:r>
      <w:r w:rsidR="00F05FB5">
        <w:t>indicated there was</w:t>
      </w:r>
      <w:r w:rsidR="00F05FB5" w:rsidRPr="00B53F89">
        <w:t xml:space="preserve"> </w:t>
      </w:r>
      <w:r w:rsidRPr="00B53F89">
        <w:t>a lower level of near-term domestic interest</w:t>
      </w:r>
      <w:r w:rsidR="005548E6" w:rsidRPr="00B53F89">
        <w:t xml:space="preserve"> in the reallocation of this band</w:t>
      </w:r>
      <w:r w:rsidRPr="00B53F89">
        <w:t>, compared to other potential wireless broadband bands</w:t>
      </w:r>
      <w:r w:rsidR="005548E6" w:rsidRPr="00B53F89">
        <w:t xml:space="preserve">. </w:t>
      </w:r>
      <w:r w:rsidR="00F05FB5">
        <w:t xml:space="preserve">However, there is interest in using the band for private LTE as well as progressing a review of the adjacent </w:t>
      </w:r>
      <w:r w:rsidR="00F05FB5" w:rsidRPr="00B53F89">
        <w:t xml:space="preserve">MSS </w:t>
      </w:r>
      <w:r w:rsidR="00F05FB5">
        <w:t xml:space="preserve">bands </w:t>
      </w:r>
      <w:r w:rsidR="00F05FB5" w:rsidRPr="00B53F89">
        <w:t>above 1518 MHz</w:t>
      </w:r>
      <w:r w:rsidR="00F05FB5">
        <w:t xml:space="preserve">. Since a decision in one band affects </w:t>
      </w:r>
      <w:r w:rsidR="00F05FB5" w:rsidRPr="00B53F89">
        <w:t xml:space="preserve">the </w:t>
      </w:r>
      <w:r w:rsidR="00F05FB5">
        <w:t xml:space="preserve">other, a </w:t>
      </w:r>
      <w:r w:rsidR="00F05FB5" w:rsidRPr="00B53F89">
        <w:t xml:space="preserve">simultaneous review of the extended MSS L-band and the 1.5 GHz bands </w:t>
      </w:r>
      <w:r w:rsidR="00F05FB5">
        <w:t xml:space="preserve">would seem </w:t>
      </w:r>
      <w:r w:rsidR="00F05FB5" w:rsidRPr="00B53F89">
        <w:t>appropriate.</w:t>
      </w:r>
      <w:r w:rsidR="00F05FB5">
        <w:t xml:space="preserve"> The priority to place on such a review is considered in the </w:t>
      </w:r>
      <w:r w:rsidR="00F05FB5">
        <w:rPr>
          <w:i/>
          <w:iCs/>
        </w:rPr>
        <w:t>Future band</w:t>
      </w:r>
      <w:r w:rsidR="00EA305B">
        <w:rPr>
          <w:i/>
          <w:iCs/>
        </w:rPr>
        <w:t>-</w:t>
      </w:r>
      <w:r w:rsidR="00F05FB5">
        <w:rPr>
          <w:i/>
          <w:iCs/>
        </w:rPr>
        <w:t xml:space="preserve">planning </w:t>
      </w:r>
      <w:r w:rsidR="00F05FB5">
        <w:t>section.</w:t>
      </w:r>
    </w:p>
    <w:p w14:paraId="5E3527E6" w14:textId="61E31842" w:rsidR="0049760B" w:rsidRPr="00B53F89" w:rsidRDefault="00EB63FC" w:rsidP="00B35964">
      <w:pPr>
        <w:pStyle w:val="Heading3"/>
        <w:keepLines/>
        <w:rPr>
          <w:rFonts w:eastAsiaTheme="majorEastAsia"/>
        </w:rPr>
      </w:pPr>
      <w:bookmarkStart w:id="484" w:name="_Toc51864375"/>
      <w:r w:rsidRPr="006A2F04">
        <w:rPr>
          <w:noProof/>
        </w:rPr>
        <w:lastRenderedPageBreak/>
        <w:drawing>
          <wp:inline distT="0" distB="0" distL="0" distR="0" wp14:anchorId="60267C68" wp14:editId="3F7F9938">
            <wp:extent cx="245110" cy="140970"/>
            <wp:effectExtent l="0" t="0" r="2540" b="0"/>
            <wp:docPr id="251" name="Picture 251" descr="A picture containing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7" name="Picture 7" descr="A picture containing clipart&#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t xml:space="preserve">  </w:t>
      </w:r>
      <w:r w:rsidR="0049760B">
        <w:t>2 GHz</w:t>
      </w:r>
      <w:bookmarkEnd w:id="484"/>
    </w:p>
    <w:p w14:paraId="1DEE68BF" w14:textId="4A981DF0" w:rsidR="0049760B" w:rsidRPr="00F05FB5" w:rsidRDefault="0049760B" w:rsidP="00B35964">
      <w:pPr>
        <w:keepNext/>
        <w:keepLines/>
      </w:pPr>
      <w:r>
        <w:t xml:space="preserve">The 2 GHz band is currently being reviewed, </w:t>
      </w:r>
      <w:r w:rsidR="008F5FBF">
        <w:t xml:space="preserve">following </w:t>
      </w:r>
      <w:r>
        <w:t>an option</w:t>
      </w:r>
      <w:r w:rsidR="008F5FBF">
        <w:t>s</w:t>
      </w:r>
      <w:r>
        <w:t xml:space="preserve"> paper released in July 2020. That paper identified a number of trends that suggest there is the potential for mobile satellite arrangements to be established in some of the band. No decisions have been made on the future of the band, including if and how spectrum would be allocated for mobile satellite services. </w:t>
      </w:r>
    </w:p>
    <w:p w14:paraId="5F7DE958" w14:textId="56D2633C" w:rsidR="00561BBD" w:rsidRPr="00B53F89" w:rsidRDefault="003F4B80" w:rsidP="00A15C44">
      <w:pPr>
        <w:pStyle w:val="Heading2"/>
        <w:keepNext w:val="0"/>
        <w:rPr>
          <w:rFonts w:eastAsiaTheme="majorEastAsia"/>
        </w:rPr>
      </w:pPr>
      <w:bookmarkStart w:id="485" w:name="_Toc31892836"/>
      <w:bookmarkStart w:id="486" w:name="_Toc36207453"/>
      <w:bookmarkStart w:id="487" w:name="_Toc51846294"/>
      <w:bookmarkStart w:id="488" w:name="_Toc51864376"/>
      <w:r w:rsidRPr="00B53F89">
        <w:rPr>
          <w:rFonts w:eastAsiaTheme="majorEastAsia"/>
        </w:rPr>
        <w:t xml:space="preserve">Allocation </w:t>
      </w:r>
      <w:r w:rsidR="00561BBD" w:rsidRPr="00B53F89">
        <w:rPr>
          <w:rFonts w:eastAsiaTheme="majorEastAsia"/>
        </w:rPr>
        <w:t>priorities and sequencing</w:t>
      </w:r>
      <w:bookmarkEnd w:id="470"/>
      <w:bookmarkEnd w:id="485"/>
      <w:bookmarkEnd w:id="486"/>
      <w:bookmarkEnd w:id="487"/>
      <w:bookmarkEnd w:id="488"/>
    </w:p>
    <w:bookmarkEnd w:id="471"/>
    <w:bookmarkEnd w:id="472"/>
    <w:bookmarkEnd w:id="473"/>
    <w:bookmarkEnd w:id="474"/>
    <w:bookmarkEnd w:id="475"/>
    <w:p w14:paraId="3BA85740" w14:textId="6EED8D16" w:rsidR="000A216C" w:rsidRPr="00B53F89" w:rsidRDefault="000A216C" w:rsidP="00A15C44">
      <w:r w:rsidRPr="00B53F89">
        <w:t xml:space="preserve">The </w:t>
      </w:r>
      <w:r w:rsidR="00A43F6E" w:rsidRPr="00C03A0C">
        <w:t>Radiocommunications Act</w:t>
      </w:r>
      <w:r w:rsidR="00A43F6E" w:rsidRPr="00A43F6E">
        <w:rPr>
          <w:i/>
        </w:rPr>
        <w:t xml:space="preserve"> </w:t>
      </w:r>
      <w:r w:rsidRPr="00B53F89">
        <w:t xml:space="preserve">establishes a set of mandatory processes for allocating spectrum. In </w:t>
      </w:r>
      <w:r w:rsidR="009B2F27">
        <w:t>our</w:t>
      </w:r>
      <w:r w:rsidRPr="00B53F89">
        <w:t xml:space="preserve"> experience</w:t>
      </w:r>
      <w:r w:rsidR="00D57DA8" w:rsidRPr="00B53F89">
        <w:t xml:space="preserve">, this process </w:t>
      </w:r>
      <w:r w:rsidR="00167BA4" w:rsidRPr="00B53F89">
        <w:t>can be</w:t>
      </w:r>
      <w:r w:rsidR="00D57DA8" w:rsidRPr="00B53F89">
        <w:t xml:space="preserve"> expected to take at least 16 to 18 months from confirmation of the planning decision to the commencement of an auction</w:t>
      </w:r>
      <w:r w:rsidR="00706222" w:rsidRPr="00B53F89">
        <w:t xml:space="preserve"> for a price-based allocation of spectrum licences</w:t>
      </w:r>
      <w:r w:rsidR="009719CB" w:rsidRPr="00B53F89">
        <w:t xml:space="preserve"> of the bands under consideration</w:t>
      </w:r>
      <w:r w:rsidR="00D57DA8" w:rsidRPr="00B53F89">
        <w:t>.</w:t>
      </w:r>
      <w:r w:rsidRPr="00B53F89">
        <w:t xml:space="preserve"> This process will take longer where there is uncertainty</w:t>
      </w:r>
      <w:r w:rsidR="001C3B42" w:rsidRPr="00B53F89">
        <w:t>—</w:t>
      </w:r>
      <w:r w:rsidRPr="00B53F89">
        <w:t>for example</w:t>
      </w:r>
      <w:r w:rsidR="009B2F27">
        <w:t>,</w:t>
      </w:r>
      <w:r w:rsidRPr="00B53F89">
        <w:t xml:space="preserve"> if there is optionality around how the spectrum can be configured because further consultation and engagement with potential bidders will be necessary and important. The process can also be expected to be longer if there is a need to acquire new auction tools. </w:t>
      </w:r>
    </w:p>
    <w:p w14:paraId="2B6B836F" w14:textId="63BA351C" w:rsidR="0075215F" w:rsidRPr="00B53F89" w:rsidRDefault="0075215F" w:rsidP="00A15C44">
      <w:pPr>
        <w:pStyle w:val="Heading3"/>
        <w:keepNext w:val="0"/>
      </w:pPr>
      <w:bookmarkStart w:id="489" w:name="_Toc522794100"/>
      <w:bookmarkStart w:id="490" w:name="_Toc31892837"/>
      <w:bookmarkStart w:id="491" w:name="_Toc36207454"/>
      <w:bookmarkStart w:id="492" w:name="_Toc51864377"/>
      <w:r w:rsidRPr="00B53F89">
        <w:t>Timing considerations</w:t>
      </w:r>
      <w:bookmarkEnd w:id="489"/>
      <w:bookmarkEnd w:id="490"/>
      <w:bookmarkEnd w:id="491"/>
      <w:bookmarkEnd w:id="492"/>
    </w:p>
    <w:p w14:paraId="131FDA77" w14:textId="16A6792C" w:rsidR="00AA7A03" w:rsidRPr="00B53F89" w:rsidRDefault="009B2F27" w:rsidP="00A15C44">
      <w:r>
        <w:t>We</w:t>
      </w:r>
      <w:r w:rsidR="00AA7A03" w:rsidRPr="00B53F89" w:rsidDel="004F1842">
        <w:t xml:space="preserve"> </w:t>
      </w:r>
      <w:r w:rsidR="00AA7A03" w:rsidRPr="00B53F89">
        <w:t>recognise</w:t>
      </w:r>
      <w:r w:rsidR="00AA7A03" w:rsidRPr="00B53F89" w:rsidDel="004F1842">
        <w:t xml:space="preserve"> that </w:t>
      </w:r>
      <w:r w:rsidR="00AA7A03" w:rsidRPr="00B53F89">
        <w:t xml:space="preserve">while there may be timing, administrative and potentially efficiency benefits </w:t>
      </w:r>
      <w:r w:rsidR="0080603B" w:rsidRPr="00B53F89">
        <w:t xml:space="preserve">in </w:t>
      </w:r>
      <w:r w:rsidR="00AA7A03" w:rsidRPr="00B53F89">
        <w:t>running an allocation of multiple bands concurrently, there may also be an additional burden on auction participants</w:t>
      </w:r>
      <w:r w:rsidR="00AA7A03" w:rsidRPr="00B53F89" w:rsidDel="00937D6F">
        <w:t xml:space="preserve"> </w:t>
      </w:r>
      <w:r w:rsidR="00AA7A03" w:rsidRPr="00B53F89">
        <w:t xml:space="preserve">associated with capital funding, as well as potential auction complexity considerations. Taking feedback into account, </w:t>
      </w:r>
      <w:r>
        <w:t>we</w:t>
      </w:r>
      <w:r w:rsidR="00AA7A03" w:rsidRPr="00B53F89">
        <w:t xml:space="preserve"> will plan for a spacing of at least six months between major spectrum licence a</w:t>
      </w:r>
      <w:r w:rsidR="00176BB4" w:rsidRPr="00B53F89">
        <w:t>llocations</w:t>
      </w:r>
      <w:r w:rsidR="00B71AFE" w:rsidRPr="00B53F89">
        <w:t>, unless there are clear reasons to auction bands together</w:t>
      </w:r>
      <w:r>
        <w:t>,</w:t>
      </w:r>
      <w:r w:rsidR="00B71AFE" w:rsidRPr="00B53F89">
        <w:t xml:space="preserve"> such as </w:t>
      </w:r>
      <w:r w:rsidR="00260547" w:rsidRPr="00B53F89">
        <w:t>that the characteristics of the bands complement each other or where one band can be a substitute for the other</w:t>
      </w:r>
      <w:r w:rsidR="00AA7A03" w:rsidRPr="00B53F89">
        <w:t>.</w:t>
      </w:r>
    </w:p>
    <w:p w14:paraId="413B683A" w14:textId="677524F5" w:rsidR="00065477" w:rsidRPr="00B53F89" w:rsidRDefault="00065477" w:rsidP="00A15C44">
      <w:r w:rsidRPr="00B53F89">
        <w:t>The 26 GHz and 28 GHz bands are both included in intern</w:t>
      </w:r>
      <w:r w:rsidR="00F83901" w:rsidRPr="00B53F89">
        <w:t>a</w:t>
      </w:r>
      <w:r w:rsidRPr="00B53F89">
        <w:t>tional consideration of possible 5G wireless broadband spectrum</w:t>
      </w:r>
      <w:r w:rsidR="00AF4C03" w:rsidRPr="00B53F89">
        <w:t>, as well as currently or potentially supporting a range of other services</w:t>
      </w:r>
      <w:r w:rsidRPr="00B53F89">
        <w:t xml:space="preserve">. Both the planning, and the timing and sequencing of the allocation of licences in these bands needs to be considered together as much as possible. </w:t>
      </w:r>
      <w:r w:rsidR="009B2F27">
        <w:t>We</w:t>
      </w:r>
      <w:r w:rsidR="004A41AA" w:rsidRPr="00B53F89">
        <w:t xml:space="preserve"> will endeavour to ensure that the timing of allocation processes for both bands (whether price-based processes such as auctions, or administrative processes)</w:t>
      </w:r>
      <w:r w:rsidR="0026211E" w:rsidRPr="00B53F89">
        <w:t xml:space="preserve"> will be coordinated to reflect the close connection between the bands.</w:t>
      </w:r>
    </w:p>
    <w:p w14:paraId="388318A2" w14:textId="1417BEC5" w:rsidR="00D23EA9" w:rsidRPr="00B53F89" w:rsidRDefault="00F15C88" w:rsidP="00D23EA9">
      <w:r w:rsidRPr="00B53F89">
        <w:t xml:space="preserve">Table 11 below outlines </w:t>
      </w:r>
      <w:r w:rsidR="009B2F27">
        <w:t>our</w:t>
      </w:r>
      <w:r w:rsidRPr="00B53F89">
        <w:t xml:space="preserve"> current timing expectations </w:t>
      </w:r>
      <w:r w:rsidR="009B2F27">
        <w:t>for</w:t>
      </w:r>
      <w:r w:rsidRPr="00B53F89">
        <w:t xml:space="preserve"> future allocations under current law.</w:t>
      </w:r>
      <w:r w:rsidR="00D23EA9" w:rsidRPr="00B53F89">
        <w:t xml:space="preserve"> Please note that specific allocation processes depend on ACMA and, in some cases, </w:t>
      </w:r>
      <w:r w:rsidR="00AA6D3C" w:rsidRPr="00B53F89">
        <w:t>M</w:t>
      </w:r>
      <w:r w:rsidR="00D23EA9" w:rsidRPr="00B53F89">
        <w:t xml:space="preserve">inisterial decisions made during the planning and allocation stages, as well as the outcomes of consultation processes, including the views of incumbent and prospective spectrum users. As a result, </w:t>
      </w:r>
      <w:r w:rsidR="009B2F27" w:rsidRPr="00B53F89">
        <w:t>timing expectations</w:t>
      </w:r>
      <w:r w:rsidR="009B2F27" w:rsidRPr="00B53F89" w:rsidDel="009B2F27">
        <w:t xml:space="preserve"> </w:t>
      </w:r>
      <w:r w:rsidR="00D23EA9" w:rsidRPr="00B53F89">
        <w:t>cannot be definitive.</w:t>
      </w:r>
    </w:p>
    <w:p w14:paraId="673F76A9" w14:textId="48FC0EA9" w:rsidR="003F4B80" w:rsidRPr="00B53F89" w:rsidRDefault="00913721" w:rsidP="0098475A">
      <w:pPr>
        <w:pStyle w:val="ACMATableHeader"/>
        <w:keepNext/>
        <w:keepLines/>
      </w:pPr>
      <w:r>
        <w:lastRenderedPageBreak/>
        <w:t xml:space="preserve"> </w:t>
      </w:r>
      <w:r w:rsidR="00EC2F66" w:rsidRPr="00B53F89">
        <w:t xml:space="preserve">Potential timing of </w:t>
      </w:r>
      <w:r w:rsidR="004959E5" w:rsidRPr="00B53F89">
        <w:t>allocations</w:t>
      </w:r>
      <w:r w:rsidR="00034BFE">
        <w:t xml:space="preserve"> </w:t>
      </w:r>
      <w:r w:rsidR="00034BFE" w:rsidRPr="006A2F04">
        <w:rPr>
          <w:noProof/>
        </w:rPr>
        <w:drawing>
          <wp:inline distT="0" distB="0" distL="0" distR="0" wp14:anchorId="73494C90" wp14:editId="5E0B25A6">
            <wp:extent cx="244475" cy="140335"/>
            <wp:effectExtent l="0" t="0" r="3175" b="0"/>
            <wp:docPr id="80" name="Picture 80"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p>
    <w:tbl>
      <w:tblPr>
        <w:tblW w:w="80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4A0" w:firstRow="1" w:lastRow="0" w:firstColumn="1" w:lastColumn="0" w:noHBand="0" w:noVBand="1"/>
      </w:tblPr>
      <w:tblGrid>
        <w:gridCol w:w="1004"/>
        <w:gridCol w:w="1604"/>
        <w:gridCol w:w="1726"/>
        <w:gridCol w:w="1473"/>
        <w:gridCol w:w="2246"/>
      </w:tblGrid>
      <w:tr w:rsidR="003D1B6F" w:rsidRPr="00B53F89" w14:paraId="54C5905E" w14:textId="77777777" w:rsidTr="001526BD">
        <w:trPr>
          <w:cantSplit/>
          <w:tblHeader/>
        </w:trPr>
        <w:tc>
          <w:tcPr>
            <w:tcW w:w="1004" w:type="dxa"/>
            <w:shd w:val="clear" w:color="auto" w:fill="404040" w:themeFill="text1" w:themeFillTint="BF"/>
          </w:tcPr>
          <w:p w14:paraId="08B831C0" w14:textId="77777777" w:rsidR="0001077C" w:rsidRPr="00B53F89" w:rsidRDefault="00575163" w:rsidP="0094159B">
            <w:pPr>
              <w:pStyle w:val="TableHeading"/>
            </w:pPr>
            <w:bookmarkStart w:id="493" w:name="_Hlk522785298"/>
            <w:r w:rsidRPr="00B53F89">
              <w:t>Band</w:t>
            </w:r>
          </w:p>
          <w:p w14:paraId="1D594BFF" w14:textId="77777777" w:rsidR="003F4B80" w:rsidRPr="00B53F89" w:rsidRDefault="003F4B80" w:rsidP="0098475A">
            <w:pPr>
              <w:keepNext/>
              <w:keepLines/>
              <w:tabs>
                <w:tab w:val="left" w:pos="538"/>
              </w:tabs>
              <w:rPr>
                <w:color w:val="FFFFFF" w:themeColor="background1"/>
              </w:rPr>
            </w:pPr>
          </w:p>
        </w:tc>
        <w:tc>
          <w:tcPr>
            <w:tcW w:w="1604" w:type="dxa"/>
            <w:shd w:val="clear" w:color="auto" w:fill="404040" w:themeFill="text1" w:themeFillTint="BF"/>
          </w:tcPr>
          <w:p w14:paraId="05C546CA" w14:textId="33AB2872" w:rsidR="003F4B80" w:rsidRPr="00B53F89" w:rsidRDefault="003F4B80" w:rsidP="0094159B">
            <w:pPr>
              <w:pStyle w:val="TableHeading"/>
            </w:pPr>
            <w:r w:rsidRPr="00B53F89">
              <w:t xml:space="preserve">ACMA </w:t>
            </w:r>
            <w:r w:rsidR="00966DE2" w:rsidRPr="00B53F89">
              <w:t>next steps</w:t>
            </w:r>
          </w:p>
        </w:tc>
        <w:tc>
          <w:tcPr>
            <w:tcW w:w="1726" w:type="dxa"/>
            <w:shd w:val="clear" w:color="auto" w:fill="404040" w:themeFill="text1" w:themeFillTint="BF"/>
          </w:tcPr>
          <w:p w14:paraId="7C395BFE" w14:textId="33677F3F" w:rsidR="003F4B80" w:rsidRPr="00B53F89" w:rsidRDefault="0009395C" w:rsidP="0094159B">
            <w:pPr>
              <w:pStyle w:val="TableHeading"/>
            </w:pPr>
            <w:r w:rsidRPr="00B53F89">
              <w:t xml:space="preserve">ACMA recommendation to </w:t>
            </w:r>
            <w:r w:rsidR="002C0804">
              <w:t>M</w:t>
            </w:r>
            <w:r w:rsidR="003F4B80" w:rsidRPr="00B53F89">
              <w:t>in</w:t>
            </w:r>
            <w:r w:rsidR="00715BB9" w:rsidRPr="00B53F89">
              <w:t>ister</w:t>
            </w:r>
            <w:r w:rsidR="003F4B80" w:rsidRPr="00B53F89">
              <w:t xml:space="preserve"> </w:t>
            </w:r>
            <w:r w:rsidR="00715BB9" w:rsidRPr="00B53F89">
              <w:t>where applicable</w:t>
            </w:r>
          </w:p>
        </w:tc>
        <w:tc>
          <w:tcPr>
            <w:tcW w:w="1473" w:type="dxa"/>
            <w:shd w:val="clear" w:color="auto" w:fill="404040" w:themeFill="text1" w:themeFillTint="BF"/>
          </w:tcPr>
          <w:p w14:paraId="3F8B0A59" w14:textId="64B3E846" w:rsidR="003F4B80" w:rsidRPr="00B53F89" w:rsidRDefault="00B37A05" w:rsidP="0094159B">
            <w:pPr>
              <w:pStyle w:val="TableHeading"/>
            </w:pPr>
            <w:r w:rsidRPr="00B53F89">
              <w:t>Proposed a</w:t>
            </w:r>
            <w:r w:rsidR="00BE2203" w:rsidRPr="00B53F89">
              <w:t xml:space="preserve">llocation </w:t>
            </w:r>
            <w:r w:rsidRPr="00B53F89">
              <w:t>timi</w:t>
            </w:r>
            <w:r w:rsidR="00567FAB" w:rsidRPr="00B53F89">
              <w:t>n</w:t>
            </w:r>
            <w:r w:rsidRPr="00B53F89">
              <w:t>g</w:t>
            </w:r>
          </w:p>
        </w:tc>
        <w:tc>
          <w:tcPr>
            <w:tcW w:w="2246" w:type="dxa"/>
            <w:shd w:val="clear" w:color="auto" w:fill="404040" w:themeFill="text1" w:themeFillTint="BF"/>
          </w:tcPr>
          <w:p w14:paraId="5418C189" w14:textId="77777777" w:rsidR="003F4B80" w:rsidRPr="00B53F89" w:rsidRDefault="003F4B80" w:rsidP="0094159B">
            <w:pPr>
              <w:pStyle w:val="TableHeading"/>
            </w:pPr>
            <w:r w:rsidRPr="00B53F89">
              <w:t>Notes</w:t>
            </w:r>
          </w:p>
        </w:tc>
      </w:tr>
      <w:tr w:rsidR="00034BFE" w:rsidRPr="00B53F89" w14:paraId="6FFED097" w14:textId="77777777" w:rsidTr="001526BD">
        <w:trPr>
          <w:cantSplit/>
        </w:trPr>
        <w:tc>
          <w:tcPr>
            <w:tcW w:w="1004" w:type="dxa"/>
            <w:vMerge w:val="restart"/>
            <w:shd w:val="clear" w:color="auto" w:fill="FFFFFF" w:themeFill="background1"/>
          </w:tcPr>
          <w:p w14:paraId="5AA1AFEC" w14:textId="6E906F3A" w:rsidR="00034BFE" w:rsidRPr="00B53F89" w:rsidRDefault="00034BFE" w:rsidP="0098475A">
            <w:pPr>
              <w:pStyle w:val="TableBody"/>
              <w:keepNext/>
              <w:keepLines/>
            </w:pPr>
            <w:r w:rsidRPr="00B53F89">
              <w:t>26 GHz</w:t>
            </w:r>
            <w:r>
              <w:t xml:space="preserve"> </w:t>
            </w:r>
            <w:r w:rsidRPr="00B53F89">
              <w:t>spectrum licences</w:t>
            </w:r>
          </w:p>
        </w:tc>
        <w:tc>
          <w:tcPr>
            <w:tcW w:w="1604" w:type="dxa"/>
            <w:shd w:val="clear" w:color="auto" w:fill="FFFFFF" w:themeFill="background1"/>
          </w:tcPr>
          <w:p w14:paraId="07E6E687" w14:textId="50E5D68E" w:rsidR="00034BFE" w:rsidRDefault="00034BFE" w:rsidP="0098475A">
            <w:pPr>
              <w:pStyle w:val="TableBody"/>
              <w:keepNext/>
              <w:keepLines/>
            </w:pPr>
            <w:r>
              <w:t>Finalise</w:t>
            </w:r>
            <w:r w:rsidRPr="00FA3867">
              <w:t xml:space="preserve"> allocation instruments</w:t>
            </w:r>
          </w:p>
        </w:tc>
        <w:tc>
          <w:tcPr>
            <w:tcW w:w="1726" w:type="dxa"/>
            <w:shd w:val="clear" w:color="auto" w:fill="FFFFFF" w:themeFill="background1"/>
          </w:tcPr>
          <w:p w14:paraId="402681D7" w14:textId="77777777" w:rsidR="00034BFE" w:rsidRPr="00E2262A" w:rsidRDefault="00034BFE" w:rsidP="0098475A">
            <w:pPr>
              <w:pStyle w:val="TableBody"/>
              <w:keepNext/>
              <w:keepLines/>
            </w:pPr>
          </w:p>
        </w:tc>
        <w:tc>
          <w:tcPr>
            <w:tcW w:w="1473" w:type="dxa"/>
            <w:shd w:val="clear" w:color="auto" w:fill="FFFFFF" w:themeFill="background1"/>
          </w:tcPr>
          <w:p w14:paraId="204FE2CF" w14:textId="520FC700" w:rsidR="00034BFE" w:rsidRPr="00B53F89" w:rsidRDefault="00034BFE" w:rsidP="0098475A">
            <w:pPr>
              <w:pStyle w:val="TableBody"/>
              <w:keepNext/>
              <w:keepLines/>
            </w:pPr>
            <w:r w:rsidRPr="00232A41">
              <w:t>Q4</w:t>
            </w:r>
            <w:r>
              <w:t xml:space="preserve"> 2020</w:t>
            </w:r>
          </w:p>
        </w:tc>
        <w:tc>
          <w:tcPr>
            <w:tcW w:w="2246" w:type="dxa"/>
            <w:shd w:val="clear" w:color="auto" w:fill="FFFFFF" w:themeFill="background1"/>
          </w:tcPr>
          <w:p w14:paraId="33BCE08A" w14:textId="77777777" w:rsidR="00034BFE" w:rsidRDefault="00034BFE" w:rsidP="0098475A">
            <w:pPr>
              <w:pStyle w:val="TableBody"/>
              <w:keepNext/>
              <w:keepLines/>
            </w:pPr>
          </w:p>
        </w:tc>
      </w:tr>
      <w:tr w:rsidR="00034BFE" w:rsidRPr="00B53F89" w14:paraId="1EA0845D" w14:textId="77777777" w:rsidTr="001526BD">
        <w:trPr>
          <w:cantSplit/>
        </w:trPr>
        <w:tc>
          <w:tcPr>
            <w:tcW w:w="1004" w:type="dxa"/>
            <w:vMerge/>
            <w:shd w:val="clear" w:color="auto" w:fill="FFFFFF" w:themeFill="background1"/>
          </w:tcPr>
          <w:p w14:paraId="44DA3E55" w14:textId="77777777" w:rsidR="00034BFE" w:rsidRPr="00B53F89" w:rsidRDefault="00034BFE" w:rsidP="0098475A">
            <w:pPr>
              <w:pStyle w:val="TableBody"/>
              <w:keepNext/>
              <w:keepLines/>
            </w:pPr>
          </w:p>
        </w:tc>
        <w:tc>
          <w:tcPr>
            <w:tcW w:w="1604" w:type="dxa"/>
            <w:shd w:val="clear" w:color="auto" w:fill="FFFFFF" w:themeFill="background1"/>
          </w:tcPr>
          <w:p w14:paraId="039626C3" w14:textId="440E61ED" w:rsidR="00034BFE" w:rsidRDefault="00034BFE" w:rsidP="0098475A">
            <w:pPr>
              <w:pStyle w:val="TableBody"/>
              <w:keepNext/>
              <w:keepLines/>
              <w:spacing w:after="120"/>
            </w:pPr>
            <w:r>
              <w:t>Auction of Spectrum licences</w:t>
            </w:r>
          </w:p>
        </w:tc>
        <w:tc>
          <w:tcPr>
            <w:tcW w:w="1726" w:type="dxa"/>
            <w:shd w:val="clear" w:color="auto" w:fill="FFFFFF" w:themeFill="background1"/>
          </w:tcPr>
          <w:p w14:paraId="3259BF30" w14:textId="77777777" w:rsidR="00034BFE" w:rsidRPr="00E2262A" w:rsidRDefault="00034BFE" w:rsidP="0098475A">
            <w:pPr>
              <w:pStyle w:val="TableBody"/>
              <w:keepNext/>
              <w:keepLines/>
            </w:pPr>
          </w:p>
        </w:tc>
        <w:tc>
          <w:tcPr>
            <w:tcW w:w="1473" w:type="dxa"/>
            <w:shd w:val="clear" w:color="auto" w:fill="FFFFFF" w:themeFill="background1"/>
          </w:tcPr>
          <w:p w14:paraId="38085EB1" w14:textId="48C16E42" w:rsidR="00034BFE" w:rsidRPr="00232A41" w:rsidRDefault="008A7644" w:rsidP="0098475A">
            <w:pPr>
              <w:pStyle w:val="TableBody"/>
              <w:keepNext/>
              <w:keepLines/>
            </w:pPr>
            <w:r w:rsidRPr="008A7644">
              <w:t>Q1–2 2021 (noting Easter)</w:t>
            </w:r>
          </w:p>
        </w:tc>
        <w:tc>
          <w:tcPr>
            <w:tcW w:w="2246" w:type="dxa"/>
            <w:shd w:val="clear" w:color="auto" w:fill="FFFFFF" w:themeFill="background1"/>
          </w:tcPr>
          <w:p w14:paraId="3425865E" w14:textId="77777777" w:rsidR="00034BFE" w:rsidRDefault="00034BFE" w:rsidP="0098475A">
            <w:pPr>
              <w:pStyle w:val="TableBody"/>
              <w:keepNext/>
              <w:keepLines/>
            </w:pPr>
          </w:p>
        </w:tc>
      </w:tr>
      <w:tr w:rsidR="00034BFE" w:rsidRPr="00B53F89" w14:paraId="36ADDB56" w14:textId="77777777" w:rsidTr="001526BD">
        <w:trPr>
          <w:cantSplit/>
        </w:trPr>
        <w:tc>
          <w:tcPr>
            <w:tcW w:w="1004" w:type="dxa"/>
            <w:vMerge w:val="restart"/>
            <w:shd w:val="clear" w:color="auto" w:fill="F2F2F2" w:themeFill="background1" w:themeFillShade="F2"/>
          </w:tcPr>
          <w:p w14:paraId="1D95357B" w14:textId="5354B87C" w:rsidR="00034BFE" w:rsidRPr="00B53F89" w:rsidRDefault="00034BFE" w:rsidP="00622357">
            <w:pPr>
              <w:pStyle w:val="TableBody"/>
              <w:keepNext/>
              <w:keepLines/>
            </w:pPr>
            <w:r>
              <w:rPr>
                <w:szCs w:val="20"/>
              </w:rPr>
              <w:t>26 GHz apparatus licences</w:t>
            </w:r>
          </w:p>
        </w:tc>
        <w:tc>
          <w:tcPr>
            <w:tcW w:w="1604" w:type="dxa"/>
            <w:shd w:val="clear" w:color="auto" w:fill="F2F2F2" w:themeFill="background1" w:themeFillShade="F2"/>
          </w:tcPr>
          <w:p w14:paraId="003176A5" w14:textId="2BBCB0F4" w:rsidR="00034BFE" w:rsidRDefault="00034BFE" w:rsidP="00622357">
            <w:pPr>
              <w:pStyle w:val="TableBody"/>
              <w:keepNext/>
              <w:keepLines/>
            </w:pPr>
            <w:r>
              <w:t xml:space="preserve">Consult on licensing arrangements, including pricing structure and technical framework </w:t>
            </w:r>
          </w:p>
        </w:tc>
        <w:tc>
          <w:tcPr>
            <w:tcW w:w="1726" w:type="dxa"/>
            <w:shd w:val="clear" w:color="auto" w:fill="F2F2F2" w:themeFill="background1" w:themeFillShade="F2"/>
          </w:tcPr>
          <w:p w14:paraId="04A14BF2" w14:textId="77777777" w:rsidR="00034BFE" w:rsidRPr="00E2262A" w:rsidRDefault="00034BFE" w:rsidP="00622357">
            <w:pPr>
              <w:pStyle w:val="TableBody"/>
              <w:keepNext/>
              <w:keepLines/>
            </w:pPr>
          </w:p>
        </w:tc>
        <w:tc>
          <w:tcPr>
            <w:tcW w:w="1473" w:type="dxa"/>
            <w:shd w:val="clear" w:color="auto" w:fill="F2F2F2" w:themeFill="background1" w:themeFillShade="F2"/>
          </w:tcPr>
          <w:p w14:paraId="3AEB38A4" w14:textId="0C48497B" w:rsidR="00034BFE" w:rsidRPr="00B53F89" w:rsidRDefault="00034BFE" w:rsidP="00622357">
            <w:pPr>
              <w:pStyle w:val="TableBody"/>
              <w:keepNext/>
              <w:keepLines/>
            </w:pPr>
            <w:r>
              <w:t>Q3 2020</w:t>
            </w:r>
          </w:p>
        </w:tc>
        <w:tc>
          <w:tcPr>
            <w:tcW w:w="2246" w:type="dxa"/>
            <w:shd w:val="clear" w:color="auto" w:fill="F2F2F2" w:themeFill="background1" w:themeFillShade="F2"/>
          </w:tcPr>
          <w:p w14:paraId="6CE8B67D" w14:textId="77777777" w:rsidR="00034BFE" w:rsidRDefault="00034BFE" w:rsidP="00622357">
            <w:pPr>
              <w:pStyle w:val="TableBody"/>
              <w:keepNext/>
              <w:keepLines/>
            </w:pPr>
          </w:p>
        </w:tc>
      </w:tr>
      <w:tr w:rsidR="00034BFE" w:rsidRPr="00B53F89" w14:paraId="694690C3" w14:textId="77777777" w:rsidTr="001526BD">
        <w:trPr>
          <w:cantSplit/>
        </w:trPr>
        <w:tc>
          <w:tcPr>
            <w:tcW w:w="1004" w:type="dxa"/>
            <w:vMerge/>
            <w:shd w:val="clear" w:color="auto" w:fill="F2F2F2" w:themeFill="background1" w:themeFillShade="F2"/>
          </w:tcPr>
          <w:p w14:paraId="42DAB246" w14:textId="77777777" w:rsidR="00034BFE" w:rsidRDefault="00034BFE" w:rsidP="00622357">
            <w:pPr>
              <w:pStyle w:val="TableBody"/>
              <w:keepNext/>
              <w:keepLines/>
              <w:rPr>
                <w:szCs w:val="20"/>
              </w:rPr>
            </w:pPr>
          </w:p>
        </w:tc>
        <w:tc>
          <w:tcPr>
            <w:tcW w:w="1604" w:type="dxa"/>
            <w:shd w:val="clear" w:color="auto" w:fill="F2F2F2" w:themeFill="background1" w:themeFillShade="F2"/>
          </w:tcPr>
          <w:p w14:paraId="5AF5FDBF" w14:textId="1901906B" w:rsidR="00034BFE" w:rsidRDefault="00034BFE" w:rsidP="00622357">
            <w:pPr>
              <w:pStyle w:val="TableBody"/>
              <w:keepNext/>
              <w:keepLines/>
            </w:pPr>
            <w:r>
              <w:t>Availability of apparatus licences</w:t>
            </w:r>
          </w:p>
        </w:tc>
        <w:tc>
          <w:tcPr>
            <w:tcW w:w="1726" w:type="dxa"/>
            <w:shd w:val="clear" w:color="auto" w:fill="F2F2F2" w:themeFill="background1" w:themeFillShade="F2"/>
          </w:tcPr>
          <w:p w14:paraId="2A146BD1" w14:textId="77777777" w:rsidR="00034BFE" w:rsidRPr="00E2262A" w:rsidRDefault="00034BFE" w:rsidP="00622357">
            <w:pPr>
              <w:pStyle w:val="TableBody"/>
              <w:keepNext/>
              <w:keepLines/>
            </w:pPr>
          </w:p>
        </w:tc>
        <w:tc>
          <w:tcPr>
            <w:tcW w:w="1473" w:type="dxa"/>
            <w:shd w:val="clear" w:color="auto" w:fill="F2F2F2" w:themeFill="background1" w:themeFillShade="F2"/>
          </w:tcPr>
          <w:p w14:paraId="6C790C30" w14:textId="34DD7C4E" w:rsidR="00034BFE" w:rsidRDefault="00034BFE" w:rsidP="00622357">
            <w:pPr>
              <w:pStyle w:val="TableBody"/>
              <w:keepNext/>
              <w:keepLines/>
            </w:pPr>
            <w:r>
              <w:t>From Q4 2020</w:t>
            </w:r>
          </w:p>
        </w:tc>
        <w:tc>
          <w:tcPr>
            <w:tcW w:w="2246" w:type="dxa"/>
            <w:shd w:val="clear" w:color="auto" w:fill="F2F2F2" w:themeFill="background1" w:themeFillShade="F2"/>
          </w:tcPr>
          <w:p w14:paraId="7AD5706A" w14:textId="77777777" w:rsidR="00034BFE" w:rsidRDefault="00034BFE" w:rsidP="00622357">
            <w:pPr>
              <w:pStyle w:val="TableBody"/>
              <w:keepNext/>
              <w:keepLines/>
            </w:pPr>
          </w:p>
        </w:tc>
      </w:tr>
      <w:tr w:rsidR="00F26EB2" w:rsidRPr="00B53F89" w14:paraId="7C1E0BD5" w14:textId="77777777" w:rsidTr="001526BD">
        <w:trPr>
          <w:cantSplit/>
        </w:trPr>
        <w:tc>
          <w:tcPr>
            <w:tcW w:w="1004" w:type="dxa"/>
            <w:shd w:val="clear" w:color="auto" w:fill="FFFFFF" w:themeFill="background1"/>
          </w:tcPr>
          <w:p w14:paraId="46C44AE2" w14:textId="02D75E56" w:rsidR="00F26EB2" w:rsidRPr="00B53F89" w:rsidRDefault="00F26EB2" w:rsidP="00622357">
            <w:pPr>
              <w:pStyle w:val="TableBody"/>
              <w:keepNext/>
              <w:keepLines/>
            </w:pPr>
            <w:r w:rsidRPr="00B53F89">
              <w:rPr>
                <w:szCs w:val="20"/>
              </w:rPr>
              <w:t xml:space="preserve">28 GHz </w:t>
            </w:r>
          </w:p>
        </w:tc>
        <w:tc>
          <w:tcPr>
            <w:tcW w:w="1604" w:type="dxa"/>
            <w:shd w:val="clear" w:color="auto" w:fill="FFFFFF" w:themeFill="background1"/>
          </w:tcPr>
          <w:p w14:paraId="7379955E" w14:textId="717BEF85" w:rsidR="00F26EB2" w:rsidRDefault="00AC201C" w:rsidP="00622357">
            <w:pPr>
              <w:pStyle w:val="TableBody"/>
              <w:keepNext/>
              <w:keepLines/>
            </w:pPr>
            <w:r>
              <w:t>Availability of apparatus licences</w:t>
            </w:r>
          </w:p>
        </w:tc>
        <w:tc>
          <w:tcPr>
            <w:tcW w:w="1726" w:type="dxa"/>
            <w:shd w:val="clear" w:color="auto" w:fill="FFFFFF" w:themeFill="background1"/>
          </w:tcPr>
          <w:p w14:paraId="1A642C1D" w14:textId="77777777" w:rsidR="00F26EB2" w:rsidRPr="00E2262A" w:rsidRDefault="00F26EB2" w:rsidP="00622357">
            <w:pPr>
              <w:pStyle w:val="TableBody"/>
              <w:keepNext/>
              <w:keepLines/>
            </w:pPr>
          </w:p>
        </w:tc>
        <w:tc>
          <w:tcPr>
            <w:tcW w:w="1473" w:type="dxa"/>
            <w:shd w:val="clear" w:color="auto" w:fill="FFFFFF" w:themeFill="background1"/>
          </w:tcPr>
          <w:p w14:paraId="0FFD1CD8" w14:textId="146511EB" w:rsidR="00F26EB2" w:rsidRPr="00B53F89" w:rsidRDefault="00AC201C" w:rsidP="00622357">
            <w:pPr>
              <w:pStyle w:val="TableBody"/>
              <w:keepNext/>
              <w:keepLines/>
            </w:pPr>
            <w:r>
              <w:t>From Q4 2020</w:t>
            </w:r>
          </w:p>
        </w:tc>
        <w:tc>
          <w:tcPr>
            <w:tcW w:w="2246" w:type="dxa"/>
            <w:shd w:val="clear" w:color="auto" w:fill="FFFFFF" w:themeFill="background1"/>
          </w:tcPr>
          <w:p w14:paraId="7C4848CE" w14:textId="3E57ADCD" w:rsidR="00F26EB2" w:rsidRDefault="00F26EB2" w:rsidP="00622357">
            <w:pPr>
              <w:pStyle w:val="TableBody"/>
              <w:keepNext/>
              <w:keepLines/>
            </w:pPr>
            <w:r w:rsidRPr="00F26EB2">
              <w:t xml:space="preserve">Timing of availability of allocations to align with 26 GHz band </w:t>
            </w:r>
            <w:r w:rsidR="00AF4D4E">
              <w:t>apparatus licence</w:t>
            </w:r>
            <w:r w:rsidRPr="00F26EB2">
              <w:t>s where feasible</w:t>
            </w:r>
            <w:r w:rsidR="009B2F27">
              <w:t>.</w:t>
            </w:r>
          </w:p>
        </w:tc>
      </w:tr>
      <w:tr w:rsidR="003D1B6F" w:rsidRPr="00B53F89" w14:paraId="79054976" w14:textId="77777777" w:rsidTr="001526BD">
        <w:trPr>
          <w:cantSplit/>
        </w:trPr>
        <w:tc>
          <w:tcPr>
            <w:tcW w:w="1004" w:type="dxa"/>
            <w:shd w:val="clear" w:color="auto" w:fill="F2F2F2" w:themeFill="background1" w:themeFillShade="F2"/>
          </w:tcPr>
          <w:p w14:paraId="03645700" w14:textId="1780D29A" w:rsidR="00283D92" w:rsidRPr="00B53F89" w:rsidRDefault="00283D92" w:rsidP="00DE694D">
            <w:pPr>
              <w:pStyle w:val="TableBody"/>
            </w:pPr>
            <w:r w:rsidRPr="00B53F89">
              <w:t xml:space="preserve">850/900 </w:t>
            </w:r>
            <w:r w:rsidR="00552064" w:rsidRPr="00B53F89">
              <w:t>MHz</w:t>
            </w:r>
          </w:p>
        </w:tc>
        <w:tc>
          <w:tcPr>
            <w:tcW w:w="1604" w:type="dxa"/>
            <w:shd w:val="clear" w:color="auto" w:fill="F2F2F2" w:themeFill="background1" w:themeFillShade="F2"/>
          </w:tcPr>
          <w:p w14:paraId="3B6A4496" w14:textId="569367E9" w:rsidR="00283D92" w:rsidRPr="00B53F89" w:rsidRDefault="008C53F6" w:rsidP="00DE694D">
            <w:pPr>
              <w:pStyle w:val="TableBody"/>
            </w:pPr>
            <w:r>
              <w:t xml:space="preserve">Consider submissions to consultation on draft </w:t>
            </w:r>
            <w:r w:rsidR="003D1B6F">
              <w:t xml:space="preserve">recommendation to </w:t>
            </w:r>
            <w:r w:rsidR="002C0804">
              <w:t>M</w:t>
            </w:r>
            <w:r w:rsidR="003D1B6F">
              <w:t>inister</w:t>
            </w:r>
          </w:p>
        </w:tc>
        <w:tc>
          <w:tcPr>
            <w:tcW w:w="1726" w:type="dxa"/>
            <w:shd w:val="clear" w:color="auto" w:fill="F2F2F2" w:themeFill="background1" w:themeFillShade="F2"/>
          </w:tcPr>
          <w:p w14:paraId="76D6010F" w14:textId="066DAD04" w:rsidR="00283D92" w:rsidRPr="00B53F89" w:rsidRDefault="00673277" w:rsidP="00F2797B">
            <w:pPr>
              <w:pStyle w:val="TableBody"/>
            </w:pPr>
            <w:r w:rsidRPr="00E2262A">
              <w:t>Q</w:t>
            </w:r>
            <w:r w:rsidR="0063625D" w:rsidRPr="00E2262A">
              <w:t>3</w:t>
            </w:r>
            <w:r w:rsidR="00F2797B" w:rsidRPr="00E2262A">
              <w:t xml:space="preserve"> 2020</w:t>
            </w:r>
          </w:p>
        </w:tc>
        <w:tc>
          <w:tcPr>
            <w:tcW w:w="1473" w:type="dxa"/>
            <w:shd w:val="clear" w:color="auto" w:fill="F2F2F2" w:themeFill="background1" w:themeFillShade="F2"/>
          </w:tcPr>
          <w:p w14:paraId="0AF3A319" w14:textId="2C05F09A" w:rsidR="00283D92" w:rsidRPr="00B53F89" w:rsidRDefault="00F2797B" w:rsidP="00DE694D">
            <w:pPr>
              <w:pStyle w:val="TableBody"/>
            </w:pPr>
            <w:r w:rsidRPr="00B53F89">
              <w:t>Q</w:t>
            </w:r>
            <w:r w:rsidR="001D2120" w:rsidRPr="00B53F89">
              <w:t>4</w:t>
            </w:r>
            <w:r w:rsidRPr="00B53F89">
              <w:t xml:space="preserve"> 202</w:t>
            </w:r>
            <w:r w:rsidR="00560241" w:rsidRPr="00B53F89">
              <w:t>1</w:t>
            </w:r>
          </w:p>
        </w:tc>
        <w:tc>
          <w:tcPr>
            <w:tcW w:w="2246" w:type="dxa"/>
            <w:shd w:val="clear" w:color="auto" w:fill="F2F2F2" w:themeFill="background1" w:themeFillShade="F2"/>
          </w:tcPr>
          <w:p w14:paraId="3FC4B94B" w14:textId="0D29C073" w:rsidR="00283D92" w:rsidRPr="00B53F89" w:rsidRDefault="00E66D57" w:rsidP="00DE694D">
            <w:pPr>
              <w:pStyle w:val="TableBody"/>
            </w:pPr>
            <w:r w:rsidRPr="00B53F89">
              <w:t xml:space="preserve">Auction </w:t>
            </w:r>
            <w:r w:rsidR="000C4BC5">
              <w:t xml:space="preserve">at least </w:t>
            </w:r>
            <w:r w:rsidR="00C96E84">
              <w:t>six</w:t>
            </w:r>
            <w:r w:rsidRPr="00B53F89">
              <w:t xml:space="preserve"> months after </w:t>
            </w:r>
            <w:r w:rsidRPr="00B53F89" w:rsidDel="003D1B6F">
              <w:t>26</w:t>
            </w:r>
            <w:r w:rsidR="003D1B6F">
              <w:t> </w:t>
            </w:r>
            <w:r w:rsidRPr="00B53F89">
              <w:t xml:space="preserve">GHz </w:t>
            </w:r>
            <w:r w:rsidR="00C96E84">
              <w:t>spectrum licence</w:t>
            </w:r>
            <w:r w:rsidR="009D335A" w:rsidRPr="00B53F89">
              <w:t xml:space="preserve"> </w:t>
            </w:r>
            <w:r w:rsidRPr="00B53F89">
              <w:t>auction</w:t>
            </w:r>
            <w:r w:rsidR="009B2F27">
              <w:t>.</w:t>
            </w:r>
          </w:p>
        </w:tc>
      </w:tr>
      <w:tr w:rsidR="003D1B6F" w:rsidRPr="00B53F89" w14:paraId="5AF7B771" w14:textId="77777777" w:rsidTr="001526BD">
        <w:trPr>
          <w:cantSplit/>
        </w:trPr>
        <w:tc>
          <w:tcPr>
            <w:tcW w:w="1004" w:type="dxa"/>
            <w:shd w:val="clear" w:color="auto" w:fill="FFFFFF" w:themeFill="background1"/>
          </w:tcPr>
          <w:p w14:paraId="1C76E7D0" w14:textId="5CBB9F72" w:rsidR="00C02759" w:rsidRPr="00B53F89" w:rsidDel="00D205F9" w:rsidRDefault="00EE3C7B" w:rsidP="00DE694D">
            <w:pPr>
              <w:pStyle w:val="TableBody"/>
            </w:pPr>
            <w:r w:rsidRPr="00B53F89">
              <w:t>3400–3575 MHz</w:t>
            </w:r>
            <w:r w:rsidR="00B53F89">
              <w:t xml:space="preserve"> </w:t>
            </w:r>
          </w:p>
        </w:tc>
        <w:tc>
          <w:tcPr>
            <w:tcW w:w="1604" w:type="dxa"/>
            <w:shd w:val="clear" w:color="auto" w:fill="FFFFFF" w:themeFill="background1"/>
          </w:tcPr>
          <w:p w14:paraId="345851E2" w14:textId="5D5DF442" w:rsidR="00C02759" w:rsidRPr="00B53F89" w:rsidRDefault="00B642AC">
            <w:pPr>
              <w:pStyle w:val="TableBody"/>
            </w:pPr>
            <w:r>
              <w:t>I</w:t>
            </w:r>
            <w:r w:rsidR="002A1669">
              <w:t xml:space="preserve">mplementing </w:t>
            </w:r>
            <w:r w:rsidR="003F2430" w:rsidRPr="00B53F89">
              <w:t>planning decision</w:t>
            </w:r>
          </w:p>
        </w:tc>
        <w:tc>
          <w:tcPr>
            <w:tcW w:w="1726" w:type="dxa"/>
            <w:shd w:val="clear" w:color="auto" w:fill="FFFFFF" w:themeFill="background1"/>
          </w:tcPr>
          <w:p w14:paraId="260B933E" w14:textId="77777777" w:rsidR="00034BFE" w:rsidRDefault="00444455" w:rsidP="00034BFE">
            <w:pPr>
              <w:pStyle w:val="TableBody"/>
              <w:spacing w:after="120"/>
            </w:pPr>
            <w:r>
              <w:t>Not required.</w:t>
            </w:r>
          </w:p>
          <w:p w14:paraId="47248072" w14:textId="77777777" w:rsidR="00034BFE" w:rsidRDefault="00444455" w:rsidP="00034BFE">
            <w:pPr>
              <w:pStyle w:val="TableBody"/>
              <w:spacing w:after="120"/>
            </w:pPr>
            <w:r>
              <w:t xml:space="preserve">Under section 36 of the Act the Minister may, after consulting with the ACMA, choose to issue a notice designating specified frequencies and areas for the issue of spectrum licences. </w:t>
            </w:r>
          </w:p>
          <w:p w14:paraId="3B4A2325" w14:textId="77FD2FED" w:rsidR="00C02759" w:rsidRPr="00B53F89" w:rsidRDefault="00444455" w:rsidP="00034BFE">
            <w:pPr>
              <w:pStyle w:val="TableBody"/>
              <w:spacing w:after="120"/>
            </w:pPr>
            <w:r>
              <w:t>This</w:t>
            </w:r>
            <w:r w:rsidR="00F05FB5">
              <w:t xml:space="preserve"> </w:t>
            </w:r>
            <w:r w:rsidR="00FB2846">
              <w:t>may</w:t>
            </w:r>
            <w:r>
              <w:t xml:space="preserve"> occur in Q4 2020 after restack is completed.</w:t>
            </w:r>
          </w:p>
        </w:tc>
        <w:tc>
          <w:tcPr>
            <w:tcW w:w="1473" w:type="dxa"/>
            <w:shd w:val="clear" w:color="auto" w:fill="FFFFFF" w:themeFill="background1"/>
          </w:tcPr>
          <w:p w14:paraId="13DD89C6" w14:textId="5C2CFDC6" w:rsidR="00444455" w:rsidRDefault="00F25F7B" w:rsidP="00513FDE">
            <w:pPr>
              <w:pStyle w:val="TableBody"/>
              <w:spacing w:after="120"/>
            </w:pPr>
            <w:r>
              <w:rPr>
                <w:szCs w:val="20"/>
              </w:rPr>
              <w:t>If</w:t>
            </w:r>
            <w:r w:rsidR="00444455">
              <w:rPr>
                <w:szCs w:val="20"/>
              </w:rPr>
              <w:t xml:space="preserve"> the Minister </w:t>
            </w:r>
            <w:r w:rsidR="002374AC">
              <w:rPr>
                <w:szCs w:val="20"/>
              </w:rPr>
              <w:t>decides</w:t>
            </w:r>
            <w:r>
              <w:rPr>
                <w:szCs w:val="20"/>
              </w:rPr>
              <w:t xml:space="preserve"> to </w:t>
            </w:r>
            <w:r w:rsidR="00444455">
              <w:rPr>
                <w:szCs w:val="20"/>
              </w:rPr>
              <w:t>designate spectrum for spectrum licensing, the conversion of NBN Co’s apparatus licences would commence in Q4 2020.</w:t>
            </w:r>
          </w:p>
          <w:p w14:paraId="26330654" w14:textId="5987B182" w:rsidR="00C02759" w:rsidRPr="00B53F89" w:rsidDel="00D205F9" w:rsidRDefault="00444455" w:rsidP="00DE694D">
            <w:pPr>
              <w:pStyle w:val="TableBody"/>
            </w:pPr>
            <w:r>
              <w:rPr>
                <w:szCs w:val="20"/>
              </w:rPr>
              <w:t>The allocation of any addition</w:t>
            </w:r>
            <w:r w:rsidR="00512D77">
              <w:rPr>
                <w:szCs w:val="20"/>
              </w:rPr>
              <w:t>al</w:t>
            </w:r>
            <w:r>
              <w:rPr>
                <w:szCs w:val="20"/>
              </w:rPr>
              <w:t xml:space="preserve"> frequencies and areas designat</w:t>
            </w:r>
            <w:r w:rsidR="00F05FB5">
              <w:rPr>
                <w:szCs w:val="20"/>
              </w:rPr>
              <w:t>ed</w:t>
            </w:r>
            <w:r>
              <w:rPr>
                <w:szCs w:val="20"/>
              </w:rPr>
              <w:t xml:space="preserve"> for spectrum licensing could occur in </w:t>
            </w:r>
            <w:r w:rsidR="00F05FB5">
              <w:rPr>
                <w:szCs w:val="20"/>
              </w:rPr>
              <w:t>first half of</w:t>
            </w:r>
            <w:r>
              <w:rPr>
                <w:szCs w:val="20"/>
              </w:rPr>
              <w:t xml:space="preserve"> 202</w:t>
            </w:r>
            <w:r w:rsidR="00F05FB5">
              <w:rPr>
                <w:szCs w:val="20"/>
              </w:rPr>
              <w:t>3</w:t>
            </w:r>
            <w:r>
              <w:rPr>
                <w:szCs w:val="20"/>
              </w:rPr>
              <w:t>.</w:t>
            </w:r>
          </w:p>
        </w:tc>
        <w:tc>
          <w:tcPr>
            <w:tcW w:w="2246" w:type="dxa"/>
            <w:shd w:val="clear" w:color="auto" w:fill="FFFFFF" w:themeFill="background1"/>
          </w:tcPr>
          <w:p w14:paraId="0E868DB9" w14:textId="13BF89E0" w:rsidR="00444455" w:rsidRPr="00B53F89" w:rsidDel="00D205F9" w:rsidRDefault="00444455" w:rsidP="00444455">
            <w:pPr>
              <w:pStyle w:val="TableBody"/>
            </w:pPr>
          </w:p>
        </w:tc>
      </w:tr>
      <w:tr w:rsidR="00286E1A" w:rsidRPr="00B53F89" w14:paraId="7EBF9758" w14:textId="77777777" w:rsidTr="001526BD">
        <w:trPr>
          <w:cantSplit/>
        </w:trPr>
        <w:tc>
          <w:tcPr>
            <w:tcW w:w="1004" w:type="dxa"/>
            <w:shd w:val="clear" w:color="auto" w:fill="F2F2F2" w:themeFill="background1" w:themeFillShade="F2"/>
          </w:tcPr>
          <w:p w14:paraId="72E0A6AE" w14:textId="470CBACA" w:rsidR="00286E1A" w:rsidRPr="00B53F89" w:rsidRDefault="00286E1A" w:rsidP="00DE694D">
            <w:pPr>
              <w:pStyle w:val="TableBody"/>
            </w:pPr>
            <w:r>
              <w:lastRenderedPageBreak/>
              <w:t>3700</w:t>
            </w:r>
            <w:r w:rsidR="00F774CF" w:rsidRPr="00F774CF">
              <w:t>–</w:t>
            </w:r>
            <w:r>
              <w:t>4200 MHz</w:t>
            </w:r>
          </w:p>
        </w:tc>
        <w:tc>
          <w:tcPr>
            <w:tcW w:w="1604" w:type="dxa"/>
            <w:shd w:val="clear" w:color="auto" w:fill="F2F2F2" w:themeFill="background1" w:themeFillShade="F2"/>
          </w:tcPr>
          <w:p w14:paraId="2F675C52" w14:textId="0A826CC7" w:rsidR="00286E1A" w:rsidRPr="00B53F89" w:rsidRDefault="00425206">
            <w:pPr>
              <w:pStyle w:val="TableBody"/>
            </w:pPr>
            <w:r>
              <w:t xml:space="preserve">Q4 </w:t>
            </w:r>
            <w:r w:rsidR="00286E1A">
              <w:t>2020</w:t>
            </w:r>
            <w:r w:rsidR="009B2F27">
              <w:t>: o</w:t>
            </w:r>
            <w:r w:rsidR="00286E1A">
              <w:t>ptions paper</w:t>
            </w:r>
          </w:p>
        </w:tc>
        <w:tc>
          <w:tcPr>
            <w:tcW w:w="1726" w:type="dxa"/>
            <w:shd w:val="clear" w:color="auto" w:fill="F2F2F2" w:themeFill="background1" w:themeFillShade="F2"/>
          </w:tcPr>
          <w:p w14:paraId="2B4D7A0D" w14:textId="77777777" w:rsidR="00286E1A" w:rsidRDefault="00286E1A" w:rsidP="00DE694D">
            <w:pPr>
              <w:pStyle w:val="TableBody"/>
            </w:pPr>
          </w:p>
        </w:tc>
        <w:tc>
          <w:tcPr>
            <w:tcW w:w="1473" w:type="dxa"/>
            <w:shd w:val="clear" w:color="auto" w:fill="F2F2F2" w:themeFill="background1" w:themeFillShade="F2"/>
          </w:tcPr>
          <w:p w14:paraId="56500A68" w14:textId="625F5060" w:rsidR="00286E1A" w:rsidRDefault="00286E1A" w:rsidP="00DE694D">
            <w:pPr>
              <w:pStyle w:val="TableBody"/>
              <w:rPr>
                <w:szCs w:val="20"/>
              </w:rPr>
            </w:pPr>
          </w:p>
        </w:tc>
        <w:tc>
          <w:tcPr>
            <w:tcW w:w="2246" w:type="dxa"/>
            <w:shd w:val="clear" w:color="auto" w:fill="F2F2F2" w:themeFill="background1" w:themeFillShade="F2"/>
          </w:tcPr>
          <w:p w14:paraId="3A26BF84" w14:textId="570C0C1D" w:rsidR="00286E1A" w:rsidRDefault="00286E1A" w:rsidP="00034BFE">
            <w:pPr>
              <w:pStyle w:val="TableBody"/>
              <w:spacing w:after="120"/>
            </w:pPr>
            <w:r>
              <w:t xml:space="preserve">No decisions </w:t>
            </w:r>
            <w:r w:rsidR="00607003">
              <w:t xml:space="preserve">yet </w:t>
            </w:r>
            <w:r>
              <w:t>made.</w:t>
            </w:r>
          </w:p>
          <w:p w14:paraId="57AC0EC6" w14:textId="7B8E0098" w:rsidR="00286E1A" w:rsidRPr="00B53F89" w:rsidDel="00D205F9" w:rsidRDefault="00286E1A" w:rsidP="00286E1A">
            <w:pPr>
              <w:pStyle w:val="TableBody"/>
            </w:pPr>
            <w:r>
              <w:t>Possible allocation.</w:t>
            </w:r>
          </w:p>
        </w:tc>
      </w:tr>
      <w:tr w:rsidR="00286E1A" w:rsidRPr="00B53F89" w14:paraId="6CFB7176" w14:textId="77777777" w:rsidTr="001526BD">
        <w:trPr>
          <w:cantSplit/>
        </w:trPr>
        <w:tc>
          <w:tcPr>
            <w:tcW w:w="1004" w:type="dxa"/>
            <w:shd w:val="clear" w:color="auto" w:fill="FFFFFF" w:themeFill="background1"/>
          </w:tcPr>
          <w:p w14:paraId="02C7F608" w14:textId="79393FBD" w:rsidR="00286E1A" w:rsidRDefault="00286E1A" w:rsidP="00286E1A">
            <w:pPr>
              <w:pStyle w:val="TableBody"/>
            </w:pPr>
            <w:r w:rsidRPr="00B53F89" w:rsidDel="00D205F9">
              <w:t>1.5 GHz</w:t>
            </w:r>
          </w:p>
        </w:tc>
        <w:tc>
          <w:tcPr>
            <w:tcW w:w="1604" w:type="dxa"/>
            <w:shd w:val="clear" w:color="auto" w:fill="FFFFFF" w:themeFill="background1"/>
          </w:tcPr>
          <w:p w14:paraId="4FC10C43" w14:textId="5A40E2C8" w:rsidR="00286E1A" w:rsidRPr="00B53F89" w:rsidRDefault="00286E1A" w:rsidP="00034BFE">
            <w:pPr>
              <w:pStyle w:val="TableBody"/>
              <w:spacing w:after="120"/>
            </w:pPr>
            <w:r w:rsidRPr="00B53F89">
              <w:t xml:space="preserve">TBC </w:t>
            </w:r>
            <w:r w:rsidR="009B2F27">
              <w:t>o</w:t>
            </w:r>
            <w:r w:rsidRPr="00B53F89">
              <w:t>ptions paper</w:t>
            </w:r>
          </w:p>
          <w:p w14:paraId="4C365311" w14:textId="5BC846D2" w:rsidR="00286E1A" w:rsidRDefault="00286E1A" w:rsidP="00286E1A">
            <w:pPr>
              <w:pStyle w:val="TableBody"/>
            </w:pPr>
            <w:r w:rsidRPr="00B53F89">
              <w:t xml:space="preserve">TBC </w:t>
            </w:r>
            <w:r w:rsidR="009B2F27">
              <w:t>p</w:t>
            </w:r>
            <w:r w:rsidRPr="00B53F89">
              <w:t>lanning decision</w:t>
            </w:r>
          </w:p>
        </w:tc>
        <w:tc>
          <w:tcPr>
            <w:tcW w:w="1726" w:type="dxa"/>
            <w:shd w:val="clear" w:color="auto" w:fill="FFFFFF" w:themeFill="background1"/>
          </w:tcPr>
          <w:p w14:paraId="5B1D9BED" w14:textId="77777777" w:rsidR="00286E1A" w:rsidRDefault="00286E1A" w:rsidP="00286E1A">
            <w:pPr>
              <w:pStyle w:val="TableBody"/>
            </w:pPr>
          </w:p>
        </w:tc>
        <w:tc>
          <w:tcPr>
            <w:tcW w:w="1473" w:type="dxa"/>
            <w:shd w:val="clear" w:color="auto" w:fill="FFFFFF" w:themeFill="background1"/>
          </w:tcPr>
          <w:p w14:paraId="19F3C165" w14:textId="77777777" w:rsidR="00286E1A" w:rsidRDefault="00286E1A" w:rsidP="00286E1A">
            <w:pPr>
              <w:pStyle w:val="TableBody"/>
              <w:rPr>
                <w:szCs w:val="20"/>
              </w:rPr>
            </w:pPr>
          </w:p>
        </w:tc>
        <w:tc>
          <w:tcPr>
            <w:tcW w:w="2246" w:type="dxa"/>
            <w:shd w:val="clear" w:color="auto" w:fill="FFFFFF" w:themeFill="background1"/>
          </w:tcPr>
          <w:p w14:paraId="49659FE6" w14:textId="77777777" w:rsidR="00286E1A" w:rsidRDefault="00286E1A" w:rsidP="00034BFE">
            <w:pPr>
              <w:pStyle w:val="TableBody"/>
              <w:spacing w:after="120"/>
            </w:pPr>
            <w:r>
              <w:t>No decisions made.</w:t>
            </w:r>
          </w:p>
          <w:p w14:paraId="374F018E" w14:textId="35697752" w:rsidR="00286E1A" w:rsidRDefault="00286E1A" w:rsidP="00286E1A">
            <w:pPr>
              <w:pStyle w:val="TableBody"/>
            </w:pPr>
            <w:r>
              <w:t>Possible l</w:t>
            </w:r>
            <w:r w:rsidRPr="00B53F89">
              <w:t>ower priority</w:t>
            </w:r>
            <w:r>
              <w:t xml:space="preserve"> allocation</w:t>
            </w:r>
            <w:r w:rsidR="009B2F27">
              <w:t>.</w:t>
            </w:r>
          </w:p>
        </w:tc>
      </w:tr>
      <w:tr w:rsidR="000E23E0" w:rsidRPr="00B53F89" w14:paraId="30CCC724" w14:textId="77777777" w:rsidTr="001526BD">
        <w:trPr>
          <w:cantSplit/>
        </w:trPr>
        <w:tc>
          <w:tcPr>
            <w:tcW w:w="1004" w:type="dxa"/>
            <w:shd w:val="clear" w:color="auto" w:fill="FFFFFF" w:themeFill="background1"/>
          </w:tcPr>
          <w:p w14:paraId="2E736D09" w14:textId="34DCD8C6" w:rsidR="000E23E0" w:rsidRPr="00B53F89" w:rsidDel="00D205F9" w:rsidRDefault="000E23E0" w:rsidP="00286E1A">
            <w:pPr>
              <w:pStyle w:val="TableBody"/>
            </w:pPr>
            <w:r>
              <w:t>2 GHz</w:t>
            </w:r>
          </w:p>
        </w:tc>
        <w:tc>
          <w:tcPr>
            <w:tcW w:w="1604" w:type="dxa"/>
            <w:shd w:val="clear" w:color="auto" w:fill="FFFFFF" w:themeFill="background1"/>
          </w:tcPr>
          <w:p w14:paraId="1D2ABEA0" w14:textId="48FA453A" w:rsidR="000E23E0" w:rsidRPr="00B53F89" w:rsidRDefault="00297E31" w:rsidP="00286E1A">
            <w:pPr>
              <w:pStyle w:val="TableBody"/>
            </w:pPr>
            <w:r>
              <w:t>Q4</w:t>
            </w:r>
            <w:r w:rsidRPr="000E23E0">
              <w:t xml:space="preserve"> </w:t>
            </w:r>
            <w:r w:rsidR="000E23E0" w:rsidRPr="000E23E0">
              <w:t>2020</w:t>
            </w:r>
            <w:r w:rsidR="000E23E0">
              <w:t>: options paper</w:t>
            </w:r>
          </w:p>
        </w:tc>
        <w:tc>
          <w:tcPr>
            <w:tcW w:w="1726" w:type="dxa"/>
            <w:shd w:val="clear" w:color="auto" w:fill="FFFFFF" w:themeFill="background1"/>
          </w:tcPr>
          <w:p w14:paraId="0BDFB720" w14:textId="77777777" w:rsidR="000E23E0" w:rsidRDefault="000E23E0" w:rsidP="00286E1A">
            <w:pPr>
              <w:pStyle w:val="TableBody"/>
            </w:pPr>
          </w:p>
        </w:tc>
        <w:tc>
          <w:tcPr>
            <w:tcW w:w="1473" w:type="dxa"/>
            <w:shd w:val="clear" w:color="auto" w:fill="FFFFFF" w:themeFill="background1"/>
          </w:tcPr>
          <w:p w14:paraId="2081068B" w14:textId="77777777" w:rsidR="000E23E0" w:rsidRDefault="000E23E0" w:rsidP="00286E1A">
            <w:pPr>
              <w:pStyle w:val="TableBody"/>
              <w:rPr>
                <w:szCs w:val="20"/>
              </w:rPr>
            </w:pPr>
          </w:p>
        </w:tc>
        <w:tc>
          <w:tcPr>
            <w:tcW w:w="2246" w:type="dxa"/>
            <w:shd w:val="clear" w:color="auto" w:fill="FFFFFF" w:themeFill="background1"/>
          </w:tcPr>
          <w:p w14:paraId="10E4B3A7" w14:textId="08D1CF84" w:rsidR="000E23E0" w:rsidRDefault="000E23E0" w:rsidP="00286E1A">
            <w:pPr>
              <w:pStyle w:val="TableBody"/>
            </w:pPr>
            <w:r>
              <w:t>No decisions made.</w:t>
            </w:r>
          </w:p>
        </w:tc>
      </w:tr>
      <w:bookmarkEnd w:id="493"/>
    </w:tbl>
    <w:p w14:paraId="51CE9257" w14:textId="77777777" w:rsidR="00200768" w:rsidRDefault="00200768" w:rsidP="00D7755E">
      <w:pPr>
        <w:rPr>
          <w:highlight w:val="cyan"/>
        </w:rPr>
      </w:pPr>
    </w:p>
    <w:p w14:paraId="08341B30" w14:textId="60FCA0AB" w:rsidR="00286D6B" w:rsidRPr="00B53F89" w:rsidRDefault="00286D6B">
      <w:pPr>
        <w:pStyle w:val="Heading1"/>
      </w:pPr>
      <w:bookmarkStart w:id="494" w:name="_Spectrum_management_enhancements"/>
      <w:bookmarkStart w:id="495" w:name="_Spectrum_management_practice"/>
      <w:bookmarkStart w:id="496" w:name="_Toc510104978"/>
      <w:bookmarkStart w:id="497" w:name="_Toc510105775"/>
      <w:bookmarkStart w:id="498" w:name="_Toc510795107"/>
      <w:bookmarkStart w:id="499" w:name="_Toc511716310"/>
      <w:bookmarkStart w:id="500" w:name="_Toc511719121"/>
      <w:bookmarkStart w:id="501" w:name="_Toc522794113"/>
      <w:bookmarkStart w:id="502" w:name="_Toc31892841"/>
      <w:bookmarkStart w:id="503" w:name="_Toc36207458"/>
      <w:bookmarkStart w:id="504" w:name="_Toc51846295"/>
      <w:bookmarkStart w:id="505" w:name="_Toc51864378"/>
      <w:bookmarkStart w:id="506" w:name="_Hlk36456301"/>
      <w:bookmarkEnd w:id="239"/>
      <w:bookmarkEnd w:id="240"/>
      <w:bookmarkEnd w:id="241"/>
      <w:bookmarkEnd w:id="242"/>
      <w:bookmarkEnd w:id="243"/>
      <w:bookmarkEnd w:id="244"/>
      <w:bookmarkEnd w:id="494"/>
      <w:bookmarkEnd w:id="495"/>
      <w:r w:rsidRPr="00B53F89">
        <w:lastRenderedPageBreak/>
        <w:t>Licensing</w:t>
      </w:r>
      <w:r w:rsidR="008B4A81" w:rsidRPr="00B53F89">
        <w:t xml:space="preserve"> and licensing systems</w:t>
      </w:r>
      <w:bookmarkEnd w:id="496"/>
      <w:bookmarkEnd w:id="497"/>
      <w:bookmarkEnd w:id="498"/>
      <w:bookmarkEnd w:id="499"/>
      <w:bookmarkEnd w:id="500"/>
      <w:bookmarkEnd w:id="501"/>
      <w:bookmarkEnd w:id="502"/>
      <w:bookmarkEnd w:id="503"/>
      <w:bookmarkEnd w:id="504"/>
      <w:bookmarkEnd w:id="505"/>
    </w:p>
    <w:p w14:paraId="1E7E4672" w14:textId="30718966" w:rsidR="00B8075A" w:rsidRDefault="00517B2B" w:rsidP="0025475D">
      <w:pPr>
        <w:pStyle w:val="Heading2"/>
      </w:pPr>
      <w:bookmarkStart w:id="507" w:name="_Toc36207459"/>
      <w:bookmarkStart w:id="508" w:name="_Toc51846296"/>
      <w:bookmarkStart w:id="509" w:name="_Toc51864379"/>
      <w:bookmarkEnd w:id="506"/>
      <w:r>
        <w:t>Recent developments</w:t>
      </w:r>
      <w:bookmarkEnd w:id="507"/>
      <w:bookmarkEnd w:id="508"/>
      <w:bookmarkEnd w:id="509"/>
    </w:p>
    <w:p w14:paraId="1A470633" w14:textId="7975BE3D" w:rsidR="00502345" w:rsidRDefault="0055459F" w:rsidP="00ED0641">
      <w:pPr>
        <w:pStyle w:val="Heading3"/>
        <w:keepNext w:val="0"/>
      </w:pPr>
      <w:bookmarkStart w:id="510" w:name="_Toc51864380"/>
      <w:r w:rsidRPr="006A2F04">
        <w:rPr>
          <w:noProof/>
        </w:rPr>
        <w:drawing>
          <wp:inline distT="0" distB="0" distL="0" distR="0" wp14:anchorId="4B13F0DB" wp14:editId="570BDDF2">
            <wp:extent cx="245110" cy="140970"/>
            <wp:effectExtent l="0" t="0" r="2540" b="0"/>
            <wp:docPr id="160" name="Picture 160" descr="A picture containing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7" name="Picture 7" descr="A picture containing clipart&#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r>
        <w:t xml:space="preserve">  </w:t>
      </w:r>
      <w:r w:rsidR="00502345">
        <w:t>Radiocommunications legislative reform</w:t>
      </w:r>
      <w:bookmarkEnd w:id="510"/>
    </w:p>
    <w:p w14:paraId="7E5E38C4" w14:textId="430225C2" w:rsidR="003640F0" w:rsidRDefault="00502345" w:rsidP="00ED0641">
      <w:pPr>
        <w:rPr>
          <w:szCs w:val="20"/>
        </w:rPr>
      </w:pPr>
      <w:r w:rsidRPr="00ED0641">
        <w:rPr>
          <w:szCs w:val="20"/>
        </w:rPr>
        <w:t>On 27 August 2020</w:t>
      </w:r>
      <w:r w:rsidR="00ED0641">
        <w:rPr>
          <w:szCs w:val="20"/>
        </w:rPr>
        <w:t>,</w:t>
      </w:r>
      <w:r w:rsidRPr="00ED0641">
        <w:rPr>
          <w:szCs w:val="20"/>
        </w:rPr>
        <w:t xml:space="preserve"> </w:t>
      </w:r>
      <w:r w:rsidRPr="00FF748D">
        <w:rPr>
          <w:szCs w:val="20"/>
        </w:rPr>
        <w:t xml:space="preserve">the </w:t>
      </w:r>
      <w:r w:rsidRPr="00405620">
        <w:rPr>
          <w:rFonts w:cs="Arial"/>
          <w:color w:val="000000"/>
          <w:szCs w:val="20"/>
        </w:rPr>
        <w:t>Radiocommunications Legislation Amendment (Reform and Modernisation) Bill 2020</w:t>
      </w:r>
      <w:r w:rsidRPr="00ED0641">
        <w:rPr>
          <w:rFonts w:cs="Arial"/>
          <w:i/>
          <w:color w:val="000000"/>
          <w:szCs w:val="20"/>
        </w:rPr>
        <w:t xml:space="preserve"> </w:t>
      </w:r>
      <w:r w:rsidR="003640F0" w:rsidRPr="00ED0641">
        <w:rPr>
          <w:szCs w:val="20"/>
        </w:rPr>
        <w:t>was introduced into</w:t>
      </w:r>
      <w:r w:rsidRPr="00ED0641">
        <w:rPr>
          <w:szCs w:val="20"/>
        </w:rPr>
        <w:t xml:space="preserve"> the Australian </w:t>
      </w:r>
      <w:r w:rsidR="003640F0" w:rsidRPr="00ED0641">
        <w:rPr>
          <w:szCs w:val="20"/>
        </w:rPr>
        <w:t>Parliament</w:t>
      </w:r>
      <w:r w:rsidRPr="00FF748D">
        <w:rPr>
          <w:szCs w:val="20"/>
        </w:rPr>
        <w:t>, together with the</w:t>
      </w:r>
      <w:r w:rsidR="003640F0" w:rsidRPr="00FF748D">
        <w:rPr>
          <w:szCs w:val="20"/>
        </w:rPr>
        <w:t xml:space="preserve"> </w:t>
      </w:r>
      <w:hyperlink r:id="rId122" w:history="1">
        <w:r w:rsidR="003640F0" w:rsidRPr="00405620">
          <w:rPr>
            <w:szCs w:val="20"/>
          </w:rPr>
          <w:t>Radiocommunications (Transmitter Licence Tax) Amendment Bill 2020</w:t>
        </w:r>
      </w:hyperlink>
      <w:r w:rsidR="003640F0" w:rsidRPr="00ED0641">
        <w:rPr>
          <w:szCs w:val="20"/>
        </w:rPr>
        <w:t xml:space="preserve"> and the </w:t>
      </w:r>
      <w:hyperlink r:id="rId123" w:history="1">
        <w:r w:rsidR="003640F0" w:rsidRPr="00405620">
          <w:rPr>
            <w:szCs w:val="20"/>
          </w:rPr>
          <w:t>Radiocommunications (Receiver Licence Tax) Amendment Bill 2020</w:t>
        </w:r>
      </w:hyperlink>
      <w:r w:rsidRPr="00405620">
        <w:rPr>
          <w:i/>
          <w:iCs/>
          <w:szCs w:val="20"/>
        </w:rPr>
        <w:t xml:space="preserve"> </w:t>
      </w:r>
      <w:r w:rsidRPr="00ED0641">
        <w:rPr>
          <w:szCs w:val="20"/>
        </w:rPr>
        <w:t>(the Bills)</w:t>
      </w:r>
      <w:r w:rsidR="002167C3">
        <w:rPr>
          <w:szCs w:val="20"/>
        </w:rPr>
        <w:t>.</w:t>
      </w:r>
    </w:p>
    <w:p w14:paraId="05A61177" w14:textId="731D57A0" w:rsidR="00EB056A" w:rsidRDefault="00EB056A" w:rsidP="00CC5C49">
      <w:pPr>
        <w:pStyle w:val="Paragraph"/>
      </w:pPr>
      <w:r w:rsidRPr="00EB056A">
        <w:t>The Bills are part of the Australian Government’s commitment to modernise the legislative framework for spectrum management, in response to the recommendations of the 2015 Spectrum Review.</w:t>
      </w:r>
    </w:p>
    <w:p w14:paraId="47B79A46" w14:textId="1D6A06EB" w:rsidR="00EB056A" w:rsidRPr="00ED0641" w:rsidRDefault="00EB056A" w:rsidP="00CC5C49">
      <w:pPr>
        <w:pStyle w:val="Paragraph"/>
      </w:pPr>
      <w:r w:rsidRPr="00EB056A">
        <w:t>Development of the Bills was led by the Department</w:t>
      </w:r>
      <w:r w:rsidR="00763C91">
        <w:t>,</w:t>
      </w:r>
      <w:r w:rsidRPr="00EB056A">
        <w:t xml:space="preserve"> with the ACMA providing advice and expert input through regular meetings of the Spectrum Reform Joint Steering Committee, written advice to the Department and contact between senior management of both organisations.</w:t>
      </w:r>
    </w:p>
    <w:p w14:paraId="1BD31F19" w14:textId="77777777" w:rsidR="00502345" w:rsidRDefault="00502345" w:rsidP="00CC5C49">
      <w:pPr>
        <w:pStyle w:val="Paragraphbeforelist"/>
      </w:pPr>
      <w:r>
        <w:t xml:space="preserve">If passed, the Bills would make reforms such as: </w:t>
      </w:r>
    </w:p>
    <w:p w14:paraId="4E3258B5" w14:textId="75F511D0" w:rsidR="00502345" w:rsidRPr="00ED0641" w:rsidRDefault="00502345" w:rsidP="0025475D">
      <w:pPr>
        <w:pStyle w:val="Bulletlevel1"/>
      </w:pPr>
      <w:r w:rsidRPr="00ED0641">
        <w:t>extend</w:t>
      </w:r>
      <w:r w:rsidR="007C3551">
        <w:t>ing</w:t>
      </w:r>
      <w:r w:rsidRPr="00ED0641">
        <w:t xml:space="preserve"> the maximum </w:t>
      </w:r>
      <w:r w:rsidR="00F0754A" w:rsidRPr="00ED0641">
        <w:t xml:space="preserve">spectrum licence duration from 15 to 20 years and the maximum apparatus licence duration from </w:t>
      </w:r>
      <w:r w:rsidR="00811683">
        <w:t>five</w:t>
      </w:r>
      <w:r w:rsidR="00F0754A" w:rsidRPr="00ED0641">
        <w:t xml:space="preserve"> to 20 years </w:t>
      </w:r>
    </w:p>
    <w:p w14:paraId="5D3F673A" w14:textId="73CB3E66" w:rsidR="00502345" w:rsidRPr="00FF748D" w:rsidRDefault="00405620" w:rsidP="0025475D">
      <w:pPr>
        <w:pStyle w:val="Bulletlevel1"/>
      </w:pPr>
      <w:r>
        <w:t>a</w:t>
      </w:r>
      <w:r w:rsidRPr="00FF748D">
        <w:t>lign</w:t>
      </w:r>
      <w:r w:rsidR="007C3551">
        <w:t>ing</w:t>
      </w:r>
      <w:r>
        <w:t xml:space="preserve"> </w:t>
      </w:r>
      <w:r w:rsidR="00FF748D">
        <w:t>the</w:t>
      </w:r>
      <w:r w:rsidR="00502345" w:rsidRPr="00FF748D">
        <w:t xml:space="preserve"> allocation limit powers across spectrum and apparatus licensing</w:t>
      </w:r>
    </w:p>
    <w:p w14:paraId="6467FCCD" w14:textId="2F2C1EBE" w:rsidR="00502345" w:rsidRPr="00FF748D" w:rsidRDefault="000C4BC5" w:rsidP="0025475D">
      <w:pPr>
        <w:pStyle w:val="Bulletlevel1"/>
      </w:pPr>
      <w:r>
        <w:t>providing for</w:t>
      </w:r>
      <w:r w:rsidR="00811683">
        <w:t xml:space="preserve"> </w:t>
      </w:r>
      <w:r w:rsidR="00502345" w:rsidRPr="00FF748D">
        <w:t>Ministerial step-back from day-to</w:t>
      </w:r>
      <w:r w:rsidR="001526BD">
        <w:t>-</w:t>
      </w:r>
      <w:r w:rsidR="00502345" w:rsidRPr="00FF748D">
        <w:t>day operational licensing decisions</w:t>
      </w:r>
      <w:r w:rsidR="00F0754A" w:rsidRPr="00FF748D">
        <w:t>, including spectrum licensing designations, spectrum re-allocations and parts of the spectrum licence renewal process</w:t>
      </w:r>
    </w:p>
    <w:p w14:paraId="26D224B5" w14:textId="5613C456" w:rsidR="00502345" w:rsidRPr="00FF748D" w:rsidRDefault="00811683" w:rsidP="0025475D">
      <w:pPr>
        <w:pStyle w:val="Bulletlevel1"/>
      </w:pPr>
      <w:r w:rsidRPr="00FF748D">
        <w:t>clarif</w:t>
      </w:r>
      <w:r>
        <w:t>ying</w:t>
      </w:r>
      <w:r w:rsidRPr="00FF748D">
        <w:t xml:space="preserve"> </w:t>
      </w:r>
      <w:r w:rsidR="00502345" w:rsidRPr="00FF748D">
        <w:t xml:space="preserve">and </w:t>
      </w:r>
      <w:r w:rsidR="000C4BC5">
        <w:t>enhancing</w:t>
      </w:r>
      <w:r>
        <w:t xml:space="preserve"> transparency in</w:t>
      </w:r>
      <w:r w:rsidRPr="00FF748D">
        <w:t xml:space="preserve"> </w:t>
      </w:r>
      <w:r w:rsidR="00502345" w:rsidRPr="00FF748D">
        <w:t>processes for the renewal of spectrum licences</w:t>
      </w:r>
    </w:p>
    <w:p w14:paraId="1326B3C2" w14:textId="7EF3CE98" w:rsidR="00502345" w:rsidRPr="00FF748D" w:rsidRDefault="00811683" w:rsidP="0025475D">
      <w:pPr>
        <w:pStyle w:val="Bulletlevel1"/>
      </w:pPr>
      <w:r w:rsidRPr="00FF748D">
        <w:t>replac</w:t>
      </w:r>
      <w:r>
        <w:t>ing</w:t>
      </w:r>
      <w:r w:rsidRPr="00FF748D">
        <w:t xml:space="preserve"> criminal sanctions </w:t>
      </w:r>
      <w:r>
        <w:t xml:space="preserve">with </w:t>
      </w:r>
      <w:r w:rsidR="00502345" w:rsidRPr="00FF748D">
        <w:t>civil penalties for certain offences</w:t>
      </w:r>
      <w:r w:rsidR="00F0754A" w:rsidRPr="00FF748D">
        <w:t xml:space="preserve">, and </w:t>
      </w:r>
      <w:r>
        <w:t xml:space="preserve">introducing </w:t>
      </w:r>
      <w:r w:rsidR="00F0754A" w:rsidRPr="00FF748D">
        <w:t>mid-tier enforcement powers such as remedial directions</w:t>
      </w:r>
    </w:p>
    <w:p w14:paraId="4ECAE3CE" w14:textId="0448080C" w:rsidR="00502345" w:rsidRPr="00FF748D" w:rsidRDefault="00811683" w:rsidP="0025475D">
      <w:pPr>
        <w:pStyle w:val="Bulletlevel1last"/>
      </w:pPr>
      <w:r>
        <w:t xml:space="preserve">introducing </w:t>
      </w:r>
      <w:r w:rsidR="00502345" w:rsidRPr="00FF748D">
        <w:t>modern equipment rules that can work across supply chains.</w:t>
      </w:r>
    </w:p>
    <w:p w14:paraId="48101D25" w14:textId="282D4D3B" w:rsidR="00B8075A" w:rsidRDefault="009808A7" w:rsidP="00B8075A">
      <w:r>
        <w:t>The Bills would commence at a day to be set by proclamation, within six months of Assent.</w:t>
      </w:r>
    </w:p>
    <w:p w14:paraId="20837940" w14:textId="187663E4" w:rsidR="005B1514" w:rsidRDefault="005B1514" w:rsidP="000F454B">
      <w:pPr>
        <w:pStyle w:val="Paragraph"/>
      </w:pPr>
      <w:r w:rsidRPr="00ED0641">
        <w:t>The Bill</w:t>
      </w:r>
      <w:r>
        <w:t>s</w:t>
      </w:r>
      <w:r w:rsidRPr="00ED0641">
        <w:t xml:space="preserve"> provide the ACMA with new regulatory discretion in several key areas</w:t>
      </w:r>
      <w:r w:rsidR="00D17C22">
        <w:t>, including</w:t>
      </w:r>
      <w:r w:rsidRPr="00ED0641">
        <w:t xml:space="preserve"> the ability to issue licences for up to 20 years</w:t>
      </w:r>
      <w:r>
        <w:t xml:space="preserve"> and the ability to place ‘renewal statements’ on </w:t>
      </w:r>
      <w:r w:rsidR="009808A7">
        <w:t>licences.</w:t>
      </w:r>
      <w:r w:rsidRPr="00ED0641">
        <w:t xml:space="preserve"> </w:t>
      </w:r>
      <w:r w:rsidR="00811683">
        <w:t xml:space="preserve">If </w:t>
      </w:r>
      <w:r>
        <w:t>the Bills become law,</w:t>
      </w:r>
      <w:r w:rsidR="009808A7">
        <w:t xml:space="preserve"> t</w:t>
      </w:r>
      <w:r w:rsidRPr="00ED0641">
        <w:t xml:space="preserve">he ACMA will need to develop </w:t>
      </w:r>
      <w:r>
        <w:t xml:space="preserve">regulatory </w:t>
      </w:r>
      <w:r w:rsidRPr="00ED0641">
        <w:t xml:space="preserve">policy positions on how it implements these changes. This may involve consultation and </w:t>
      </w:r>
      <w:r w:rsidR="00811683">
        <w:t xml:space="preserve">the </w:t>
      </w:r>
      <w:r w:rsidRPr="00ED0641">
        <w:t xml:space="preserve">development of new/replaced </w:t>
      </w:r>
      <w:r>
        <w:t>legislative instruments</w:t>
      </w:r>
      <w:r w:rsidR="009808A7">
        <w:t>, as well as instruments that will be necessary to ensure that existing regulatory arrangements can continue to operate.</w:t>
      </w:r>
      <w:r>
        <w:t xml:space="preserve"> </w:t>
      </w:r>
      <w:r w:rsidR="00E7756F">
        <w:t>The</w:t>
      </w:r>
      <w:r>
        <w:t xml:space="preserve"> consideration of the Bills is a matter for the Parliament</w:t>
      </w:r>
      <w:r w:rsidR="00E7756F">
        <w:t>.</w:t>
      </w:r>
    </w:p>
    <w:p w14:paraId="407C9067" w14:textId="1D6F3A94" w:rsidR="00B8075A" w:rsidRPr="00B8075A" w:rsidRDefault="00760F8D" w:rsidP="000F454B">
      <w:pPr>
        <w:pStyle w:val="Paragraph"/>
      </w:pPr>
      <w:r w:rsidRPr="00760F8D">
        <w:t xml:space="preserve">While it is premature for the FYSO </w:t>
      </w:r>
      <w:r w:rsidR="00E06FBB">
        <w:t>2020</w:t>
      </w:r>
      <w:r w:rsidR="00F774CF" w:rsidRPr="00F774CF">
        <w:t>–</w:t>
      </w:r>
      <w:r w:rsidR="00E06FBB">
        <w:t xml:space="preserve">24 </w:t>
      </w:r>
      <w:r w:rsidRPr="00760F8D">
        <w:t xml:space="preserve">to provide a detailed implementation plan, we </w:t>
      </w:r>
      <w:r w:rsidR="00E059A6">
        <w:t>intend to</w:t>
      </w:r>
      <w:r w:rsidRPr="00760F8D">
        <w:t xml:space="preserve"> provide updated guidance </w:t>
      </w:r>
      <w:r>
        <w:t xml:space="preserve">to industry </w:t>
      </w:r>
      <w:r w:rsidRPr="00760F8D">
        <w:t>about implementation once the details of the legislative reform package are confirmed by Parliament.</w:t>
      </w:r>
    </w:p>
    <w:p w14:paraId="2332BB77" w14:textId="18EE038F" w:rsidR="00156B40" w:rsidRPr="00B53F89" w:rsidRDefault="00987B06" w:rsidP="000F454B">
      <w:pPr>
        <w:keepNext/>
        <w:keepLines/>
        <w:spacing w:before="60" w:after="0"/>
      </w:pPr>
      <w:r w:rsidRPr="006A2F04">
        <w:rPr>
          <w:noProof/>
        </w:rPr>
        <w:lastRenderedPageBreak/>
        <w:drawing>
          <wp:inline distT="0" distB="0" distL="0" distR="0" wp14:anchorId="7E0B4862" wp14:editId="11E4C3BA">
            <wp:extent cx="342900" cy="361950"/>
            <wp:effectExtent l="0" t="0" r="0" b="0"/>
            <wp:docPr id="118" name="Picture 11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4A49B0B" w14:textId="577B3524" w:rsidR="008D47CE" w:rsidRPr="00B53F89" w:rsidRDefault="007C0ABA" w:rsidP="000F454B">
      <w:pPr>
        <w:pStyle w:val="Heading3"/>
        <w:keepLines/>
      </w:pPr>
      <w:bookmarkStart w:id="511" w:name="_Toc31892844"/>
      <w:bookmarkStart w:id="512" w:name="_Toc36207460"/>
      <w:bookmarkStart w:id="513" w:name="_Toc51864381"/>
      <w:r w:rsidRPr="00B53F89">
        <w:t>M</w:t>
      </w:r>
      <w:r w:rsidR="008D47CE" w:rsidRPr="00B53F89">
        <w:t>obile phone jammers in prisons</w:t>
      </w:r>
      <w:bookmarkEnd w:id="511"/>
      <w:bookmarkEnd w:id="512"/>
      <w:bookmarkEnd w:id="513"/>
    </w:p>
    <w:p w14:paraId="55CBEA8A" w14:textId="0EA4FA12" w:rsidR="00295F01" w:rsidRDefault="00295F01" w:rsidP="000F454B">
      <w:pPr>
        <w:keepNext/>
        <w:keepLines/>
      </w:pPr>
      <w:r w:rsidRPr="00B53F89">
        <w:t>Corrective Services NSW</w:t>
      </w:r>
      <w:r>
        <w:t xml:space="preserve"> began a trial of </w:t>
      </w:r>
      <w:r w:rsidRPr="00B53F89">
        <w:t>mobile phone jamm</w:t>
      </w:r>
      <w:r>
        <w:t xml:space="preserve">ing at the </w:t>
      </w:r>
      <w:r w:rsidRPr="00295F01">
        <w:t>Goulburn Correctional Centre</w:t>
      </w:r>
      <w:r>
        <w:t xml:space="preserve">, as </w:t>
      </w:r>
      <w:r w:rsidRPr="00295F01">
        <w:t xml:space="preserve">authorised </w:t>
      </w:r>
      <w:r>
        <w:t xml:space="preserve">by </w:t>
      </w:r>
      <w:bookmarkStart w:id="514" w:name="Citation"/>
      <w:r>
        <w:fldChar w:fldCharType="begin"/>
      </w:r>
      <w:r>
        <w:instrText xml:space="preserve"> HYPERLINK "https://www.legislation.gov.au/Details/F2016L01286" </w:instrText>
      </w:r>
      <w:r>
        <w:fldChar w:fldCharType="separate"/>
      </w:r>
      <w:r w:rsidRPr="00C555C5">
        <w:rPr>
          <w:rStyle w:val="Hyperlink"/>
        </w:rPr>
        <w:t>Radiocommunications (Testing and Field Trial by Corrective Services NSW of PMTS Jamming Devices at Goulburn Correctional Complex) Exemption Determination </w:t>
      </w:r>
      <w:bookmarkEnd w:id="514"/>
      <w:r w:rsidRPr="00C555C5">
        <w:rPr>
          <w:rStyle w:val="Hyperlink"/>
        </w:rPr>
        <w:t>2016</w:t>
      </w:r>
      <w:r>
        <w:fldChar w:fldCharType="end"/>
      </w:r>
      <w:r>
        <w:t xml:space="preserve">. </w:t>
      </w:r>
      <w:r w:rsidRPr="00295F01">
        <w:t xml:space="preserve">This trial </w:t>
      </w:r>
      <w:r w:rsidR="0026662D">
        <w:t>enables the examination of</w:t>
      </w:r>
      <w:r w:rsidRPr="00295F01">
        <w:t xml:space="preserve"> the risks of using a mobile phone jammer at a prison located closer to where large numbers of people live.</w:t>
      </w:r>
    </w:p>
    <w:p w14:paraId="591D38BD" w14:textId="304A262B" w:rsidR="003C55C0" w:rsidRPr="00C555C5" w:rsidRDefault="00765046" w:rsidP="008713AA">
      <w:pPr>
        <w:rPr>
          <w:color w:val="0000FF"/>
          <w:u w:val="single"/>
        </w:rPr>
      </w:pPr>
      <w:r w:rsidRPr="00B53F89">
        <w:t xml:space="preserve">Corrective Services NSW </w:t>
      </w:r>
      <w:r>
        <w:t xml:space="preserve">is also operating a mobile phone jammer at the </w:t>
      </w:r>
      <w:r w:rsidRPr="00B53F89">
        <w:t>Lithgow Correctional Centre on an ongoing basis, subject to certain conditions and safeguards</w:t>
      </w:r>
      <w:r>
        <w:t xml:space="preserve">. The use and operation of this mobile phone jammer is authorised by the ACMA’s </w:t>
      </w:r>
      <w:hyperlink r:id="rId124" w:history="1">
        <w:r w:rsidRPr="00B53F89">
          <w:rPr>
            <w:rStyle w:val="Hyperlink"/>
          </w:rPr>
          <w:t>Radiocommunications (Use by Corrective Services NSW of PMTS Jamming Devices at Lithgow Correctional Centre) Exemption Determination 2018</w:t>
        </w:r>
      </w:hyperlink>
      <w:r>
        <w:t>.</w:t>
      </w:r>
    </w:p>
    <w:p w14:paraId="5E6A61D6" w14:textId="77777777" w:rsidR="00C82C7D" w:rsidRPr="00B53F89" w:rsidRDefault="00C82C7D" w:rsidP="0042464D">
      <w:pPr>
        <w:spacing w:before="60" w:after="0"/>
      </w:pPr>
      <w:r w:rsidRPr="006A2F04">
        <w:rPr>
          <w:noProof/>
        </w:rPr>
        <w:drawing>
          <wp:inline distT="0" distB="0" distL="0" distR="0" wp14:anchorId="3238497A" wp14:editId="34679507">
            <wp:extent cx="342900" cy="361950"/>
            <wp:effectExtent l="0" t="0" r="0" b="0"/>
            <wp:docPr id="69" name="Picture 69"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4CD00DE" wp14:editId="47A6F786">
            <wp:extent cx="342900" cy="361950"/>
            <wp:effectExtent l="0" t="0" r="0" b="0"/>
            <wp:docPr id="70" name="Picture 70"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4EF42D1" w14:textId="2AC65F4E" w:rsidR="004375FE" w:rsidRDefault="00F4438E" w:rsidP="0042464D">
      <w:pPr>
        <w:pStyle w:val="Heading3"/>
        <w:keepNext w:val="0"/>
      </w:pPr>
      <w:bookmarkStart w:id="515" w:name="_Toc36207461"/>
      <w:bookmarkStart w:id="516" w:name="_Toc51864382"/>
      <w:r>
        <w:t>Drone jamming exemption arrangements</w:t>
      </w:r>
      <w:bookmarkEnd w:id="515"/>
      <w:bookmarkEnd w:id="516"/>
    </w:p>
    <w:p w14:paraId="68019256" w14:textId="04944B95" w:rsidR="00C82C7D" w:rsidRPr="00B53F89" w:rsidRDefault="00C82C7D" w:rsidP="00C82C7D">
      <w:r w:rsidRPr="00B53F89">
        <w:t xml:space="preserve">In </w:t>
      </w:r>
      <w:r w:rsidR="00F4438E">
        <w:t>April</w:t>
      </w:r>
      <w:r w:rsidRPr="00B53F89">
        <w:t xml:space="preserve"> 2019, the ACMA </w:t>
      </w:r>
      <w:r w:rsidR="00F4438E">
        <w:t xml:space="preserve">determined an </w:t>
      </w:r>
      <w:r w:rsidRPr="00B53F89">
        <w:t>exemption that allow</w:t>
      </w:r>
      <w:r w:rsidR="00F4438E">
        <w:t>s</w:t>
      </w:r>
      <w:r w:rsidRPr="00B53F89">
        <w:t xml:space="preserve"> the Australian Federal Police to deploy drone jamming equipment over a two-year period. In </w:t>
      </w:r>
      <w:r w:rsidR="008855C2" w:rsidRPr="00387176">
        <w:t>Q</w:t>
      </w:r>
      <w:r w:rsidR="005F0B8C" w:rsidRPr="00387176">
        <w:t>2</w:t>
      </w:r>
      <w:r w:rsidR="008855C2" w:rsidRPr="00387176">
        <w:t xml:space="preserve"> </w:t>
      </w:r>
      <w:r w:rsidR="008855C2" w:rsidRPr="00641A5E">
        <w:t>2020</w:t>
      </w:r>
      <w:r w:rsidRPr="00B53F89">
        <w:t xml:space="preserve">, the ACMA </w:t>
      </w:r>
      <w:r w:rsidR="00FC330D">
        <w:t>consult</w:t>
      </w:r>
      <w:r w:rsidR="007F0AD6">
        <w:t>ed</w:t>
      </w:r>
      <w:r w:rsidR="00FC330D" w:rsidRPr="00B53F89">
        <w:t xml:space="preserve"> </w:t>
      </w:r>
      <w:r w:rsidRPr="00B53F89">
        <w:t xml:space="preserve">on </w:t>
      </w:r>
      <w:r w:rsidR="007F0AD6">
        <w:t xml:space="preserve">exemption arrangements to facilitate </w:t>
      </w:r>
      <w:r w:rsidR="008855C2">
        <w:t xml:space="preserve">national rollout </w:t>
      </w:r>
      <w:r w:rsidR="00F25DAD">
        <w:t xml:space="preserve">of </w:t>
      </w:r>
      <w:r w:rsidR="007F0AD6">
        <w:t xml:space="preserve">counter-drone </w:t>
      </w:r>
      <w:r w:rsidR="008855C2">
        <w:t>capability</w:t>
      </w:r>
      <w:r w:rsidR="007F0AD6">
        <w:t xml:space="preserve"> by all Australian </w:t>
      </w:r>
      <w:r w:rsidR="008855C2">
        <w:t>police agencies</w:t>
      </w:r>
      <w:r w:rsidRPr="00B53F89">
        <w:t>.</w:t>
      </w:r>
      <w:r w:rsidR="007F0AD6">
        <w:t xml:space="preserve"> </w:t>
      </w:r>
    </w:p>
    <w:p w14:paraId="21D4E5CA" w14:textId="77777777" w:rsidR="007F0AD6" w:rsidRDefault="007F0AD6" w:rsidP="007F0AD6">
      <w:pPr>
        <w:spacing w:after="0"/>
      </w:pPr>
      <w:r w:rsidRPr="006A2F04">
        <w:rPr>
          <w:noProof/>
        </w:rPr>
        <w:drawing>
          <wp:inline distT="0" distB="0" distL="0" distR="0" wp14:anchorId="2CA91252" wp14:editId="6D30975F">
            <wp:extent cx="341630" cy="359410"/>
            <wp:effectExtent l="0" t="0" r="1270" b="2540"/>
            <wp:docPr id="226" name="Picture 226"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7C2C1191" wp14:editId="41AAE3D5">
            <wp:extent cx="342900" cy="361950"/>
            <wp:effectExtent l="0" t="0" r="0" b="0"/>
            <wp:docPr id="227" name="Picture 227"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F80437B" w14:textId="647F3672" w:rsidR="007F0AD6" w:rsidRDefault="005965B6" w:rsidP="007F0AD6">
      <w:pPr>
        <w:pStyle w:val="Heading3"/>
      </w:pPr>
      <w:bookmarkStart w:id="517" w:name="_Toc51864383"/>
      <w:bookmarkStart w:id="518" w:name="_Hlk49411633"/>
      <w:r w:rsidRPr="006A2F04">
        <w:rPr>
          <w:noProof/>
        </w:rPr>
        <w:drawing>
          <wp:inline distT="0" distB="0" distL="0" distR="0" wp14:anchorId="6ECA098C" wp14:editId="57DD4109">
            <wp:extent cx="244475" cy="140335"/>
            <wp:effectExtent l="0" t="0" r="3175" b="0"/>
            <wp:docPr id="17" name="Picture 17"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EB63FC">
        <w:t xml:space="preserve">  </w:t>
      </w:r>
      <w:r w:rsidR="007F0AD6">
        <w:t>RNSS repeater trials</w:t>
      </w:r>
      <w:bookmarkEnd w:id="517"/>
    </w:p>
    <w:bookmarkEnd w:id="518"/>
    <w:p w14:paraId="76A9C25C" w14:textId="07D537CA" w:rsidR="007F0AD6" w:rsidRDefault="007F0AD6" w:rsidP="007F0AD6">
      <w:pPr>
        <w:rPr>
          <w:rStyle w:val="normaltextrun"/>
          <w:color w:val="000000"/>
          <w:szCs w:val="22"/>
          <w:shd w:val="clear" w:color="auto" w:fill="FFFFFF"/>
        </w:rPr>
      </w:pPr>
      <w:r>
        <w:t xml:space="preserve">We have </w:t>
      </w:r>
      <w:r w:rsidRPr="0076347E">
        <w:t>collaborat</w:t>
      </w:r>
      <w:r>
        <w:t>ed</w:t>
      </w:r>
      <w:r w:rsidRPr="0076347E">
        <w:t xml:space="preserve"> with a range of</w:t>
      </w:r>
      <w:r>
        <w:t xml:space="preserve"> </w:t>
      </w:r>
      <w:r w:rsidRPr="0076347E">
        <w:t xml:space="preserve">emergency </w:t>
      </w:r>
      <w:r w:rsidRPr="0076347E" w:rsidDel="00D04000">
        <w:t>services</w:t>
      </w:r>
      <w:r>
        <w:t xml:space="preserve"> </w:t>
      </w:r>
      <w:r w:rsidRPr="0076347E">
        <w:t>and</w:t>
      </w:r>
      <w:r>
        <w:t xml:space="preserve"> </w:t>
      </w:r>
      <w:r w:rsidRPr="0076347E">
        <w:t>road</w:t>
      </w:r>
      <w:r>
        <w:t xml:space="preserve"> </w:t>
      </w:r>
      <w:r w:rsidRPr="0076347E">
        <w:t>transport</w:t>
      </w:r>
      <w:r>
        <w:t xml:space="preserve"> </w:t>
      </w:r>
      <w:r w:rsidRPr="0076347E">
        <w:t>stakeholders</w:t>
      </w:r>
      <w:r>
        <w:rPr>
          <w:rStyle w:val="normaltextrun"/>
          <w:color w:val="000000"/>
          <w:szCs w:val="22"/>
          <w:shd w:val="clear" w:color="auto" w:fill="FFFFFF"/>
        </w:rPr>
        <w:t xml:space="preserve"> </w:t>
      </w:r>
      <w:r w:rsidRPr="0076347E">
        <w:t>on proposals to facilitate trials and small-scale deployments of radionavigation-satellite service (RNSS,</w:t>
      </w:r>
      <w:r>
        <w:t xml:space="preserve"> which encompasses a number of ubiquitous systems including </w:t>
      </w:r>
      <w:r w:rsidRPr="0076347E">
        <w:t>GPS</w:t>
      </w:r>
      <w:r>
        <w:t xml:space="preserve"> and GLONASS</w:t>
      </w:r>
      <w:r w:rsidRPr="0076347E">
        <w:t>) repeaters in road tunnels.</w:t>
      </w:r>
      <w:r>
        <w:t xml:space="preserve"> </w:t>
      </w:r>
      <w:r>
        <w:rPr>
          <w:rStyle w:val="normaltextrun"/>
          <w:color w:val="000000"/>
          <w:szCs w:val="22"/>
          <w:shd w:val="clear" w:color="auto" w:fill="FFFFFF"/>
        </w:rPr>
        <w:t>Loss of RNSS coverage in complex road tunnels can inconvenience motorists and compromise the ability of emergency service organisations to detect and deploy assets in response to emergencies.</w:t>
      </w:r>
    </w:p>
    <w:p w14:paraId="69924D36" w14:textId="726019B5" w:rsidR="007F0AD6" w:rsidRDefault="007F0AD6" w:rsidP="000F454B">
      <w:pPr>
        <w:pStyle w:val="Paragraph"/>
        <w:rPr>
          <w:rStyle w:val="normaltextrun"/>
          <w:color w:val="000000"/>
          <w:szCs w:val="22"/>
          <w:shd w:val="clear" w:color="auto" w:fill="FFFFFF"/>
        </w:rPr>
      </w:pPr>
      <w:r>
        <w:rPr>
          <w:rStyle w:val="normaltextrun"/>
          <w:color w:val="000000"/>
          <w:szCs w:val="22"/>
          <w:shd w:val="clear" w:color="auto" w:fill="FFFFFF"/>
        </w:rPr>
        <w:t>In Q2</w:t>
      </w:r>
      <w:r w:rsidR="00811683">
        <w:rPr>
          <w:rStyle w:val="normaltextrun"/>
          <w:color w:val="000000"/>
          <w:szCs w:val="22"/>
          <w:shd w:val="clear" w:color="auto" w:fill="FFFFFF"/>
        </w:rPr>
        <w:t>–</w:t>
      </w:r>
      <w:r w:rsidR="00C8737C">
        <w:rPr>
          <w:rStyle w:val="normaltextrun"/>
          <w:color w:val="000000"/>
          <w:szCs w:val="22"/>
          <w:shd w:val="clear" w:color="auto" w:fill="FFFFFF"/>
        </w:rPr>
        <w:t>3</w:t>
      </w:r>
      <w:r>
        <w:rPr>
          <w:rStyle w:val="normaltextrun"/>
          <w:color w:val="000000"/>
          <w:szCs w:val="22"/>
          <w:shd w:val="clear" w:color="auto" w:fill="FFFFFF"/>
        </w:rPr>
        <w:t xml:space="preserve"> 2020, we consulted on, and subsequently approved, arrangements that would remove regulatory barriers to using RNSS repeaters, and on proposals to authorise trials using scientific licences. </w:t>
      </w:r>
    </w:p>
    <w:p w14:paraId="5BAB6EF2" w14:textId="77777777" w:rsidR="007F0AD6" w:rsidRPr="00B53F89" w:rsidRDefault="007F0AD6" w:rsidP="007F0AD6">
      <w:pPr>
        <w:spacing w:before="60" w:after="0"/>
      </w:pPr>
      <w:r w:rsidRPr="006A2F04">
        <w:rPr>
          <w:noProof/>
        </w:rPr>
        <w:drawing>
          <wp:inline distT="0" distB="0" distL="0" distR="0" wp14:anchorId="7234D7C5" wp14:editId="704683B2">
            <wp:extent cx="342900" cy="361950"/>
            <wp:effectExtent l="0" t="0" r="0" b="0"/>
            <wp:docPr id="229" name="Picture 22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C37297D" wp14:editId="4B3F9AEB">
            <wp:extent cx="341630" cy="359410"/>
            <wp:effectExtent l="0" t="0" r="1270" b="2540"/>
            <wp:docPr id="230" name="Picture 230"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5ACC0E5B" w14:textId="7F58AB12" w:rsidR="007F0AD6" w:rsidRPr="00B53F89" w:rsidRDefault="005965B6" w:rsidP="007F0AD6">
      <w:pPr>
        <w:pStyle w:val="Heading3"/>
        <w:keepNext w:val="0"/>
      </w:pPr>
      <w:bookmarkStart w:id="519" w:name="_Toc51864384"/>
      <w:r w:rsidRPr="006A2F04">
        <w:rPr>
          <w:noProof/>
        </w:rPr>
        <w:drawing>
          <wp:inline distT="0" distB="0" distL="0" distR="0" wp14:anchorId="7AAF4E9E" wp14:editId="3267F79D">
            <wp:extent cx="244475" cy="140335"/>
            <wp:effectExtent l="0" t="0" r="3175" b="0"/>
            <wp:docPr id="27" name="Picture 27"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EB63FC">
        <w:t xml:space="preserve">  </w:t>
      </w:r>
      <w:r w:rsidR="007F0AD6" w:rsidRPr="00B53F89">
        <w:t>Review of prohibition declarations and exemption determinations</w:t>
      </w:r>
      <w:bookmarkEnd w:id="519"/>
    </w:p>
    <w:p w14:paraId="614FAE18" w14:textId="4AA420A9" w:rsidR="007F0AD6" w:rsidRPr="00B53F89" w:rsidRDefault="007F0AD6" w:rsidP="007F0AD6">
      <w:r w:rsidRPr="00B53F89">
        <w:t xml:space="preserve">Under the </w:t>
      </w:r>
      <w:r w:rsidRPr="00782356">
        <w:t>Radiocommunications Act</w:t>
      </w:r>
      <w:r w:rsidRPr="00A43F6E">
        <w:rPr>
          <w:iCs/>
        </w:rPr>
        <w:t>,</w:t>
      </w:r>
      <w:r w:rsidRPr="00B53F89">
        <w:t xml:space="preserve"> the ACMA has prohibited two kinds of devices: mobile phone jammers (public mobile telecommunications service jamming devices) and radionavigation-satellite service jammers, which include GPS jamming devices. The ACMA may determine exemptions from the prohibition determinations, and from other parts of the </w:t>
      </w:r>
      <w:r w:rsidRPr="00782356">
        <w:t>Radiocommunications Act</w:t>
      </w:r>
      <w:r w:rsidRPr="00B53F89">
        <w:t xml:space="preserve">, </w:t>
      </w:r>
      <w:r>
        <w:t>for</w:t>
      </w:r>
      <w:r w:rsidRPr="00B53F89">
        <w:t xml:space="preserve"> a narrow range </w:t>
      </w:r>
      <w:r w:rsidRPr="00CC5C49">
        <w:t xml:space="preserve">of </w:t>
      </w:r>
      <w:r w:rsidR="00A33CBB">
        <w:t>users</w:t>
      </w:r>
      <w:r w:rsidRPr="00B53F89">
        <w:t>.</w:t>
      </w:r>
    </w:p>
    <w:p w14:paraId="1858CD9E" w14:textId="3155B13C" w:rsidR="007F0AD6" w:rsidRPr="00B53F89" w:rsidRDefault="007F0AD6" w:rsidP="00C82C7D">
      <w:r>
        <w:t xml:space="preserve">In Q2 2020, we released an issues paper seeking comments from stakeholders about the operation of the prohibitions declarations, and </w:t>
      </w:r>
      <w:r w:rsidR="00811683">
        <w:t xml:space="preserve">the </w:t>
      </w:r>
      <w:r>
        <w:t>appropriateness of our approach to exemption determinations.</w:t>
      </w:r>
    </w:p>
    <w:p w14:paraId="360A015A" w14:textId="14AFB7C5" w:rsidR="00266584" w:rsidRPr="00B53F89" w:rsidRDefault="00517B2B" w:rsidP="0042464D">
      <w:pPr>
        <w:pStyle w:val="Heading2"/>
        <w:keepNext w:val="0"/>
      </w:pPr>
      <w:bookmarkStart w:id="520" w:name="_Toc31892847"/>
      <w:bookmarkStart w:id="521" w:name="_Toc36207462"/>
      <w:bookmarkStart w:id="522" w:name="_Toc51846297"/>
      <w:bookmarkStart w:id="523" w:name="_Toc51864385"/>
      <w:bookmarkStart w:id="524" w:name="_Toc510104982"/>
      <w:bookmarkStart w:id="525" w:name="_Toc510105779"/>
      <w:bookmarkStart w:id="526" w:name="_Toc510795111"/>
      <w:bookmarkStart w:id="527" w:name="_Toc511716314"/>
      <w:bookmarkStart w:id="528" w:name="_Toc511719125"/>
      <w:bookmarkStart w:id="529" w:name="_Toc522794117"/>
      <w:r>
        <w:lastRenderedPageBreak/>
        <w:t>A</w:t>
      </w:r>
      <w:r w:rsidR="008B4A81" w:rsidRPr="00B53F89">
        <w:t xml:space="preserve">ctivities planned for </w:t>
      </w:r>
      <w:r w:rsidR="004A6CDE" w:rsidRPr="00B53F89">
        <w:t>20</w:t>
      </w:r>
      <w:r w:rsidR="00217852">
        <w:t>20</w:t>
      </w:r>
      <w:r w:rsidR="004A6CDE" w:rsidRPr="00B53F89">
        <w:t>–</w:t>
      </w:r>
      <w:r w:rsidR="00B76F6D" w:rsidRPr="00B53F89">
        <w:t>2</w:t>
      </w:r>
      <w:r w:rsidR="00217852">
        <w:t>1</w:t>
      </w:r>
      <w:bookmarkEnd w:id="520"/>
      <w:bookmarkEnd w:id="521"/>
      <w:bookmarkEnd w:id="522"/>
      <w:bookmarkEnd w:id="523"/>
      <w:r w:rsidR="008B4A81" w:rsidRPr="00B53F89">
        <w:t xml:space="preserve"> </w:t>
      </w:r>
      <w:bookmarkEnd w:id="524"/>
      <w:bookmarkEnd w:id="525"/>
      <w:bookmarkEnd w:id="526"/>
      <w:bookmarkEnd w:id="527"/>
      <w:bookmarkEnd w:id="528"/>
      <w:bookmarkEnd w:id="529"/>
    </w:p>
    <w:p w14:paraId="563126DF" w14:textId="36AD2D60" w:rsidR="00987B06" w:rsidRPr="00B53F89" w:rsidRDefault="00987B06" w:rsidP="0042464D">
      <w:pPr>
        <w:spacing w:before="60" w:after="0"/>
      </w:pPr>
      <w:bookmarkStart w:id="530" w:name="_Reforming_arrangements_for"/>
      <w:bookmarkStart w:id="531" w:name="_Toc510104983"/>
      <w:bookmarkStart w:id="532" w:name="_Toc510105780"/>
      <w:bookmarkStart w:id="533" w:name="_Toc510795112"/>
      <w:bookmarkStart w:id="534" w:name="_Toc511716315"/>
      <w:bookmarkStart w:id="535" w:name="_Toc511719126"/>
      <w:bookmarkStart w:id="536" w:name="_Toc522794118"/>
      <w:bookmarkEnd w:id="530"/>
      <w:r w:rsidRPr="006A2F04">
        <w:rPr>
          <w:noProof/>
        </w:rPr>
        <w:drawing>
          <wp:inline distT="0" distB="0" distL="0" distR="0" wp14:anchorId="2CB29916" wp14:editId="5AA7B955">
            <wp:extent cx="342900" cy="361950"/>
            <wp:effectExtent l="0" t="0" r="0" b="0"/>
            <wp:docPr id="120" name="Picture 120"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8E2B269" w14:textId="41B20377" w:rsidR="008B4A81" w:rsidRPr="00B53F89" w:rsidRDefault="00EB63FC" w:rsidP="0042464D">
      <w:pPr>
        <w:pStyle w:val="Heading3"/>
        <w:keepNext w:val="0"/>
      </w:pPr>
      <w:bookmarkStart w:id="537" w:name="_Toc31892848"/>
      <w:bookmarkStart w:id="538" w:name="_Toc36207463"/>
      <w:bookmarkStart w:id="539" w:name="_Toc51864386"/>
      <w:bookmarkStart w:id="540" w:name="_Hlk36456326"/>
      <w:r w:rsidRPr="006A2F04">
        <w:rPr>
          <w:noProof/>
        </w:rPr>
        <w:drawing>
          <wp:inline distT="0" distB="0" distL="0" distR="0" wp14:anchorId="653BC073" wp14:editId="4052DBE9">
            <wp:extent cx="244475" cy="140335"/>
            <wp:effectExtent l="0" t="0" r="3175" b="0"/>
            <wp:docPr id="35" name="Picture 35"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5E0AAD" w:rsidRPr="00B53F89">
        <w:t>A</w:t>
      </w:r>
      <w:r w:rsidR="00266584" w:rsidRPr="00B53F89">
        <w:t>mateur certificates of proficiency</w:t>
      </w:r>
      <w:bookmarkEnd w:id="531"/>
      <w:bookmarkEnd w:id="532"/>
      <w:bookmarkEnd w:id="533"/>
      <w:bookmarkEnd w:id="534"/>
      <w:bookmarkEnd w:id="535"/>
      <w:bookmarkEnd w:id="536"/>
      <w:bookmarkEnd w:id="537"/>
      <w:bookmarkEnd w:id="538"/>
      <w:bookmarkEnd w:id="539"/>
    </w:p>
    <w:p w14:paraId="335082C7" w14:textId="2D6BD9BB" w:rsidR="335082C7" w:rsidRDefault="335082C7">
      <w:bookmarkStart w:id="541" w:name="_Hlk52170989"/>
      <w:r w:rsidRPr="007E5187">
        <w:rPr>
          <w:rFonts w:eastAsia="Arial"/>
        </w:rPr>
        <w:t>A Syllabus Review Panel (the Panel) was established in Q4 2019 under a Deed of Agreement between the ACMA and the University of Tasmania through its institute, the Australian Maritime College (AMC).</w:t>
      </w:r>
    </w:p>
    <w:p w14:paraId="744B0DE7" w14:textId="7C5DAC90" w:rsidR="335082C7" w:rsidRDefault="335082C7">
      <w:r w:rsidRPr="007E5187">
        <w:rPr>
          <w:rFonts w:eastAsia="Arial"/>
        </w:rPr>
        <w:t xml:space="preserve">Due to the inability of the Panel to reach a consensus on minor changes required to align </w:t>
      </w:r>
      <w:r w:rsidR="607E97F2" w:rsidRPr="007E5187">
        <w:rPr>
          <w:rFonts w:eastAsia="Arial"/>
        </w:rPr>
        <w:t>the syllabus</w:t>
      </w:r>
      <w:r w:rsidRPr="007E5187">
        <w:rPr>
          <w:rFonts w:eastAsia="Arial"/>
        </w:rPr>
        <w:t xml:space="preserve"> with the Radiocommunications Licence Conditions (Amateur Licence) Determination 2015 (LCD)</w:t>
      </w:r>
      <w:r w:rsidR="00811683">
        <w:rPr>
          <w:rFonts w:eastAsia="Arial"/>
        </w:rPr>
        <w:t>,</w:t>
      </w:r>
      <w:r w:rsidRPr="007E5187">
        <w:rPr>
          <w:rFonts w:eastAsia="Arial"/>
        </w:rPr>
        <w:t xml:space="preserve"> the Panel </w:t>
      </w:r>
      <w:r w:rsidR="00811683">
        <w:rPr>
          <w:rFonts w:eastAsia="Arial"/>
        </w:rPr>
        <w:t>was</w:t>
      </w:r>
      <w:r w:rsidRPr="007E5187">
        <w:rPr>
          <w:rFonts w:eastAsia="Arial"/>
        </w:rPr>
        <w:t xml:space="preserve"> disbanded. </w:t>
      </w:r>
      <w:r w:rsidR="607E97F2" w:rsidRPr="007E5187">
        <w:rPr>
          <w:rFonts w:eastAsia="Arial"/>
        </w:rPr>
        <w:t xml:space="preserve">In </w:t>
      </w:r>
      <w:r w:rsidR="607E97F2" w:rsidRPr="009C051D">
        <w:rPr>
          <w:rFonts w:eastAsia="Arial"/>
        </w:rPr>
        <w:t>Q3 2020, t</w:t>
      </w:r>
      <w:r w:rsidRPr="009C051D">
        <w:rPr>
          <w:rFonts w:eastAsia="Arial"/>
        </w:rPr>
        <w:t>he ACMA will amend</w:t>
      </w:r>
      <w:r w:rsidRPr="007E5187">
        <w:rPr>
          <w:rFonts w:eastAsia="Arial"/>
        </w:rPr>
        <w:t xml:space="preserve"> the Deed with the AMC to remove the requirement for changes to the syllabus to be approved by the </w:t>
      </w:r>
      <w:r w:rsidR="0030453C">
        <w:rPr>
          <w:rFonts w:eastAsia="Arial"/>
        </w:rPr>
        <w:t>P</w:t>
      </w:r>
      <w:r w:rsidR="0030453C" w:rsidRPr="007E5187">
        <w:rPr>
          <w:rFonts w:eastAsia="Arial"/>
        </w:rPr>
        <w:t>anel</w:t>
      </w:r>
      <w:r w:rsidRPr="007E5187">
        <w:rPr>
          <w:rFonts w:eastAsia="Arial"/>
        </w:rPr>
        <w:t>. Changes to the syllabus will now be managed directly through the ACMA’s usual consultation processes with the amateur community.</w:t>
      </w:r>
    </w:p>
    <w:p w14:paraId="0CD21FC3" w14:textId="49CBC0B5" w:rsidR="335082C7" w:rsidRDefault="607E97F2">
      <w:r w:rsidRPr="007E5187">
        <w:rPr>
          <w:rFonts w:eastAsia="Arial"/>
        </w:rPr>
        <w:t>In Q4 2020, w</w:t>
      </w:r>
      <w:r w:rsidR="335082C7" w:rsidRPr="007E5187">
        <w:rPr>
          <w:rFonts w:eastAsia="Arial"/>
        </w:rPr>
        <w:t>e will use the recent public consultation process for changes to the foundation syllabus to advise the AMC on amendments</w:t>
      </w:r>
      <w:r w:rsidR="006F4474" w:rsidRPr="007E5187">
        <w:rPr>
          <w:rFonts w:eastAsia="Arial"/>
        </w:rPr>
        <w:t xml:space="preserve"> to the syllabus</w:t>
      </w:r>
      <w:r w:rsidR="335082C7" w:rsidRPr="007E5187">
        <w:rPr>
          <w:rFonts w:eastAsia="Arial"/>
        </w:rPr>
        <w:t>. This will align the foundation syllabus with the amendments to the LCD, so that prospective foundation licensees are able to take advantage of the amended LCD.</w:t>
      </w:r>
    </w:p>
    <w:p w14:paraId="3C133DE9" w14:textId="0E7FA239" w:rsidR="335082C7" w:rsidRDefault="006F4474" w:rsidP="607E97F2">
      <w:r w:rsidRPr="007E5187">
        <w:t>W</w:t>
      </w:r>
      <w:r w:rsidR="335082C7" w:rsidRPr="007E5187">
        <w:t>e</w:t>
      </w:r>
      <w:r w:rsidR="335082C7" w:rsidRPr="007E5187">
        <w:rPr>
          <w:rFonts w:eastAsia="Arial"/>
        </w:rPr>
        <w:t xml:space="preserve"> will undertake a broader consultation process </w:t>
      </w:r>
      <w:r w:rsidR="003D4F64" w:rsidRPr="007E5187">
        <w:rPr>
          <w:rFonts w:eastAsia="Arial"/>
        </w:rPr>
        <w:t xml:space="preserve">in 2021 </w:t>
      </w:r>
      <w:r w:rsidR="335082C7" w:rsidRPr="007E5187">
        <w:rPr>
          <w:rFonts w:eastAsia="Arial"/>
        </w:rPr>
        <w:t>on more substantive changes to the syllabus.</w:t>
      </w:r>
    </w:p>
    <w:p w14:paraId="704796E5" w14:textId="513AF32B" w:rsidR="00F054F9" w:rsidRPr="00B53F89" w:rsidRDefault="00F054F9" w:rsidP="00513FDE">
      <w:pPr>
        <w:keepNext/>
        <w:keepLines/>
        <w:spacing w:before="60" w:after="0"/>
      </w:pPr>
      <w:bookmarkStart w:id="542" w:name="_Toc510104984"/>
      <w:bookmarkStart w:id="543" w:name="_Toc510105781"/>
      <w:bookmarkStart w:id="544" w:name="_Toc510795113"/>
      <w:bookmarkStart w:id="545" w:name="_Toc511716316"/>
      <w:bookmarkStart w:id="546" w:name="_Toc511719127"/>
      <w:bookmarkStart w:id="547" w:name="_Toc522794120"/>
      <w:bookmarkEnd w:id="540"/>
      <w:bookmarkEnd w:id="541"/>
      <w:r w:rsidRPr="006A2F04">
        <w:rPr>
          <w:noProof/>
        </w:rPr>
        <w:drawing>
          <wp:inline distT="0" distB="0" distL="0" distR="0" wp14:anchorId="5D8F97B4" wp14:editId="68BBC17C">
            <wp:extent cx="342900" cy="361950"/>
            <wp:effectExtent l="0" t="0" r="0" b="0"/>
            <wp:docPr id="122" name="Picture 12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BE795D8" w14:textId="56049B3B" w:rsidR="00266584" w:rsidRPr="00B53F89" w:rsidRDefault="000D7266" w:rsidP="00513FDE">
      <w:pPr>
        <w:pStyle w:val="Heading3"/>
        <w:keepLines/>
      </w:pPr>
      <w:bookmarkStart w:id="548" w:name="_Toc31892850"/>
      <w:bookmarkStart w:id="549" w:name="_Toc36207464"/>
      <w:bookmarkStart w:id="550" w:name="_Toc51864387"/>
      <w:r w:rsidRPr="00B53F89">
        <w:t xml:space="preserve">Enabling trials of </w:t>
      </w:r>
      <w:r w:rsidR="00266584" w:rsidRPr="00B53F89">
        <w:t xml:space="preserve">mobile phone jammers </w:t>
      </w:r>
      <w:bookmarkEnd w:id="542"/>
      <w:bookmarkEnd w:id="543"/>
      <w:r w:rsidRPr="00B53F89">
        <w:t>in prisons</w:t>
      </w:r>
      <w:bookmarkEnd w:id="544"/>
      <w:bookmarkEnd w:id="545"/>
      <w:bookmarkEnd w:id="546"/>
      <w:bookmarkEnd w:id="547"/>
      <w:bookmarkEnd w:id="548"/>
      <w:bookmarkEnd w:id="549"/>
      <w:bookmarkEnd w:id="550"/>
    </w:p>
    <w:p w14:paraId="6027592B" w14:textId="6B029FD5" w:rsidR="00110722" w:rsidRPr="00B53F89" w:rsidRDefault="00F553B1" w:rsidP="00513FDE">
      <w:pPr>
        <w:keepNext/>
        <w:keepLines/>
      </w:pPr>
      <w:r>
        <w:t>We</w:t>
      </w:r>
      <w:r w:rsidR="00797B41" w:rsidRPr="00B53F89">
        <w:t xml:space="preserve"> continue to facilitate trials of mobile phone jammers and ha</w:t>
      </w:r>
      <w:r>
        <w:t>ve</w:t>
      </w:r>
      <w:r w:rsidR="00797B41" w:rsidRPr="00B53F89">
        <w:t xml:space="preserve"> approached </w:t>
      </w:r>
      <w:r w:rsidR="0011236B">
        <w:t xml:space="preserve">relevant authorities in the </w:t>
      </w:r>
      <w:r>
        <w:t>s</w:t>
      </w:r>
      <w:r w:rsidR="00797B41" w:rsidRPr="00B53F89">
        <w:t xml:space="preserve">tates and </w:t>
      </w:r>
      <w:r>
        <w:t>t</w:t>
      </w:r>
      <w:r w:rsidR="00797B41" w:rsidRPr="00B53F89">
        <w:t xml:space="preserve">erritories to gauge their interest in conducting trials. </w:t>
      </w:r>
      <w:r>
        <w:t>We</w:t>
      </w:r>
      <w:r w:rsidR="002939EE" w:rsidRPr="00B53F89">
        <w:t xml:space="preserve"> will consider request</w:t>
      </w:r>
      <w:r>
        <w:t>s</w:t>
      </w:r>
      <w:r w:rsidR="002939EE" w:rsidRPr="00B53F89">
        <w:t xml:space="preserve"> from other jurisdictions on a case</w:t>
      </w:r>
      <w:r>
        <w:t>-</w:t>
      </w:r>
      <w:r w:rsidR="002939EE" w:rsidRPr="00B53F89">
        <w:t>by</w:t>
      </w:r>
      <w:r>
        <w:t>-</w:t>
      </w:r>
      <w:r w:rsidR="002939EE" w:rsidRPr="00B53F89">
        <w:t>case basis.</w:t>
      </w:r>
      <w:r w:rsidR="00E202E2">
        <w:t xml:space="preserve"> </w:t>
      </w:r>
    </w:p>
    <w:p w14:paraId="54D2B862" w14:textId="5C19F929" w:rsidR="0076347E" w:rsidRDefault="0076347E" w:rsidP="00513FDE">
      <w:pPr>
        <w:spacing w:after="0"/>
      </w:pPr>
      <w:r w:rsidRPr="006A2F04">
        <w:rPr>
          <w:noProof/>
        </w:rPr>
        <w:drawing>
          <wp:inline distT="0" distB="0" distL="0" distR="0" wp14:anchorId="5AD5BA85" wp14:editId="54615702">
            <wp:extent cx="341630" cy="359410"/>
            <wp:effectExtent l="0" t="0" r="1270" b="2540"/>
            <wp:docPr id="87" name="Picture 87"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3553C7A3" wp14:editId="6A1E7EDF">
            <wp:extent cx="342900" cy="361950"/>
            <wp:effectExtent l="0" t="0" r="0" b="0"/>
            <wp:docPr id="132" name="Picture 132"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9BD459C" w14:textId="316A34ED" w:rsidR="0076347E" w:rsidRDefault="006D4843" w:rsidP="0076347E">
      <w:pPr>
        <w:pStyle w:val="Heading3"/>
      </w:pPr>
      <w:bookmarkStart w:id="551" w:name="_Toc36207466"/>
      <w:bookmarkStart w:id="552" w:name="_Toc51864388"/>
      <w:r w:rsidRPr="006A2F04">
        <w:rPr>
          <w:noProof/>
        </w:rPr>
        <w:drawing>
          <wp:inline distT="0" distB="0" distL="0" distR="0" wp14:anchorId="527D3160" wp14:editId="27DC2271">
            <wp:extent cx="244475" cy="140335"/>
            <wp:effectExtent l="0" t="0" r="3175" b="0"/>
            <wp:docPr id="36" name="Picture 36"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E77DF6">
        <w:t>RNS</w:t>
      </w:r>
      <w:r w:rsidR="0076347E">
        <w:t>S repeater trials</w:t>
      </w:r>
      <w:bookmarkEnd w:id="551"/>
      <w:r w:rsidR="007F0AD6">
        <w:t xml:space="preserve"> and long</w:t>
      </w:r>
      <w:r w:rsidR="006D7665">
        <w:t>-</w:t>
      </w:r>
      <w:r w:rsidR="007F0AD6">
        <w:t>term licensing</w:t>
      </w:r>
      <w:r w:rsidR="006D7665">
        <w:t xml:space="preserve"> arrangements</w:t>
      </w:r>
      <w:bookmarkEnd w:id="552"/>
    </w:p>
    <w:p w14:paraId="279DF38E" w14:textId="30B20DEE" w:rsidR="007F0AD6" w:rsidRDefault="007F0AD6" w:rsidP="00D04000">
      <w:r>
        <w:t>Over 2020</w:t>
      </w:r>
      <w:r w:rsidR="00DF42EB">
        <w:t>–</w:t>
      </w:r>
      <w:r>
        <w:t>21, we will continue to work with stakeholders in deploying trials of RNSS repeaters in road tunnels, using scientific licensing arrangements.</w:t>
      </w:r>
    </w:p>
    <w:p w14:paraId="0A725F2E" w14:textId="2F6B6534" w:rsidR="007F0AD6" w:rsidRDefault="007F0AD6" w:rsidP="00D04000">
      <w:r>
        <w:t xml:space="preserve">We will use feedback and data from the trials to inform a longer-term licensing solution for the devices. </w:t>
      </w:r>
    </w:p>
    <w:p w14:paraId="7681FBA7" w14:textId="39CD3E33" w:rsidR="00F054F9" w:rsidRDefault="007F0AD6" w:rsidP="00B27D78">
      <w:pPr>
        <w:rPr>
          <w:rStyle w:val="normaltextrun"/>
          <w:color w:val="000000"/>
          <w:szCs w:val="22"/>
          <w:shd w:val="clear" w:color="auto" w:fill="FFFFFF"/>
        </w:rPr>
      </w:pPr>
      <w:r>
        <w:t>Many stakeholders requested that the ACMA consider whether RNSS repeaters and similar devices could be deployed in locations other than road tunnels. We will consider this over 2020</w:t>
      </w:r>
      <w:r w:rsidR="00F774CF" w:rsidRPr="00F774CF">
        <w:t>–</w:t>
      </w:r>
      <w:r>
        <w:t>21</w:t>
      </w:r>
      <w:r w:rsidR="00DF42EB">
        <w:t>,</w:t>
      </w:r>
      <w:r>
        <w:t xml:space="preserve"> in light of the trials of the devices and further research</w:t>
      </w:r>
      <w:r w:rsidR="00695FC2">
        <w:rPr>
          <w:rStyle w:val="normaltextrun"/>
          <w:color w:val="000000"/>
          <w:szCs w:val="22"/>
          <w:shd w:val="clear" w:color="auto" w:fill="FFFFFF"/>
        </w:rPr>
        <w:t>.</w:t>
      </w:r>
      <w:bookmarkStart w:id="553" w:name="_Toc510795115"/>
      <w:bookmarkStart w:id="554" w:name="_Toc511716318"/>
      <w:bookmarkStart w:id="555" w:name="_Toc511719129"/>
      <w:bookmarkStart w:id="556" w:name="_Toc522794122"/>
    </w:p>
    <w:p w14:paraId="2795D94C" w14:textId="63AD42EC" w:rsidR="00F054F9" w:rsidRPr="00B53F89" w:rsidRDefault="00F054F9" w:rsidP="001B5B7C">
      <w:pPr>
        <w:spacing w:before="60" w:after="0"/>
      </w:pPr>
      <w:r w:rsidRPr="006A2F04">
        <w:rPr>
          <w:noProof/>
        </w:rPr>
        <w:drawing>
          <wp:inline distT="0" distB="0" distL="0" distR="0" wp14:anchorId="03209463" wp14:editId="13E93F48">
            <wp:extent cx="342900" cy="361950"/>
            <wp:effectExtent l="0" t="0" r="0" b="0"/>
            <wp:docPr id="124" name="Picture 124"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DD5E6BC" w14:textId="6008D645" w:rsidR="002717D0" w:rsidRPr="00B53F89" w:rsidRDefault="002717D0" w:rsidP="001B5B7C">
      <w:pPr>
        <w:pStyle w:val="Heading3"/>
        <w:keepNext w:val="0"/>
      </w:pPr>
      <w:bookmarkStart w:id="557" w:name="_Toc31892852"/>
      <w:bookmarkStart w:id="558" w:name="_Toc36207467"/>
      <w:bookmarkStart w:id="559" w:name="_Toc51864389"/>
      <w:bookmarkStart w:id="560" w:name="_Hlk36456346"/>
      <w:r w:rsidRPr="00B53F89">
        <w:t>400 MHz band</w:t>
      </w:r>
      <w:bookmarkEnd w:id="553"/>
      <w:bookmarkEnd w:id="554"/>
      <w:bookmarkEnd w:id="555"/>
      <w:bookmarkEnd w:id="556"/>
      <w:bookmarkEnd w:id="557"/>
      <w:bookmarkEnd w:id="558"/>
      <w:bookmarkEnd w:id="559"/>
    </w:p>
    <w:p w14:paraId="52018214" w14:textId="50F3BF12" w:rsidR="00B514B8" w:rsidRPr="00B53F89" w:rsidRDefault="00D04000">
      <w:pPr>
        <w:rPr>
          <w:rFonts w:cs="Arial"/>
          <w:szCs w:val="20"/>
        </w:rPr>
      </w:pPr>
      <w:bookmarkStart w:id="561" w:name="_Hlk16245481"/>
      <w:bookmarkStart w:id="562" w:name="_Hlk52176433"/>
      <w:bookmarkEnd w:id="560"/>
      <w:r>
        <w:t>We are</w:t>
      </w:r>
      <w:r w:rsidR="002717D0" w:rsidRPr="00B53F89">
        <w:t xml:space="preserve"> </w:t>
      </w:r>
      <w:bookmarkEnd w:id="561"/>
      <w:r w:rsidR="00E00813">
        <w:t>finalising</w:t>
      </w:r>
      <w:r w:rsidR="002717D0" w:rsidRPr="00B53F89">
        <w:t xml:space="preserve"> the 400 MHz </w:t>
      </w:r>
      <w:r w:rsidR="00B91108" w:rsidRPr="00B53F89">
        <w:t>i</w:t>
      </w:r>
      <w:r w:rsidR="002717D0" w:rsidRPr="00B53F89">
        <w:t>mplementation projec</w:t>
      </w:r>
      <w:r w:rsidR="002717D0" w:rsidRPr="00FE05EF">
        <w:t>t</w:t>
      </w:r>
      <w:r w:rsidRPr="00513FDE">
        <w:t>, which</w:t>
      </w:r>
      <w:r w:rsidR="002717D0" w:rsidRPr="00FE05EF">
        <w:t xml:space="preserve"> </w:t>
      </w:r>
      <w:r w:rsidR="002717D0" w:rsidRPr="00B53F89">
        <w:t xml:space="preserve">will complete the necessary transition of licences to appropriate segments of the 400 MHz band. </w:t>
      </w:r>
      <w:r>
        <w:t>We</w:t>
      </w:r>
      <w:r w:rsidR="00E00813">
        <w:t xml:space="preserve"> will</w:t>
      </w:r>
      <w:r w:rsidR="002717D0" w:rsidRPr="00B53F89">
        <w:t xml:space="preserve"> continue to work closely with state and territory governments</w:t>
      </w:r>
      <w:r w:rsidR="00B91108" w:rsidRPr="00B53F89">
        <w:t>,</w:t>
      </w:r>
      <w:r w:rsidR="002717D0" w:rsidRPr="00B53F89">
        <w:t xml:space="preserve"> as well as industry participants and representative organisations.</w:t>
      </w:r>
    </w:p>
    <w:p w14:paraId="4E17DB06" w14:textId="4E74A955" w:rsidR="00F054F9" w:rsidRPr="00B53F89" w:rsidRDefault="00F054F9" w:rsidP="001B5B7C">
      <w:pPr>
        <w:spacing w:before="60" w:after="0"/>
      </w:pPr>
      <w:bookmarkStart w:id="563" w:name="_Toc510795116"/>
      <w:bookmarkStart w:id="564" w:name="_Toc511716319"/>
      <w:bookmarkStart w:id="565" w:name="_Toc511719130"/>
      <w:bookmarkStart w:id="566" w:name="_Toc522794123"/>
      <w:bookmarkEnd w:id="562"/>
      <w:r w:rsidRPr="006A2F04">
        <w:rPr>
          <w:noProof/>
        </w:rPr>
        <w:lastRenderedPageBreak/>
        <w:drawing>
          <wp:inline distT="0" distB="0" distL="0" distR="0" wp14:anchorId="4B90B86F" wp14:editId="0A005477">
            <wp:extent cx="342900" cy="361950"/>
            <wp:effectExtent l="0" t="0" r="0" b="0"/>
            <wp:docPr id="125" name="Picture 12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E7029" w:rsidRPr="006A2F04">
        <w:rPr>
          <w:noProof/>
        </w:rPr>
        <w:drawing>
          <wp:inline distT="0" distB="0" distL="0" distR="0" wp14:anchorId="6B86D2F8" wp14:editId="2E586F21">
            <wp:extent cx="341630" cy="359410"/>
            <wp:effectExtent l="0" t="0" r="1270" b="2540"/>
            <wp:docPr id="199" name="Picture 19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0969CAAF" w14:textId="4B58F368" w:rsidR="00B72261" w:rsidRPr="00B53F89" w:rsidRDefault="006D4843" w:rsidP="001B5B7C">
      <w:pPr>
        <w:pStyle w:val="Heading3"/>
        <w:keepNext w:val="0"/>
      </w:pPr>
      <w:bookmarkStart w:id="567" w:name="_Toc31892853"/>
      <w:bookmarkStart w:id="568" w:name="_Toc36207468"/>
      <w:bookmarkStart w:id="569" w:name="_Toc51864390"/>
      <w:r w:rsidRPr="006A2F04">
        <w:rPr>
          <w:noProof/>
        </w:rPr>
        <w:drawing>
          <wp:inline distT="0" distB="0" distL="0" distR="0" wp14:anchorId="2E7EB6C6" wp14:editId="4E36832D">
            <wp:extent cx="244475" cy="140335"/>
            <wp:effectExtent l="0" t="0" r="3175" b="0"/>
            <wp:docPr id="37" name="Picture 37"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bookmarkStart w:id="570" w:name="_Hlk51937202"/>
      <w:r w:rsidR="00B72261" w:rsidRPr="00B53F89">
        <w:t>Review of prohibition declarations and exemption determinations</w:t>
      </w:r>
      <w:bookmarkEnd w:id="567"/>
      <w:bookmarkEnd w:id="568"/>
      <w:bookmarkEnd w:id="569"/>
    </w:p>
    <w:p w14:paraId="6C0164EF" w14:textId="0877E9F1" w:rsidR="006D7665" w:rsidRDefault="00981A45">
      <w:r>
        <w:t xml:space="preserve">In Q2 2020, we released an issues paper seeking comments about the operation of the prohibitions declarations, and </w:t>
      </w:r>
      <w:r w:rsidR="00DF42EB">
        <w:t xml:space="preserve">the </w:t>
      </w:r>
      <w:r>
        <w:t xml:space="preserve">appropriateness of our approach to exemption determinisations. </w:t>
      </w:r>
      <w:r w:rsidR="006D7665">
        <w:t xml:space="preserve">We will consider submissions and liaise with key stakeholders and current </w:t>
      </w:r>
      <w:r w:rsidR="0058590C">
        <w:t xml:space="preserve">users </w:t>
      </w:r>
      <w:r w:rsidR="006D7665">
        <w:t xml:space="preserve">and agencies </w:t>
      </w:r>
      <w:r w:rsidR="00DF42EB">
        <w:t xml:space="preserve">affected by </w:t>
      </w:r>
      <w:r>
        <w:t xml:space="preserve">current </w:t>
      </w:r>
      <w:r w:rsidR="006D7665">
        <w:t xml:space="preserve">exemption determinations. </w:t>
      </w:r>
    </w:p>
    <w:p w14:paraId="4AD63F92" w14:textId="4AF76C12" w:rsidR="006D7665" w:rsidRDefault="006D7665">
      <w:r>
        <w:t xml:space="preserve">Any substantive changes to the scope of operation </w:t>
      </w:r>
      <w:r w:rsidR="00981A45">
        <w:t xml:space="preserve">of </w:t>
      </w:r>
      <w:r>
        <w:t xml:space="preserve">the prohibition and exemption framework will be very carefully considered. </w:t>
      </w:r>
    </w:p>
    <w:p w14:paraId="69E0D2A8" w14:textId="6E5F35A4" w:rsidR="00F054F9" w:rsidRPr="00B53F89" w:rsidRDefault="00F054F9" w:rsidP="001B5B7C">
      <w:pPr>
        <w:spacing w:before="60" w:after="0"/>
      </w:pPr>
      <w:r w:rsidRPr="006A2F04">
        <w:rPr>
          <w:noProof/>
        </w:rPr>
        <w:drawing>
          <wp:inline distT="0" distB="0" distL="0" distR="0" wp14:anchorId="55F1131F" wp14:editId="1C777563">
            <wp:extent cx="342900" cy="361950"/>
            <wp:effectExtent l="0" t="0" r="0" b="0"/>
            <wp:docPr id="127" name="Picture 127"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599D0BC" wp14:editId="08E99564">
            <wp:extent cx="342900" cy="361950"/>
            <wp:effectExtent l="0" t="0" r="0" b="0"/>
            <wp:docPr id="128" name="Picture 12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EE8138E" w14:textId="6C085C7C" w:rsidR="00B96C20" w:rsidRPr="00B53F89" w:rsidRDefault="006D4843" w:rsidP="001B5B7C">
      <w:pPr>
        <w:pStyle w:val="Heading3"/>
        <w:keepNext w:val="0"/>
      </w:pPr>
      <w:bookmarkStart w:id="571" w:name="_Toc31892854"/>
      <w:bookmarkStart w:id="572" w:name="_Toc36207469"/>
      <w:bookmarkStart w:id="573" w:name="_Toc51864391"/>
      <w:r w:rsidRPr="006A2F04">
        <w:rPr>
          <w:noProof/>
        </w:rPr>
        <w:drawing>
          <wp:inline distT="0" distB="0" distL="0" distR="0" wp14:anchorId="17D0E17C" wp14:editId="436713C2">
            <wp:extent cx="244475" cy="140335"/>
            <wp:effectExtent l="0" t="0" r="3175" b="0"/>
            <wp:docPr id="38" name="Picture 38"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B96C20" w:rsidRPr="00B53F89">
        <w:t>Drone regulation</w:t>
      </w:r>
      <w:bookmarkEnd w:id="563"/>
      <w:bookmarkEnd w:id="564"/>
      <w:bookmarkEnd w:id="565"/>
      <w:bookmarkEnd w:id="566"/>
      <w:bookmarkEnd w:id="571"/>
      <w:bookmarkEnd w:id="572"/>
      <w:bookmarkEnd w:id="573"/>
    </w:p>
    <w:p w14:paraId="045C9E5C" w14:textId="71B238BE" w:rsidR="00E22A5B" w:rsidRPr="00B53F89" w:rsidRDefault="00600239">
      <w:r w:rsidRPr="00B53F89">
        <w:t xml:space="preserve">Unmanned </w:t>
      </w:r>
      <w:r w:rsidR="00D04000">
        <w:t>a</w:t>
      </w:r>
      <w:r w:rsidRPr="00B53F89">
        <w:t xml:space="preserve">ircraft </w:t>
      </w:r>
      <w:r w:rsidR="00D04000">
        <w:t>s</w:t>
      </w:r>
      <w:r w:rsidRPr="00B53F89">
        <w:t>ystems</w:t>
      </w:r>
      <w:r w:rsidR="00163513" w:rsidRPr="00B53F89">
        <w:t xml:space="preserve">, also known as </w:t>
      </w:r>
      <w:r w:rsidR="00AE7619" w:rsidRPr="00B53F89">
        <w:t>RPAS</w:t>
      </w:r>
      <w:r w:rsidR="00DF42EB">
        <w:t xml:space="preserve"> or</w:t>
      </w:r>
      <w:r w:rsidR="00B96C20" w:rsidRPr="00B53F89">
        <w:t xml:space="preserve"> drones, have become increasingly popular with hobbyists and commercial users. Drones rely on radiocommunications for remote piloting and other uses</w:t>
      </w:r>
      <w:r w:rsidR="00990D9B" w:rsidRPr="00B53F89">
        <w:t>,</w:t>
      </w:r>
      <w:r w:rsidR="00B96C20" w:rsidRPr="00B53F89">
        <w:t xml:space="preserve"> such as video and sensing. </w:t>
      </w:r>
    </w:p>
    <w:p w14:paraId="562981E4" w14:textId="3FB2B3F0" w:rsidR="00163513" w:rsidRPr="00B53F89" w:rsidRDefault="00D04000">
      <w:r>
        <w:t>We have</w:t>
      </w:r>
      <w:r w:rsidR="00B96C20" w:rsidRPr="00B53F89">
        <w:t xml:space="preserve"> engaged with an inter-departmental </w:t>
      </w:r>
      <w:r w:rsidR="0058590C">
        <w:t>working group</w:t>
      </w:r>
      <w:r w:rsidR="00B91108" w:rsidRPr="00B53F89">
        <w:t>,</w:t>
      </w:r>
      <w:r w:rsidR="00B96C20" w:rsidRPr="00B53F89">
        <w:t xml:space="preserve"> which is considering management of drones from a range of </w:t>
      </w:r>
      <w:r w:rsidR="005932F3" w:rsidRPr="00B53F89">
        <w:t xml:space="preserve">policy </w:t>
      </w:r>
      <w:r w:rsidR="00B96C20" w:rsidRPr="00B53F89">
        <w:t>perspectives. During 20</w:t>
      </w:r>
      <w:r w:rsidR="00C82C7D">
        <w:t>20</w:t>
      </w:r>
      <w:r w:rsidR="00B91108" w:rsidRPr="00B53F89">
        <w:t>–</w:t>
      </w:r>
      <w:r w:rsidR="00163513" w:rsidRPr="00B53F89">
        <w:t>2</w:t>
      </w:r>
      <w:r w:rsidR="00C82C7D">
        <w:t>1</w:t>
      </w:r>
      <w:r w:rsidR="00B96C20" w:rsidRPr="00B53F89">
        <w:t xml:space="preserve">, </w:t>
      </w:r>
      <w:r>
        <w:t xml:space="preserve">we </w:t>
      </w:r>
      <w:r w:rsidR="00163513" w:rsidRPr="00B53F89">
        <w:t>will continue to</w:t>
      </w:r>
      <w:r w:rsidR="00784268" w:rsidRPr="00B53F89">
        <w:t xml:space="preserve"> contribute to this network, and continue to </w:t>
      </w:r>
      <w:r w:rsidR="00163513" w:rsidRPr="00B53F89">
        <w:t>monitor the licensing requirements for drones with reference to international developments in spectrum management.</w:t>
      </w:r>
      <w:r w:rsidR="005152CD">
        <w:t xml:space="preserve"> We are also working with aviation stakeholders to monitor spectrum and licensing requirements internationally and domestically</w:t>
      </w:r>
      <w:r w:rsidR="0061738F">
        <w:t xml:space="preserve"> (see also </w:t>
      </w:r>
      <w:r w:rsidRPr="00513FDE">
        <w:rPr>
          <w:i/>
          <w:iCs/>
        </w:rPr>
        <w:t>S</w:t>
      </w:r>
      <w:r w:rsidR="0061738F" w:rsidRPr="00513FDE">
        <w:rPr>
          <w:i/>
          <w:iCs/>
        </w:rPr>
        <w:t>pectrum for government requirements</w:t>
      </w:r>
      <w:r w:rsidR="0061738F">
        <w:t xml:space="preserve"> section)</w:t>
      </w:r>
      <w:r w:rsidR="005152CD">
        <w:t>.</w:t>
      </w:r>
    </w:p>
    <w:p w14:paraId="2AC9AEE0" w14:textId="73CF46BC" w:rsidR="00C82C7D" w:rsidRDefault="00163513" w:rsidP="00FE05EF">
      <w:r w:rsidRPr="00B53F89">
        <w:t xml:space="preserve">As drones are becoming increasingly widespread, </w:t>
      </w:r>
      <w:r w:rsidR="00452901" w:rsidRPr="00B53F89">
        <w:t xml:space="preserve">so too are concerns about their use. </w:t>
      </w:r>
      <w:r w:rsidR="00D04000">
        <w:t>We are</w:t>
      </w:r>
      <w:r w:rsidR="003D01E3" w:rsidRPr="00B53F89">
        <w:t xml:space="preserve"> currently </w:t>
      </w:r>
      <w:r w:rsidR="002C64E4" w:rsidRPr="00B53F89">
        <w:t xml:space="preserve">working </w:t>
      </w:r>
      <w:r w:rsidR="003D01E3" w:rsidRPr="00B53F89">
        <w:t>with aviation</w:t>
      </w:r>
      <w:r w:rsidR="006E161E" w:rsidRPr="00B53F89">
        <w:t xml:space="preserve"> safety</w:t>
      </w:r>
      <w:r w:rsidR="003D01E3" w:rsidRPr="00B53F89">
        <w:t xml:space="preserve"> regulators</w:t>
      </w:r>
      <w:r w:rsidR="00E16D5C" w:rsidRPr="00B53F89">
        <w:t>,</w:t>
      </w:r>
      <w:r w:rsidR="003D01E3" w:rsidRPr="00B53F89">
        <w:t xml:space="preserve"> law enforcement and security agencie</w:t>
      </w:r>
      <w:r w:rsidR="002C64E4" w:rsidRPr="00B53F89">
        <w:t xml:space="preserve">s, and </w:t>
      </w:r>
      <w:r w:rsidR="00D04000">
        <w:t>are</w:t>
      </w:r>
      <w:r w:rsidR="00D04000" w:rsidRPr="00B53F89">
        <w:t xml:space="preserve"> </w:t>
      </w:r>
      <w:r w:rsidR="002C64E4" w:rsidRPr="00B53F89">
        <w:t>monitoring international approaches to detecting and responding to incidents where drones could pose a risk to safety and security.</w:t>
      </w:r>
      <w:r w:rsidR="00D861D9" w:rsidRPr="00B53F89">
        <w:t xml:space="preserve"> </w:t>
      </w:r>
    </w:p>
    <w:p w14:paraId="045A7302" w14:textId="7C04891A" w:rsidR="005721C4" w:rsidRDefault="009F7777" w:rsidP="00CC5C49">
      <w:pPr>
        <w:pStyle w:val="Paragraph"/>
      </w:pPr>
      <w:r>
        <w:t>On the spectrum front, most commonly available drones use spectrum authorised under the LIPD class licence for both payload and non-payload (control and telemetry</w:t>
      </w:r>
      <w:r w:rsidR="00DF42EB">
        <w:t>—</w:t>
      </w:r>
      <w:r>
        <w:t>this is termed ‘control and non-payload communications’, or CNPC) communications. While this is expected</w:t>
      </w:r>
      <w:r w:rsidR="00DF42EB">
        <w:t xml:space="preserve"> over time</w:t>
      </w:r>
      <w:r>
        <w:t xml:space="preserve"> to transfer more and more to mobile (including 5G) networks, larger drones that are used for commercial or military purposes are increasingly requiring access to dedicated aeronautical spectrum for CNPC. The ACMA continues to support trial licences to </w:t>
      </w:r>
      <w:r w:rsidR="00DF42EB">
        <w:t xml:space="preserve">enable </w:t>
      </w:r>
      <w:r>
        <w:t>this access</w:t>
      </w:r>
      <w:r w:rsidR="005721C4">
        <w:t>.</w:t>
      </w:r>
    </w:p>
    <w:p w14:paraId="1E94856F" w14:textId="77777777" w:rsidR="000C0908" w:rsidRDefault="000C0908" w:rsidP="00FE05EF">
      <w:r w:rsidRPr="006A2F04">
        <w:rPr>
          <w:noProof/>
        </w:rPr>
        <w:drawing>
          <wp:inline distT="0" distB="0" distL="0" distR="0" wp14:anchorId="3DE69811" wp14:editId="52649326">
            <wp:extent cx="342900" cy="361950"/>
            <wp:effectExtent l="0" t="0" r="0" b="0"/>
            <wp:docPr id="242" name="Picture 24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406E338" wp14:editId="0747A826">
            <wp:extent cx="341630" cy="359410"/>
            <wp:effectExtent l="0" t="0" r="1270" b="2540"/>
            <wp:docPr id="247" name="Picture 247"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07BF5E7F" w14:textId="288283FF" w:rsidR="007412CD" w:rsidRPr="00B53F89" w:rsidRDefault="007B1D63" w:rsidP="0042464D">
      <w:pPr>
        <w:pStyle w:val="Heading3"/>
        <w:keepNext w:val="0"/>
      </w:pPr>
      <w:bookmarkStart w:id="574" w:name="_Developing_a_spectrum-space"/>
      <w:bookmarkStart w:id="575" w:name="_Toc31892855"/>
      <w:bookmarkStart w:id="576" w:name="_Toc36207470"/>
      <w:bookmarkStart w:id="577" w:name="_Toc51864392"/>
      <w:bookmarkEnd w:id="570"/>
      <w:bookmarkEnd w:id="574"/>
      <w:r>
        <w:t>A</w:t>
      </w:r>
      <w:r w:rsidR="00BF3437" w:rsidRPr="00B53F89">
        <w:t xml:space="preserve">rea-wide </w:t>
      </w:r>
      <w:r w:rsidR="007412CD" w:rsidRPr="00B53F89">
        <w:t>apparatus licence</w:t>
      </w:r>
      <w:bookmarkEnd w:id="575"/>
      <w:bookmarkEnd w:id="576"/>
      <w:bookmarkEnd w:id="577"/>
    </w:p>
    <w:p w14:paraId="6CECF6B4" w14:textId="2B55AA98" w:rsidR="00964E90" w:rsidRPr="001077CF" w:rsidRDefault="00D04000" w:rsidP="00CC5C49">
      <w:pPr>
        <w:pStyle w:val="Paragraph"/>
      </w:pPr>
      <w:r>
        <w:t>We</w:t>
      </w:r>
      <w:r w:rsidR="00FD64D4" w:rsidRPr="001077CF" w:rsidDel="0048204D">
        <w:t xml:space="preserve"> </w:t>
      </w:r>
      <w:r w:rsidR="0048204D" w:rsidRPr="001077CF">
        <w:t>consulted</w:t>
      </w:r>
      <w:r w:rsidR="00461ED8" w:rsidRPr="001077CF">
        <w:t xml:space="preserve"> with stakeholders</w:t>
      </w:r>
      <w:r w:rsidR="00DC26B6" w:rsidRPr="001077CF">
        <w:t xml:space="preserve"> </w:t>
      </w:r>
      <w:r w:rsidR="0048204D" w:rsidRPr="001077CF">
        <w:t>on</w:t>
      </w:r>
      <w:r w:rsidR="00461ED8" w:rsidRPr="001077CF">
        <w:t xml:space="preserve"> the design of </w:t>
      </w:r>
      <w:r w:rsidR="002F012C" w:rsidRPr="001077CF">
        <w:t>the</w:t>
      </w:r>
      <w:r w:rsidR="00BF3437" w:rsidRPr="001077CF">
        <w:t xml:space="preserve"> area-wide</w:t>
      </w:r>
      <w:r w:rsidR="00913721">
        <w:t xml:space="preserve"> apparatus</w:t>
      </w:r>
      <w:r w:rsidR="00BF3437" w:rsidRPr="001077CF">
        <w:t xml:space="preserve"> </w:t>
      </w:r>
      <w:r w:rsidR="00DC26B6" w:rsidRPr="001077CF">
        <w:t>licence</w:t>
      </w:r>
      <w:r w:rsidR="00913721">
        <w:t xml:space="preserve"> </w:t>
      </w:r>
      <w:r w:rsidR="00DF42EB">
        <w:t>(AWL)</w:t>
      </w:r>
      <w:r w:rsidR="003F29FA">
        <w:t xml:space="preserve"> </w:t>
      </w:r>
      <w:r w:rsidR="00DC26B6" w:rsidRPr="001077CF">
        <w:t>type</w:t>
      </w:r>
      <w:r w:rsidR="00D35B2C">
        <w:t>s</w:t>
      </w:r>
      <w:r w:rsidR="00DC26B6" w:rsidRPr="001077CF">
        <w:t xml:space="preserve"> in Q</w:t>
      </w:r>
      <w:r w:rsidR="00E00B33" w:rsidRPr="001077CF">
        <w:t>2</w:t>
      </w:r>
      <w:r>
        <w:t>–</w:t>
      </w:r>
      <w:r w:rsidR="001809A1" w:rsidRPr="001077CF">
        <w:t>3</w:t>
      </w:r>
      <w:r w:rsidR="00DC26B6" w:rsidRPr="001077CF">
        <w:t xml:space="preserve"> </w:t>
      </w:r>
      <w:r w:rsidR="00583DF2" w:rsidRPr="001077CF">
        <w:t>2019</w:t>
      </w:r>
      <w:r w:rsidR="00DC26B6" w:rsidRPr="001077CF">
        <w:t xml:space="preserve">. </w:t>
      </w:r>
      <w:r w:rsidR="008A13E2" w:rsidRPr="001077CF">
        <w:t xml:space="preserve">In </w:t>
      </w:r>
      <w:r w:rsidR="0048204D" w:rsidRPr="001077CF">
        <w:t>Q1</w:t>
      </w:r>
      <w:r w:rsidR="008A13E2" w:rsidRPr="001077CF">
        <w:t xml:space="preserve"> 2020, following consideration of stakeholder feedback, </w:t>
      </w:r>
      <w:r w:rsidR="008A13E2" w:rsidRPr="001077CF">
        <w:rPr>
          <w:rFonts w:eastAsia="ArialMT"/>
          <w:color w:val="000000"/>
        </w:rPr>
        <w:t xml:space="preserve">the ACMA made the </w:t>
      </w:r>
      <w:hyperlink r:id="rId125" w:history="1">
        <w:r w:rsidR="001E3787" w:rsidRPr="001077CF">
          <w:rPr>
            <w:rStyle w:val="Hyperlink"/>
            <w:rFonts w:eastAsia="ArialMT"/>
            <w:szCs w:val="20"/>
          </w:rPr>
          <w:t>Radiocommunications Legislation (2020 Measures No. 1) Instrument 2020</w:t>
        </w:r>
      </w:hyperlink>
      <w:r w:rsidR="001E3787" w:rsidRPr="001077CF">
        <w:rPr>
          <w:rFonts w:eastAsia="ArialMT"/>
          <w:color w:val="000000"/>
        </w:rPr>
        <w:t xml:space="preserve"> and the </w:t>
      </w:r>
      <w:hyperlink r:id="rId126" w:history="1">
        <w:r w:rsidR="001E3787" w:rsidRPr="001077CF">
          <w:rPr>
            <w:rStyle w:val="Hyperlink"/>
            <w:rFonts w:eastAsia="ArialMT"/>
            <w:szCs w:val="20"/>
          </w:rPr>
          <w:t>Radiocommunications Licence Conditions (Area-Wide Licence) Determination 2020 (AWL LCD)</w:t>
        </w:r>
      </w:hyperlink>
      <w:r w:rsidR="001E3787" w:rsidRPr="001077CF">
        <w:rPr>
          <w:rFonts w:eastAsia="ArialMT"/>
          <w:color w:val="000000"/>
        </w:rPr>
        <w:t xml:space="preserve">, which together make up the regulatory framework for </w:t>
      </w:r>
      <w:r w:rsidR="003F29FA" w:rsidRPr="001077CF">
        <w:rPr>
          <w:rFonts w:eastAsia="ArialMT"/>
          <w:color w:val="000000"/>
        </w:rPr>
        <w:t>AWL</w:t>
      </w:r>
      <w:r w:rsidR="003F29FA">
        <w:rPr>
          <w:rFonts w:eastAsia="ArialMT"/>
          <w:color w:val="000000"/>
        </w:rPr>
        <w:t xml:space="preserve"> types</w:t>
      </w:r>
      <w:r w:rsidR="001E3787" w:rsidRPr="001077CF">
        <w:rPr>
          <w:rFonts w:eastAsia="ArialMT"/>
          <w:color w:val="000000"/>
        </w:rPr>
        <w:t>.</w:t>
      </w:r>
      <w:r w:rsidR="00780790" w:rsidRPr="001077CF">
        <w:rPr>
          <w:rFonts w:eastAsia="ArialMT"/>
          <w:color w:val="000000"/>
        </w:rPr>
        <w:t xml:space="preserve"> </w:t>
      </w:r>
      <w:r>
        <w:rPr>
          <w:rFonts w:eastAsia="ArialMT"/>
          <w:color w:val="000000"/>
        </w:rPr>
        <w:t>We</w:t>
      </w:r>
      <w:r w:rsidR="00D35B2C" w:rsidRPr="001077CF">
        <w:rPr>
          <w:rFonts w:eastAsia="ArialMT"/>
          <w:color w:val="000000"/>
        </w:rPr>
        <w:t xml:space="preserve"> </w:t>
      </w:r>
      <w:r w:rsidR="00780790" w:rsidRPr="001077CF">
        <w:rPr>
          <w:rFonts w:eastAsia="ArialMT"/>
          <w:color w:val="000000"/>
        </w:rPr>
        <w:t xml:space="preserve">also released a </w:t>
      </w:r>
      <w:hyperlink r:id="rId127" w:history="1">
        <w:r w:rsidR="00780790" w:rsidRPr="001077CF">
          <w:rPr>
            <w:rStyle w:val="Hyperlink"/>
            <w:rFonts w:eastAsia="ArialMT"/>
            <w:szCs w:val="20"/>
          </w:rPr>
          <w:t>summary and response to the submissions</w:t>
        </w:r>
      </w:hyperlink>
      <w:r w:rsidR="00780790" w:rsidRPr="001077CF">
        <w:rPr>
          <w:rFonts w:eastAsia="ArialMT"/>
          <w:color w:val="000000"/>
        </w:rPr>
        <w:t xml:space="preserve"> received. </w:t>
      </w:r>
    </w:p>
    <w:p w14:paraId="5F141CCD" w14:textId="45ADDC86" w:rsidR="0048204D" w:rsidRDefault="0048204D" w:rsidP="00CC5C49">
      <w:pPr>
        <w:pStyle w:val="Paragraph"/>
      </w:pPr>
      <w:r w:rsidRPr="0048204D">
        <w:t xml:space="preserve">An </w:t>
      </w:r>
      <w:r w:rsidR="003F29FA">
        <w:t>AWL</w:t>
      </w:r>
      <w:r w:rsidRPr="0048204D">
        <w:t xml:space="preserve"> may be used to authorise a variety of different services and could allow the licensee to operate multiple radiocommunications devices at a specified frequency or frequencies in a specified geographic area, subject to any conditions on the licence </w:t>
      </w:r>
      <w:r w:rsidRPr="0048204D">
        <w:lastRenderedPageBreak/>
        <w:t>that the ACMA considers appropriate. Such an area-wide apparatus licence provide</w:t>
      </w:r>
      <w:r w:rsidR="00293AAF">
        <w:t>s</w:t>
      </w:r>
      <w:r w:rsidRPr="0048204D">
        <w:t xml:space="preserve"> analogous technical and operational flexibility to a spectrum licence. The </w:t>
      </w:r>
      <w:r w:rsidR="003F29FA">
        <w:t>AWL</w:t>
      </w:r>
      <w:r w:rsidRPr="0048204D">
        <w:t xml:space="preserve"> </w:t>
      </w:r>
      <w:r w:rsidR="00CC5C49">
        <w:t xml:space="preserve">type </w:t>
      </w:r>
      <w:r>
        <w:t>may</w:t>
      </w:r>
      <w:r w:rsidRPr="0048204D">
        <w:t xml:space="preserve"> assist </w:t>
      </w:r>
      <w:r w:rsidR="00FE05EF">
        <w:t>us to</w:t>
      </w:r>
      <w:r w:rsidRPr="0048204D">
        <w:t xml:space="preserve"> authoris</w:t>
      </w:r>
      <w:r w:rsidR="00FE05EF">
        <w:t>e</w:t>
      </w:r>
      <w:r w:rsidRPr="0048204D">
        <w:t xml:space="preserve"> new and emerging technologies in </w:t>
      </w:r>
      <w:r w:rsidRPr="00CC5C49">
        <w:t>use-cases</w:t>
      </w:r>
      <w:r w:rsidRPr="0048204D">
        <w:t xml:space="preserve"> where spectrum licensing may be inappropriate.</w:t>
      </w:r>
    </w:p>
    <w:p w14:paraId="1B32A580" w14:textId="26DD592D" w:rsidR="0048204D" w:rsidRPr="00B53F89" w:rsidRDefault="00FE05EF" w:rsidP="00CC5C49">
      <w:pPr>
        <w:pStyle w:val="Paragraph"/>
      </w:pPr>
      <w:r>
        <w:t>We have</w:t>
      </w:r>
      <w:r w:rsidR="0048204D">
        <w:t xml:space="preserve"> </w:t>
      </w:r>
      <w:r w:rsidR="0048204D" w:rsidRPr="0048204D">
        <w:t xml:space="preserve">published </w:t>
      </w:r>
      <w:r>
        <w:rPr>
          <w:rFonts w:eastAsia="ArialMT"/>
        </w:rPr>
        <w:t>our</w:t>
      </w:r>
      <w:r w:rsidRPr="001E3787">
        <w:rPr>
          <w:rFonts w:eastAsia="ArialMT"/>
        </w:rPr>
        <w:t xml:space="preserve"> </w:t>
      </w:r>
      <w:hyperlink r:id="rId128" w:history="1">
        <w:r w:rsidR="001E3787" w:rsidRPr="00FE05EF">
          <w:rPr>
            <w:rStyle w:val="Hyperlink"/>
            <w:rFonts w:eastAsia="ArialMT"/>
          </w:rPr>
          <w:t>approach to introducing AWLs into bands</w:t>
        </w:r>
      </w:hyperlink>
      <w:r w:rsidR="001E3787" w:rsidRPr="001E3787">
        <w:rPr>
          <w:rFonts w:eastAsia="ArialMT"/>
        </w:rPr>
        <w:t>.</w:t>
      </w:r>
      <w:r w:rsidR="001E3787">
        <w:rPr>
          <w:rFonts w:eastAsia="ArialMT"/>
        </w:rPr>
        <w:t xml:space="preserve"> </w:t>
      </w:r>
      <w:r>
        <w:rPr>
          <w:rFonts w:eastAsia="ArialMT"/>
        </w:rPr>
        <w:t>We</w:t>
      </w:r>
      <w:r w:rsidR="00780790">
        <w:rPr>
          <w:rFonts w:eastAsia="ArialMT"/>
        </w:rPr>
        <w:t xml:space="preserve"> anticipate that</w:t>
      </w:r>
      <w:r w:rsidR="00780790" w:rsidDel="00FE05EF">
        <w:rPr>
          <w:rFonts w:eastAsia="ArialMT"/>
        </w:rPr>
        <w:t xml:space="preserve"> </w:t>
      </w:r>
      <w:r>
        <w:rPr>
          <w:rFonts w:eastAsia="ArialMT"/>
        </w:rPr>
        <w:t xml:space="preserve">we </w:t>
      </w:r>
      <w:r w:rsidR="00780790">
        <w:rPr>
          <w:rFonts w:eastAsia="ArialMT"/>
        </w:rPr>
        <w:t xml:space="preserve">will issue AWLs </w:t>
      </w:r>
      <w:r w:rsidR="003D28D9">
        <w:rPr>
          <w:rFonts w:eastAsia="ArialMT"/>
        </w:rPr>
        <w:t xml:space="preserve">from </w:t>
      </w:r>
      <w:r w:rsidR="00780790">
        <w:rPr>
          <w:rFonts w:eastAsia="ArialMT"/>
        </w:rPr>
        <w:t>Q</w:t>
      </w:r>
      <w:r w:rsidR="00E202E2">
        <w:rPr>
          <w:rFonts w:eastAsia="ArialMT"/>
        </w:rPr>
        <w:t>4 2020</w:t>
      </w:r>
      <w:r>
        <w:rPr>
          <w:rFonts w:eastAsia="ArialMT"/>
        </w:rPr>
        <w:t xml:space="preserve"> </w:t>
      </w:r>
      <w:r w:rsidR="001E3787">
        <w:rPr>
          <w:szCs w:val="20"/>
        </w:rPr>
        <w:t>in the 26 GHz and 28 GHz bands. These are the first bands to be considered for AWLs</w:t>
      </w:r>
      <w:r w:rsidR="00780790">
        <w:rPr>
          <w:szCs w:val="20"/>
        </w:rPr>
        <w:t xml:space="preserve">. </w:t>
      </w:r>
      <w:r w:rsidR="001E3787">
        <w:rPr>
          <w:szCs w:val="20"/>
        </w:rPr>
        <w:t xml:space="preserve">Following the review of the 26 GHz and 28 GHz bands, consideration will be given, where appropriate, to developing and consulting on implementation arrangements for AWLs in other bands. </w:t>
      </w:r>
    </w:p>
    <w:p w14:paraId="272FE75E" w14:textId="42B337FB" w:rsidR="007C5FBA" w:rsidRPr="00B53F89" w:rsidRDefault="007C5FBA" w:rsidP="0042464D">
      <w:pPr>
        <w:spacing w:before="60" w:after="0"/>
      </w:pPr>
      <w:r w:rsidRPr="006A2F04">
        <w:rPr>
          <w:noProof/>
        </w:rPr>
        <w:drawing>
          <wp:inline distT="0" distB="0" distL="0" distR="0" wp14:anchorId="04A97195" wp14:editId="737720F7">
            <wp:extent cx="342900" cy="361950"/>
            <wp:effectExtent l="0" t="0" r="0" b="0"/>
            <wp:docPr id="129" name="Picture 129"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AA8CDCD" w14:textId="77D2E7AE" w:rsidR="007412CD" w:rsidRPr="00B53F89" w:rsidRDefault="00BB5498" w:rsidP="0042464D">
      <w:pPr>
        <w:pStyle w:val="Heading3"/>
        <w:keepNext w:val="0"/>
      </w:pPr>
      <w:bookmarkStart w:id="578" w:name="_Toc36207471"/>
      <w:bookmarkStart w:id="579" w:name="_Toc51864393"/>
      <w:bookmarkStart w:id="580" w:name="_Toc31892856"/>
      <w:r w:rsidRPr="00B53F89">
        <w:t xml:space="preserve">Review </w:t>
      </w:r>
      <w:r w:rsidR="003F77BF" w:rsidRPr="00B53F89">
        <w:t xml:space="preserve">of </w:t>
      </w:r>
      <w:r w:rsidR="00E0549C" w:rsidRPr="00B53F89">
        <w:t xml:space="preserve">non-assigned </w:t>
      </w:r>
      <w:r w:rsidRPr="00B53F89">
        <w:t>amateur and outpost licensing arrangements</w:t>
      </w:r>
      <w:bookmarkEnd w:id="578"/>
      <w:bookmarkEnd w:id="579"/>
      <w:r w:rsidRPr="00B53F89">
        <w:t xml:space="preserve"> </w:t>
      </w:r>
      <w:bookmarkEnd w:id="580"/>
    </w:p>
    <w:p w14:paraId="0FBC0D8E" w14:textId="0F5B0635" w:rsidR="00862B0E" w:rsidRPr="00B53F89" w:rsidRDefault="00FE05EF">
      <w:r>
        <w:t>We are</w:t>
      </w:r>
      <w:r w:rsidR="003008C8" w:rsidRPr="00B53F89">
        <w:t xml:space="preserve"> </w:t>
      </w:r>
      <w:r w:rsidR="00DE65F3" w:rsidRPr="00B53F89">
        <w:t>considering</w:t>
      </w:r>
      <w:r w:rsidR="00E74EE6" w:rsidRPr="00B53F89">
        <w:t xml:space="preserve"> </w:t>
      </w:r>
      <w:r w:rsidR="001700A7" w:rsidRPr="00B53F89">
        <w:t xml:space="preserve">the </w:t>
      </w:r>
      <w:r w:rsidR="003F5050" w:rsidRPr="00B53F89">
        <w:t xml:space="preserve">best licensing mechanisms and conditions </w:t>
      </w:r>
      <w:r w:rsidR="00E0549C" w:rsidRPr="00B53F89">
        <w:t>for</w:t>
      </w:r>
      <w:r w:rsidR="00A919EC" w:rsidRPr="00B53F89" w:rsidDel="000E352E">
        <w:t xml:space="preserve"> </w:t>
      </w:r>
      <w:r w:rsidR="00A919EC" w:rsidRPr="00B53F89">
        <w:t>non-assigned amateur and outpost licences</w:t>
      </w:r>
      <w:r w:rsidR="003008C8" w:rsidRPr="00B53F89">
        <w:t xml:space="preserve">. </w:t>
      </w:r>
      <w:r w:rsidR="003B7ABD" w:rsidRPr="00B53F89">
        <w:t xml:space="preserve">Non-assigned licences are apparatus licences that authorise the operations of a radiocommunications device, but </w:t>
      </w:r>
      <w:r w:rsidR="00EE2A84">
        <w:t xml:space="preserve">instead of </w:t>
      </w:r>
      <w:r w:rsidR="003B7ABD" w:rsidRPr="00B53F89">
        <w:t>includ</w:t>
      </w:r>
      <w:r w:rsidR="00EE2A84">
        <w:t>ing</w:t>
      </w:r>
      <w:r w:rsidR="003B7ABD" w:rsidRPr="00B53F89">
        <w:t xml:space="preserve"> a specific frequency</w:t>
      </w:r>
      <w:r w:rsidR="00EE2A84">
        <w:t>,</w:t>
      </w:r>
      <w:r w:rsidR="003008C8" w:rsidRPr="00B53F89">
        <w:t xml:space="preserve"> </w:t>
      </w:r>
      <w:r w:rsidR="006F012B">
        <w:t>authorise operation</w:t>
      </w:r>
      <w:r w:rsidR="006F012B" w:rsidRPr="00B53F89">
        <w:t xml:space="preserve"> </w:t>
      </w:r>
      <w:r w:rsidR="00BA183E" w:rsidRPr="00B53F89">
        <w:t>within a general part of the spectrum identified for similar activities</w:t>
      </w:r>
      <w:r w:rsidR="001B450C" w:rsidRPr="00B53F89">
        <w:t xml:space="preserve"> as specified</w:t>
      </w:r>
      <w:r w:rsidR="00BA183E" w:rsidRPr="00B53F89">
        <w:t xml:space="preserve"> in the relevant licence condition determination</w:t>
      </w:r>
      <w:r w:rsidR="003008C8" w:rsidRPr="00B53F89">
        <w:t>. Non-assigned licences are currently issued as part of the amateur, maritime, scientific and outpost licence types</w:t>
      </w:r>
      <w:r w:rsidR="003B7ABD" w:rsidRPr="00B53F89">
        <w:t>.</w:t>
      </w:r>
      <w:r w:rsidR="00BA183E" w:rsidRPr="00B53F89">
        <w:t xml:space="preserve"> </w:t>
      </w:r>
    </w:p>
    <w:p w14:paraId="7C283A91" w14:textId="4169D920" w:rsidR="00DD43C0" w:rsidRDefault="00FE05EF">
      <w:r>
        <w:t>We are</w:t>
      </w:r>
      <w:r w:rsidR="000E352E" w:rsidRPr="00B53F89">
        <w:t xml:space="preserve"> keen to ensure that </w:t>
      </w:r>
      <w:r w:rsidR="00B50E67" w:rsidRPr="00B53F89">
        <w:t xml:space="preserve">any </w:t>
      </w:r>
      <w:r w:rsidR="000E352E" w:rsidRPr="00B53F89">
        <w:t>transaction cost</w:t>
      </w:r>
      <w:r w:rsidR="001418A5" w:rsidRPr="00B53F89">
        <w:t>s</w:t>
      </w:r>
      <w:r w:rsidR="000E352E" w:rsidRPr="00B53F89">
        <w:t xml:space="preserve"> faced by licen</w:t>
      </w:r>
      <w:r w:rsidR="00FF193F" w:rsidRPr="00B53F89">
        <w:t>s</w:t>
      </w:r>
      <w:r w:rsidR="000E352E" w:rsidRPr="00B53F89">
        <w:t xml:space="preserve">ees </w:t>
      </w:r>
      <w:r w:rsidR="006E161E" w:rsidRPr="00B53F89">
        <w:t xml:space="preserve">and the ACMA </w:t>
      </w:r>
      <w:r w:rsidR="000E352E" w:rsidRPr="00B53F89">
        <w:t xml:space="preserve">are </w:t>
      </w:r>
      <w:r w:rsidR="00B50E67" w:rsidRPr="00B53F89">
        <w:t>minimal</w:t>
      </w:r>
      <w:r w:rsidR="001E3005" w:rsidRPr="00B53F89">
        <w:t>,</w:t>
      </w:r>
      <w:r w:rsidR="000E352E" w:rsidRPr="00B53F89">
        <w:t xml:space="preserve"> and that opportunities for </w:t>
      </w:r>
      <w:r w:rsidR="007A1CF3" w:rsidRPr="00B53F89">
        <w:t>appro</w:t>
      </w:r>
      <w:r w:rsidR="00A35596" w:rsidRPr="00B53F89">
        <w:t>pr</w:t>
      </w:r>
      <w:r w:rsidR="007A1CF3" w:rsidRPr="00B53F89">
        <w:t xml:space="preserve">iate </w:t>
      </w:r>
      <w:r w:rsidR="000E352E" w:rsidRPr="00B53F89">
        <w:t>self</w:t>
      </w:r>
      <w:r w:rsidR="007A1CF3" w:rsidRPr="00B53F89">
        <w:t>-</w:t>
      </w:r>
      <w:r w:rsidR="000E352E" w:rsidRPr="00B53F89">
        <w:t xml:space="preserve">regulation </w:t>
      </w:r>
      <w:r w:rsidR="007A1CF3" w:rsidRPr="00B53F89">
        <w:t>are realised</w:t>
      </w:r>
      <w:r w:rsidR="001E3005" w:rsidRPr="00B53F89">
        <w:t>, while recognising the continuing need for callsigns and</w:t>
      </w:r>
      <w:r w:rsidR="00B2469C" w:rsidRPr="00B53F89">
        <w:t>—</w:t>
      </w:r>
      <w:r w:rsidR="001E3005" w:rsidRPr="00B53F89">
        <w:t>in the case of amateur licensees</w:t>
      </w:r>
      <w:r w:rsidR="00B2469C" w:rsidRPr="00B53F89">
        <w:t>—</w:t>
      </w:r>
      <w:r w:rsidR="001E3005" w:rsidRPr="00B53F89">
        <w:t>appropriate qualifications</w:t>
      </w:r>
      <w:r w:rsidR="007A1CF3" w:rsidRPr="00B53F89">
        <w:t>.</w:t>
      </w:r>
      <w:r w:rsidR="00521B03">
        <w:t xml:space="preserve"> The review is also </w:t>
      </w:r>
      <w:r>
        <w:t>considering</w:t>
      </w:r>
      <w:r w:rsidR="00521B03">
        <w:t xml:space="preserve"> feedback received </w:t>
      </w:r>
      <w:r w:rsidR="00EE2A84">
        <w:t xml:space="preserve">from </w:t>
      </w:r>
      <w:r w:rsidR="00521B03">
        <w:t>stakeholder</w:t>
      </w:r>
      <w:r w:rsidR="00D81A45">
        <w:t>s</w:t>
      </w:r>
      <w:r w:rsidR="00521B03">
        <w:t xml:space="preserve"> during consultation on proposed changes to amateur licence conditions in 2019.</w:t>
      </w:r>
      <w:r>
        <w:t xml:space="preserve"> We</w:t>
      </w:r>
      <w:r w:rsidR="00AA7077" w:rsidRPr="00AA7077">
        <w:t xml:space="preserve"> expect to consult on potential changes to the non-assigned amateur and outpost licence frameworks in </w:t>
      </w:r>
      <w:r w:rsidR="000D09C7">
        <w:t>Q4</w:t>
      </w:r>
      <w:r w:rsidR="00446C02">
        <w:t xml:space="preserve"> </w:t>
      </w:r>
      <w:r w:rsidR="00AA7077" w:rsidRPr="00484E48">
        <w:t>2020</w:t>
      </w:r>
      <w:r w:rsidR="00383FEF" w:rsidRPr="00B53F89">
        <w:t xml:space="preserve">. </w:t>
      </w:r>
    </w:p>
    <w:p w14:paraId="141ABA41" w14:textId="0550E5F3" w:rsidR="00AA7077" w:rsidRDefault="00AA7077" w:rsidP="0042464D">
      <w:pPr>
        <w:pStyle w:val="Heading3"/>
        <w:keepNext w:val="0"/>
      </w:pPr>
      <w:bookmarkStart w:id="581" w:name="_Toc36207472"/>
      <w:bookmarkStart w:id="582" w:name="_Toc51864394"/>
      <w:r>
        <w:t>R</w:t>
      </w:r>
      <w:r w:rsidRPr="00AA7077">
        <w:t xml:space="preserve">eview </w:t>
      </w:r>
      <w:r>
        <w:t>of</w:t>
      </w:r>
      <w:r w:rsidRPr="00AA7077">
        <w:t xml:space="preserve"> scientific assigned and non-assigned apparatus licensing arrangements</w:t>
      </w:r>
      <w:bookmarkEnd w:id="581"/>
      <w:bookmarkEnd w:id="582"/>
    </w:p>
    <w:p w14:paraId="1C80739D" w14:textId="5714678D" w:rsidR="00AA7077" w:rsidRDefault="00AA7077">
      <w:r w:rsidRPr="00AA7077">
        <w:t xml:space="preserve">The broad objective of the review </w:t>
      </w:r>
      <w:r>
        <w:t>is</w:t>
      </w:r>
      <w:r w:rsidRPr="00AA7077">
        <w:t xml:space="preserve"> to ensure that suitable, low-cost licensing arrangements are available for spectrum users to trial and assess new and innovative radiocommunications technologies. </w:t>
      </w:r>
      <w:r w:rsidR="00FE05EF">
        <w:t xml:space="preserve">We </w:t>
      </w:r>
      <w:r w:rsidRPr="00AA7077">
        <w:t xml:space="preserve">intend to commence this review in </w:t>
      </w:r>
      <w:r w:rsidR="004D6CBB">
        <w:t>Q</w:t>
      </w:r>
      <w:r w:rsidR="005A54E8">
        <w:t>4</w:t>
      </w:r>
      <w:r w:rsidRPr="00AA7077">
        <w:t xml:space="preserve"> 2020.</w:t>
      </w:r>
    </w:p>
    <w:p w14:paraId="14EF7462" w14:textId="796F80B7" w:rsidR="001C4808" w:rsidRPr="00CC5C49" w:rsidRDefault="001C4808" w:rsidP="0042464D">
      <w:pPr>
        <w:pStyle w:val="Heading3"/>
        <w:keepNext w:val="0"/>
      </w:pPr>
      <w:bookmarkStart w:id="583" w:name="_Toc51864395"/>
      <w:r>
        <w:t xml:space="preserve">Review of efficiency and effectiveness </w:t>
      </w:r>
      <w:r w:rsidRPr="00CC5C49">
        <w:t xml:space="preserve">of </w:t>
      </w:r>
      <w:r w:rsidR="00CC5C49" w:rsidRPr="00CC5C49">
        <w:t>a</w:t>
      </w:r>
      <w:r w:rsidRPr="00CC5C49">
        <w:t xml:space="preserve">ccredited </w:t>
      </w:r>
      <w:r w:rsidR="00CC5C49" w:rsidRPr="00CC5C49">
        <w:t>p</w:t>
      </w:r>
      <w:r w:rsidRPr="00CC5C49">
        <w:t>ersons scheme</w:t>
      </w:r>
      <w:bookmarkEnd w:id="583"/>
    </w:p>
    <w:p w14:paraId="7C941000" w14:textId="704314BB" w:rsidR="001C4808" w:rsidRPr="001C4808" w:rsidRDefault="00FE05EF" w:rsidP="001C4808">
      <w:r w:rsidRPr="00CC5C49">
        <w:t>T</w:t>
      </w:r>
      <w:r w:rsidR="001C4808" w:rsidRPr="00CC5C49">
        <w:t xml:space="preserve">o identify areas for improvement </w:t>
      </w:r>
      <w:r w:rsidR="001C4808" w:rsidRPr="00CC5C49" w:rsidDel="00FE05EF">
        <w:t xml:space="preserve">of </w:t>
      </w:r>
      <w:r w:rsidRPr="00CC5C49">
        <w:t>the a</w:t>
      </w:r>
      <w:r w:rsidR="001C4808" w:rsidRPr="00CC5C49">
        <w:t xml:space="preserve">ccredited </w:t>
      </w:r>
      <w:r w:rsidRPr="00CC5C49">
        <w:t>p</w:t>
      </w:r>
      <w:r w:rsidR="001C4808" w:rsidRPr="00CC5C49">
        <w:t>ersons scheme, including changes to operational practices and/or regulatory instruments</w:t>
      </w:r>
      <w:r w:rsidRPr="00CC5C49">
        <w:t>, we</w:t>
      </w:r>
      <w:r w:rsidR="001C4808" w:rsidRPr="00CC5C49">
        <w:t xml:space="preserve"> intend to cons</w:t>
      </w:r>
      <w:r w:rsidR="001C4808" w:rsidRPr="001C4808">
        <w:t xml:space="preserve">ult </w:t>
      </w:r>
      <w:r w:rsidR="001C4808">
        <w:t>in Q</w:t>
      </w:r>
      <w:r w:rsidR="001820EE">
        <w:t>4</w:t>
      </w:r>
      <w:r w:rsidR="001C4808">
        <w:t xml:space="preserve"> 2020.</w:t>
      </w:r>
    </w:p>
    <w:p w14:paraId="5E8A0382" w14:textId="77777777" w:rsidR="006C29E6" w:rsidRDefault="006C29E6">
      <w:pPr>
        <w:spacing w:after="0" w:line="240" w:lineRule="auto"/>
      </w:pPr>
      <w:r>
        <w:br w:type="page"/>
      </w:r>
    </w:p>
    <w:p w14:paraId="1DE46AD9" w14:textId="6C90F951" w:rsidR="003F17EB" w:rsidRPr="00B53F89" w:rsidRDefault="003F17EB" w:rsidP="00D33B10">
      <w:pPr>
        <w:spacing w:after="60"/>
      </w:pPr>
      <w:bookmarkStart w:id="584" w:name="_Reforming_the_apparatus"/>
      <w:bookmarkStart w:id="585" w:name="_Pricing"/>
      <w:bookmarkStart w:id="586" w:name="_Toc510104987"/>
      <w:bookmarkStart w:id="587" w:name="_Toc510105784"/>
      <w:bookmarkStart w:id="588" w:name="_Toc510795118"/>
      <w:bookmarkStart w:id="589" w:name="_Toc511716320"/>
      <w:bookmarkStart w:id="590" w:name="_Toc511719131"/>
      <w:bookmarkStart w:id="591" w:name="_Toc522794124"/>
      <w:bookmarkEnd w:id="584"/>
      <w:bookmarkEnd w:id="585"/>
      <w:r w:rsidRPr="006A2F04">
        <w:rPr>
          <w:noProof/>
        </w:rPr>
        <w:lastRenderedPageBreak/>
        <w:drawing>
          <wp:inline distT="0" distB="0" distL="0" distR="0" wp14:anchorId="109C8B9B" wp14:editId="60A477A6">
            <wp:extent cx="342900" cy="361950"/>
            <wp:effectExtent l="0" t="0" r="0" b="0"/>
            <wp:docPr id="131" name="Picture 131"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Pricing icon"/>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E7029" w:rsidRPr="006A2F04">
        <w:rPr>
          <w:noProof/>
        </w:rPr>
        <w:drawing>
          <wp:inline distT="0" distB="0" distL="0" distR="0" wp14:anchorId="7A92D252" wp14:editId="6D9B7F4F">
            <wp:extent cx="341630" cy="359410"/>
            <wp:effectExtent l="0" t="0" r="1270" b="2540"/>
            <wp:docPr id="200" name="Picture 200"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3F402660" wp14:editId="1B0D1A01">
            <wp:extent cx="342900" cy="361950"/>
            <wp:effectExtent l="0" t="0" r="0" b="0"/>
            <wp:docPr id="133" name="Picture 133"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6AD9458" w14:textId="51A76542" w:rsidR="00286D6B" w:rsidRPr="00B52687" w:rsidRDefault="00286D6B" w:rsidP="00D33B10">
      <w:pPr>
        <w:pStyle w:val="Heading1"/>
        <w:keepNext w:val="0"/>
        <w:pageBreakBefore w:val="0"/>
      </w:pPr>
      <w:bookmarkStart w:id="592" w:name="_Toc31892858"/>
      <w:bookmarkStart w:id="593" w:name="_Toc36207473"/>
      <w:bookmarkStart w:id="594" w:name="_Toc51846298"/>
      <w:bookmarkStart w:id="595" w:name="_Toc51864396"/>
      <w:r w:rsidRPr="00B52687">
        <w:t>Pricing</w:t>
      </w:r>
      <w:bookmarkEnd w:id="586"/>
      <w:bookmarkEnd w:id="587"/>
      <w:bookmarkEnd w:id="588"/>
      <w:bookmarkEnd w:id="589"/>
      <w:bookmarkEnd w:id="590"/>
      <w:bookmarkEnd w:id="591"/>
      <w:bookmarkEnd w:id="592"/>
      <w:bookmarkEnd w:id="593"/>
      <w:bookmarkEnd w:id="594"/>
      <w:bookmarkEnd w:id="595"/>
    </w:p>
    <w:p w14:paraId="5C20D0F4" w14:textId="78FC7AB7" w:rsidR="0058733B" w:rsidRPr="00B52687" w:rsidRDefault="00B340C4" w:rsidP="00D33B10">
      <w:pPr>
        <w:pStyle w:val="Heading2"/>
        <w:keepNext w:val="0"/>
      </w:pPr>
      <w:bookmarkStart w:id="596" w:name="_Toc36207474"/>
      <w:bookmarkStart w:id="597" w:name="_Toc51846299"/>
      <w:bookmarkStart w:id="598" w:name="_Toc51864397"/>
      <w:r w:rsidRPr="00B52687">
        <w:t>Recent developments</w:t>
      </w:r>
      <w:bookmarkEnd w:id="596"/>
      <w:bookmarkEnd w:id="597"/>
      <w:bookmarkEnd w:id="598"/>
    </w:p>
    <w:p w14:paraId="7F9DE599" w14:textId="1A01D3FB" w:rsidR="0058733B" w:rsidRPr="00B52687" w:rsidRDefault="0058733B" w:rsidP="00D33B10">
      <w:pPr>
        <w:pStyle w:val="Heading3"/>
        <w:keepNext w:val="0"/>
      </w:pPr>
      <w:bookmarkStart w:id="599" w:name="_Toc510104991"/>
      <w:bookmarkStart w:id="600" w:name="_Toc510105788"/>
      <w:bookmarkStart w:id="601" w:name="_Toc510795122"/>
      <w:bookmarkStart w:id="602" w:name="_Toc511716324"/>
      <w:bookmarkStart w:id="603" w:name="_Toc511719135"/>
      <w:bookmarkStart w:id="604" w:name="_Toc522794128"/>
      <w:bookmarkStart w:id="605" w:name="_Toc31892861"/>
      <w:bookmarkStart w:id="606" w:name="_Toc36207475"/>
      <w:bookmarkStart w:id="607" w:name="_Toc51864398"/>
      <w:r w:rsidRPr="00B52687">
        <w:t>Apparatus licence taxes</w:t>
      </w:r>
      <w:bookmarkEnd w:id="599"/>
      <w:bookmarkEnd w:id="600"/>
      <w:bookmarkEnd w:id="601"/>
      <w:bookmarkEnd w:id="602"/>
      <w:bookmarkEnd w:id="603"/>
      <w:bookmarkEnd w:id="604"/>
      <w:bookmarkEnd w:id="605"/>
      <w:bookmarkEnd w:id="606"/>
      <w:bookmarkEnd w:id="607"/>
    </w:p>
    <w:p w14:paraId="1AF9402E" w14:textId="6F820D75" w:rsidR="00F07591" w:rsidRPr="00243170" w:rsidRDefault="00F07591" w:rsidP="00F07591">
      <w:r w:rsidRPr="00B52687">
        <w:t>In Q1 2020</w:t>
      </w:r>
      <w:r w:rsidR="0046779D" w:rsidRPr="00B52687">
        <w:t>,</w:t>
      </w:r>
      <w:r w:rsidRPr="00B52687">
        <w:t xml:space="preserve"> </w:t>
      </w:r>
      <w:r w:rsidR="00FE05EF" w:rsidRPr="00B52687">
        <w:t>we</w:t>
      </w:r>
      <w:r w:rsidRPr="00B52687">
        <w:t xml:space="preserve"> </w:t>
      </w:r>
      <w:r w:rsidR="00FE05EF" w:rsidRPr="00B52687">
        <w:t xml:space="preserve">made </w:t>
      </w:r>
      <w:r w:rsidRPr="00B52687">
        <w:t xml:space="preserve">adjustments to apparatus licence taxes to update </w:t>
      </w:r>
      <w:r w:rsidR="00FE05EF" w:rsidRPr="00B52687">
        <w:t xml:space="preserve">them </w:t>
      </w:r>
      <w:r w:rsidRPr="00B52687">
        <w:t xml:space="preserve">for inflation, </w:t>
      </w:r>
      <w:r w:rsidR="00CA3054" w:rsidRPr="00B52687">
        <w:t>including remov</w:t>
      </w:r>
      <w:r w:rsidR="00FE05EF" w:rsidRPr="00B52687">
        <w:t>ing</w:t>
      </w:r>
      <w:r w:rsidR="00CA3054" w:rsidRPr="00B52687" w:rsidDel="00FE05EF">
        <w:t xml:space="preserve"> </w:t>
      </w:r>
      <w:r w:rsidR="00CA3054" w:rsidRPr="00B52687">
        <w:t>the freeze on taxes for fixed service below 960 MHz in remote density areas and</w:t>
      </w:r>
      <w:r w:rsidR="00286D6B" w:rsidRPr="00B52687">
        <w:t xml:space="preserve"> </w:t>
      </w:r>
      <w:r w:rsidR="000F764A" w:rsidRPr="00B52687">
        <w:t>extend</w:t>
      </w:r>
      <w:r w:rsidR="00FE05EF" w:rsidRPr="00B52687">
        <w:t>ing</w:t>
      </w:r>
      <w:r w:rsidR="000F764A" w:rsidRPr="00B52687">
        <w:t xml:space="preserve"> the </w:t>
      </w:r>
      <w:r w:rsidR="00B52687">
        <w:t xml:space="preserve">taxable </w:t>
      </w:r>
      <w:r w:rsidR="000F764A" w:rsidRPr="00B52687">
        <w:t>frequency range for PMTS Class B licences in the 3.5 GHz ba</w:t>
      </w:r>
      <w:r w:rsidR="000F764A" w:rsidRPr="00AE31ED">
        <w:t>nd</w:t>
      </w:r>
      <w:r w:rsidR="00B636E4">
        <w:t>,</w:t>
      </w:r>
      <w:r w:rsidR="000F764A" w:rsidRPr="00AE31ED">
        <w:t xml:space="preserve"> to support the defrag process in the 3400 MHz to 3575 M</w:t>
      </w:r>
      <w:r w:rsidR="00CA3054" w:rsidRPr="00AE31ED">
        <w:t>H</w:t>
      </w:r>
      <w:r w:rsidR="000F764A" w:rsidRPr="00AE31ED">
        <w:t>z range</w:t>
      </w:r>
      <w:r w:rsidR="00CA3054" w:rsidRPr="00AE31ED">
        <w:t xml:space="preserve">. In addition, new taxes for space licences were introduced to </w:t>
      </w:r>
      <w:r w:rsidRPr="00AE31ED">
        <w:t xml:space="preserve">complement </w:t>
      </w:r>
      <w:r w:rsidR="00CA3054" w:rsidRPr="00AE31ED">
        <w:t>the use of the 10.7</w:t>
      </w:r>
      <w:r w:rsidR="00B636E4">
        <w:t>–</w:t>
      </w:r>
      <w:r w:rsidR="00CA3054" w:rsidRPr="00AE31ED">
        <w:t>11.7 GHz, 18.2</w:t>
      </w:r>
      <w:r w:rsidR="00B636E4">
        <w:t>–</w:t>
      </w:r>
      <w:r w:rsidR="00CA3054" w:rsidRPr="00AE31ED">
        <w:t>18.8 GHz and 19.3</w:t>
      </w:r>
      <w:r w:rsidR="00B636E4">
        <w:t>–</w:t>
      </w:r>
      <w:r w:rsidR="00CA3054" w:rsidRPr="00AE31ED">
        <w:t>19.7 GHz bands by uncoordinated, unprotected earth station receivers. As these services will not result in any spectrum denial</w:t>
      </w:r>
      <w:r w:rsidRPr="00AE31ED">
        <w:t>,</w:t>
      </w:r>
      <w:r w:rsidR="00CA3054" w:rsidRPr="00AE31ED">
        <w:t xml:space="preserve"> the taxes for these bands were amended to the minimum annual tax. </w:t>
      </w:r>
      <w:r w:rsidRPr="00AE31ED">
        <w:t xml:space="preserve">Some minor consequential changes were also made to confirm that the low power discount applied to </w:t>
      </w:r>
      <w:r w:rsidR="00243170" w:rsidRPr="00AE31ED">
        <w:t>scientific assigned licence taxes.</w:t>
      </w:r>
      <w:r w:rsidR="0046779D" w:rsidRPr="00AE31ED">
        <w:t xml:space="preserve"> </w:t>
      </w:r>
      <w:r w:rsidR="00286D6B" w:rsidRPr="00AE31ED">
        <w:t>The adjustments</w:t>
      </w:r>
      <w:r w:rsidR="00060315" w:rsidRPr="00AE31ED">
        <w:t xml:space="preserve"> c</w:t>
      </w:r>
      <w:r w:rsidR="00DB2964" w:rsidRPr="00AE31ED">
        <w:t>a</w:t>
      </w:r>
      <w:r w:rsidR="00060315" w:rsidRPr="00AE31ED">
        <w:t>me</w:t>
      </w:r>
      <w:r w:rsidR="00286D6B" w:rsidRPr="00AE31ED">
        <w:t xml:space="preserve"> into effect </w:t>
      </w:r>
      <w:r w:rsidR="00C15BA7" w:rsidRPr="00AE31ED">
        <w:t>in</w:t>
      </w:r>
      <w:r w:rsidR="00286D6B" w:rsidRPr="00AE31ED">
        <w:t xml:space="preserve"> April </w:t>
      </w:r>
      <w:r w:rsidR="00067DAF" w:rsidRPr="00AE31ED">
        <w:t>2020.</w:t>
      </w:r>
    </w:p>
    <w:p w14:paraId="7B38F3E9" w14:textId="5C419555" w:rsidR="009432FD" w:rsidRPr="00B53F89" w:rsidRDefault="009432FD" w:rsidP="00D33B10">
      <w:pPr>
        <w:pStyle w:val="Heading3"/>
        <w:keepNext w:val="0"/>
      </w:pPr>
      <w:bookmarkStart w:id="608" w:name="_Commercial_broadcasting_taxes"/>
      <w:bookmarkStart w:id="609" w:name="_Toc31892862"/>
      <w:bookmarkStart w:id="610" w:name="_Toc36207476"/>
      <w:bookmarkStart w:id="611" w:name="_Toc51864399"/>
      <w:bookmarkEnd w:id="608"/>
      <w:r w:rsidRPr="00B53F89">
        <w:t>Commercial broadcasting taxes</w:t>
      </w:r>
      <w:bookmarkEnd w:id="609"/>
      <w:bookmarkEnd w:id="610"/>
      <w:bookmarkEnd w:id="611"/>
    </w:p>
    <w:p w14:paraId="2E9016A5" w14:textId="4F327C32" w:rsidR="009432FD" w:rsidRDefault="00DE6730" w:rsidP="00B636E4">
      <w:r w:rsidRPr="00B53F89">
        <w:t>In 2018</w:t>
      </w:r>
      <w:r w:rsidR="004E64E0" w:rsidRPr="00B53F89">
        <w:t>–</w:t>
      </w:r>
      <w:r w:rsidRPr="00B53F89">
        <w:t xml:space="preserve">19, </w:t>
      </w:r>
      <w:r w:rsidR="00B636E4">
        <w:t>we</w:t>
      </w:r>
      <w:r w:rsidR="009432FD" w:rsidRPr="00B53F89">
        <w:t xml:space="preserve"> </w:t>
      </w:r>
      <w:r w:rsidR="009477C8" w:rsidRPr="00B53F89">
        <w:t xml:space="preserve">commenced </w:t>
      </w:r>
      <w:r w:rsidRPr="00B53F89">
        <w:t xml:space="preserve">the assessment of </w:t>
      </w:r>
      <w:r w:rsidR="009477C8" w:rsidRPr="00B53F89">
        <w:t xml:space="preserve">the taxes </w:t>
      </w:r>
      <w:r w:rsidRPr="00B53F89">
        <w:t xml:space="preserve">due </w:t>
      </w:r>
      <w:r w:rsidR="009432FD" w:rsidRPr="00B53F89">
        <w:t xml:space="preserve">for apparatus licences associated with the transmitters used by commercial radio and television broadcasters in the </w:t>
      </w:r>
      <w:r w:rsidR="0020287F" w:rsidRPr="00CC5C49">
        <w:t>b</w:t>
      </w:r>
      <w:r w:rsidR="009432FD" w:rsidRPr="00CC5C49">
        <w:t xml:space="preserve">roadcasting </w:t>
      </w:r>
      <w:r w:rsidR="0020287F" w:rsidRPr="00CC5C49">
        <w:t>s</w:t>
      </w:r>
      <w:r w:rsidR="009432FD" w:rsidRPr="00CC5C49">
        <w:t xml:space="preserve">ervices </w:t>
      </w:r>
      <w:r w:rsidR="0020287F" w:rsidRPr="00CC5C49">
        <w:t>b</w:t>
      </w:r>
      <w:r w:rsidR="009432FD" w:rsidRPr="00CC5C49">
        <w:t>ands</w:t>
      </w:r>
      <w:r w:rsidR="009432FD" w:rsidRPr="00B53F89">
        <w:t xml:space="preserve">. </w:t>
      </w:r>
      <w:r w:rsidR="009477C8" w:rsidRPr="00B53F89">
        <w:t xml:space="preserve">These assessments </w:t>
      </w:r>
      <w:r w:rsidR="009432FD" w:rsidRPr="00B53F89">
        <w:t>result</w:t>
      </w:r>
      <w:r w:rsidR="00142772" w:rsidRPr="00B53F89">
        <w:t>ed</w:t>
      </w:r>
      <w:r w:rsidR="009432FD" w:rsidRPr="00B53F89">
        <w:t xml:space="preserve"> from the media reform package passed by Parliament in 2017. </w:t>
      </w:r>
    </w:p>
    <w:p w14:paraId="37330FD3" w14:textId="3055E4B2" w:rsidR="0008658A" w:rsidRPr="0008658A" w:rsidRDefault="0008658A" w:rsidP="0008658A">
      <w:r w:rsidRPr="0008658A">
        <w:t>On 14 April</w:t>
      </w:r>
      <w:r w:rsidR="009F2B5C">
        <w:t>,</w:t>
      </w:r>
      <w:r w:rsidRPr="0008658A">
        <w:t xml:space="preserve"> the Minister made the </w:t>
      </w:r>
      <w:hyperlink r:id="rId129" w:history="1">
        <w:r w:rsidRPr="0008658A">
          <w:rPr>
            <w:rStyle w:val="Hyperlink"/>
          </w:rPr>
          <w:t xml:space="preserve">Commercial Broadcasting </w:t>
        </w:r>
        <w:r w:rsidR="00D22297">
          <w:rPr>
            <w:rStyle w:val="Hyperlink"/>
          </w:rPr>
          <w:t>(</w:t>
        </w:r>
        <w:r w:rsidRPr="0008658A">
          <w:rPr>
            <w:rStyle w:val="Hyperlink"/>
          </w:rPr>
          <w:t>Tax</w:t>
        </w:r>
        <w:r w:rsidR="00D22297">
          <w:rPr>
            <w:rStyle w:val="Hyperlink"/>
          </w:rPr>
          <w:t>)</w:t>
        </w:r>
        <w:r w:rsidRPr="0008658A">
          <w:rPr>
            <w:rStyle w:val="Hyperlink"/>
          </w:rPr>
          <w:t xml:space="preserve"> (Transmitter Licence Tax Rebate) Rules 2020</w:t>
        </w:r>
      </w:hyperlink>
      <w:r w:rsidRPr="0008658A">
        <w:t xml:space="preserve"> (the Rebate Rules). The Rebate Rules provide fee relief via rebates to commercial broadcasters throughout the rebate period of </w:t>
      </w:r>
      <w:r w:rsidRPr="0008658A" w:rsidDel="00B636E4">
        <w:t>14</w:t>
      </w:r>
      <w:r w:rsidR="00B636E4">
        <w:t> </w:t>
      </w:r>
      <w:r w:rsidRPr="0008658A">
        <w:t>February 2020 to 13 February 202</w:t>
      </w:r>
      <w:r w:rsidR="009F2B5C">
        <w:t>1</w:t>
      </w:r>
      <w:r w:rsidRPr="0008658A">
        <w:t>. The rebate</w:t>
      </w:r>
      <w:r w:rsidR="0024573F">
        <w:t xml:space="preserve"> will </w:t>
      </w:r>
      <w:r w:rsidRPr="0008658A">
        <w:t xml:space="preserve">reduce broadcasting licensees’ net transmitter licence tax liabilities to $0 for the duration of the rebate period. The majority of broadcasters will receive a 100 per cent rebate of tax imposed during the rebate period. A small number of broadcasters </w:t>
      </w:r>
      <w:r w:rsidR="001526BD">
        <w:t xml:space="preserve">that </w:t>
      </w:r>
      <w:r w:rsidRPr="0008658A">
        <w:t xml:space="preserve">receive transitional support payments under the </w:t>
      </w:r>
      <w:r w:rsidRPr="00513FDE">
        <w:rPr>
          <w:i/>
          <w:iCs/>
        </w:rPr>
        <w:t>Broadcasting Legislation Amendment (Broadcasting Reform) Act 2017</w:t>
      </w:r>
      <w:r w:rsidRPr="0008658A">
        <w:t xml:space="preserve"> will receive a rebate of an amount equivalent to the difference between the amount of tax imposed and the transitional support payment amount the licensee receives in the same financial year.</w:t>
      </w:r>
    </w:p>
    <w:p w14:paraId="47BAA261" w14:textId="3F6CE3B2" w:rsidR="0008658A" w:rsidRPr="00B53F89" w:rsidRDefault="0008658A">
      <w:r w:rsidRPr="0008658A">
        <w:t>Throughout the rebate period</w:t>
      </w:r>
      <w:r w:rsidR="009F2B5C">
        <w:t>,</w:t>
      </w:r>
      <w:r w:rsidRPr="0008658A">
        <w:t xml:space="preserve"> </w:t>
      </w:r>
      <w:r w:rsidR="00B636E4">
        <w:t>we</w:t>
      </w:r>
      <w:r w:rsidRPr="0008658A">
        <w:t xml:space="preserve"> will continue to make assessments of commercial broadcasting taxes. However, because of the rebates, the majority of commercial broadcasters will not receive invoices for payment of taxes during the rebate period. For those commercial broadcasters receiving transition support payments, assessments </w:t>
      </w:r>
      <w:r w:rsidR="00B636E4">
        <w:t>will be</w:t>
      </w:r>
      <w:r w:rsidR="00B636E4" w:rsidRPr="0008658A">
        <w:t xml:space="preserve"> </w:t>
      </w:r>
      <w:r w:rsidR="001526BD" w:rsidRPr="0008658A">
        <w:t>made,</w:t>
      </w:r>
      <w:r w:rsidR="00B636E4">
        <w:t xml:space="preserve"> and</w:t>
      </w:r>
      <w:r w:rsidRPr="0008658A">
        <w:t xml:space="preserve"> invoices </w:t>
      </w:r>
      <w:r w:rsidR="0024573F">
        <w:t xml:space="preserve">sent </w:t>
      </w:r>
      <w:r w:rsidRPr="0008658A">
        <w:t>for amounts up to the transitional support payment.</w:t>
      </w:r>
    </w:p>
    <w:p w14:paraId="2EDD38BD" w14:textId="7C347B28" w:rsidR="00286D6B" w:rsidRPr="00B53F89" w:rsidRDefault="00B340C4" w:rsidP="00D33B10">
      <w:pPr>
        <w:pStyle w:val="Heading2"/>
        <w:keepNext w:val="0"/>
      </w:pPr>
      <w:bookmarkStart w:id="612" w:name="_Toc522794130"/>
      <w:bookmarkStart w:id="613" w:name="_Toc31892863"/>
      <w:bookmarkStart w:id="614" w:name="_Toc510104993"/>
      <w:bookmarkStart w:id="615" w:name="_Toc510105790"/>
      <w:bookmarkStart w:id="616" w:name="_Toc510795124"/>
      <w:bookmarkStart w:id="617" w:name="_Toc511716326"/>
      <w:bookmarkStart w:id="618" w:name="_Toc511719137"/>
      <w:bookmarkStart w:id="619" w:name="_Toc51846300"/>
      <w:bookmarkStart w:id="620" w:name="_Toc51864400"/>
      <w:bookmarkStart w:id="621" w:name="_Toc36207477"/>
      <w:r>
        <w:t>A</w:t>
      </w:r>
      <w:r w:rsidR="0020287F" w:rsidRPr="00B53F89">
        <w:t xml:space="preserve">ctivities planned for </w:t>
      </w:r>
      <w:r w:rsidR="006F15F8" w:rsidRPr="00B53F89">
        <w:t>20</w:t>
      </w:r>
      <w:r w:rsidR="006F15F8">
        <w:t>20</w:t>
      </w:r>
      <w:r w:rsidR="0020287F" w:rsidRPr="00B53F89">
        <w:t>–</w:t>
      </w:r>
      <w:bookmarkEnd w:id="612"/>
      <w:bookmarkEnd w:id="613"/>
      <w:bookmarkEnd w:id="614"/>
      <w:bookmarkEnd w:id="615"/>
      <w:bookmarkEnd w:id="616"/>
      <w:bookmarkEnd w:id="617"/>
      <w:bookmarkEnd w:id="618"/>
      <w:r w:rsidR="005D15BB" w:rsidRPr="00B53F89">
        <w:t>2</w:t>
      </w:r>
      <w:r w:rsidR="005D15BB">
        <w:t>1</w:t>
      </w:r>
      <w:bookmarkEnd w:id="619"/>
      <w:bookmarkEnd w:id="620"/>
      <w:r w:rsidR="005D15BB" w:rsidRPr="00B53F89">
        <w:t xml:space="preserve"> </w:t>
      </w:r>
    </w:p>
    <w:p w14:paraId="52EC8579" w14:textId="0DB94575" w:rsidR="00385D4D" w:rsidRPr="00B53F89" w:rsidRDefault="00385D4D" w:rsidP="00D33B10">
      <w:pPr>
        <w:pStyle w:val="Heading3"/>
        <w:keepNext w:val="0"/>
      </w:pPr>
      <w:bookmarkStart w:id="622" w:name="_Implementation_of_Government’s"/>
      <w:bookmarkStart w:id="623" w:name="_Toc31892864"/>
      <w:bookmarkStart w:id="624" w:name="_Toc36207478"/>
      <w:bookmarkStart w:id="625" w:name="_Toc51864401"/>
      <w:bookmarkEnd w:id="621"/>
      <w:bookmarkEnd w:id="622"/>
      <w:r w:rsidRPr="00B53F89">
        <w:t xml:space="preserve">Implementation of </w:t>
      </w:r>
      <w:r w:rsidR="008540E9" w:rsidRPr="00B53F89">
        <w:t>the g</w:t>
      </w:r>
      <w:r w:rsidRPr="00B53F89">
        <w:t>overnment’s Spectrum Pricing Review</w:t>
      </w:r>
      <w:bookmarkEnd w:id="623"/>
      <w:bookmarkEnd w:id="624"/>
      <w:bookmarkEnd w:id="625"/>
    </w:p>
    <w:p w14:paraId="5176E5A9" w14:textId="2E6C929A" w:rsidR="00AB57E5" w:rsidRPr="00B53F89" w:rsidRDefault="006108AA" w:rsidP="00C83864">
      <w:r w:rsidRPr="00B53F89">
        <w:rPr>
          <w:rFonts w:cs="Arial"/>
        </w:rPr>
        <w:t>Some of t</w:t>
      </w:r>
      <w:r w:rsidR="00AB57E5" w:rsidRPr="00B53F89">
        <w:rPr>
          <w:rFonts w:cs="Arial"/>
        </w:rPr>
        <w:t xml:space="preserve">he recommendations of </w:t>
      </w:r>
      <w:r w:rsidRPr="00B53F89">
        <w:t xml:space="preserve">the </w:t>
      </w:r>
      <w:r w:rsidR="008540E9" w:rsidRPr="00B53F89">
        <w:t>g</w:t>
      </w:r>
      <w:r w:rsidRPr="00B53F89">
        <w:t xml:space="preserve">overnment’s </w:t>
      </w:r>
      <w:r w:rsidR="00AB57E5" w:rsidRPr="00B53F89">
        <w:rPr>
          <w:rFonts w:cs="Arial"/>
        </w:rPr>
        <w:t>Spectrum Pricing Review anticipated a new legislative framework</w:t>
      </w:r>
      <w:r w:rsidRPr="00B53F89">
        <w:rPr>
          <w:rFonts w:cs="Arial"/>
        </w:rPr>
        <w:t xml:space="preserve"> and a single licensing framework. However</w:t>
      </w:r>
      <w:r w:rsidR="00AB57E5" w:rsidRPr="00B53F89">
        <w:rPr>
          <w:rFonts w:cs="Arial"/>
        </w:rPr>
        <w:t xml:space="preserve">, </w:t>
      </w:r>
      <w:r w:rsidR="00B636E4">
        <w:rPr>
          <w:rFonts w:cs="Arial"/>
        </w:rPr>
        <w:t>we</w:t>
      </w:r>
      <w:r w:rsidR="00AB57E5" w:rsidRPr="00B53F89">
        <w:rPr>
          <w:rFonts w:cs="Arial"/>
        </w:rPr>
        <w:t xml:space="preserve"> consider that </w:t>
      </w:r>
      <w:r w:rsidR="00CD553F" w:rsidRPr="00B53F89">
        <w:rPr>
          <w:rFonts w:cs="Arial"/>
        </w:rPr>
        <w:t xml:space="preserve">much of </w:t>
      </w:r>
      <w:r w:rsidR="00AB57E5" w:rsidRPr="00B53F89">
        <w:rPr>
          <w:rFonts w:cs="Arial"/>
        </w:rPr>
        <w:t xml:space="preserve">the policy intent </w:t>
      </w:r>
      <w:r w:rsidRPr="00B53F89">
        <w:rPr>
          <w:rFonts w:cs="Arial"/>
        </w:rPr>
        <w:t xml:space="preserve">of the recommendations </w:t>
      </w:r>
      <w:r w:rsidR="00AB57E5" w:rsidRPr="00B53F89">
        <w:rPr>
          <w:rFonts w:cs="Arial"/>
        </w:rPr>
        <w:t xml:space="preserve">can also be implemented under existing legislation, and later transitioned to new </w:t>
      </w:r>
      <w:r w:rsidR="00B31EC3" w:rsidRPr="00B53F89">
        <w:rPr>
          <w:rFonts w:cs="Arial"/>
        </w:rPr>
        <w:t>legislative arrangements if required</w:t>
      </w:r>
      <w:r w:rsidRPr="00B53F89">
        <w:rPr>
          <w:rFonts w:cs="Arial"/>
        </w:rPr>
        <w:t>.</w:t>
      </w:r>
    </w:p>
    <w:p w14:paraId="1B689763" w14:textId="19817EC2" w:rsidR="00110E5C" w:rsidRPr="00B53F89" w:rsidRDefault="00110E5C" w:rsidP="00513FDE">
      <w:pPr>
        <w:pStyle w:val="Paragraphbeforelist"/>
      </w:pPr>
      <w:r w:rsidRPr="00B53F89">
        <w:lastRenderedPageBreak/>
        <w:t xml:space="preserve">To implement </w:t>
      </w:r>
      <w:r w:rsidR="006108AA" w:rsidRPr="00B53F89">
        <w:t xml:space="preserve">the </w:t>
      </w:r>
      <w:r w:rsidRPr="00B53F89">
        <w:t xml:space="preserve">recommendations of Spectrum Pricing Review, the ACMA </w:t>
      </w:r>
      <w:r w:rsidR="006F15F8">
        <w:t xml:space="preserve">is undertaking three </w:t>
      </w:r>
      <w:r w:rsidRPr="00B53F89">
        <w:t>substantive programs of work:</w:t>
      </w:r>
    </w:p>
    <w:p w14:paraId="16847B85" w14:textId="179CF1D4" w:rsidR="00110E5C" w:rsidRPr="00B53F89" w:rsidRDefault="0024573F" w:rsidP="00513FDE">
      <w:pPr>
        <w:pStyle w:val="Bulletlevel1"/>
      </w:pPr>
      <w:r>
        <w:t>F</w:t>
      </w:r>
      <w:r w:rsidR="00110E5C" w:rsidRPr="00B53F89">
        <w:t xml:space="preserve">urther identify bands to transition from administratively set charges to competitive market-based allocation in </w:t>
      </w:r>
      <w:r w:rsidR="00B636E4">
        <w:t>our</w:t>
      </w:r>
      <w:r w:rsidR="00B636E4" w:rsidRPr="00B53F89">
        <w:t xml:space="preserve"> </w:t>
      </w:r>
      <w:r w:rsidR="00110E5C" w:rsidRPr="00B53F89">
        <w:t>annual work program</w:t>
      </w:r>
      <w:r w:rsidR="00FF7E28" w:rsidRPr="00B53F89">
        <w:t xml:space="preserve"> </w:t>
      </w:r>
      <w:r w:rsidR="00110E5C" w:rsidRPr="00B53F89">
        <w:t>(recommendation 4)</w:t>
      </w:r>
      <w:r w:rsidR="00066B73" w:rsidRPr="00B53F89">
        <w:t xml:space="preserve">. For more information on timing of these initiatives, see the </w:t>
      </w:r>
      <w:r w:rsidR="00066B73" w:rsidRPr="00513FDE">
        <w:rPr>
          <w:i/>
          <w:iCs/>
        </w:rPr>
        <w:t xml:space="preserve">Forward </w:t>
      </w:r>
      <w:r w:rsidR="00B636E4" w:rsidRPr="00513FDE">
        <w:rPr>
          <w:i/>
          <w:iCs/>
        </w:rPr>
        <w:t>a</w:t>
      </w:r>
      <w:r w:rsidR="00066B73" w:rsidRPr="00513FDE">
        <w:rPr>
          <w:i/>
          <w:iCs/>
        </w:rPr>
        <w:t xml:space="preserve">llocation </w:t>
      </w:r>
      <w:r w:rsidR="00B636E4" w:rsidRPr="00513FDE">
        <w:rPr>
          <w:i/>
          <w:iCs/>
        </w:rPr>
        <w:t>w</w:t>
      </w:r>
      <w:r w:rsidR="00066B73" w:rsidRPr="00513FDE">
        <w:rPr>
          <w:i/>
          <w:iCs/>
        </w:rPr>
        <w:t xml:space="preserve">ork </w:t>
      </w:r>
      <w:r w:rsidR="00B636E4" w:rsidRPr="00513FDE">
        <w:rPr>
          <w:i/>
          <w:iCs/>
        </w:rPr>
        <w:t>p</w:t>
      </w:r>
      <w:r w:rsidR="00066B73" w:rsidRPr="00513FDE">
        <w:rPr>
          <w:i/>
          <w:iCs/>
        </w:rPr>
        <w:t>lan</w:t>
      </w:r>
      <w:r w:rsidR="00066B73" w:rsidRPr="00B53F89" w:rsidDel="00B636E4">
        <w:t xml:space="preserve"> </w:t>
      </w:r>
      <w:r w:rsidR="00B636E4">
        <w:t>section</w:t>
      </w:r>
      <w:r w:rsidR="00066B73" w:rsidRPr="00B53F89">
        <w:t>.</w:t>
      </w:r>
    </w:p>
    <w:p w14:paraId="73836CE3" w14:textId="4BECDC8E" w:rsidR="00110E5C" w:rsidRPr="00B53F89" w:rsidRDefault="0024573F" w:rsidP="00513FDE">
      <w:pPr>
        <w:pStyle w:val="Bulletlevel1"/>
      </w:pPr>
      <w:r>
        <w:t>D</w:t>
      </w:r>
      <w:r w:rsidR="00110E5C" w:rsidRPr="00B53F89">
        <w:t>evelop</w:t>
      </w:r>
      <w:r w:rsidR="007E055A" w:rsidRPr="00B53F89">
        <w:t xml:space="preserve"> and publi</w:t>
      </w:r>
      <w:r w:rsidR="00CD0046" w:rsidRPr="00B53F89">
        <w:t>sh</w:t>
      </w:r>
      <w:r w:rsidR="00110E5C" w:rsidRPr="00B53F89">
        <w:t xml:space="preserve"> </w:t>
      </w:r>
      <w:r w:rsidR="00B636E4">
        <w:t>s</w:t>
      </w:r>
      <w:r w:rsidR="00110E5C" w:rsidRPr="00B53F89">
        <w:t xml:space="preserve">pectrum </w:t>
      </w:r>
      <w:r w:rsidR="00B636E4">
        <w:t>p</w:t>
      </w:r>
      <w:r w:rsidR="00110E5C" w:rsidRPr="00B53F89">
        <w:t xml:space="preserve">ricing </w:t>
      </w:r>
      <w:r w:rsidR="00B636E4">
        <w:t>g</w:t>
      </w:r>
      <w:r w:rsidR="00110E5C" w:rsidRPr="00B53F89">
        <w:t xml:space="preserve">uidelines to provide better transparency and help licensees </w:t>
      </w:r>
      <w:r>
        <w:t>easily</w:t>
      </w:r>
      <w:r w:rsidRPr="00B53F89">
        <w:t xml:space="preserve"> </w:t>
      </w:r>
      <w:r w:rsidR="00110E5C" w:rsidRPr="00B53F89">
        <w:t xml:space="preserve">understand how </w:t>
      </w:r>
      <w:r w:rsidR="00B636E4">
        <w:t>we</w:t>
      </w:r>
      <w:r w:rsidR="00110E5C" w:rsidRPr="00B53F89">
        <w:t xml:space="preserve"> approach spectrum pricing (recommendation 1)</w:t>
      </w:r>
      <w:r w:rsidR="00EB7076" w:rsidRPr="00B53F89">
        <w:t xml:space="preserve">. </w:t>
      </w:r>
    </w:p>
    <w:p w14:paraId="47145CB9" w14:textId="40BE37F7" w:rsidR="006F15F8" w:rsidRDefault="0024573F" w:rsidP="00513FDE">
      <w:pPr>
        <w:pStyle w:val="Bulletlevel1last"/>
      </w:pPr>
      <w:r>
        <w:t>R</w:t>
      </w:r>
      <w:r w:rsidR="00110E5C" w:rsidRPr="00B53F89">
        <w:t xml:space="preserve">eview how </w:t>
      </w:r>
      <w:r w:rsidR="00B636E4">
        <w:t>we</w:t>
      </w:r>
      <w:r w:rsidR="00110E5C" w:rsidRPr="00B53F89">
        <w:t xml:space="preserve"> administratively price spectrum and the formula used to set many of the current apparatus licence taxes. There is potential to improve the administrative pricing of spectrum </w:t>
      </w:r>
      <w:r w:rsidR="00CD0046" w:rsidRPr="00B53F89">
        <w:t>to</w:t>
      </w:r>
      <w:r w:rsidR="00110E5C" w:rsidRPr="00B53F89">
        <w:t xml:space="preserve"> </w:t>
      </w:r>
      <w:r w:rsidRPr="00B53F89">
        <w:t>reflect market value more closely</w:t>
      </w:r>
      <w:r w:rsidR="00110E5C" w:rsidRPr="00B53F89">
        <w:t xml:space="preserve"> through approaches such as opportunity-cost</w:t>
      </w:r>
      <w:r w:rsidR="00CD0046" w:rsidRPr="00B53F89">
        <w:t>-</w:t>
      </w:r>
      <w:r w:rsidR="00110E5C" w:rsidRPr="00B53F89">
        <w:t>based pricing (recommendations 7 and 8)</w:t>
      </w:r>
      <w:r w:rsidR="00F01781">
        <w:t xml:space="preserve"> and cost recovery initiatives</w:t>
      </w:r>
      <w:r w:rsidR="00F74C20" w:rsidRPr="00B53F89">
        <w:t>. Th</w:t>
      </w:r>
      <w:r w:rsidR="00FB4044" w:rsidRPr="00B53F89">
        <w:t>e</w:t>
      </w:r>
      <w:r w:rsidR="00F74C20" w:rsidRPr="00B53F89">
        <w:t xml:space="preserve"> </w:t>
      </w:r>
      <w:r w:rsidR="00D61EDE" w:rsidRPr="00B53F89">
        <w:t xml:space="preserve">principles guiding this review </w:t>
      </w:r>
      <w:r w:rsidR="00F74C20" w:rsidRPr="00B53F89">
        <w:t xml:space="preserve">will be part of the </w:t>
      </w:r>
      <w:r w:rsidR="00B636E4">
        <w:t>s</w:t>
      </w:r>
      <w:r w:rsidR="00F74C20" w:rsidRPr="00B53F89">
        <w:t xml:space="preserve">pectrum </w:t>
      </w:r>
      <w:r w:rsidR="00B636E4">
        <w:t>p</w:t>
      </w:r>
      <w:r w:rsidR="00F74C20" w:rsidRPr="00B53F89">
        <w:t xml:space="preserve">ricing </w:t>
      </w:r>
      <w:r w:rsidR="00B636E4">
        <w:t>g</w:t>
      </w:r>
      <w:r w:rsidR="00F74C20" w:rsidRPr="00B53F89">
        <w:t>uidelines</w:t>
      </w:r>
      <w:r w:rsidR="00901F9A" w:rsidRPr="00B53F89">
        <w:t>.</w:t>
      </w:r>
    </w:p>
    <w:p w14:paraId="6990AB85" w14:textId="639005A8" w:rsidR="00385D4D" w:rsidRPr="00B53F89" w:rsidRDefault="00B636E4" w:rsidP="00513FDE">
      <w:r>
        <w:t>We</w:t>
      </w:r>
      <w:r w:rsidR="006F15F8">
        <w:t xml:space="preserve"> </w:t>
      </w:r>
      <w:r w:rsidR="0024573F">
        <w:t xml:space="preserve">began </w:t>
      </w:r>
      <w:r w:rsidR="006F15F8">
        <w:t>consultation on the</w:t>
      </w:r>
      <w:r w:rsidR="00901F9A" w:rsidRPr="00B53F89">
        <w:t xml:space="preserve"> proposed</w:t>
      </w:r>
      <w:r w:rsidR="00901F9A" w:rsidRPr="00B53F89" w:rsidDel="0046779D">
        <w:t xml:space="preserve"> </w:t>
      </w:r>
      <w:r w:rsidR="00B31EC3" w:rsidRPr="00B53F89">
        <w:t>draft</w:t>
      </w:r>
      <w:r w:rsidR="00901F9A" w:rsidRPr="00B53F89">
        <w:t xml:space="preserve"> </w:t>
      </w:r>
      <w:r w:rsidR="00066B73" w:rsidRPr="00B53F89">
        <w:t>guidelines</w:t>
      </w:r>
      <w:r w:rsidR="00901F9A" w:rsidRPr="00B53F89">
        <w:t xml:space="preserve"> and </w:t>
      </w:r>
      <w:r>
        <w:t>our</w:t>
      </w:r>
      <w:r w:rsidR="00901F9A" w:rsidRPr="00B53F89">
        <w:t xml:space="preserve"> proposed approach to implementing the Spectrum Pricing Review </w:t>
      </w:r>
      <w:bookmarkStart w:id="626" w:name="_Hlk3287758"/>
      <w:r w:rsidR="006F15F8">
        <w:t>in March 2020</w:t>
      </w:r>
      <w:r w:rsidR="00F74C20" w:rsidRPr="00B53F89">
        <w:t>.</w:t>
      </w:r>
      <w:bookmarkEnd w:id="626"/>
      <w:r w:rsidR="00D61EDE" w:rsidRPr="00B53F89">
        <w:t xml:space="preserve"> </w:t>
      </w:r>
      <w:r w:rsidR="0024573F">
        <w:t xml:space="preserve">We </w:t>
      </w:r>
      <w:r w:rsidR="006F15F8">
        <w:t xml:space="preserve">expect </w:t>
      </w:r>
      <w:r w:rsidR="0024573F">
        <w:t>to start</w:t>
      </w:r>
      <w:r w:rsidR="006F15F8">
        <w:t xml:space="preserve"> implementing a work program to consider changes to apparatus licence taxes</w:t>
      </w:r>
      <w:r w:rsidR="0024573F">
        <w:t xml:space="preserve"> in Q4 2020</w:t>
      </w:r>
      <w:r w:rsidR="006F15F8">
        <w:t xml:space="preserve">. Part of this work program may include considering new </w:t>
      </w:r>
      <w:r w:rsidR="006F15F8" w:rsidRPr="00B53F89">
        <w:t>spectrum management cost recovery arrangements</w:t>
      </w:r>
      <w:r w:rsidR="00D61EDE" w:rsidRPr="00B53F89">
        <w:t xml:space="preserve">. </w:t>
      </w:r>
      <w:r w:rsidR="006F15F8">
        <w:t xml:space="preserve">The work program will be implemented </w:t>
      </w:r>
      <w:r w:rsidR="00385D4D" w:rsidRPr="00B53F89" w:rsidDel="006F15F8">
        <w:t>o</w:t>
      </w:r>
      <w:r w:rsidR="00385D4D" w:rsidRPr="00B53F89">
        <w:t xml:space="preserve">ver the course of </w:t>
      </w:r>
      <w:r w:rsidR="00CD7B72">
        <w:t xml:space="preserve">Q4 </w:t>
      </w:r>
      <w:r w:rsidR="00385D4D" w:rsidRPr="00B53F89">
        <w:t>2020</w:t>
      </w:r>
      <w:r w:rsidR="000E3CE7" w:rsidRPr="00B53F89">
        <w:t xml:space="preserve"> and 2021</w:t>
      </w:r>
      <w:r w:rsidR="00385D4D" w:rsidRPr="00B53F89">
        <w:t xml:space="preserve">. </w:t>
      </w:r>
      <w:bookmarkStart w:id="627" w:name="_Hlk1405093"/>
      <w:bookmarkStart w:id="628" w:name="_Hlk16243830"/>
    </w:p>
    <w:p w14:paraId="79E9DA4C" w14:textId="1DE323D2" w:rsidR="00110E5C" w:rsidRPr="00B53F89" w:rsidRDefault="00110E5C" w:rsidP="00D33B10">
      <w:pPr>
        <w:pStyle w:val="Heading3"/>
        <w:keepNext w:val="0"/>
      </w:pPr>
      <w:bookmarkStart w:id="629" w:name="_Toc31892865"/>
      <w:bookmarkStart w:id="630" w:name="_Toc36207479"/>
      <w:bookmarkStart w:id="631" w:name="_Toc51864402"/>
      <w:bookmarkEnd w:id="627"/>
      <w:bookmarkEnd w:id="628"/>
      <w:r w:rsidRPr="00B53F89">
        <w:t>Commercial broadcast</w:t>
      </w:r>
      <w:r w:rsidR="00943FF9" w:rsidRPr="00B53F89">
        <w:t>ing</w:t>
      </w:r>
      <w:r w:rsidRPr="00B53F89">
        <w:t xml:space="preserve"> taxes</w:t>
      </w:r>
      <w:bookmarkEnd w:id="629"/>
      <w:bookmarkEnd w:id="630"/>
      <w:bookmarkEnd w:id="631"/>
    </w:p>
    <w:p w14:paraId="77D6700A" w14:textId="24B3FB7E" w:rsidR="00F342D2" w:rsidRPr="00B53F89" w:rsidRDefault="00B636E4">
      <w:r>
        <w:t>We</w:t>
      </w:r>
      <w:r w:rsidR="0094669F" w:rsidRPr="00B53F89">
        <w:t xml:space="preserve"> </w:t>
      </w:r>
      <w:r w:rsidR="009477C8" w:rsidRPr="00B53F89">
        <w:t xml:space="preserve">will continue assessing commercial broadcast taxes </w:t>
      </w:r>
      <w:r w:rsidR="00362799" w:rsidRPr="00B53F89">
        <w:t>on an ongoing basis</w:t>
      </w:r>
      <w:r>
        <w:t>,</w:t>
      </w:r>
      <w:r w:rsidR="00362799" w:rsidRPr="00B53F89">
        <w:t xml:space="preserve"> as apparatus licences associated with a commercial broadcast service</w:t>
      </w:r>
      <w:r w:rsidR="000E3CE7" w:rsidRPr="00B53F89">
        <w:t>s</w:t>
      </w:r>
      <w:r w:rsidR="00362799" w:rsidRPr="00B53F89">
        <w:t xml:space="preserve"> pass </w:t>
      </w:r>
      <w:r w:rsidR="005A09C8" w:rsidRPr="00B53F89">
        <w:t>their</w:t>
      </w:r>
      <w:r w:rsidR="00362799" w:rsidRPr="00B53F89">
        <w:t xml:space="preserve"> anniversary date</w:t>
      </w:r>
      <w:r w:rsidR="005A09C8" w:rsidRPr="00B53F89">
        <w:t>s</w:t>
      </w:r>
      <w:r w:rsidR="00F342D2" w:rsidRPr="00B53F89">
        <w:t>.</w:t>
      </w:r>
      <w:r w:rsidR="007E08F4" w:rsidRPr="00B53F89">
        <w:t xml:space="preserve"> To assist with planning of payments of tax assessments, early in Q3 20</w:t>
      </w:r>
      <w:r w:rsidR="006F15F8">
        <w:t>20</w:t>
      </w:r>
      <w:r>
        <w:t xml:space="preserve">, we </w:t>
      </w:r>
      <w:r w:rsidR="006F15F8">
        <w:t xml:space="preserve">will </w:t>
      </w:r>
      <w:r w:rsidR="007E08F4" w:rsidRPr="00B53F89">
        <w:t>provide all commercial broadcasters with estimates of their tax assessments for the financial year</w:t>
      </w:r>
      <w:r w:rsidR="00CC2196">
        <w:t>, and information on how the rebate will apply for the rebate period.</w:t>
      </w:r>
    </w:p>
    <w:p w14:paraId="7895377A" w14:textId="09F44650" w:rsidR="00F342D2" w:rsidRPr="00B53F89" w:rsidRDefault="00F342D2">
      <w:r w:rsidRPr="00B53F89">
        <w:t>After 30 June 2019, the ACMA must conduct a review of</w:t>
      </w:r>
      <w:r w:rsidR="00943FF9" w:rsidRPr="00B53F89">
        <w:t xml:space="preserve"> matters relating to</w:t>
      </w:r>
      <w:r w:rsidRPr="00B53F89">
        <w:t xml:space="preserve"> the </w:t>
      </w:r>
      <w:hyperlink r:id="rId130" w:history="1">
        <w:r w:rsidRPr="00B53F89">
          <w:rPr>
            <w:rStyle w:val="Hyperlink"/>
            <w:i/>
          </w:rPr>
          <w:t>Commercial Broadcasting (Tax) Act 2017</w:t>
        </w:r>
      </w:hyperlink>
      <w:r w:rsidRPr="00B53F89">
        <w:rPr>
          <w:i/>
        </w:rPr>
        <w:t>.</w:t>
      </w:r>
      <w:r w:rsidRPr="00B53F89">
        <w:t xml:space="preserve"> </w:t>
      </w:r>
      <w:bookmarkStart w:id="632" w:name="_Hlk2682401"/>
      <w:bookmarkStart w:id="633" w:name="_Hlk16243927"/>
      <w:r w:rsidR="007E08F4" w:rsidRPr="00B53F89">
        <w:t>The scope of the review is being considered</w:t>
      </w:r>
      <w:r w:rsidR="00B636E4">
        <w:t xml:space="preserve"> and we</w:t>
      </w:r>
      <w:r w:rsidR="007E08F4" w:rsidRPr="00B53F89">
        <w:t xml:space="preserve"> expect to </w:t>
      </w:r>
      <w:r w:rsidRPr="00B53F89">
        <w:t xml:space="preserve">make announcements </w:t>
      </w:r>
      <w:r w:rsidR="00A713EB" w:rsidRPr="00B53F89">
        <w:t xml:space="preserve">in </w:t>
      </w:r>
      <w:r w:rsidR="00684A6D" w:rsidRPr="00D265A5">
        <w:t>Q</w:t>
      </w:r>
      <w:r w:rsidR="00684A6D">
        <w:t>4</w:t>
      </w:r>
      <w:r w:rsidR="00684A6D" w:rsidRPr="00D265A5">
        <w:t xml:space="preserve"> </w:t>
      </w:r>
      <w:r w:rsidR="00A713EB" w:rsidRPr="00D265A5">
        <w:t>20</w:t>
      </w:r>
      <w:r w:rsidR="006F15F8" w:rsidRPr="00D265A5">
        <w:t>20</w:t>
      </w:r>
      <w:r w:rsidRPr="00B53F89">
        <w:t>.</w:t>
      </w:r>
      <w:r w:rsidR="00362799" w:rsidRPr="00B53F89">
        <w:t xml:space="preserve"> </w:t>
      </w:r>
      <w:bookmarkEnd w:id="632"/>
      <w:bookmarkEnd w:id="633"/>
    </w:p>
    <w:p w14:paraId="0F93EBF6" w14:textId="5BDA23B2" w:rsidR="000A0667" w:rsidRDefault="006E787B" w:rsidP="006C29E6">
      <w:pPr>
        <w:pStyle w:val="Heading3"/>
        <w:keepNext w:val="0"/>
      </w:pPr>
      <w:bookmarkStart w:id="634" w:name="_Toc36207480"/>
      <w:bookmarkStart w:id="635" w:name="_Toc51864403"/>
      <w:bookmarkStart w:id="636" w:name="_Toc31892866"/>
      <w:r w:rsidRPr="006A2F04">
        <w:rPr>
          <w:noProof/>
        </w:rPr>
        <w:drawing>
          <wp:inline distT="0" distB="0" distL="0" distR="0" wp14:anchorId="5A9840E0" wp14:editId="1DFDA9B8">
            <wp:extent cx="244475" cy="140335"/>
            <wp:effectExtent l="0" t="0" r="3175" b="0"/>
            <wp:docPr id="44" name="Picture 44"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0A0667">
        <w:t>N</w:t>
      </w:r>
      <w:r w:rsidR="000A0667" w:rsidRPr="000353BE">
        <w:t>ew EME levy arrangements.</w:t>
      </w:r>
      <w:bookmarkEnd w:id="634"/>
      <w:bookmarkEnd w:id="635"/>
      <w:r w:rsidR="000A0667" w:rsidRPr="000353BE">
        <w:t xml:space="preserve"> </w:t>
      </w:r>
    </w:p>
    <w:p w14:paraId="68348073" w14:textId="18FC2948" w:rsidR="000A0667" w:rsidRPr="000A0667" w:rsidRDefault="00B21945" w:rsidP="00717CE2">
      <w:r>
        <w:t>The</w:t>
      </w:r>
      <w:r w:rsidR="000A0667" w:rsidRPr="00825B70">
        <w:t xml:space="preserve"> Minister </w:t>
      </w:r>
      <w:r>
        <w:t xml:space="preserve">has </w:t>
      </w:r>
      <w:r w:rsidR="000A0667" w:rsidRPr="00825B70">
        <w:t>direct</w:t>
      </w:r>
      <w:r>
        <w:t>ed</w:t>
      </w:r>
      <w:r w:rsidR="000A0667" w:rsidRPr="00825B70">
        <w:t xml:space="preserve"> the ACMA </w:t>
      </w:r>
      <w:r w:rsidR="00D60261">
        <w:t>to</w:t>
      </w:r>
      <w:r w:rsidR="00D60261" w:rsidRPr="00825B70">
        <w:t xml:space="preserve"> </w:t>
      </w:r>
      <w:r w:rsidR="000A0667" w:rsidRPr="00825B70">
        <w:t>implement new taxation arrangements so that industry can contribute to the funding of EME research</w:t>
      </w:r>
      <w:r w:rsidR="00C8737C">
        <w:t>.</w:t>
      </w:r>
      <w:r w:rsidR="006E787B">
        <w:t xml:space="preserve"> </w:t>
      </w:r>
      <w:r w:rsidR="00C8737C">
        <w:t>W</w:t>
      </w:r>
      <w:r w:rsidR="00D60261">
        <w:t>e</w:t>
      </w:r>
      <w:r w:rsidR="000A0667" w:rsidRPr="00825B70">
        <w:t xml:space="preserve"> consult</w:t>
      </w:r>
      <w:r>
        <w:t>ed</w:t>
      </w:r>
      <w:r w:rsidR="000A0667" w:rsidRPr="00825B70">
        <w:t xml:space="preserve"> </w:t>
      </w:r>
      <w:r>
        <w:t>and made new spectrum licence</w:t>
      </w:r>
      <w:r w:rsidR="000A0667" w:rsidRPr="00825B70">
        <w:t xml:space="preserve"> tax arrangements in Q3 2020.</w:t>
      </w:r>
    </w:p>
    <w:p w14:paraId="05A2765C" w14:textId="004F2E86" w:rsidR="00385D4D" w:rsidRPr="00B53F89" w:rsidRDefault="006E787B" w:rsidP="006C29E6">
      <w:pPr>
        <w:pStyle w:val="Heading3"/>
        <w:keepNext w:val="0"/>
      </w:pPr>
      <w:bookmarkStart w:id="637" w:name="_Toc36207481"/>
      <w:bookmarkStart w:id="638" w:name="_Toc51864404"/>
      <w:r w:rsidRPr="006A2F04">
        <w:rPr>
          <w:noProof/>
        </w:rPr>
        <w:drawing>
          <wp:inline distT="0" distB="0" distL="0" distR="0" wp14:anchorId="78B87DC7" wp14:editId="58BE36DA">
            <wp:extent cx="244475" cy="140335"/>
            <wp:effectExtent l="0" t="0" r="3175" b="0"/>
            <wp:docPr id="46" name="Picture 46"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t xml:space="preserve">  </w:t>
      </w:r>
      <w:r w:rsidR="00385D4D" w:rsidRPr="00B53F89">
        <w:t>Other pricing updates</w:t>
      </w:r>
      <w:bookmarkEnd w:id="636"/>
      <w:bookmarkEnd w:id="637"/>
      <w:bookmarkEnd w:id="638"/>
    </w:p>
    <w:p w14:paraId="72899938" w14:textId="6F35BE3E" w:rsidR="00D3495C" w:rsidRPr="00B53F89" w:rsidRDefault="00D60261">
      <w:r>
        <w:t>We</w:t>
      </w:r>
      <w:r w:rsidR="00E41300" w:rsidRPr="00B53F89">
        <w:t xml:space="preserve"> will continue to </w:t>
      </w:r>
      <w:r w:rsidR="00E30A83" w:rsidRPr="00B53F89">
        <w:t xml:space="preserve">consider </w:t>
      </w:r>
      <w:r w:rsidR="00E41300" w:rsidRPr="00B53F89">
        <w:t>changes to the apparatus licence tax regime</w:t>
      </w:r>
      <w:r w:rsidR="0024573F">
        <w:t xml:space="preserve">, </w:t>
      </w:r>
      <w:r w:rsidR="00E41300" w:rsidRPr="00B53F89">
        <w:t xml:space="preserve">including adjusting taxes for </w:t>
      </w:r>
      <w:r w:rsidR="00E41300" w:rsidRPr="00B53F89" w:rsidDel="00243182">
        <w:t>inflation.</w:t>
      </w:r>
      <w:r w:rsidR="006C6342" w:rsidRPr="00B53F89" w:rsidDel="00243182">
        <w:t xml:space="preserve"> </w:t>
      </w:r>
      <w:r>
        <w:t>We are also</w:t>
      </w:r>
      <w:r w:rsidR="00717CE2">
        <w:t xml:space="preserve"> seeking feedback as part of the implementation of the Spectrum Pricing Review on alternatives to adjusting taxes for inflation.</w:t>
      </w:r>
    </w:p>
    <w:p w14:paraId="44E113A9" w14:textId="6AF40DDF" w:rsidR="00B67A16" w:rsidRPr="00B53F89" w:rsidRDefault="00B67A16">
      <w:r>
        <w:t>We expect to consult on changes to the spectrum licence tax arrangements to include the 26 GHz band and other related changes in Q2 or Q3 2021.</w:t>
      </w:r>
    </w:p>
    <w:p w14:paraId="3952E714" w14:textId="01D30807" w:rsidR="00624407" w:rsidRPr="00B53F89" w:rsidRDefault="00624407" w:rsidP="00CF66CF">
      <w:pPr>
        <w:pageBreakBefore/>
        <w:spacing w:after="60"/>
      </w:pPr>
      <w:bookmarkStart w:id="639" w:name="_Toc510104994"/>
      <w:bookmarkStart w:id="640" w:name="_Toc510105791"/>
      <w:bookmarkStart w:id="641" w:name="_Toc510795125"/>
      <w:bookmarkStart w:id="642" w:name="_Toc511716327"/>
      <w:bookmarkStart w:id="643" w:name="_Toc511719138"/>
      <w:bookmarkStart w:id="644" w:name="_Toc522794131"/>
      <w:r w:rsidRPr="006A2F04">
        <w:rPr>
          <w:noProof/>
        </w:rPr>
        <w:lastRenderedPageBreak/>
        <w:drawing>
          <wp:inline distT="0" distB="0" distL="0" distR="0" wp14:anchorId="7F3942C6" wp14:editId="52C3A72E">
            <wp:extent cx="342900" cy="361950"/>
            <wp:effectExtent l="0" t="0" r="0" b="0"/>
            <wp:docPr id="134" name="Picture 13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7E79584" wp14:editId="2A5F9970">
            <wp:extent cx="342900" cy="361950"/>
            <wp:effectExtent l="0" t="0" r="0" b="0"/>
            <wp:docPr id="135" name="Picture 135"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567FC23" w14:textId="60265334" w:rsidR="00286D6B" w:rsidRPr="00B53F89" w:rsidRDefault="00286D6B" w:rsidP="00CF66CF">
      <w:pPr>
        <w:pStyle w:val="Heading1"/>
        <w:pageBreakBefore w:val="0"/>
      </w:pPr>
      <w:bookmarkStart w:id="645" w:name="_Toc31892867"/>
      <w:bookmarkStart w:id="646" w:name="_Toc36207482"/>
      <w:bookmarkStart w:id="647" w:name="_Toc51846301"/>
      <w:bookmarkStart w:id="648" w:name="_Toc51864405"/>
      <w:r w:rsidRPr="00B53F89">
        <w:t>Compliance and enforcement</w:t>
      </w:r>
      <w:bookmarkEnd w:id="639"/>
      <w:bookmarkEnd w:id="640"/>
      <w:bookmarkEnd w:id="641"/>
      <w:bookmarkEnd w:id="642"/>
      <w:bookmarkEnd w:id="643"/>
      <w:bookmarkEnd w:id="644"/>
      <w:bookmarkEnd w:id="645"/>
      <w:bookmarkEnd w:id="646"/>
      <w:bookmarkEnd w:id="647"/>
      <w:bookmarkEnd w:id="648"/>
    </w:p>
    <w:p w14:paraId="4ABA363A" w14:textId="35BDE576" w:rsidR="001F307F" w:rsidRPr="00B53F89" w:rsidRDefault="00CE3083" w:rsidP="006C29E6">
      <w:pPr>
        <w:pStyle w:val="Heading2"/>
        <w:keepNext w:val="0"/>
      </w:pPr>
      <w:bookmarkStart w:id="649" w:name="_Toc511716328"/>
      <w:bookmarkStart w:id="650" w:name="_Toc511719139"/>
      <w:bookmarkStart w:id="651" w:name="_Toc522794132"/>
      <w:bookmarkStart w:id="652" w:name="_Toc31892868"/>
      <w:bookmarkStart w:id="653" w:name="_Toc36207483"/>
      <w:bookmarkStart w:id="654" w:name="_Toc51846302"/>
      <w:bookmarkStart w:id="655" w:name="_Toc51864406"/>
      <w:bookmarkStart w:id="656" w:name="_Toc510104995"/>
      <w:bookmarkStart w:id="657" w:name="_Toc510105792"/>
      <w:bookmarkStart w:id="658" w:name="_Toc510795126"/>
      <w:r w:rsidRPr="00B53F89">
        <w:t>C</w:t>
      </w:r>
      <w:r w:rsidR="001F307F" w:rsidRPr="00B53F89">
        <w:t xml:space="preserve">ompliance </w:t>
      </w:r>
      <w:r w:rsidRPr="00B53F89">
        <w:t>priorities</w:t>
      </w:r>
      <w:bookmarkEnd w:id="649"/>
      <w:bookmarkEnd w:id="650"/>
      <w:bookmarkEnd w:id="651"/>
      <w:bookmarkEnd w:id="652"/>
      <w:bookmarkEnd w:id="653"/>
      <w:bookmarkEnd w:id="654"/>
      <w:bookmarkEnd w:id="655"/>
    </w:p>
    <w:p w14:paraId="222EBEB6" w14:textId="435D618D" w:rsidR="00E467E4" w:rsidRDefault="00D60261" w:rsidP="0063734A">
      <w:r>
        <w:t>Our</w:t>
      </w:r>
      <w:r w:rsidR="00E467E4">
        <w:t xml:space="preserve"> compliance priorities aim to systematically identify and address high-risk </w:t>
      </w:r>
      <w:r w:rsidR="00595B34">
        <w:t xml:space="preserve">compliance issues or issues of greatest concern to the community or industry, by maximising </w:t>
      </w:r>
      <w:r w:rsidR="00F72A72">
        <w:t xml:space="preserve">our </w:t>
      </w:r>
      <w:r w:rsidR="00595B34">
        <w:t xml:space="preserve">regulatory reach in a strategic and resource-efficient manner. </w:t>
      </w:r>
      <w:r w:rsidR="00FF147C">
        <w:t xml:space="preserve">In </w:t>
      </w:r>
      <w:r w:rsidR="00FF147C" w:rsidRPr="00B53F89">
        <w:t>20</w:t>
      </w:r>
      <w:r w:rsidR="00FF147C">
        <w:t>19</w:t>
      </w:r>
      <w:r w:rsidR="00FF147C" w:rsidRPr="00B53F89">
        <w:t>–2</w:t>
      </w:r>
      <w:r w:rsidR="00FF147C">
        <w:t>0</w:t>
      </w:r>
      <w:r w:rsidR="00FF147C" w:rsidRPr="00B53F89">
        <w:t xml:space="preserve">, </w:t>
      </w:r>
      <w:r w:rsidR="00F72A72">
        <w:t>we</w:t>
      </w:r>
      <w:r w:rsidR="00FF147C" w:rsidRPr="00B53F89">
        <w:t xml:space="preserve"> </w:t>
      </w:r>
      <w:r w:rsidR="00FF147C">
        <w:t>adopted</w:t>
      </w:r>
      <w:r w:rsidR="00FF147C" w:rsidRPr="00B53F89">
        <w:t xml:space="preserve"> a whole-of-agency approach to setting priorities to guide </w:t>
      </w:r>
      <w:r w:rsidR="00F72A72">
        <w:t>our</w:t>
      </w:r>
      <w:r w:rsidR="00F72A72" w:rsidRPr="00B53F89">
        <w:t xml:space="preserve"> </w:t>
      </w:r>
      <w:r w:rsidR="00FF147C" w:rsidRPr="00B53F89">
        <w:t>compliance and enforcement activities.</w:t>
      </w:r>
    </w:p>
    <w:p w14:paraId="79D20B6D" w14:textId="01A862AC" w:rsidR="006B6F6E" w:rsidRPr="00B53F89" w:rsidRDefault="00B340C4" w:rsidP="006C29E6">
      <w:pPr>
        <w:pStyle w:val="Heading2"/>
        <w:keepNext w:val="0"/>
      </w:pPr>
      <w:bookmarkStart w:id="659" w:name="_Toc36207484"/>
      <w:bookmarkStart w:id="660" w:name="_Toc51846303"/>
      <w:bookmarkStart w:id="661" w:name="_Toc51864407"/>
      <w:r>
        <w:t>Recent developments</w:t>
      </w:r>
      <w:bookmarkEnd w:id="656"/>
      <w:bookmarkEnd w:id="657"/>
      <w:bookmarkEnd w:id="658"/>
      <w:bookmarkEnd w:id="659"/>
      <w:bookmarkEnd w:id="660"/>
      <w:bookmarkEnd w:id="661"/>
    </w:p>
    <w:p w14:paraId="677C14BE" w14:textId="6617AE89" w:rsidR="004F7193" w:rsidRDefault="004F7193" w:rsidP="006C29E6">
      <w:pPr>
        <w:pStyle w:val="Heading3"/>
        <w:keepNext w:val="0"/>
      </w:pPr>
      <w:bookmarkStart w:id="662" w:name="_Toc36207485"/>
      <w:bookmarkStart w:id="663" w:name="_Toc51864408"/>
      <w:bookmarkStart w:id="664" w:name="_Toc31892870"/>
      <w:r>
        <w:t xml:space="preserve">Audit of small cell </w:t>
      </w:r>
      <w:r w:rsidR="00737F97">
        <w:t>base stations</w:t>
      </w:r>
      <w:bookmarkEnd w:id="662"/>
      <w:bookmarkEnd w:id="663"/>
      <w:r w:rsidR="00737F97">
        <w:t xml:space="preserve"> </w:t>
      </w:r>
    </w:p>
    <w:p w14:paraId="48B508B3" w14:textId="426CCC62" w:rsidR="00D420AD" w:rsidRDefault="00737F97" w:rsidP="00513FDE">
      <w:pPr>
        <w:pStyle w:val="Paragraphbeforelist"/>
      </w:pPr>
      <w:r w:rsidRPr="00B53F89">
        <w:t>With small cell deployments</w:t>
      </w:r>
      <w:r w:rsidR="0024573F">
        <w:t xml:space="preserve"> expected to increase</w:t>
      </w:r>
      <w:r w:rsidRPr="00B53F89">
        <w:t xml:space="preserve"> as 5G technology is implemented, </w:t>
      </w:r>
      <w:r w:rsidR="00F72A72">
        <w:t>we</w:t>
      </w:r>
      <w:r w:rsidRPr="00B53F89">
        <w:t xml:space="preserve"> </w:t>
      </w:r>
      <w:r w:rsidR="00D420AD">
        <w:t>undertook a</w:t>
      </w:r>
      <w:r w:rsidRPr="00B53F89">
        <w:t xml:space="preserve"> program of compliance audits </w:t>
      </w:r>
      <w:r w:rsidR="00F72A72">
        <w:t xml:space="preserve">in 2019–20 </w:t>
      </w:r>
      <w:r w:rsidR="00D420AD">
        <w:t xml:space="preserve">to test </w:t>
      </w:r>
      <w:r w:rsidR="00A1670B">
        <w:t>carrier</w:t>
      </w:r>
      <w:r w:rsidR="00D420AD">
        <w:t xml:space="preserve"> compliance with their</w:t>
      </w:r>
      <w:r w:rsidR="00A1670B">
        <w:t xml:space="preserve"> obligations under the Mobile Phone Base Station Deployment Code and the</w:t>
      </w:r>
      <w:r w:rsidR="00D420AD">
        <w:t xml:space="preserve"> EME exposure </w:t>
      </w:r>
      <w:r w:rsidR="00F72A72">
        <w:t>rules</w:t>
      </w:r>
      <w:r w:rsidR="00D420AD">
        <w:t xml:space="preserve">. </w:t>
      </w:r>
      <w:r w:rsidR="003E62F3">
        <w:t xml:space="preserve">The key components </w:t>
      </w:r>
      <w:r w:rsidR="00F72A72">
        <w:t xml:space="preserve">of </w:t>
      </w:r>
      <w:r w:rsidR="003E62F3">
        <w:t xml:space="preserve">this compliance program </w:t>
      </w:r>
      <w:r w:rsidR="00C42DD8">
        <w:t>were</w:t>
      </w:r>
      <w:r w:rsidR="003E62F3">
        <w:t>:</w:t>
      </w:r>
      <w:r w:rsidRPr="00B53F89">
        <w:t xml:space="preserve"> </w:t>
      </w:r>
    </w:p>
    <w:p w14:paraId="79BF313E" w14:textId="3979A658" w:rsidR="00862900" w:rsidRPr="00D277F3" w:rsidRDefault="00862900" w:rsidP="00513FDE">
      <w:pPr>
        <w:pStyle w:val="Bulletlevel1"/>
      </w:pPr>
      <w:r w:rsidRPr="00D277F3">
        <w:t xml:space="preserve">audits to </w:t>
      </w:r>
      <w:r w:rsidR="00F72A72">
        <w:t>gauge</w:t>
      </w:r>
      <w:r w:rsidR="00F72A72" w:rsidRPr="00D277F3">
        <w:t xml:space="preserve"> </w:t>
      </w:r>
      <w:r w:rsidRPr="00D277F3">
        <w:t>carrier’s compliance with their obligations under C564:</w:t>
      </w:r>
      <w:r w:rsidR="00F72A72">
        <w:t xml:space="preserve"> </w:t>
      </w:r>
      <w:r w:rsidRPr="00D277F3">
        <w:t>Mobile Phone Base Station Deployment</w:t>
      </w:r>
    </w:p>
    <w:p w14:paraId="4D2B9585" w14:textId="185C50A7" w:rsidR="003E62F3" w:rsidRPr="0016197A" w:rsidRDefault="00A12FE8" w:rsidP="00513FDE">
      <w:pPr>
        <w:pStyle w:val="Bulletlevel1"/>
      </w:pPr>
      <w:r w:rsidRPr="00D277F3">
        <w:t>r</w:t>
      </w:r>
      <w:r w:rsidR="003E62F3" w:rsidRPr="00D277F3">
        <w:t>ecord</w:t>
      </w:r>
      <w:r w:rsidR="003E62F3" w:rsidRPr="00D277F3" w:rsidDel="00F72A72">
        <w:t>s</w:t>
      </w:r>
      <w:r w:rsidR="003E62F3" w:rsidRPr="00D277F3">
        <w:t xml:space="preserve"> audits </w:t>
      </w:r>
      <w:r w:rsidR="00862900" w:rsidRPr="00D277F3">
        <w:t xml:space="preserve">to ascertain </w:t>
      </w:r>
      <w:r w:rsidRPr="00D277F3">
        <w:t>carrier’s</w:t>
      </w:r>
      <w:r w:rsidR="003E62F3" w:rsidRPr="00D277F3" w:rsidDel="00A12FE8">
        <w:t xml:space="preserve"> </w:t>
      </w:r>
      <w:r w:rsidR="003E62F3" w:rsidRPr="00D277F3">
        <w:t>compliance with</w:t>
      </w:r>
      <w:r w:rsidR="003E62F3" w:rsidRPr="00F118C1">
        <w:t xml:space="preserve"> </w:t>
      </w:r>
      <w:r w:rsidRPr="00F118C1">
        <w:t xml:space="preserve">the EME </w:t>
      </w:r>
      <w:r w:rsidR="003E62F3" w:rsidRPr="00F118C1">
        <w:t xml:space="preserve">licence conditions </w:t>
      </w:r>
      <w:r w:rsidRPr="000B3F46">
        <w:t xml:space="preserve">and </w:t>
      </w:r>
      <w:r w:rsidR="00CF7A9D" w:rsidRPr="0018795D">
        <w:t>EME</w:t>
      </w:r>
      <w:r w:rsidR="003E62F3" w:rsidRPr="0018795D">
        <w:t xml:space="preserve"> human exposure limits</w:t>
      </w:r>
      <w:r w:rsidR="003E62F3" w:rsidRPr="00614982">
        <w:t xml:space="preserve"> </w:t>
      </w:r>
      <w:r w:rsidRPr="00614982">
        <w:t>set by</w:t>
      </w:r>
      <w:r w:rsidR="006F012B">
        <w:t xml:space="preserve"> the ACMA, incorporating</w:t>
      </w:r>
      <w:r w:rsidR="00F72A72">
        <w:t xml:space="preserve"> the</w:t>
      </w:r>
      <w:r w:rsidR="006F012B">
        <w:t xml:space="preserve"> </w:t>
      </w:r>
      <w:r w:rsidR="006F012B" w:rsidRPr="00614982">
        <w:t>ARPANSA</w:t>
      </w:r>
      <w:r w:rsidR="006F012B">
        <w:t xml:space="preserve"> standard</w:t>
      </w:r>
    </w:p>
    <w:p w14:paraId="4A50547D" w14:textId="5B9649E0" w:rsidR="007C38DB" w:rsidRPr="00D277F3" w:rsidRDefault="0041766B" w:rsidP="00513FDE">
      <w:pPr>
        <w:pStyle w:val="Bulletlevel1last"/>
      </w:pPr>
      <w:r>
        <w:t>a</w:t>
      </w:r>
      <w:r w:rsidR="007C38DB">
        <w:t xml:space="preserve"> </w:t>
      </w:r>
      <w:r w:rsidR="007C38DB" w:rsidRPr="00D277F3">
        <w:t xml:space="preserve">spot measurement program </w:t>
      </w:r>
      <w:r w:rsidR="00862900" w:rsidRPr="00D277F3">
        <w:t xml:space="preserve">to </w:t>
      </w:r>
      <w:r w:rsidR="00F72A72">
        <w:t>assess</w:t>
      </w:r>
      <w:r w:rsidR="00F72A72" w:rsidRPr="00D277F3">
        <w:t xml:space="preserve"> </w:t>
      </w:r>
      <w:r w:rsidR="007C38DB" w:rsidRPr="00D277F3">
        <w:t xml:space="preserve">EME exposure levels near randomly selected small cell sites nationally. </w:t>
      </w:r>
    </w:p>
    <w:p w14:paraId="2128479E" w14:textId="288EDF6D" w:rsidR="00737F97" w:rsidRPr="004F7193" w:rsidRDefault="00862900" w:rsidP="00D420AD">
      <w:bookmarkStart w:id="665" w:name="_Hlk50031511"/>
      <w:r>
        <w:t xml:space="preserve">The </w:t>
      </w:r>
      <w:r w:rsidR="00C60ADF">
        <w:t>findings from</w:t>
      </w:r>
      <w:r w:rsidR="007C38DB">
        <w:t xml:space="preserve"> the </w:t>
      </w:r>
      <w:r>
        <w:t xml:space="preserve">compliance records </w:t>
      </w:r>
      <w:r w:rsidR="007C38DB">
        <w:t>audit</w:t>
      </w:r>
      <w:r>
        <w:t xml:space="preserve">s </w:t>
      </w:r>
      <w:r w:rsidR="00A9222D">
        <w:t xml:space="preserve">were published in July 2020 </w:t>
      </w:r>
      <w:r>
        <w:t xml:space="preserve">and </w:t>
      </w:r>
      <w:r w:rsidR="00F423B4">
        <w:t xml:space="preserve">the </w:t>
      </w:r>
      <w:r>
        <w:t xml:space="preserve">EME measurement program </w:t>
      </w:r>
      <w:r w:rsidR="00A9222D">
        <w:t>summary report was</w:t>
      </w:r>
      <w:r w:rsidR="007C38DB">
        <w:t xml:space="preserve"> </w:t>
      </w:r>
      <w:r>
        <w:t xml:space="preserve">published in </w:t>
      </w:r>
      <w:r w:rsidR="00A9222D">
        <w:t>June</w:t>
      </w:r>
      <w:r w:rsidRPr="00E17616">
        <w:t xml:space="preserve"> </w:t>
      </w:r>
      <w:r w:rsidR="00C60ADF" w:rsidRPr="00E17616">
        <w:t>2020</w:t>
      </w:r>
      <w:r w:rsidR="00C60ADF">
        <w:t>.</w:t>
      </w:r>
    </w:p>
    <w:p w14:paraId="0EE1D940" w14:textId="29B41C3F" w:rsidR="00DD7452" w:rsidRPr="00B53F89" w:rsidRDefault="00DD7452" w:rsidP="006C29E6">
      <w:pPr>
        <w:pStyle w:val="Heading3"/>
        <w:keepNext w:val="0"/>
      </w:pPr>
      <w:bookmarkStart w:id="666" w:name="_Toc36207486"/>
      <w:bookmarkStart w:id="667" w:name="_Toc51864409"/>
      <w:bookmarkEnd w:id="665"/>
      <w:r w:rsidRPr="00B53F89">
        <w:t>Licen</w:t>
      </w:r>
      <w:r w:rsidR="008D4926" w:rsidRPr="00B53F89">
        <w:t>s</w:t>
      </w:r>
      <w:r w:rsidRPr="00B53F89">
        <w:t xml:space="preserve">ing </w:t>
      </w:r>
      <w:r w:rsidR="00E73975" w:rsidRPr="00B53F89">
        <w:t>i</w:t>
      </w:r>
      <w:r w:rsidRPr="00B53F89">
        <w:t>ntegrity</w:t>
      </w:r>
      <w:bookmarkEnd w:id="664"/>
      <w:bookmarkEnd w:id="666"/>
      <w:bookmarkEnd w:id="667"/>
      <w:r w:rsidRPr="00B53F89">
        <w:t xml:space="preserve"> </w:t>
      </w:r>
    </w:p>
    <w:p w14:paraId="139E65B7" w14:textId="0C1E1A63" w:rsidR="00DD7452" w:rsidRPr="00B53F89" w:rsidRDefault="00862900" w:rsidP="002E3C54">
      <w:r>
        <w:rPr>
          <w:rFonts w:cs="Arial"/>
        </w:rPr>
        <w:t>In 2019</w:t>
      </w:r>
      <w:r w:rsidR="00F72A72">
        <w:t>–</w:t>
      </w:r>
      <w:r>
        <w:rPr>
          <w:rFonts w:cs="Arial"/>
        </w:rPr>
        <w:t xml:space="preserve">20, </w:t>
      </w:r>
      <w:r w:rsidR="00F72A72">
        <w:rPr>
          <w:rFonts w:cs="Arial"/>
        </w:rPr>
        <w:t>our</w:t>
      </w:r>
      <w:r w:rsidR="00737F97" w:rsidRPr="00B53F89">
        <w:rPr>
          <w:rFonts w:cs="Arial"/>
        </w:rPr>
        <w:t xml:space="preserve"> </w:t>
      </w:r>
      <w:r w:rsidR="0041766B">
        <w:rPr>
          <w:rFonts w:cs="Arial"/>
        </w:rPr>
        <w:t>l</w:t>
      </w:r>
      <w:r w:rsidR="00737F97" w:rsidRPr="00B53F89">
        <w:rPr>
          <w:rFonts w:cs="Arial"/>
        </w:rPr>
        <w:t xml:space="preserve">icensing </w:t>
      </w:r>
      <w:r w:rsidR="0041766B">
        <w:rPr>
          <w:rFonts w:cs="Arial"/>
        </w:rPr>
        <w:t>i</w:t>
      </w:r>
      <w:r w:rsidR="00737F97" w:rsidRPr="00B53F89">
        <w:rPr>
          <w:rFonts w:cs="Arial"/>
        </w:rPr>
        <w:t xml:space="preserve">ntegrity </w:t>
      </w:r>
      <w:r w:rsidR="00C60ADF">
        <w:rPr>
          <w:rFonts w:cs="Arial"/>
        </w:rPr>
        <w:t>co</w:t>
      </w:r>
      <w:r w:rsidR="003A61F9">
        <w:rPr>
          <w:rFonts w:cs="Arial"/>
        </w:rPr>
        <w:t>mpliance program f</w:t>
      </w:r>
      <w:r w:rsidR="00737F97" w:rsidRPr="00B53F89">
        <w:rPr>
          <w:rFonts w:cs="Arial"/>
        </w:rPr>
        <w:t>ocus</w:t>
      </w:r>
      <w:r w:rsidR="003A61F9">
        <w:rPr>
          <w:rFonts w:cs="Arial"/>
        </w:rPr>
        <w:t>ed</w:t>
      </w:r>
      <w:r w:rsidR="00737F97" w:rsidRPr="00B53F89">
        <w:rPr>
          <w:rFonts w:cs="Arial"/>
        </w:rPr>
        <w:t xml:space="preserve"> on services operating unlawfully in the 5.6 GHz band and the operation of non-compliant devices in the </w:t>
      </w:r>
      <w:r w:rsidR="0024573F" w:rsidRPr="00B53F89">
        <w:rPr>
          <w:rFonts w:cs="Arial"/>
        </w:rPr>
        <w:t>400</w:t>
      </w:r>
      <w:r w:rsidR="0024573F">
        <w:rPr>
          <w:rFonts w:cs="Arial"/>
        </w:rPr>
        <w:t> </w:t>
      </w:r>
      <w:r w:rsidR="00737F97" w:rsidRPr="00B53F89">
        <w:rPr>
          <w:rFonts w:cs="Arial"/>
        </w:rPr>
        <w:t>MHz band.</w:t>
      </w:r>
      <w:r w:rsidR="003A61F9">
        <w:rPr>
          <w:rFonts w:cs="Arial"/>
        </w:rPr>
        <w:t xml:space="preserve"> This</w:t>
      </w:r>
      <w:r w:rsidR="003A61F9" w:rsidDel="00C42DD8">
        <w:rPr>
          <w:rFonts w:cs="Arial"/>
        </w:rPr>
        <w:t xml:space="preserve"> </w:t>
      </w:r>
      <w:r w:rsidR="00C42DD8">
        <w:rPr>
          <w:rFonts w:cs="Arial"/>
        </w:rPr>
        <w:t>complemented</w:t>
      </w:r>
      <w:r w:rsidR="003A61F9">
        <w:rPr>
          <w:rFonts w:cs="Arial"/>
        </w:rPr>
        <w:t xml:space="preserve"> </w:t>
      </w:r>
      <w:r w:rsidR="00F72A72">
        <w:rPr>
          <w:rFonts w:cs="Arial"/>
        </w:rPr>
        <w:t xml:space="preserve">previous </w:t>
      </w:r>
      <w:r w:rsidR="003A61F9">
        <w:rPr>
          <w:rFonts w:cs="Arial"/>
        </w:rPr>
        <w:t xml:space="preserve">work </w:t>
      </w:r>
      <w:r w:rsidR="00DD7452" w:rsidRPr="00B53F89">
        <w:t xml:space="preserve">relating to non-renewal of lapsed apparatus licences and the importation </w:t>
      </w:r>
      <w:r w:rsidR="00A1670B">
        <w:t xml:space="preserve">and operation </w:t>
      </w:r>
      <w:r w:rsidR="00DD7452" w:rsidRPr="00B53F89">
        <w:t xml:space="preserve">of </w:t>
      </w:r>
      <w:r w:rsidR="00A1670B">
        <w:t>unlicensed,</w:t>
      </w:r>
      <w:r w:rsidR="00DD7452" w:rsidRPr="00B53F89">
        <w:t xml:space="preserve"> pre-programmed two-way radios</w:t>
      </w:r>
      <w:r w:rsidR="00DD7452" w:rsidRPr="00B53F89" w:rsidDel="00A1670B">
        <w:t xml:space="preserve"> </w:t>
      </w:r>
      <w:r w:rsidR="00A549A1" w:rsidRPr="00B53F89">
        <w:t>operating in land mobile spectrum.</w:t>
      </w:r>
    </w:p>
    <w:p w14:paraId="56005685" w14:textId="788CBD96" w:rsidR="00614686" w:rsidRPr="00B53F89" w:rsidRDefault="00614686" w:rsidP="002E3C54">
      <w:r w:rsidRPr="00B53F89">
        <w:t xml:space="preserve">Spectrum </w:t>
      </w:r>
      <w:r w:rsidR="00461BD6" w:rsidRPr="00B53F89">
        <w:t>m</w:t>
      </w:r>
      <w:r w:rsidRPr="00B53F89">
        <w:t xml:space="preserve">onitoring </w:t>
      </w:r>
      <w:r w:rsidR="00401A0E">
        <w:t xml:space="preserve">and </w:t>
      </w:r>
      <w:r w:rsidR="006F012B">
        <w:t>on-the-</w:t>
      </w:r>
      <w:r w:rsidR="00401A0E">
        <w:t xml:space="preserve">ground intelligence gathering to identify non-compliance </w:t>
      </w:r>
      <w:r w:rsidR="00461BD6" w:rsidRPr="00B53F89">
        <w:t xml:space="preserve">in the 5.6 GHz band has been </w:t>
      </w:r>
      <w:r w:rsidR="00401A0E">
        <w:t>conducted</w:t>
      </w:r>
      <w:r w:rsidR="00461BD6" w:rsidRPr="00B53F89">
        <w:t xml:space="preserve"> in </w:t>
      </w:r>
      <w:r w:rsidR="00301B46" w:rsidRPr="00B53F89">
        <w:t>w</w:t>
      </w:r>
      <w:r w:rsidR="00461BD6" w:rsidRPr="00B53F89">
        <w:t>estern Victoria, South Australia</w:t>
      </w:r>
      <w:r w:rsidR="00401A0E">
        <w:t xml:space="preserve">, </w:t>
      </w:r>
      <w:r w:rsidR="0041766B">
        <w:t>n</w:t>
      </w:r>
      <w:r w:rsidR="00401A0E">
        <w:t>orthern New South Wales</w:t>
      </w:r>
      <w:r w:rsidR="00461BD6" w:rsidRPr="00B53F89">
        <w:t xml:space="preserve"> and the Sunshine </w:t>
      </w:r>
      <w:r w:rsidR="002368B2" w:rsidRPr="00B53F89">
        <w:t>C</w:t>
      </w:r>
      <w:r w:rsidR="00461BD6" w:rsidRPr="00B53F89">
        <w:t>oast in Queensland</w:t>
      </w:r>
      <w:r w:rsidR="00757389" w:rsidRPr="00B53F89">
        <w:t>.</w:t>
      </w:r>
      <w:r w:rsidR="00A9222D">
        <w:t xml:space="preserve"> </w:t>
      </w:r>
      <w:r w:rsidR="00F423B4" w:rsidRPr="00F423B4">
        <w:t xml:space="preserve">The findings from </w:t>
      </w:r>
      <w:r w:rsidR="00F423B4">
        <w:t>our work in the 5.6</w:t>
      </w:r>
      <w:r w:rsidR="00615B51">
        <w:t xml:space="preserve"> </w:t>
      </w:r>
      <w:r w:rsidR="00F423B4">
        <w:t xml:space="preserve">GHz band were </w:t>
      </w:r>
      <w:r w:rsidR="00A9222D">
        <w:t>published in July 2020</w:t>
      </w:r>
      <w:r w:rsidR="00F423B4">
        <w:t>.</w:t>
      </w:r>
    </w:p>
    <w:p w14:paraId="1528B471" w14:textId="79E70DDF" w:rsidR="00757389" w:rsidRPr="00B53F89" w:rsidRDefault="005A465E" w:rsidP="002E3C54">
      <w:r>
        <w:t>A</w:t>
      </w:r>
      <w:r w:rsidR="00757389" w:rsidRPr="00B53F89">
        <w:t xml:space="preserve"> 400 MHz monitoring program </w:t>
      </w:r>
      <w:r w:rsidR="0024573F">
        <w:t>was</w:t>
      </w:r>
      <w:r w:rsidR="00ED6027" w:rsidRPr="00B53F89">
        <w:t xml:space="preserve"> </w:t>
      </w:r>
      <w:r>
        <w:t>conducted</w:t>
      </w:r>
      <w:r w:rsidR="00757389" w:rsidRPr="00B53F89">
        <w:t xml:space="preserve"> in </w:t>
      </w:r>
      <w:r>
        <w:t>Adelaide,</w:t>
      </w:r>
      <w:r w:rsidR="00A1670B">
        <w:t xml:space="preserve"> </w:t>
      </w:r>
      <w:r>
        <w:t>Perth,</w:t>
      </w:r>
      <w:r w:rsidRPr="00B53F89">
        <w:t xml:space="preserve"> </w:t>
      </w:r>
      <w:r w:rsidR="00757389" w:rsidRPr="00B53F89">
        <w:t>Brisbane, Sydney and Melbourne</w:t>
      </w:r>
      <w:bookmarkStart w:id="668" w:name="_Hlk16176637"/>
      <w:r w:rsidR="00F72A72">
        <w:t>, and</w:t>
      </w:r>
      <w:r w:rsidR="00757389" w:rsidRPr="00B53F89">
        <w:t xml:space="preserve"> results </w:t>
      </w:r>
      <w:r w:rsidR="0041766B">
        <w:t>are</w:t>
      </w:r>
      <w:r w:rsidR="00ED6027" w:rsidRPr="00B53F89">
        <w:t xml:space="preserve"> being </w:t>
      </w:r>
      <w:r w:rsidR="00757389" w:rsidRPr="00B53F89">
        <w:t xml:space="preserve">used </w:t>
      </w:r>
      <w:r w:rsidR="00ED6027" w:rsidRPr="00B53F89">
        <w:t xml:space="preserve">to </w:t>
      </w:r>
      <w:r>
        <w:t>inform</w:t>
      </w:r>
      <w:r w:rsidR="00757389" w:rsidRPr="00B53F89">
        <w:t xml:space="preserve"> </w:t>
      </w:r>
      <w:r w:rsidR="00A1670B">
        <w:t>future</w:t>
      </w:r>
      <w:r w:rsidR="00757389" w:rsidRPr="00B53F89">
        <w:t xml:space="preserve"> compliance activities</w:t>
      </w:r>
      <w:r w:rsidR="00ED6027" w:rsidRPr="00B53F89">
        <w:t>.</w:t>
      </w:r>
      <w:bookmarkEnd w:id="668"/>
      <w:r w:rsidR="00A9222D" w:rsidRPr="00A9222D">
        <w:t xml:space="preserve"> </w:t>
      </w:r>
      <w:r w:rsidR="00F423B4" w:rsidRPr="00F423B4">
        <w:t xml:space="preserve">The findings from </w:t>
      </w:r>
      <w:r w:rsidR="00F423B4">
        <w:t>our work in the 400MHz band were published in July 2020.</w:t>
      </w:r>
    </w:p>
    <w:p w14:paraId="5E4A1708" w14:textId="5D919BF4" w:rsidR="00737F97" w:rsidRPr="00D420AD" w:rsidRDefault="00737F97" w:rsidP="00973240">
      <w:pPr>
        <w:pStyle w:val="Heading3"/>
        <w:keepLines/>
      </w:pPr>
      <w:bookmarkStart w:id="669" w:name="_Toc51864410"/>
      <w:r w:rsidRPr="00D420AD">
        <w:lastRenderedPageBreak/>
        <w:t xml:space="preserve">Solar </w:t>
      </w:r>
      <w:r w:rsidR="00F72A72">
        <w:t>i</w:t>
      </w:r>
      <w:r w:rsidRPr="00D420AD">
        <w:t>nverter</w:t>
      </w:r>
      <w:r w:rsidR="00D420AD">
        <w:t xml:space="preserve"> </w:t>
      </w:r>
      <w:r w:rsidR="00F72A72">
        <w:t>s</w:t>
      </w:r>
      <w:r w:rsidR="00D420AD">
        <w:t>uppliers</w:t>
      </w:r>
      <w:bookmarkEnd w:id="669"/>
    </w:p>
    <w:p w14:paraId="685EF389" w14:textId="02EC039B" w:rsidR="00A84037" w:rsidRDefault="00F72A72" w:rsidP="00973240">
      <w:pPr>
        <w:pStyle w:val="Paragraphbeforelist"/>
        <w:keepNext/>
        <w:keepLines/>
      </w:pPr>
      <w:r>
        <w:t>We have</w:t>
      </w:r>
      <w:r w:rsidR="00C42DD8">
        <w:t xml:space="preserve"> been </w:t>
      </w:r>
      <w:r w:rsidR="00737F97" w:rsidRPr="00484E48">
        <w:t>audit</w:t>
      </w:r>
      <w:r w:rsidR="005A465E" w:rsidRPr="00484E48">
        <w:t>ing</w:t>
      </w:r>
      <w:r w:rsidR="00737F97" w:rsidRPr="00B53F89">
        <w:t xml:space="preserve"> suppliers of solar inverters for compliance with </w:t>
      </w:r>
      <w:r w:rsidR="00A84037">
        <w:t xml:space="preserve">the </w:t>
      </w:r>
      <w:r w:rsidR="005A465E">
        <w:t>labelling rule</w:t>
      </w:r>
      <w:r w:rsidR="00A84037">
        <w:t>s. This include</w:t>
      </w:r>
      <w:r w:rsidR="00F318FB">
        <w:t>d</w:t>
      </w:r>
      <w:r>
        <w:t>:</w:t>
      </w:r>
      <w:r w:rsidR="00A84037">
        <w:t xml:space="preserve"> </w:t>
      </w:r>
    </w:p>
    <w:p w14:paraId="04FE7F4C" w14:textId="23117E68" w:rsidR="00737F97" w:rsidRPr="00D277F3" w:rsidRDefault="00A84037" w:rsidP="00973240">
      <w:pPr>
        <w:pStyle w:val="Bulletlevel1"/>
        <w:keepNext/>
        <w:keepLines/>
      </w:pPr>
      <w:r w:rsidRPr="00D277F3">
        <w:t>confirming the products meet the</w:t>
      </w:r>
      <w:r w:rsidR="00737F97" w:rsidRPr="00D277F3">
        <w:t xml:space="preserve"> requirements of </w:t>
      </w:r>
      <w:r w:rsidR="00F72A72">
        <w:t>our</w:t>
      </w:r>
      <w:r w:rsidR="00737F97" w:rsidRPr="00D277F3">
        <w:t xml:space="preserve"> electromagnetic compatibility arrangements</w:t>
      </w:r>
      <w:r w:rsidR="00F72A72">
        <w:t xml:space="preserve">, </w:t>
      </w:r>
      <w:r w:rsidR="00737F97" w:rsidRPr="00D277F3">
        <w:t xml:space="preserve">to minimise the risk of interference </w:t>
      </w:r>
    </w:p>
    <w:p w14:paraId="5DE58707" w14:textId="24467583" w:rsidR="00A84037" w:rsidRPr="0016197A" w:rsidRDefault="00B32491" w:rsidP="00973240">
      <w:pPr>
        <w:pStyle w:val="Bulletlevel1last"/>
        <w:keepNext/>
        <w:keepLines/>
      </w:pPr>
      <w:r>
        <w:t>confirming</w:t>
      </w:r>
      <w:r w:rsidR="00F72A72" w:rsidRPr="00614982">
        <w:t xml:space="preserve"> compliance with EME emission requirements and </w:t>
      </w:r>
      <w:r w:rsidR="00F72A72" w:rsidRPr="0016197A">
        <w:t>technical performance limits</w:t>
      </w:r>
      <w:r w:rsidR="00F72A72" w:rsidRPr="00F118C1">
        <w:t xml:space="preserve"> </w:t>
      </w:r>
      <w:r w:rsidR="00A84037" w:rsidRPr="00F118C1">
        <w:t xml:space="preserve">for devices that contain radiocommunications and/or </w:t>
      </w:r>
      <w:r w:rsidR="00A84037" w:rsidRPr="000B3F46">
        <w:t>telecommunications capability (such as</w:t>
      </w:r>
      <w:r w:rsidR="00A84037" w:rsidRPr="0018795D">
        <w:t xml:space="preserve"> wi-fi capability)</w:t>
      </w:r>
      <w:r w:rsidR="00A84037" w:rsidRPr="0016197A">
        <w:t>.</w:t>
      </w:r>
    </w:p>
    <w:p w14:paraId="53126D78" w14:textId="572949F7" w:rsidR="00737F97" w:rsidRPr="00B53F89" w:rsidRDefault="00CE2733" w:rsidP="00D277F3">
      <w:pPr>
        <w:spacing w:line="254" w:lineRule="auto"/>
      </w:pPr>
      <w:bookmarkStart w:id="670" w:name="_Hlk50031525"/>
      <w:r>
        <w:rPr>
          <w:rFonts w:cs="Arial"/>
        </w:rPr>
        <w:t xml:space="preserve">The findings </w:t>
      </w:r>
      <w:r w:rsidR="00A9222D">
        <w:rPr>
          <w:rFonts w:cs="Arial"/>
        </w:rPr>
        <w:t>were</w:t>
      </w:r>
      <w:r>
        <w:rPr>
          <w:rFonts w:cs="Arial"/>
        </w:rPr>
        <w:t xml:space="preserve"> published </w:t>
      </w:r>
      <w:r w:rsidR="00A9222D">
        <w:rPr>
          <w:rFonts w:cs="Arial"/>
        </w:rPr>
        <w:t>July</w:t>
      </w:r>
      <w:r w:rsidRPr="00484E48">
        <w:rPr>
          <w:rFonts w:cs="Arial"/>
        </w:rPr>
        <w:t xml:space="preserve"> 2020</w:t>
      </w:r>
      <w:r>
        <w:rPr>
          <w:rFonts w:cs="Arial"/>
        </w:rPr>
        <w:t>.</w:t>
      </w:r>
    </w:p>
    <w:p w14:paraId="53D83BD7" w14:textId="27AE9215" w:rsidR="006B6F6E" w:rsidRPr="00B53F89" w:rsidRDefault="00B340C4" w:rsidP="00494D12">
      <w:pPr>
        <w:pStyle w:val="Heading2"/>
        <w:keepLines/>
      </w:pPr>
      <w:bookmarkStart w:id="671" w:name="_Toc522794136"/>
      <w:bookmarkStart w:id="672" w:name="_Toc31892874"/>
      <w:bookmarkStart w:id="673" w:name="_Toc36207487"/>
      <w:bookmarkStart w:id="674" w:name="_Toc51846304"/>
      <w:bookmarkStart w:id="675" w:name="_Toc51864411"/>
      <w:bookmarkStart w:id="676" w:name="_Toc510104998"/>
      <w:bookmarkStart w:id="677" w:name="_Toc510105795"/>
      <w:bookmarkStart w:id="678" w:name="_Toc510795129"/>
      <w:bookmarkStart w:id="679" w:name="_Toc511716332"/>
      <w:bookmarkStart w:id="680" w:name="_Toc511719143"/>
      <w:bookmarkStart w:id="681" w:name="_Hlk4584854"/>
      <w:bookmarkEnd w:id="670"/>
      <w:r>
        <w:t>A</w:t>
      </w:r>
      <w:r w:rsidR="006B6F6E" w:rsidRPr="00B53F89">
        <w:t xml:space="preserve">ctivities planned for </w:t>
      </w:r>
      <w:r w:rsidR="006A26C9" w:rsidRPr="00B53F89">
        <w:t>20</w:t>
      </w:r>
      <w:r w:rsidR="0005522E">
        <w:t>20</w:t>
      </w:r>
      <w:r w:rsidR="006A26C9" w:rsidRPr="00B53F89">
        <w:t>–</w:t>
      </w:r>
      <w:bookmarkEnd w:id="671"/>
      <w:r w:rsidR="00B52324" w:rsidRPr="00B53F89">
        <w:t>2</w:t>
      </w:r>
      <w:r w:rsidR="0005522E">
        <w:t>1</w:t>
      </w:r>
      <w:bookmarkEnd w:id="672"/>
      <w:bookmarkEnd w:id="673"/>
      <w:bookmarkEnd w:id="674"/>
      <w:bookmarkEnd w:id="675"/>
      <w:r w:rsidR="006B6F6E" w:rsidRPr="00B53F89">
        <w:t xml:space="preserve"> </w:t>
      </w:r>
      <w:bookmarkEnd w:id="676"/>
      <w:bookmarkEnd w:id="677"/>
      <w:bookmarkEnd w:id="678"/>
      <w:bookmarkEnd w:id="679"/>
      <w:bookmarkEnd w:id="680"/>
    </w:p>
    <w:p w14:paraId="6E7530D6" w14:textId="33CD7AE1" w:rsidR="00625830" w:rsidRDefault="00F72A72" w:rsidP="00DB102A">
      <w:bookmarkStart w:id="682" w:name="_Toc510104999"/>
      <w:bookmarkStart w:id="683" w:name="_Toc510105796"/>
      <w:bookmarkStart w:id="684" w:name="_Toc510795130"/>
      <w:bookmarkStart w:id="685" w:name="_Toc511716333"/>
      <w:bookmarkStart w:id="686" w:name="_Toc511719144"/>
      <w:bookmarkStart w:id="687" w:name="_Toc522794137"/>
      <w:r>
        <w:t>In</w:t>
      </w:r>
      <w:r w:rsidR="00CE2733">
        <w:t xml:space="preserve"> 2020</w:t>
      </w:r>
      <w:r w:rsidR="00F774CF" w:rsidRPr="00F774CF">
        <w:t>–</w:t>
      </w:r>
      <w:r w:rsidR="00CE2733">
        <w:t xml:space="preserve">21, there are two </w:t>
      </w:r>
      <w:r w:rsidR="00625830">
        <w:t>compliance priorities</w:t>
      </w:r>
      <w:r w:rsidR="00CE2733">
        <w:t xml:space="preserve"> identified in relation</w:t>
      </w:r>
      <w:r w:rsidR="00625830" w:rsidDel="00CE2733">
        <w:t xml:space="preserve"> </w:t>
      </w:r>
      <w:r w:rsidR="00625830">
        <w:t xml:space="preserve">to </w:t>
      </w:r>
      <w:r w:rsidR="00CE2733">
        <w:t xml:space="preserve">the ACMA’s </w:t>
      </w:r>
      <w:r w:rsidR="00625830">
        <w:t>spectrum functions</w:t>
      </w:r>
      <w:r w:rsidR="0041766B">
        <w:t>.</w:t>
      </w:r>
      <w:r w:rsidR="00625830">
        <w:t xml:space="preserve"> </w:t>
      </w:r>
    </w:p>
    <w:p w14:paraId="5DA6C06D" w14:textId="2D5D01A3" w:rsidR="00625830" w:rsidRPr="00E10BEF" w:rsidRDefault="00625830" w:rsidP="00513FDE">
      <w:pPr>
        <w:pStyle w:val="Heading3"/>
      </w:pPr>
      <w:bookmarkStart w:id="688" w:name="_Toc51864412"/>
      <w:r w:rsidRPr="00E10BEF">
        <w:t xml:space="preserve">5G EME </w:t>
      </w:r>
      <w:r w:rsidR="00F72A72">
        <w:t>c</w:t>
      </w:r>
      <w:r w:rsidRPr="00E10BEF">
        <w:t>ompliance</w:t>
      </w:r>
      <w:bookmarkEnd w:id="688"/>
    </w:p>
    <w:p w14:paraId="474008D3" w14:textId="66077AEB" w:rsidR="00625830" w:rsidRDefault="00BD2FD1" w:rsidP="00625830">
      <w:pPr>
        <w:rPr>
          <w:rFonts w:cstheme="minorHAnsi"/>
          <w:szCs w:val="20"/>
        </w:rPr>
      </w:pPr>
      <w:r>
        <w:rPr>
          <w:rFonts w:cstheme="minorHAnsi"/>
          <w:szCs w:val="20"/>
        </w:rPr>
        <w:t xml:space="preserve">The planned deployment of 5G technology has raised considerable community interest in the new technology and heightened concern about potential harmful effects from EME emissions. </w:t>
      </w:r>
      <w:r w:rsidR="00625830">
        <w:rPr>
          <w:rFonts w:cstheme="minorHAnsi"/>
          <w:szCs w:val="20"/>
        </w:rPr>
        <w:t xml:space="preserve">With a more expansive 5G rollout imminent, </w:t>
      </w:r>
      <w:r w:rsidR="00F72A72">
        <w:rPr>
          <w:rFonts w:cstheme="minorHAnsi"/>
          <w:szCs w:val="20"/>
        </w:rPr>
        <w:t>we</w:t>
      </w:r>
      <w:r w:rsidR="00625830">
        <w:rPr>
          <w:rFonts w:cstheme="minorHAnsi"/>
          <w:szCs w:val="20"/>
        </w:rPr>
        <w:t xml:space="preserve"> </w:t>
      </w:r>
      <w:r w:rsidR="00F318FB">
        <w:rPr>
          <w:rFonts w:cstheme="minorHAnsi"/>
          <w:szCs w:val="20"/>
        </w:rPr>
        <w:t xml:space="preserve">are prioritising </w:t>
      </w:r>
      <w:r w:rsidR="00625830">
        <w:rPr>
          <w:rFonts w:cstheme="minorHAnsi"/>
          <w:szCs w:val="20"/>
        </w:rPr>
        <w:t xml:space="preserve">compliance activity to </w:t>
      </w:r>
      <w:r w:rsidR="005C63E3">
        <w:rPr>
          <w:rFonts w:cstheme="minorHAnsi"/>
          <w:szCs w:val="20"/>
        </w:rPr>
        <w:t xml:space="preserve">check </w:t>
      </w:r>
      <w:r w:rsidR="00625830">
        <w:rPr>
          <w:rFonts w:cstheme="minorHAnsi"/>
          <w:szCs w:val="20"/>
        </w:rPr>
        <w:t xml:space="preserve">compliance with EME standards and </w:t>
      </w:r>
      <w:r w:rsidR="00F72A72">
        <w:rPr>
          <w:rFonts w:cstheme="minorHAnsi"/>
          <w:szCs w:val="20"/>
        </w:rPr>
        <w:t>d</w:t>
      </w:r>
      <w:r w:rsidR="00525FE6">
        <w:rPr>
          <w:rFonts w:cstheme="minorHAnsi"/>
          <w:szCs w:val="20"/>
        </w:rPr>
        <w:t xml:space="preserve">eployment </w:t>
      </w:r>
      <w:r w:rsidR="00F72A72">
        <w:rPr>
          <w:rFonts w:cstheme="minorHAnsi"/>
          <w:szCs w:val="20"/>
        </w:rPr>
        <w:t>c</w:t>
      </w:r>
      <w:r w:rsidR="00625830">
        <w:rPr>
          <w:rFonts w:cstheme="minorHAnsi"/>
          <w:szCs w:val="20"/>
        </w:rPr>
        <w:t>ode obligations</w:t>
      </w:r>
      <w:r w:rsidR="00F72A72">
        <w:rPr>
          <w:rFonts w:cstheme="minorHAnsi"/>
          <w:szCs w:val="20"/>
        </w:rPr>
        <w:t>,</w:t>
      </w:r>
      <w:r w:rsidR="00625830">
        <w:rPr>
          <w:rFonts w:cstheme="minorHAnsi"/>
          <w:szCs w:val="20"/>
        </w:rPr>
        <w:t xml:space="preserve"> as well as the provision of accurate information</w:t>
      </w:r>
      <w:r w:rsidR="00CC7EFE">
        <w:rPr>
          <w:rFonts w:cstheme="minorHAnsi"/>
          <w:szCs w:val="20"/>
        </w:rPr>
        <w:t xml:space="preserve"> for the public</w:t>
      </w:r>
      <w:r w:rsidR="00625830">
        <w:rPr>
          <w:rFonts w:cstheme="minorHAnsi"/>
          <w:szCs w:val="20"/>
        </w:rPr>
        <w:t xml:space="preserve"> on mobile phone base stations.</w:t>
      </w:r>
    </w:p>
    <w:p w14:paraId="283795ED" w14:textId="2CACE273" w:rsidR="00BD2FD1" w:rsidRDefault="00BD2FD1" w:rsidP="00BD2FD1">
      <w:pPr>
        <w:rPr>
          <w:rFonts w:cstheme="minorHAnsi"/>
          <w:szCs w:val="20"/>
        </w:rPr>
      </w:pPr>
      <w:r>
        <w:rPr>
          <w:rFonts w:cstheme="minorHAnsi"/>
          <w:szCs w:val="20"/>
        </w:rPr>
        <w:t>This program compl</w:t>
      </w:r>
      <w:r w:rsidR="00406BA4">
        <w:rPr>
          <w:rFonts w:cstheme="minorHAnsi"/>
          <w:szCs w:val="20"/>
        </w:rPr>
        <w:t>e</w:t>
      </w:r>
      <w:r>
        <w:rPr>
          <w:rFonts w:cstheme="minorHAnsi"/>
          <w:szCs w:val="20"/>
        </w:rPr>
        <w:t>ments and continues the small cell base station audit program conducted in 2019</w:t>
      </w:r>
      <w:r w:rsidR="00F72A72">
        <w:rPr>
          <w:rFonts w:cstheme="minorHAnsi"/>
          <w:szCs w:val="20"/>
        </w:rPr>
        <w:t>–</w:t>
      </w:r>
      <w:r>
        <w:rPr>
          <w:rFonts w:cstheme="minorHAnsi"/>
          <w:szCs w:val="20"/>
        </w:rPr>
        <w:t>20.</w:t>
      </w:r>
      <w:r w:rsidR="00240367">
        <w:rPr>
          <w:rFonts w:cstheme="minorHAnsi"/>
          <w:szCs w:val="20"/>
        </w:rPr>
        <w:t xml:space="preserve"> Similarly, it will </w:t>
      </w:r>
      <w:r w:rsidR="007C370C">
        <w:rPr>
          <w:rFonts w:cstheme="minorHAnsi"/>
          <w:szCs w:val="20"/>
        </w:rPr>
        <w:t>use</w:t>
      </w:r>
      <w:r w:rsidR="00240367">
        <w:rPr>
          <w:rFonts w:cstheme="minorHAnsi"/>
          <w:szCs w:val="20"/>
        </w:rPr>
        <w:t xml:space="preserve"> records audits to ascertain carrier’s compliance with </w:t>
      </w:r>
      <w:r w:rsidR="006F012B">
        <w:rPr>
          <w:rFonts w:cstheme="minorHAnsi"/>
          <w:szCs w:val="20"/>
        </w:rPr>
        <w:t xml:space="preserve">the mobile base station deployment </w:t>
      </w:r>
      <w:r w:rsidR="00240367">
        <w:rPr>
          <w:rFonts w:cstheme="minorHAnsi"/>
          <w:szCs w:val="20"/>
        </w:rPr>
        <w:t xml:space="preserve">consultation requirements and EME licence conditions, as well as an EME measurement program. </w:t>
      </w:r>
    </w:p>
    <w:p w14:paraId="6BBE2695" w14:textId="426206E5" w:rsidR="00625830" w:rsidRDefault="00625830" w:rsidP="00513FDE">
      <w:pPr>
        <w:pStyle w:val="Heading3"/>
      </w:pPr>
      <w:bookmarkStart w:id="689" w:name="_Toc51864413"/>
      <w:r>
        <w:t>Interference</w:t>
      </w:r>
      <w:bookmarkEnd w:id="689"/>
      <w:r>
        <w:t xml:space="preserve"> </w:t>
      </w:r>
    </w:p>
    <w:p w14:paraId="5362BA01" w14:textId="4D870D72" w:rsidR="00625830" w:rsidRDefault="00625830" w:rsidP="006C29E6">
      <w:r>
        <w:t>A core activity for the ACMA is to manage the allocation and use of</w:t>
      </w:r>
      <w:r w:rsidR="00CC7EFE">
        <w:t xml:space="preserve"> the</w:t>
      </w:r>
      <w:r>
        <w:t xml:space="preserve"> radiocommunications spectrum to minimise interference between one use of spectrum and another. </w:t>
      </w:r>
      <w:r w:rsidR="00BD2FD1">
        <w:t>In recent years</w:t>
      </w:r>
      <w:r>
        <w:t xml:space="preserve">, complaints of interference have declined as a result of advances in technology and improved methods to diagnose and resolve interference. </w:t>
      </w:r>
    </w:p>
    <w:p w14:paraId="3CD37CC5" w14:textId="7F0427C2" w:rsidR="00625830" w:rsidRDefault="007C370C" w:rsidP="00513FDE">
      <w:pPr>
        <w:pStyle w:val="Paragraphbeforelist"/>
      </w:pPr>
      <w:r>
        <w:t>We have</w:t>
      </w:r>
      <w:r w:rsidR="00625830">
        <w:t xml:space="preserve"> identified two areas often associated with complaints and risk of interference </w:t>
      </w:r>
      <w:r w:rsidR="00486CE1">
        <w:t>for particular focus</w:t>
      </w:r>
      <w:r w:rsidR="00145FA4">
        <w:t xml:space="preserve"> under the ‘</w:t>
      </w:r>
      <w:r w:rsidR="00CC7EFE">
        <w:t>i</w:t>
      </w:r>
      <w:r w:rsidR="00145FA4">
        <w:t>nterference’ compliance priority</w:t>
      </w:r>
      <w:r>
        <w:t>:</w:t>
      </w:r>
      <w:r w:rsidR="00145FA4">
        <w:t xml:space="preserve"> </w:t>
      </w:r>
    </w:p>
    <w:p w14:paraId="186660C5" w14:textId="66F86967" w:rsidR="00625830" w:rsidRPr="000B3F46" w:rsidRDefault="00625830" w:rsidP="00F118C1">
      <w:pPr>
        <w:pStyle w:val="ListBullet"/>
        <w:keepNext w:val="0"/>
        <w:keepLines w:val="0"/>
        <w:numPr>
          <w:ilvl w:val="0"/>
          <w:numId w:val="1"/>
        </w:numPr>
        <w:ind w:left="284" w:hanging="284"/>
      </w:pPr>
      <w:r w:rsidRPr="00513FDE">
        <w:rPr>
          <w:bCs/>
        </w:rPr>
        <w:t>Unlicensed mobile phone repeaters</w:t>
      </w:r>
      <w:r w:rsidR="00CC7EFE">
        <w:rPr>
          <w:bCs/>
        </w:rPr>
        <w:t>—</w:t>
      </w:r>
      <w:r w:rsidRPr="00F118C1">
        <w:t xml:space="preserve">advances in the use of </w:t>
      </w:r>
      <w:r w:rsidR="00AA4530" w:rsidRPr="00F118C1">
        <w:t>licen</w:t>
      </w:r>
      <w:r w:rsidR="00AA4530">
        <w:t>s</w:t>
      </w:r>
      <w:r w:rsidR="00AA4530" w:rsidRPr="00F118C1">
        <w:t>ed</w:t>
      </w:r>
      <w:r w:rsidRPr="00F118C1">
        <w:t xml:space="preserve"> mobile phone repeaters have reduced the incidence of interference complaints. However, unlicensed mobile phone repeaters </w:t>
      </w:r>
      <w:r w:rsidR="007C370C">
        <w:t>(</w:t>
      </w:r>
      <w:r w:rsidRPr="00F118C1">
        <w:t>often purchased online</w:t>
      </w:r>
      <w:r w:rsidR="007C370C">
        <w:t>)</w:t>
      </w:r>
      <w:r w:rsidRPr="00F118C1">
        <w:t xml:space="preserve"> continue to result in interference of mobile networks and have been identified as a source of poor performance in mobile networks with significant inconvenience to network operators and the public. </w:t>
      </w:r>
    </w:p>
    <w:p w14:paraId="2A9B18D2" w14:textId="402104DA" w:rsidR="00625830" w:rsidRPr="00F118C1" w:rsidRDefault="00625830" w:rsidP="00F118C1">
      <w:pPr>
        <w:pStyle w:val="ListBullet"/>
        <w:keepNext w:val="0"/>
        <w:keepLines w:val="0"/>
        <w:numPr>
          <w:ilvl w:val="0"/>
          <w:numId w:val="1"/>
        </w:numPr>
        <w:ind w:left="284" w:hanging="284"/>
      </w:pPr>
      <w:r w:rsidRPr="00513FDE">
        <w:rPr>
          <w:bCs/>
        </w:rPr>
        <w:t>Construction and resources industry</w:t>
      </w:r>
      <w:r w:rsidR="00CC7EFE">
        <w:rPr>
          <w:bCs/>
        </w:rPr>
        <w:t>—</w:t>
      </w:r>
      <w:r w:rsidR="007C370C">
        <w:t>we have</w:t>
      </w:r>
      <w:r w:rsidRPr="0018795D">
        <w:t xml:space="preserve"> identified the construction and resources industries as a potential area of increased</w:t>
      </w:r>
      <w:r w:rsidRPr="00614982">
        <w:t xml:space="preserve"> non-compliant activity leading to interference. Non-compliant activities in these sectors can pose major risks </w:t>
      </w:r>
      <w:r w:rsidR="00261818">
        <w:t>to</w:t>
      </w:r>
      <w:r w:rsidRPr="00F118C1">
        <w:t xml:space="preserve"> activities that rely on effective radiocommunications to mitigate OH&amp;S risks. </w:t>
      </w:r>
    </w:p>
    <w:p w14:paraId="1B13ED0F" w14:textId="77777777" w:rsidR="00625830" w:rsidRDefault="00625830" w:rsidP="00625830">
      <w:pPr>
        <w:pStyle w:val="ListParagraph"/>
        <w:ind w:left="0"/>
        <w:rPr>
          <w:rFonts w:cstheme="minorHAnsi"/>
          <w:szCs w:val="20"/>
        </w:rPr>
      </w:pPr>
    </w:p>
    <w:p w14:paraId="6F810D8F" w14:textId="729F3786" w:rsidR="00625830" w:rsidRPr="00E10BEF" w:rsidRDefault="00625830" w:rsidP="00A15C44">
      <w:pPr>
        <w:pStyle w:val="ListParagraph"/>
        <w:ind w:left="0"/>
        <w:rPr>
          <w:b/>
          <w:sz w:val="22"/>
        </w:rPr>
      </w:pPr>
      <w:r>
        <w:rPr>
          <w:rFonts w:cstheme="minorHAnsi"/>
          <w:szCs w:val="20"/>
        </w:rPr>
        <w:t xml:space="preserve">These specific </w:t>
      </w:r>
      <w:r w:rsidR="007C370C">
        <w:rPr>
          <w:rFonts w:cstheme="minorHAnsi"/>
          <w:szCs w:val="20"/>
        </w:rPr>
        <w:t>c</w:t>
      </w:r>
      <w:r>
        <w:rPr>
          <w:rFonts w:cstheme="minorHAnsi"/>
          <w:szCs w:val="20"/>
        </w:rPr>
        <w:t xml:space="preserve">ompliance </w:t>
      </w:r>
      <w:r w:rsidR="007C370C">
        <w:rPr>
          <w:rFonts w:cstheme="minorHAnsi"/>
          <w:szCs w:val="20"/>
        </w:rPr>
        <w:t>p</w:t>
      </w:r>
      <w:r>
        <w:rPr>
          <w:rFonts w:cstheme="minorHAnsi"/>
          <w:szCs w:val="20"/>
        </w:rPr>
        <w:t xml:space="preserve">riority areas will combine with the ACMA’s ongoing priorities in interference management. </w:t>
      </w:r>
    </w:p>
    <w:bookmarkEnd w:id="681"/>
    <w:p w14:paraId="4762292B" w14:textId="16098149" w:rsidR="00FE49E2" w:rsidRPr="00B53F89" w:rsidRDefault="00FE49E2" w:rsidP="00FE49E2">
      <w:pPr>
        <w:pageBreakBefore/>
        <w:spacing w:after="60"/>
      </w:pPr>
      <w:r w:rsidRPr="006A2F04">
        <w:rPr>
          <w:noProof/>
        </w:rPr>
        <w:lastRenderedPageBreak/>
        <w:drawing>
          <wp:inline distT="0" distB="0" distL="0" distR="0" wp14:anchorId="3FEF0473" wp14:editId="05B178D5">
            <wp:extent cx="342900" cy="361950"/>
            <wp:effectExtent l="0" t="0" r="0" b="0"/>
            <wp:docPr id="228" name="Picture 22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3AF14F8" w14:textId="04753669" w:rsidR="006C29E6" w:rsidRDefault="006C29E6" w:rsidP="00FE49E2">
      <w:pPr>
        <w:pStyle w:val="Heading1"/>
        <w:pageBreakBefore w:val="0"/>
      </w:pPr>
      <w:bookmarkStart w:id="690" w:name="_Toc51846305"/>
      <w:bookmarkStart w:id="691" w:name="_Toc51864414"/>
      <w:r>
        <w:t>International engagement</w:t>
      </w:r>
      <w:bookmarkEnd w:id="690"/>
      <w:bookmarkEnd w:id="691"/>
    </w:p>
    <w:p w14:paraId="2EC38ACF" w14:textId="77777777" w:rsidR="0071374F" w:rsidRPr="00B53F89" w:rsidDel="002C5B10" w:rsidRDefault="0071374F" w:rsidP="0071374F">
      <w:r w:rsidRPr="00B53F89" w:rsidDel="002C5B10">
        <w:t xml:space="preserve">The ACMA, </w:t>
      </w:r>
      <w:r w:rsidDel="002C5B10">
        <w:t>the Department</w:t>
      </w:r>
      <w:r w:rsidRPr="00B53F89" w:rsidDel="002C5B10">
        <w:t xml:space="preserve">, Australian industry and government stakeholders participate in international radiocommunications forums to promote and protect Australian interests in spectrum management, including spectrum harmonisation and international frequency coordination. </w:t>
      </w:r>
    </w:p>
    <w:p w14:paraId="1EB10250" w14:textId="0CE0A83A" w:rsidR="0071374F" w:rsidRPr="00B53F89" w:rsidDel="002C5B10" w:rsidRDefault="0071374F" w:rsidP="007C370C">
      <w:bookmarkStart w:id="692" w:name="_Hlk2352723"/>
      <w:r w:rsidRPr="00B53F89" w:rsidDel="002C5B10">
        <w:t>The peak international forum is the ITU</w:t>
      </w:r>
      <w:r w:rsidR="007C370C">
        <w:t>’s</w:t>
      </w:r>
      <w:r w:rsidRPr="00B53F89" w:rsidDel="002C5B10">
        <w:t xml:space="preserve"> WRC, which reviews and revises the RRs, the international treaty level document regarding use of the spectrum and satellite orbits</w:t>
      </w:r>
      <w:bookmarkEnd w:id="692"/>
      <w:r w:rsidRPr="00B53F89" w:rsidDel="002C5B10">
        <w:t xml:space="preserve">. </w:t>
      </w:r>
    </w:p>
    <w:p w14:paraId="2B1496A4" w14:textId="4DC3EFE4" w:rsidR="00E56C90" w:rsidRPr="00B53F89" w:rsidRDefault="00E56C90" w:rsidP="00E56C90">
      <w:r w:rsidRPr="00B53F89">
        <w:t xml:space="preserve">The next WRC will be held </w:t>
      </w:r>
      <w:r>
        <w:t xml:space="preserve">in 2023 </w:t>
      </w:r>
      <w:r w:rsidRPr="00B53F89">
        <w:t>(WRC-</w:t>
      </w:r>
      <w:r>
        <w:t>23</w:t>
      </w:r>
      <w:r w:rsidR="003836D4" w:rsidRPr="00B53F89">
        <w:t>)</w:t>
      </w:r>
      <w:r w:rsidR="003836D4">
        <w:t xml:space="preserve"> and</w:t>
      </w:r>
      <w:r w:rsidRPr="00B53F89">
        <w:t xml:space="preserve"> will consider a large agenda concerning new frequency allocation and procedural matters</w:t>
      </w:r>
      <w:r>
        <w:t xml:space="preserve"> across a range of services. </w:t>
      </w:r>
      <w:r w:rsidR="007C370C">
        <w:t>T</w:t>
      </w:r>
      <w:r>
        <w:t>he Department</w:t>
      </w:r>
      <w:r w:rsidRPr="00B53F89">
        <w:t xml:space="preserve"> will lead the Australian preparatory processes and </w:t>
      </w:r>
      <w:r>
        <w:t xml:space="preserve">the </w:t>
      </w:r>
      <w:r w:rsidRPr="00B53F89">
        <w:t>Australian delegation to this meeting, including Asia</w:t>
      </w:r>
      <w:r w:rsidR="00CC7EFE">
        <w:t>-</w:t>
      </w:r>
      <w:r w:rsidRPr="00B53F89">
        <w:t>Pacific region and international preparation meetings, with the ACMA providing technical expertise.</w:t>
      </w:r>
    </w:p>
    <w:p w14:paraId="4FE3E353" w14:textId="46BE72EE" w:rsidR="00E56C90" w:rsidRPr="00B53F89" w:rsidRDefault="00E56C90" w:rsidP="00E56C90">
      <w:r w:rsidRPr="00B53F89">
        <w:t xml:space="preserve">Other forums within the ITU and regionally within the Asia-Pacific Telecommunity (APT) consider issues with a technical focus that are </w:t>
      </w:r>
      <w:r>
        <w:t xml:space="preserve">also </w:t>
      </w:r>
      <w:r w:rsidRPr="00B53F89">
        <w:t>of significance to Australian spectrum management</w:t>
      </w:r>
      <w:r>
        <w:t>. These forums include</w:t>
      </w:r>
      <w:r w:rsidRPr="00B53F89">
        <w:t xml:space="preserve"> ITU-R study groups and working parties, and the APT Wireless Group (AWG). </w:t>
      </w:r>
      <w:r w:rsidR="007C370C">
        <w:t>We</w:t>
      </w:r>
      <w:r w:rsidRPr="00B53F89">
        <w:t xml:space="preserve"> manage Australian input and participation in these </w:t>
      </w:r>
      <w:r>
        <w:t>forums</w:t>
      </w:r>
      <w:r w:rsidRPr="00B53F89">
        <w:t xml:space="preserve"> in consultation with </w:t>
      </w:r>
      <w:r>
        <w:t>the Department</w:t>
      </w:r>
      <w:r w:rsidRPr="00B53F89">
        <w:t xml:space="preserve"> and industry.</w:t>
      </w:r>
      <w:r>
        <w:t xml:space="preserve"> ITU-R study groups and working parties also undertake studies relevant to WRC agenda items. </w:t>
      </w:r>
      <w:r w:rsidR="007F1017">
        <w:t>We</w:t>
      </w:r>
      <w:r>
        <w:t xml:space="preserve"> work in consultation with the Department to manage engagement in these processes. </w:t>
      </w:r>
    </w:p>
    <w:p w14:paraId="7494C782" w14:textId="63638D3F" w:rsidR="00E56C90" w:rsidRPr="00B53F89" w:rsidRDefault="007C370C" w:rsidP="00E56C90">
      <w:r>
        <w:t>We</w:t>
      </w:r>
      <w:r w:rsidR="00E56C90" w:rsidRPr="00B53F89">
        <w:t xml:space="preserve"> also undertake informal bilateral and multilateral engagement with peer regulators from around the world. This engagement is invaluable in coordinating international activities and sharing information from other spectrum managers on issues of common interest. </w:t>
      </w:r>
    </w:p>
    <w:p w14:paraId="67968DF2" w14:textId="77777777" w:rsidR="00E56C90" w:rsidRPr="00B53F89" w:rsidRDefault="00E56C90" w:rsidP="00E56C90">
      <w:pPr>
        <w:pStyle w:val="Heading2"/>
        <w:tabs>
          <w:tab w:val="num" w:pos="720"/>
        </w:tabs>
      </w:pPr>
      <w:bookmarkStart w:id="693" w:name="_Toc31892788"/>
      <w:bookmarkStart w:id="694" w:name="_Toc51846306"/>
      <w:bookmarkStart w:id="695" w:name="_Toc51864415"/>
      <w:r w:rsidRPr="00B53F89">
        <w:t>International meetings 20</w:t>
      </w:r>
      <w:r>
        <w:t>19</w:t>
      </w:r>
      <w:r w:rsidRPr="00B53F89">
        <w:t>–</w:t>
      </w:r>
      <w:r>
        <w:t>20</w:t>
      </w:r>
      <w:bookmarkEnd w:id="693"/>
      <w:bookmarkEnd w:id="694"/>
      <w:bookmarkEnd w:id="695"/>
    </w:p>
    <w:p w14:paraId="76940526" w14:textId="70D6EFB7" w:rsidR="00E56C90" w:rsidRPr="00B53F89" w:rsidRDefault="007C370C" w:rsidP="00E56C90">
      <w:bookmarkStart w:id="696" w:name="_Hlk18394144"/>
      <w:bookmarkStart w:id="697" w:name="_Hlk16254818"/>
      <w:r>
        <w:t>We</w:t>
      </w:r>
      <w:r w:rsidR="00E56C90" w:rsidRPr="00B53F89">
        <w:t xml:space="preserve"> supported </w:t>
      </w:r>
      <w:r w:rsidR="00E56C90">
        <w:t>the Department</w:t>
      </w:r>
      <w:r w:rsidR="00E56C90" w:rsidRPr="00B53F89">
        <w:t xml:space="preserve"> by providing the Deputy Head of Delegation (and other delegates with subject matter expertise) to the fifth meeting of the </w:t>
      </w:r>
      <w:r w:rsidR="00E56C90" w:rsidRPr="00B53F89">
        <w:rPr>
          <w:rFonts w:cs="Arial"/>
          <w:szCs w:val="20"/>
        </w:rPr>
        <w:t>APT Conference Preparatory Group (Asia</w:t>
      </w:r>
      <w:r w:rsidR="00CC7EFE">
        <w:rPr>
          <w:rFonts w:cs="Arial"/>
          <w:szCs w:val="20"/>
        </w:rPr>
        <w:t xml:space="preserve"> </w:t>
      </w:r>
      <w:r w:rsidR="00E56C90" w:rsidRPr="00B53F89">
        <w:rPr>
          <w:rFonts w:cs="Arial"/>
          <w:szCs w:val="20"/>
        </w:rPr>
        <w:t>Pacific) (</w:t>
      </w:r>
      <w:r w:rsidR="00E56C90" w:rsidRPr="00B53F89">
        <w:t>APG19</w:t>
      </w:r>
      <w:r w:rsidR="00E56C90">
        <w:t>-5</w:t>
      </w:r>
      <w:r w:rsidR="00E56C90" w:rsidRPr="00B53F89">
        <w:t>) held from 31 July</w:t>
      </w:r>
      <w:r w:rsidR="00E56C90">
        <w:t>–</w:t>
      </w:r>
      <w:r w:rsidR="00E56C90" w:rsidRPr="00B53F89">
        <w:t xml:space="preserve">6 August 2019 in Tokyo, Japan. </w:t>
      </w:r>
      <w:bookmarkEnd w:id="696"/>
      <w:bookmarkEnd w:id="697"/>
    </w:p>
    <w:p w14:paraId="27968A47" w14:textId="476D6FED" w:rsidR="00E56C90" w:rsidRPr="00B53F89" w:rsidRDefault="00E56C90" w:rsidP="00E56C90">
      <w:r w:rsidRPr="00B53F89">
        <w:t xml:space="preserve">The ACMA provided staff and the Deputy Head of Delegation </w:t>
      </w:r>
      <w:r>
        <w:t>to</w:t>
      </w:r>
      <w:r w:rsidRPr="00B53F89">
        <w:t xml:space="preserve"> </w:t>
      </w:r>
      <w:r>
        <w:t>the ITU-R Radiocommunications Assembly 2019 (RA-19), WRC-19 and the 1</w:t>
      </w:r>
      <w:r w:rsidRPr="0039311A">
        <w:rPr>
          <w:vertAlign w:val="superscript"/>
        </w:rPr>
        <w:t>st</w:t>
      </w:r>
      <w:r>
        <w:t xml:space="preserve"> Conference Preparatory Meeting for the WRC-23 cycle (CPM-23/1), which were held sequentially in Sharm-El-Sheikh, Egypt, across October and November 2019.</w:t>
      </w:r>
    </w:p>
    <w:p w14:paraId="554388DA" w14:textId="77AF7141" w:rsidR="00E56C90" w:rsidRPr="00B53F89" w:rsidRDefault="00E56C90" w:rsidP="00E56C90">
      <w:pPr>
        <w:pStyle w:val="Heading2"/>
      </w:pPr>
      <w:bookmarkStart w:id="698" w:name="_Toc31892789"/>
      <w:bookmarkStart w:id="699" w:name="_Toc51846307"/>
      <w:bookmarkStart w:id="700" w:name="_Toc51864416"/>
      <w:r w:rsidRPr="00B53F89">
        <w:t xml:space="preserve">New and ongoing activities planned for </w:t>
      </w:r>
      <w:r>
        <w:t>2020</w:t>
      </w:r>
      <w:r w:rsidR="007C370C">
        <w:t>–</w:t>
      </w:r>
      <w:r>
        <w:t>21</w:t>
      </w:r>
      <w:bookmarkEnd w:id="698"/>
      <w:bookmarkEnd w:id="699"/>
      <w:bookmarkEnd w:id="700"/>
    </w:p>
    <w:p w14:paraId="1AE602D7" w14:textId="5CB58C36" w:rsidR="00E56C90" w:rsidRPr="00B53F89" w:rsidRDefault="007C370C" w:rsidP="00E56C90">
      <w:r>
        <w:t>We</w:t>
      </w:r>
      <w:r w:rsidR="00E56C90" w:rsidRPr="00B53F89">
        <w:t xml:space="preserve"> will continue to manage and provide technical expertise for Australian engagement in international spectrum management forums through the domestic and international consultative frameworks. </w:t>
      </w:r>
    </w:p>
    <w:p w14:paraId="29CA8402" w14:textId="558EE5DB" w:rsidR="003836D4" w:rsidRDefault="007C370C" w:rsidP="003836D4">
      <w:r>
        <w:t>We</w:t>
      </w:r>
      <w:r w:rsidR="00E56C90" w:rsidRPr="00B53F89">
        <w:t xml:space="preserve"> will provide input into development of Australian positions for key ITU and APT radiocommunication meetings, </w:t>
      </w:r>
      <w:r w:rsidR="003836D4">
        <w:t xml:space="preserve">including </w:t>
      </w:r>
      <w:r w:rsidR="003836D4" w:rsidRPr="003836D4">
        <w:t>ITU-R Study Group block meetings</w:t>
      </w:r>
      <w:r w:rsidR="003836D4">
        <w:t xml:space="preserve"> and the first</w:t>
      </w:r>
      <w:r w:rsidR="003836D4" w:rsidRPr="003836D4">
        <w:t xml:space="preserve"> meeting of the APT Conference Preparatory Group (Asia Pacific) for WRC-23 (APG23-1)</w:t>
      </w:r>
      <w:r w:rsidR="003836D4">
        <w:t>.</w:t>
      </w:r>
    </w:p>
    <w:p w14:paraId="2F2FF33B" w14:textId="72B12E2F" w:rsidR="00197E92" w:rsidRPr="00B53F89" w:rsidRDefault="00197E92" w:rsidP="00197E92">
      <w:pPr>
        <w:pStyle w:val="Heading1"/>
      </w:pPr>
      <w:bookmarkStart w:id="701" w:name="_Making_a_submission"/>
      <w:bookmarkStart w:id="702" w:name="_Toc522794142"/>
      <w:bookmarkStart w:id="703" w:name="_Toc31892875"/>
      <w:bookmarkStart w:id="704" w:name="_Toc36207488"/>
      <w:bookmarkStart w:id="705" w:name="_Toc51846308"/>
      <w:bookmarkStart w:id="706" w:name="_Toc51864417"/>
      <w:bookmarkEnd w:id="682"/>
      <w:bookmarkEnd w:id="683"/>
      <w:bookmarkEnd w:id="684"/>
      <w:bookmarkEnd w:id="685"/>
      <w:bookmarkEnd w:id="686"/>
      <w:bookmarkEnd w:id="687"/>
      <w:bookmarkEnd w:id="701"/>
      <w:r w:rsidRPr="00B53F89">
        <w:lastRenderedPageBreak/>
        <w:t>Appendix A—Sunsetting instruments</w:t>
      </w:r>
      <w:bookmarkEnd w:id="702"/>
      <w:bookmarkEnd w:id="703"/>
      <w:bookmarkEnd w:id="704"/>
      <w:bookmarkEnd w:id="705"/>
      <w:bookmarkEnd w:id="706"/>
    </w:p>
    <w:p w14:paraId="7D096E1D" w14:textId="6D3CFF69" w:rsidR="006D3D21" w:rsidRPr="00B53F89" w:rsidRDefault="000F3660" w:rsidP="00FE49E2">
      <w:r>
        <w:t>There are no radiocommunications</w:t>
      </w:r>
      <w:r w:rsidR="007F1017">
        <w:t>-</w:t>
      </w:r>
      <w:r w:rsidR="00DD201B" w:rsidRPr="00B53F89" w:rsidDel="00F639FA">
        <w:t>related i</w:t>
      </w:r>
      <w:r w:rsidR="00197E92" w:rsidRPr="00B53F89" w:rsidDel="00F639FA">
        <w:t xml:space="preserve">nstruments due to sunset </w:t>
      </w:r>
      <w:r w:rsidR="00C15BB6" w:rsidRPr="00B53F89" w:rsidDel="00F639FA">
        <w:t>in 20</w:t>
      </w:r>
      <w:r w:rsidR="00E83041" w:rsidDel="00F639FA">
        <w:t>20</w:t>
      </w:r>
      <w:r w:rsidR="009C0761" w:rsidRPr="00B53F89" w:rsidDel="00F639FA">
        <w:t>–</w:t>
      </w:r>
      <w:r w:rsidR="00C15BB6" w:rsidRPr="00B53F89" w:rsidDel="00F639FA">
        <w:t>2</w:t>
      </w:r>
      <w:r w:rsidR="00E83041" w:rsidDel="00F639FA">
        <w:t>1</w:t>
      </w:r>
      <w:r>
        <w:t>.</w:t>
      </w:r>
    </w:p>
    <w:sectPr w:rsidR="006D3D21" w:rsidRPr="00B53F89" w:rsidSect="005E1CE7">
      <w:headerReference w:type="even" r:id="rId131"/>
      <w:headerReference w:type="default" r:id="rId132"/>
      <w:footerReference w:type="even" r:id="rId133"/>
      <w:footerReference w:type="default" r:id="rId134"/>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0C320F" w14:textId="77777777" w:rsidR="00407417" w:rsidRDefault="00407417">
      <w:r>
        <w:separator/>
      </w:r>
    </w:p>
    <w:p w14:paraId="45E9301B" w14:textId="77777777" w:rsidR="00407417" w:rsidRDefault="00407417"/>
  </w:endnote>
  <w:endnote w:type="continuationSeparator" w:id="0">
    <w:p w14:paraId="50741FF7" w14:textId="77777777" w:rsidR="00407417" w:rsidRDefault="00407417">
      <w:r>
        <w:continuationSeparator/>
      </w:r>
    </w:p>
    <w:p w14:paraId="11FB2824" w14:textId="77777777" w:rsidR="00407417" w:rsidRDefault="00407417"/>
  </w:endnote>
  <w:endnote w:type="continuationNotice" w:id="1">
    <w:p w14:paraId="03C2B078" w14:textId="77777777" w:rsidR="00407417" w:rsidRDefault="00407417">
      <w:pPr>
        <w:spacing w:after="0" w:line="240" w:lineRule="auto"/>
      </w:pPr>
    </w:p>
    <w:p w14:paraId="5EF89314" w14:textId="77777777" w:rsidR="00407417" w:rsidRDefault="004074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FUIText">
    <w:altName w:val="Times New Roman"/>
    <w:panose1 w:val="00000000000000000000"/>
    <w:charset w:val="00"/>
    <w:family w:val="roman"/>
    <w:notTrueType/>
    <w:pitch w:val="default"/>
  </w:font>
  <w:font w:name=".SF UI Tex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Fira Sans">
    <w:altName w:val="Calibri"/>
    <w:charset w:val="00"/>
    <w:family w:val="auto"/>
    <w:pitch w:val="default"/>
  </w:font>
  <w:font w:name="Arial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FBCC74" w14:textId="6D3ECB7E" w:rsidR="00407417" w:rsidRDefault="00407417" w:rsidP="00BA0E51">
    <w:pPr>
      <w:pStyle w:val="Footer"/>
      <w:jc w:val="right"/>
    </w:pPr>
    <w:r w:rsidRPr="005E250B">
      <w:rPr>
        <w:noProof/>
        <w:vertAlign w:val="subscript"/>
      </w:rPr>
      <w:drawing>
        <wp:inline distT="0" distB="0" distL="0" distR="0" wp14:anchorId="1D118F4C" wp14:editId="45B30717">
          <wp:extent cx="1066800" cy="277368"/>
          <wp:effectExtent l="0" t="0" r="0" b="0"/>
          <wp:docPr id="185" name="Picture 18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CFEE80" w14:textId="77777777" w:rsidR="00407417" w:rsidRDefault="0040741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1D81D" w14:textId="77777777" w:rsidR="00407417" w:rsidRDefault="0040741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14286" w14:textId="77777777" w:rsidR="00407417" w:rsidRPr="00622A3B" w:rsidRDefault="00407417"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D11E6E0" w14:textId="77777777" w:rsidR="00407417" w:rsidRPr="00A5474E" w:rsidRDefault="00407417"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4735E7" w14:textId="77777777" w:rsidR="00407417" w:rsidRPr="00622A3B" w:rsidRDefault="00407417" w:rsidP="005E1CE7">
    <w:pPr>
      <w:pStyle w:val="Footer"/>
      <w:framePr w:w="1576" w:h="391" w:hRule="exact" w:vSpace="425" w:wrap="around" w:vAnchor="page" w:hAnchor="page" w:x="7516"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vii</w:t>
    </w:r>
    <w:r w:rsidRPr="002E4DDC">
      <w:rPr>
        <w:color w:val="505050"/>
      </w:rPr>
      <w:fldChar w:fldCharType="end"/>
    </w:r>
  </w:p>
  <w:p w14:paraId="2E3EC9BE" w14:textId="77777777" w:rsidR="00407417" w:rsidRPr="00A5474E" w:rsidRDefault="00407417"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38E6E" w14:textId="77777777" w:rsidR="00407417" w:rsidRPr="00622A3B" w:rsidRDefault="00407417" w:rsidP="005E1CE7">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iii</w:t>
    </w:r>
    <w:r w:rsidRPr="002E4DDC">
      <w:rPr>
        <w:color w:val="505050"/>
      </w:rPr>
      <w:fldChar w:fldCharType="end"/>
    </w:r>
  </w:p>
  <w:p w14:paraId="6186B029" w14:textId="77777777" w:rsidR="00407417" w:rsidRPr="00A5474E" w:rsidRDefault="00407417"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899CEF" w14:textId="77777777" w:rsidR="00407417" w:rsidRPr="00622A3B" w:rsidRDefault="00407417" w:rsidP="005E1CE7">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B04D850" w14:textId="77777777" w:rsidR="00407417" w:rsidRPr="00A5474E" w:rsidRDefault="00407417" w:rsidP="00A5474E">
    <w:pPr>
      <w:pStyle w:val="Footer"/>
    </w:pPr>
  </w:p>
  <w:p w14:paraId="63EB684D" w14:textId="77777777" w:rsidR="00407417" w:rsidRDefault="00407417"/>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6D442D" w14:textId="77777777" w:rsidR="00407417" w:rsidRPr="00622A3B" w:rsidRDefault="0040741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75</w:t>
    </w:r>
    <w:r w:rsidRPr="00575AC5">
      <w:rPr>
        <w:color w:val="505050"/>
      </w:rPr>
      <w:fldChar w:fldCharType="end"/>
    </w:r>
  </w:p>
  <w:p w14:paraId="1F8BDC74" w14:textId="77777777" w:rsidR="00407417" w:rsidRDefault="0040741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0D9DAC" w14:textId="77777777" w:rsidR="00407417" w:rsidRDefault="00407417" w:rsidP="00856C29">
      <w:pPr>
        <w:spacing w:after="0"/>
      </w:pPr>
      <w:r>
        <w:separator/>
      </w:r>
    </w:p>
  </w:footnote>
  <w:footnote w:type="continuationSeparator" w:id="0">
    <w:p w14:paraId="4292AADA" w14:textId="77777777" w:rsidR="00407417" w:rsidRDefault="00407417">
      <w:r>
        <w:continuationSeparator/>
      </w:r>
    </w:p>
  </w:footnote>
  <w:footnote w:type="continuationNotice" w:id="1">
    <w:p w14:paraId="1C139792" w14:textId="77777777" w:rsidR="00407417" w:rsidRPr="00716DE9" w:rsidRDefault="00407417" w:rsidP="00716DE9">
      <w:pPr>
        <w:pStyle w:val="Footer"/>
      </w:pPr>
    </w:p>
  </w:footnote>
  <w:footnote w:id="2">
    <w:p w14:paraId="1743C499" w14:textId="041D6E19" w:rsidR="00407417" w:rsidRPr="00513FDE" w:rsidRDefault="00407417" w:rsidP="003C0831">
      <w:pPr>
        <w:pStyle w:val="FootnoteText"/>
        <w:rPr>
          <w:rFonts w:ascii="Calibri" w:hAnsi="Calibri"/>
        </w:rPr>
      </w:pPr>
      <w:r>
        <w:rPr>
          <w:rStyle w:val="FootnoteReference"/>
        </w:rPr>
        <w:footnoteRef/>
      </w:r>
      <w:r>
        <w:t xml:space="preserve"> ACMA, 2019, accessed 23 April, </w:t>
      </w:r>
      <w:r w:rsidRPr="0042120B">
        <w:t>&lt;</w:t>
      </w:r>
      <w:hyperlink r:id="rId1" w:history="1">
        <w:r w:rsidRPr="00030C7E">
          <w:rPr>
            <w:rStyle w:val="Hyperlink"/>
          </w:rPr>
          <w:t>https://www.acma.gov.au/publications/2019-08/report/corporate-plan-2019-20</w:t>
        </w:r>
      </w:hyperlink>
      <w:r>
        <w:t>&gt;.</w:t>
      </w:r>
    </w:p>
  </w:footnote>
  <w:footnote w:id="3">
    <w:p w14:paraId="5E1B16CD" w14:textId="6D9530C8" w:rsidR="00407417" w:rsidRDefault="00407417">
      <w:pPr>
        <w:pStyle w:val="FootnoteText"/>
      </w:pPr>
      <w:r>
        <w:rPr>
          <w:rStyle w:val="FootnoteReference"/>
        </w:rPr>
        <w:footnoteRef/>
      </w:r>
      <w:r>
        <w:t xml:space="preserve"> ITU, 2020, accessed 27 April 2020, </w:t>
      </w:r>
      <w:r w:rsidRPr="00A06D46">
        <w:t>&lt;</w:t>
      </w:r>
      <w:hyperlink r:id="rId2" w:history="1">
        <w:r w:rsidRPr="00030C7E">
          <w:rPr>
            <w:rStyle w:val="Hyperlink"/>
          </w:rPr>
          <w:t>https://www.itu.int/en/Pages/covid-19.aspx</w:t>
        </w:r>
      </w:hyperlink>
      <w:r w:rsidRPr="003504D7">
        <w:rPr>
          <w:rStyle w:val="Hyperlink"/>
          <w:color w:val="auto"/>
          <w:u w:val="none"/>
        </w:rPr>
        <w:t>&gt;.</w:t>
      </w:r>
    </w:p>
  </w:footnote>
  <w:footnote w:id="4">
    <w:p w14:paraId="7DF4D38A" w14:textId="2B22A168" w:rsidR="00407417" w:rsidRDefault="00407417" w:rsidP="00513FDE">
      <w:pPr>
        <w:spacing w:after="0"/>
      </w:pPr>
      <w:r>
        <w:rPr>
          <w:rStyle w:val="FootnoteReference"/>
        </w:rPr>
        <w:footnoteRef/>
      </w:r>
      <w:r>
        <w:t xml:space="preserve"> </w:t>
      </w:r>
      <w:r w:rsidRPr="00A96B14">
        <w:rPr>
          <w:sz w:val="16"/>
          <w:szCs w:val="16"/>
        </w:rPr>
        <w:t xml:space="preserve">This may include a subset of the following areas: Grafton, Taree, Inverell, Moree, Gunnedah, Tamworth, Lismore, Mudgee, Young and Parkes. </w:t>
      </w:r>
      <w:r>
        <w:rPr>
          <w:sz w:val="16"/>
          <w:szCs w:val="16"/>
        </w:rPr>
        <w:t>We are</w:t>
      </w:r>
      <w:r w:rsidRPr="00A96B14">
        <w:rPr>
          <w:sz w:val="16"/>
          <w:szCs w:val="16"/>
        </w:rPr>
        <w:t xml:space="preserve"> consulting with the licensees to determine indicative timelines and relative priorities. Proceeding with these variations depend</w:t>
      </w:r>
      <w:r>
        <w:rPr>
          <w:sz w:val="16"/>
          <w:szCs w:val="16"/>
        </w:rPr>
        <w:t xml:space="preserve">s </w:t>
      </w:r>
      <w:r w:rsidRPr="00A96B14">
        <w:rPr>
          <w:sz w:val="16"/>
          <w:szCs w:val="16"/>
        </w:rPr>
        <w:t>on the relevant licensees making timely strategic business decisions on available implementation options.</w:t>
      </w:r>
    </w:p>
  </w:footnote>
  <w:footnote w:id="5">
    <w:p w14:paraId="1934F259" w14:textId="67140B7A" w:rsidR="00407417" w:rsidRPr="00E61061" w:rsidRDefault="00407417" w:rsidP="001E15CA">
      <w:pPr>
        <w:pStyle w:val="FootnoteText"/>
      </w:pPr>
      <w:r>
        <w:rPr>
          <w:rStyle w:val="FootnoteReference"/>
        </w:rPr>
        <w:footnoteRef/>
      </w:r>
      <w:r>
        <w:t xml:space="preserve"> S&amp;P Global market intelligence, </w:t>
      </w:r>
      <w:r w:rsidRPr="00E61061">
        <w:t>Australia</w:t>
      </w:r>
      <w:r w:rsidRPr="004F7116">
        <w:t>n fiber</w:t>
      </w:r>
      <w:r w:rsidRPr="00E61061">
        <w:t xml:space="preserve"> set for long-term gains</w:t>
      </w:r>
      <w:r>
        <w:t xml:space="preserve">, </w:t>
      </w:r>
      <w:r>
        <w:rPr>
          <w:i/>
          <w:iCs/>
        </w:rPr>
        <w:t>Kagan Research – S&amp;P Global Market Intelligence platform</w:t>
      </w:r>
      <w:r>
        <w:t>.</w:t>
      </w:r>
    </w:p>
  </w:footnote>
  <w:footnote w:id="6">
    <w:p w14:paraId="39843AF3" w14:textId="77777777" w:rsidR="00407417" w:rsidRDefault="00407417" w:rsidP="001E15CA">
      <w:pPr>
        <w:pStyle w:val="FootnoteText"/>
      </w:pPr>
      <w:r>
        <w:rPr>
          <w:rStyle w:val="FootnoteReference"/>
        </w:rPr>
        <w:footnoteRef/>
      </w:r>
      <w:r>
        <w:t xml:space="preserve"> </w:t>
      </w:r>
      <w:r w:rsidRPr="00E237C5">
        <w:t>IBISWorld, Telecommunications Services in Australia, June 2019, p. 1</w:t>
      </w:r>
      <w:r>
        <w:t>9</w:t>
      </w:r>
      <w:r w:rsidRPr="00E237C5">
        <w:t>.</w:t>
      </w:r>
    </w:p>
  </w:footnote>
  <w:footnote w:id="7">
    <w:p w14:paraId="19CF25A4" w14:textId="59A68404" w:rsidR="00407417" w:rsidRDefault="00407417">
      <w:pPr>
        <w:pStyle w:val="FootnoteText"/>
      </w:pPr>
      <w:r>
        <w:rPr>
          <w:rStyle w:val="FootnoteReference"/>
        </w:rPr>
        <w:footnoteRef/>
      </w:r>
      <w:r>
        <w:t xml:space="preserve"> $37.6 billion multiplied by 63.6%. IBISWorld, </w:t>
      </w:r>
      <w:r w:rsidRPr="003E723F">
        <w:t>Telecommunications Services in Australia</w:t>
      </w:r>
      <w:r>
        <w:t xml:space="preserve">, June 2019, p. 7. </w:t>
      </w:r>
    </w:p>
  </w:footnote>
  <w:footnote w:id="8">
    <w:p w14:paraId="40B1982E" w14:textId="07094847" w:rsidR="00407417" w:rsidRDefault="00407417" w:rsidP="001E15CA">
      <w:pPr>
        <w:pStyle w:val="FootnoteText"/>
      </w:pPr>
      <w:r>
        <w:rPr>
          <w:rStyle w:val="FootnoteReference"/>
        </w:rPr>
        <w:footnoteRef/>
      </w:r>
      <w:r>
        <w:t xml:space="preserve"> S&amp;P Global market intelligence, </w:t>
      </w:r>
      <w:r w:rsidRPr="00E61061">
        <w:t>Australian fiber set for long-term gains</w:t>
      </w:r>
      <w:r>
        <w:t xml:space="preserve">, </w:t>
      </w:r>
      <w:r>
        <w:rPr>
          <w:i/>
          <w:iCs/>
        </w:rPr>
        <w:t>Kagan Research – S&amp;P Global Market Intelligence platform</w:t>
      </w:r>
      <w:r>
        <w:t>.</w:t>
      </w:r>
    </w:p>
  </w:footnote>
  <w:footnote w:id="9">
    <w:p w14:paraId="2ECA06CC" w14:textId="758CBC3A" w:rsidR="00407417" w:rsidRDefault="00407417">
      <w:pPr>
        <w:pStyle w:val="FootnoteText"/>
      </w:pPr>
      <w:r>
        <w:rPr>
          <w:rStyle w:val="FootnoteReference"/>
        </w:rPr>
        <w:footnoteRef/>
      </w:r>
      <w:r>
        <w:t xml:space="preserve"> WhistleOut, 2020, accessed 23 March 2020, </w:t>
      </w:r>
      <w:r w:rsidRPr="004F7116">
        <w:t>&lt;</w:t>
      </w:r>
      <w:hyperlink r:id="rId3" w:history="1">
        <w:r w:rsidRPr="00A22166">
          <w:rPr>
            <w:rStyle w:val="Hyperlink"/>
          </w:rPr>
          <w:t>https://www.whistleout.com.au/Broadband/</w:t>
        </w:r>
        <w:r w:rsidRPr="00A22166">
          <w:rPr>
            <w:rStyle w:val="Hyperlink"/>
          </w:rPr>
          <w:br/>
          <w:t>Guides/every-telco-COVID-19-coronavirus-assistance-package</w:t>
        </w:r>
      </w:hyperlink>
      <w:r>
        <w:t xml:space="preserve">&gt;. </w:t>
      </w:r>
    </w:p>
  </w:footnote>
  <w:footnote w:id="10">
    <w:p w14:paraId="7EB810B1" w14:textId="20C69563" w:rsidR="00407417" w:rsidRDefault="00407417">
      <w:pPr>
        <w:pStyle w:val="FootnoteText"/>
      </w:pPr>
      <w:r>
        <w:rPr>
          <w:rStyle w:val="FootnoteReference"/>
        </w:rPr>
        <w:footnoteRef/>
      </w:r>
      <w:r>
        <w:t xml:space="preserve"> Telstra, 2020, accessed 23 March 2020, &lt;</w:t>
      </w:r>
      <w:hyperlink r:id="rId4" w:history="1">
        <w:r w:rsidRPr="00030C7E">
          <w:rPr>
            <w:rStyle w:val="Hyperlink"/>
          </w:rPr>
          <w:t>https://exchange.telstra.com.au/getting-through-covid-19-together/</w:t>
        </w:r>
      </w:hyperlink>
      <w:r>
        <w:t>&gt;</w:t>
      </w:r>
      <w:r w:rsidRPr="0010018E">
        <w:t>.</w:t>
      </w:r>
    </w:p>
  </w:footnote>
  <w:footnote w:id="11">
    <w:p w14:paraId="31AB7F91" w14:textId="77777777" w:rsidR="00407417" w:rsidRDefault="00407417" w:rsidP="005E180F">
      <w:pPr>
        <w:pStyle w:val="FootnoteText"/>
      </w:pPr>
      <w:r>
        <w:rPr>
          <w:rStyle w:val="FootnoteReference"/>
        </w:rPr>
        <w:footnoteRef/>
      </w:r>
      <w:r>
        <w:t xml:space="preserve"> </w:t>
      </w:r>
      <w:r w:rsidRPr="006F542F">
        <w:t>mmWaves span 30</w:t>
      </w:r>
      <w:r>
        <w:t xml:space="preserve"> GHz</w:t>
      </w:r>
      <w:r w:rsidRPr="006F542F">
        <w:t xml:space="preserve"> to 300 GHz (</w:t>
      </w:r>
      <w:r>
        <w:t>that is,</w:t>
      </w:r>
      <w:r w:rsidRPr="006F542F">
        <w:t xml:space="preserve"> a wavelength of 1 cm to 1 mm), however</w:t>
      </w:r>
      <w:r>
        <w:t>,</w:t>
      </w:r>
      <w:r w:rsidRPr="006F542F">
        <w:t xml:space="preserve"> in the current 5G context, mmWave bands in consideration span from around 24 GHz up to 86 GHz.</w:t>
      </w:r>
    </w:p>
  </w:footnote>
  <w:footnote w:id="12">
    <w:p w14:paraId="7751D155" w14:textId="542CE7B3" w:rsidR="00407417" w:rsidRDefault="00407417">
      <w:pPr>
        <w:pStyle w:val="FootnoteText"/>
      </w:pPr>
      <w:r>
        <w:rPr>
          <w:rStyle w:val="FootnoteReference"/>
        </w:rPr>
        <w:footnoteRef/>
      </w:r>
      <w:r>
        <w:t xml:space="preserve"> Department of Infrastructure, Transport, Regional Development and Communications, 2017, accessed 27 April 2020, </w:t>
      </w:r>
      <w:r w:rsidRPr="00835B8C">
        <w:t>&lt;</w:t>
      </w:r>
      <w:hyperlink r:id="rId5" w:history="1">
        <w:r w:rsidRPr="00030C7E">
          <w:rPr>
            <w:rStyle w:val="Hyperlink"/>
          </w:rPr>
          <w:t>https://www.communications.gov.au/departmental-news/5g-enabling-future-economy</w:t>
        </w:r>
      </w:hyperlink>
      <w:r w:rsidRPr="00BF527D">
        <w:rPr>
          <w:rStyle w:val="Hyperlink"/>
          <w:color w:val="auto"/>
          <w:u w:val="none"/>
        </w:rPr>
        <w:t>&gt;.</w:t>
      </w:r>
    </w:p>
  </w:footnote>
  <w:footnote w:id="13">
    <w:p w14:paraId="7C1CD1B5" w14:textId="53B00092" w:rsidR="00407417" w:rsidRDefault="00407417" w:rsidP="003E723F">
      <w:pPr>
        <w:pStyle w:val="FootnoteText"/>
      </w:pPr>
      <w:r>
        <w:rPr>
          <w:rStyle w:val="FootnoteReference"/>
        </w:rPr>
        <w:footnoteRef/>
      </w:r>
      <w:r>
        <w:t xml:space="preserve"> SNS Telecom &amp; IT, </w:t>
      </w:r>
      <w:r w:rsidRPr="00A362EB">
        <w:t>The Private LTE &amp; 5G Network Ecosystem: 2020 – 2030 – Opportunities, Challenges, Strategies, Industry Verticals &amp; Forecasts</w:t>
      </w:r>
      <w:r>
        <w:t xml:space="preserve">: Regional forecasts, report, 20 October 2019, pp. 53, 96–99; and SNS Telecom &amp; IT, </w:t>
      </w:r>
      <w:r w:rsidRPr="00A362EB">
        <w:t>The Private LTE &amp; 5G Network Ecosystem: 2020 – 2030 – Opportunities, Challenges, Strategies, Industry Verticals &amp; Forecasts</w:t>
      </w:r>
      <w:r>
        <w:t>: Regional forecasts, spreadsheet, 20 October 2019.</w:t>
      </w:r>
    </w:p>
  </w:footnote>
  <w:footnote w:id="14">
    <w:p w14:paraId="19EAFAE1" w14:textId="111B7A38" w:rsidR="00407417" w:rsidRDefault="00407417" w:rsidP="00321721">
      <w:pPr>
        <w:pStyle w:val="FootnoteText"/>
      </w:pPr>
      <w:r>
        <w:rPr>
          <w:rStyle w:val="FootnoteReference"/>
        </w:rPr>
        <w:footnoteRef/>
      </w:r>
      <w:r>
        <w:t xml:space="preserve"> Ericsson, 2019, accessed 27 April 2020, &lt;</w:t>
      </w:r>
      <w:hyperlink r:id="rId6" w:history="1">
        <w:r w:rsidRPr="00030C7E">
          <w:rPr>
            <w:rStyle w:val="Hyperlink"/>
          </w:rPr>
          <w:t>https://www.ericsson.com/49d1d9/assets/local/mobility-report/documents/2019/ericsson-mobility-report-june-2019.pdf</w:t>
        </w:r>
      </w:hyperlink>
      <w:r>
        <w:t>&gt;, p. 19.</w:t>
      </w:r>
    </w:p>
  </w:footnote>
  <w:footnote w:id="15">
    <w:p w14:paraId="147CA770" w14:textId="77777777" w:rsidR="00407417" w:rsidRDefault="00407417" w:rsidP="00C16949">
      <w:pPr>
        <w:pStyle w:val="FootnoteText"/>
      </w:pPr>
      <w:r>
        <w:rPr>
          <w:rStyle w:val="FootnoteReference"/>
        </w:rPr>
        <w:footnoteRef/>
      </w:r>
      <w:r>
        <w:t xml:space="preserve"> M2M communications are used for automated data transmission and measurement between</w:t>
      </w:r>
    </w:p>
    <w:p w14:paraId="0D303ED8" w14:textId="77777777" w:rsidR="00407417" w:rsidRDefault="00407417" w:rsidP="00C16949">
      <w:pPr>
        <w:pStyle w:val="FootnoteText"/>
      </w:pPr>
      <w:r>
        <w:t>mechanical or electronic devices using wired and wireless networks. Much of the M2M</w:t>
      </w:r>
    </w:p>
    <w:p w14:paraId="0EE79F11" w14:textId="77777777" w:rsidR="00407417" w:rsidRDefault="00407417" w:rsidP="00C16949">
      <w:pPr>
        <w:pStyle w:val="FootnoteText"/>
      </w:pPr>
      <w:r>
        <w:t>information is delivered in the form of sparse data, which can come from sensors and other</w:t>
      </w:r>
    </w:p>
    <w:p w14:paraId="157390FD" w14:textId="66CE044C" w:rsidR="00407417" w:rsidRDefault="00407417" w:rsidP="00C16949">
      <w:pPr>
        <w:pStyle w:val="FootnoteText"/>
      </w:pPr>
      <w:r>
        <w:t>non-IT devices.</w:t>
      </w:r>
    </w:p>
  </w:footnote>
  <w:footnote w:id="16">
    <w:p w14:paraId="10DBBFCE" w14:textId="77777777" w:rsidR="00407417" w:rsidRDefault="00407417" w:rsidP="00C16949">
      <w:pPr>
        <w:pStyle w:val="FootnoteText"/>
      </w:pPr>
      <w:r>
        <w:rPr>
          <w:rStyle w:val="FootnoteReference"/>
        </w:rPr>
        <w:footnoteRef/>
      </w:r>
      <w:r>
        <w:t xml:space="preserve"> The interconnection of many devices and objects utilising internet protocols, with or without the</w:t>
      </w:r>
    </w:p>
    <w:p w14:paraId="5959EF3E" w14:textId="77777777" w:rsidR="00407417" w:rsidRDefault="00407417" w:rsidP="00C16949">
      <w:pPr>
        <w:pStyle w:val="FootnoteText"/>
      </w:pPr>
      <w:r>
        <w:t>active involvement of individuals. This may include laptops, routers, tablets and smartphones,</w:t>
      </w:r>
    </w:p>
    <w:p w14:paraId="5D300697" w14:textId="6A3BFA35" w:rsidR="00407417" w:rsidRDefault="00407417" w:rsidP="00C16949">
      <w:pPr>
        <w:pStyle w:val="FootnoteText"/>
      </w:pPr>
      <w:r>
        <w:t>which are integral to operating, reading and analysing the state of IoT devices.</w:t>
      </w:r>
    </w:p>
  </w:footnote>
  <w:footnote w:id="17">
    <w:p w14:paraId="00BB5AEB" w14:textId="2357EBBF" w:rsidR="00407417" w:rsidRDefault="00407417" w:rsidP="00827819">
      <w:pPr>
        <w:pStyle w:val="FootnoteText"/>
      </w:pPr>
      <w:r>
        <w:rPr>
          <w:rStyle w:val="FootnoteReference"/>
        </w:rPr>
        <w:footnoteRef/>
      </w:r>
      <w:r>
        <w:t xml:space="preserve"> GlobalData</w:t>
      </w:r>
      <w:r w:rsidRPr="001A7C2A">
        <w:t xml:space="preserve">, </w:t>
      </w:r>
      <w:r w:rsidRPr="00835B8C">
        <w:t xml:space="preserve">Mobile broadband forecast: May 2020, </w:t>
      </w:r>
      <w:r>
        <w:t xml:space="preserve">subscriber only, </w:t>
      </w:r>
      <w:r w:rsidRPr="00835B8C">
        <w:t>accessed 12 Au</w:t>
      </w:r>
      <w:r>
        <w:t>gust</w:t>
      </w:r>
      <w:r w:rsidRPr="001A7C2A">
        <w:t xml:space="preserve"> 2020.</w:t>
      </w:r>
      <w:r>
        <w:t xml:space="preserve"> </w:t>
      </w:r>
    </w:p>
  </w:footnote>
  <w:footnote w:id="18">
    <w:p w14:paraId="72213403" w14:textId="393D7DFA" w:rsidR="00407417" w:rsidRDefault="00407417" w:rsidP="00321721">
      <w:pPr>
        <w:pStyle w:val="FootnoteText"/>
      </w:pPr>
      <w:r>
        <w:rPr>
          <w:rStyle w:val="FootnoteReference"/>
        </w:rPr>
        <w:footnoteRef/>
      </w:r>
      <w:r>
        <w:t xml:space="preserve"> IoT Alliance Australia, </w:t>
      </w:r>
      <w:r w:rsidRPr="006A2F04">
        <w:rPr>
          <w:rStyle w:val="Hyperlink"/>
          <w:color w:val="auto"/>
          <w:u w:val="none"/>
        </w:rPr>
        <w:t>2018</w:t>
      </w:r>
      <w:r>
        <w:t>, accessed 27 April 2020, &lt;</w:t>
      </w:r>
      <w:hyperlink r:id="rId7" w:history="1">
        <w:r w:rsidRPr="00030C7E">
          <w:rPr>
            <w:rStyle w:val="Hyperlink"/>
          </w:rPr>
          <w:t>http://www.iot.org.au/wp/wp-content/uploads/2016/12/IoTAA_IoT-Platform-Selection-Guideline-V1.1-July-2018.pdf</w:t>
        </w:r>
      </w:hyperlink>
      <w:r>
        <w:t>&gt;.</w:t>
      </w:r>
    </w:p>
  </w:footnote>
  <w:footnote w:id="19">
    <w:p w14:paraId="05E6D5F1" w14:textId="77777777" w:rsidR="00407417" w:rsidRDefault="00407417" w:rsidP="00D91CDA">
      <w:pPr>
        <w:pStyle w:val="FootnoteText"/>
      </w:pPr>
      <w:r>
        <w:rPr>
          <w:rStyle w:val="FootnoteReference"/>
        </w:rPr>
        <w:footnoteRef/>
      </w:r>
      <w:r>
        <w:t xml:space="preserve"> Retransmission services do no more than retransmit programs that are transmitted by a national,</w:t>
      </w:r>
    </w:p>
    <w:p w14:paraId="03AA2FEF" w14:textId="77777777" w:rsidR="00407417" w:rsidRDefault="00407417" w:rsidP="00D91CDA">
      <w:pPr>
        <w:pStyle w:val="FootnoteText"/>
      </w:pPr>
      <w:r>
        <w:t>commercial or community broadcasting service.</w:t>
      </w:r>
    </w:p>
  </w:footnote>
  <w:footnote w:id="20">
    <w:p w14:paraId="4FAD7222" w14:textId="5E84ED29" w:rsidR="00407417" w:rsidRDefault="00407417">
      <w:pPr>
        <w:pStyle w:val="FootnoteText"/>
      </w:pPr>
      <w:r>
        <w:rPr>
          <w:rStyle w:val="FootnoteReference"/>
        </w:rPr>
        <w:footnoteRef/>
      </w:r>
      <w:r>
        <w:t xml:space="preserve"> ThinkTV, </w:t>
      </w:r>
      <w:r w:rsidRPr="00457471">
        <w:t>Total TV market records $3.4 billion in ad revenue for FY 2019</w:t>
      </w:r>
      <w:r>
        <w:t>–</w:t>
      </w:r>
      <w:r w:rsidRPr="00457471">
        <w:t>20</w:t>
      </w:r>
      <w:r>
        <w:t>, accessed 12 August 2020, &lt;</w:t>
      </w:r>
      <w:hyperlink r:id="rId8" w:history="1">
        <w:r w:rsidRPr="00457471">
          <w:rPr>
            <w:rStyle w:val="Hyperlink"/>
          </w:rPr>
          <w:t>https://thinktv.com.au/news/total-tv-market-records-3-4-billion-in-ad-revenue-for-fy-2019-20/</w:t>
        </w:r>
      </w:hyperlink>
      <w:r>
        <w:t>&gt;.</w:t>
      </w:r>
    </w:p>
  </w:footnote>
  <w:footnote w:id="21">
    <w:p w14:paraId="244AB48E" w14:textId="77777777" w:rsidR="00407417" w:rsidRDefault="00407417" w:rsidP="00457471">
      <w:pPr>
        <w:pStyle w:val="FootnoteText"/>
      </w:pPr>
      <w:r>
        <w:rPr>
          <w:rStyle w:val="FootnoteReference"/>
        </w:rPr>
        <w:footnoteRef/>
      </w:r>
      <w:r>
        <w:t xml:space="preserve"> Source: ASX Announcements from Seven West and Nine Entertainment.</w:t>
      </w:r>
    </w:p>
  </w:footnote>
  <w:footnote w:id="22">
    <w:p w14:paraId="5511B6EE" w14:textId="20A5B6C5" w:rsidR="00407417" w:rsidRDefault="00407417">
      <w:pPr>
        <w:pStyle w:val="FootnoteText"/>
      </w:pPr>
      <w:r>
        <w:rPr>
          <w:rStyle w:val="FootnoteReference"/>
        </w:rPr>
        <w:footnoteRef/>
      </w:r>
      <w:r>
        <w:t xml:space="preserve"> Commercial Radio Australia, </w:t>
      </w:r>
      <w:r w:rsidRPr="001D63A8">
        <w:t>Commercial radio ad revenue for FY2019/20</w:t>
      </w:r>
      <w:r>
        <w:t>, accessed 27 April 2020, &lt;</w:t>
      </w:r>
      <w:hyperlink r:id="rId9" w:history="1">
        <w:r w:rsidRPr="00264AC8">
          <w:rPr>
            <w:rStyle w:val="Hyperlink"/>
          </w:rPr>
          <w:t>http://www.commercialradio.com.au/content/mediareleases/2020/2020-07-15-commercial-radio-ad-revenue-for-fy2019#.XzNnxSgzY2w</w:t>
        </w:r>
      </w:hyperlink>
      <w:r>
        <w:t>&gt;.</w:t>
      </w:r>
    </w:p>
  </w:footnote>
  <w:footnote w:id="23">
    <w:p w14:paraId="63D40BFD" w14:textId="308145A8" w:rsidR="00407417" w:rsidRDefault="00407417">
      <w:pPr>
        <w:pStyle w:val="FootnoteText"/>
      </w:pPr>
      <w:r>
        <w:rPr>
          <w:rStyle w:val="FootnoteReference"/>
        </w:rPr>
        <w:footnoteRef/>
      </w:r>
      <w:r>
        <w:t xml:space="preserve"> Commercial Radio Australia, </w:t>
      </w:r>
      <w:r w:rsidRPr="001D63A8">
        <w:t>Commercial radio ad revenue for FY2019/20</w:t>
      </w:r>
      <w:r>
        <w:t>, accessed 27 April 2020, &lt;</w:t>
      </w:r>
      <w:hyperlink r:id="rId10" w:anchor=".Xp4wkcgzZaQ&gt; " w:history="1">
        <w:r w:rsidRPr="001D63A8">
          <w:rPr>
            <w:rStyle w:val="Hyperlink"/>
          </w:rPr>
          <w:t>http://www.commercialradio.com.au/content/mediareleases/2020/2020-07-15-commercial-radio-ad-revenue-for-fy2019#.XzNnxSgzY2w</w:t>
        </w:r>
        <w:r w:rsidRPr="004275BC">
          <w:rPr>
            <w:rStyle w:val="Hyperlink"/>
            <w:color w:val="auto"/>
            <w:u w:val="none"/>
          </w:rPr>
          <w:t>&gt;</w:t>
        </w:r>
        <w:r w:rsidRPr="004275BC">
          <w:t xml:space="preserve"> </w:t>
        </w:r>
      </w:hyperlink>
      <w:r>
        <w:t>.</w:t>
      </w:r>
    </w:p>
  </w:footnote>
  <w:footnote w:id="24">
    <w:p w14:paraId="5C1F7C2E" w14:textId="6A571536" w:rsidR="00407417" w:rsidRDefault="00407417">
      <w:pPr>
        <w:pStyle w:val="FootnoteText"/>
      </w:pPr>
      <w:r>
        <w:rPr>
          <w:rStyle w:val="FootnoteReference"/>
        </w:rPr>
        <w:footnoteRef/>
      </w:r>
      <w:r>
        <w:t xml:space="preserve"> Radio Today, 2020, accessed 27 April 2020, &lt;</w:t>
      </w:r>
      <w:hyperlink r:id="rId11" w:history="1">
        <w:r w:rsidRPr="004E77F0">
          <w:rPr>
            <w:rStyle w:val="Hyperlink"/>
          </w:rPr>
          <w:t>https://www.radiotoday.com.au/arn-coronavirus-response/</w:t>
        </w:r>
      </w:hyperlink>
      <w:r>
        <w:t xml:space="preserve">&gt;. </w:t>
      </w:r>
    </w:p>
  </w:footnote>
  <w:footnote w:id="25">
    <w:p w14:paraId="5E95BBEC" w14:textId="512C7F46" w:rsidR="00407417" w:rsidRDefault="00407417">
      <w:pPr>
        <w:pStyle w:val="FootnoteText"/>
      </w:pPr>
      <w:r>
        <w:rPr>
          <w:rStyle w:val="FootnoteReference"/>
        </w:rPr>
        <w:footnoteRef/>
      </w:r>
      <w:r>
        <w:t xml:space="preserve"> Federal Register of Legislation, 2020, accessed 27 April 2020, &lt;</w:t>
      </w:r>
      <w:hyperlink r:id="rId12" w:history="1">
        <w:r w:rsidRPr="004E77F0">
          <w:rPr>
            <w:rStyle w:val="Hyperlink"/>
          </w:rPr>
          <w:t>https://www.legislation.gov.au/Details/F2020L00426/Explanatory%20Statement/Text</w:t>
        </w:r>
      </w:hyperlink>
      <w:r>
        <w:t>&gt;.</w:t>
      </w:r>
    </w:p>
  </w:footnote>
  <w:footnote w:id="26">
    <w:p w14:paraId="74D5BC4F" w14:textId="39BD00FC" w:rsidR="00407417" w:rsidRDefault="00407417" w:rsidP="00776BF2">
      <w:pPr>
        <w:pStyle w:val="FootnoteText"/>
      </w:pPr>
      <w:r>
        <w:rPr>
          <w:rStyle w:val="FootnoteReference"/>
        </w:rPr>
        <w:footnoteRef/>
      </w:r>
      <w:r>
        <w:t xml:space="preserve"> IBISWorld, </w:t>
      </w:r>
      <w:r w:rsidRPr="00E41E39">
        <w:t>Shoot</w:t>
      </w:r>
      <w:r>
        <w:t xml:space="preserve"> </w:t>
      </w:r>
      <w:r w:rsidRPr="00E41E39">
        <w:t>for</w:t>
      </w:r>
      <w:r>
        <w:t xml:space="preserve"> </w:t>
      </w:r>
      <w:r w:rsidRPr="00E41E39">
        <w:t>the</w:t>
      </w:r>
      <w:r>
        <w:t xml:space="preserve"> </w:t>
      </w:r>
      <w:r w:rsidRPr="00E41E39">
        <w:t>stars:</w:t>
      </w:r>
      <w:r>
        <w:t xml:space="preserve"> </w:t>
      </w:r>
      <w:r w:rsidRPr="00E41E39">
        <w:t>Industry</w:t>
      </w:r>
      <w:r>
        <w:t xml:space="preserve"> </w:t>
      </w:r>
      <w:r w:rsidRPr="00E41E39">
        <w:t>revenue</w:t>
      </w:r>
      <w:r>
        <w:t xml:space="preserve"> </w:t>
      </w:r>
      <w:r w:rsidRPr="00E41E39">
        <w:t>lifts</w:t>
      </w:r>
      <w:r>
        <w:t xml:space="preserve"> </w:t>
      </w:r>
      <w:r w:rsidRPr="00E41E39">
        <w:t>off</w:t>
      </w:r>
      <w:r>
        <w:t xml:space="preserve"> </w:t>
      </w:r>
      <w:r w:rsidRPr="00E41E39">
        <w:t>as</w:t>
      </w:r>
      <w:r>
        <w:t xml:space="preserve"> </w:t>
      </w:r>
      <w:r w:rsidRPr="00E41E39">
        <w:t>rising</w:t>
      </w:r>
      <w:r>
        <w:t xml:space="preserve"> </w:t>
      </w:r>
      <w:r w:rsidRPr="00E41E39">
        <w:t>demand</w:t>
      </w:r>
      <w:r>
        <w:t xml:space="preserve"> </w:t>
      </w:r>
      <w:r w:rsidRPr="00E41E39">
        <w:t>creates</w:t>
      </w:r>
      <w:r>
        <w:t xml:space="preserve"> </w:t>
      </w:r>
      <w:r w:rsidRPr="00E41E39">
        <w:t>space</w:t>
      </w:r>
      <w:r>
        <w:t xml:space="preserve"> </w:t>
      </w:r>
      <w:r w:rsidRPr="00E41E39">
        <w:t>for</w:t>
      </w:r>
      <w:r>
        <w:t xml:space="preserve"> </w:t>
      </w:r>
      <w:r w:rsidRPr="00E41E39">
        <w:t>new firms</w:t>
      </w:r>
      <w:r>
        <w:t xml:space="preserve">, </w:t>
      </w:r>
      <w:r w:rsidRPr="00E01EF1">
        <w:rPr>
          <w:i/>
          <w:iCs/>
        </w:rPr>
        <w:t>IBISWorld Industry Report J5</w:t>
      </w:r>
      <w:r>
        <w:rPr>
          <w:i/>
          <w:iCs/>
        </w:rPr>
        <w:t>545</w:t>
      </w:r>
      <w:r>
        <w:t>, January 2020, p. 5.</w:t>
      </w:r>
    </w:p>
  </w:footnote>
  <w:footnote w:id="27">
    <w:p w14:paraId="0EFDE23E" w14:textId="2E64A9AA" w:rsidR="00407417" w:rsidRDefault="00407417">
      <w:pPr>
        <w:pStyle w:val="FootnoteText"/>
      </w:pPr>
      <w:r>
        <w:rPr>
          <w:rStyle w:val="FootnoteReference"/>
        </w:rPr>
        <w:footnoteRef/>
      </w:r>
      <w:r>
        <w:t xml:space="preserve"> Department of Industry, Science, Energy and Resources, 2019, accessed 24 March 2020, &lt;</w:t>
      </w:r>
      <w:hyperlink r:id="rId13" w:history="1">
        <w:r>
          <w:rPr>
            <w:rStyle w:val="Hyperlink"/>
          </w:rPr>
          <w:t>https://www.industry.gov.au/data-and-publications/australian-civil-space-strategy-2019-2028</w:t>
        </w:r>
      </w:hyperlink>
      <w:r>
        <w:t>&gt;, p. III.</w:t>
      </w:r>
    </w:p>
  </w:footnote>
  <w:footnote w:id="28">
    <w:p w14:paraId="46A61484" w14:textId="77777777" w:rsidR="00407417" w:rsidRDefault="00407417" w:rsidP="00D24E23">
      <w:pPr>
        <w:pStyle w:val="FootnoteText"/>
      </w:pPr>
      <w:r>
        <w:rPr>
          <w:rStyle w:val="FootnoteReference"/>
          <w:rFonts w:eastAsiaTheme="majorEastAsia"/>
        </w:rPr>
        <w:footnoteRef/>
      </w:r>
      <w:r>
        <w:t xml:space="preserve"> FSS earth stations (as the name suggests) are intended to be at fixed locations on land. Spectrum planning, coordination and regulatory arrangements for FSS are designed on the principle that earth stations are at a fixed location and as such, moving earth stations are not typically supported by existing FSS arrangements.</w:t>
      </w:r>
    </w:p>
  </w:footnote>
  <w:footnote w:id="29">
    <w:p w14:paraId="6C6DE27E" w14:textId="08FDAF31" w:rsidR="00407417" w:rsidRDefault="00407417" w:rsidP="00D24E23">
      <w:pPr>
        <w:pStyle w:val="FootnoteText"/>
      </w:pPr>
      <w:r>
        <w:rPr>
          <w:rStyle w:val="FootnoteReference"/>
        </w:rPr>
        <w:footnoteRef/>
      </w:r>
      <w:r>
        <w:t xml:space="preserve"> ACMA, 2017, accessed 27 April 2020, &lt;</w:t>
      </w:r>
      <w:hyperlink r:id="rId14" w:history="1">
        <w:r>
          <w:rPr>
            <w:rStyle w:val="Hyperlink"/>
          </w:rPr>
          <w:t>https://www.acma.gov.au/publications/2017-10/report/regulatory-arrangements-gso-and-ngso-esims-response</w:t>
        </w:r>
      </w:hyperlink>
      <w:r>
        <w:t>&gt;.</w:t>
      </w:r>
    </w:p>
  </w:footnote>
  <w:footnote w:id="30">
    <w:p w14:paraId="4E96F41C" w14:textId="44531BD4" w:rsidR="00407417" w:rsidRDefault="00407417" w:rsidP="00D24E23">
      <w:pPr>
        <w:pStyle w:val="FootnoteText"/>
      </w:pPr>
      <w:r>
        <w:rPr>
          <w:rStyle w:val="FootnoteReference"/>
        </w:rPr>
        <w:footnoteRef/>
      </w:r>
      <w:r>
        <w:t xml:space="preserve"> ACMA, 2019, accessed 27 April 2020, &lt;</w:t>
      </w:r>
      <w:hyperlink r:id="rId15" w:history="1">
        <w:r w:rsidRPr="004E77F0">
          <w:rPr>
            <w:rStyle w:val="Hyperlink"/>
          </w:rPr>
          <w:t>https://www.acma.gov.au/consultations/2019-12/improved-spectrum-access-and-pricing-satellite-services-consultation-402019</w:t>
        </w:r>
      </w:hyperlink>
      <w:r>
        <w:t>&gt;.</w:t>
      </w:r>
    </w:p>
  </w:footnote>
  <w:footnote w:id="31">
    <w:p w14:paraId="58F39387" w14:textId="75A9A3F2" w:rsidR="00407417" w:rsidRDefault="00407417" w:rsidP="00D24E23">
      <w:pPr>
        <w:pStyle w:val="FootnoteText"/>
      </w:pPr>
      <w:r>
        <w:rPr>
          <w:rStyle w:val="FootnoteReference"/>
        </w:rPr>
        <w:footnoteRef/>
      </w:r>
      <w:r>
        <w:t xml:space="preserve"> Department of Infrastructure, Transport, Regional Development and Communications, 2019, accessed </w:t>
      </w:r>
      <w:r w:rsidDel="002C1FCC">
        <w:t>11 February 2020</w:t>
      </w:r>
      <w:r>
        <w:t xml:space="preserve">, </w:t>
      </w:r>
      <w:hyperlink r:id="rId16" w:history="1">
        <w:r w:rsidRPr="004E77F0">
          <w:rPr>
            <w:rStyle w:val="Hyperlink"/>
          </w:rPr>
          <w:t>https://www.communications.gov.au/documents/australian-government-held-spectrum-report</w:t>
        </w:r>
      </w:hyperlink>
      <w:r>
        <w:t>&gt;</w:t>
      </w:r>
      <w:r w:rsidDel="002C1FCC">
        <w:t xml:space="preserve">, </w:t>
      </w:r>
      <w:r>
        <w:t>p. 7.</w:t>
      </w:r>
    </w:p>
  </w:footnote>
  <w:footnote w:id="32">
    <w:p w14:paraId="136F8746" w14:textId="63C404F7" w:rsidR="00407417" w:rsidRDefault="00407417" w:rsidP="00D24E23">
      <w:pPr>
        <w:pStyle w:val="FootnoteText"/>
      </w:pPr>
      <w:r>
        <w:rPr>
          <w:rStyle w:val="FootnoteReference"/>
        </w:rPr>
        <w:footnoteRef/>
      </w:r>
      <w:r>
        <w:t xml:space="preserve"> </w:t>
      </w:r>
      <w:r w:rsidRPr="008469A4">
        <w:t xml:space="preserve">Airservices is responsible for the Aeronautical Radiofrequency Spectrum within Australia and its </w:t>
      </w:r>
      <w:r>
        <w:t>t</w:t>
      </w:r>
      <w:r w:rsidRPr="008469A4">
        <w:t xml:space="preserve">erritories. Airservices is able to provide a frequency assignment service as a first step to obtaining a radio communication apparatus licence to operate a radio transmitter within the </w:t>
      </w:r>
      <w:r>
        <w:t>a</w:t>
      </w:r>
      <w:r w:rsidRPr="008469A4">
        <w:t>eronautical bands.</w:t>
      </w:r>
    </w:p>
  </w:footnote>
  <w:footnote w:id="33">
    <w:p w14:paraId="38A54B1E" w14:textId="29E960F1" w:rsidR="00407417" w:rsidRDefault="00407417" w:rsidP="00D24E23">
      <w:pPr>
        <w:pStyle w:val="FootnoteText"/>
      </w:pPr>
      <w:r>
        <w:rPr>
          <w:rStyle w:val="FootnoteReference"/>
        </w:rPr>
        <w:footnoteRef/>
      </w:r>
      <w:r>
        <w:t xml:space="preserve"> Department of Infrastructure, Transport, Regional Development and Communications, 2019, accessed </w:t>
      </w:r>
      <w:r w:rsidDel="002C1FCC">
        <w:t>11 February 2020</w:t>
      </w:r>
      <w:r>
        <w:t xml:space="preserve">, </w:t>
      </w:r>
      <w:hyperlink r:id="rId17" w:history="1">
        <w:r w:rsidRPr="004E77F0">
          <w:rPr>
            <w:rStyle w:val="Hyperlink"/>
          </w:rPr>
          <w:t>https://www.communications.gov.au/documents/australian-government-held-spectrum-report</w:t>
        </w:r>
      </w:hyperlink>
      <w:r>
        <w:t>&gt;</w:t>
      </w:r>
      <w:r w:rsidDel="002C1FCC">
        <w:t xml:space="preserve">, </w:t>
      </w:r>
      <w:r>
        <w:t>p. 11.</w:t>
      </w:r>
    </w:p>
  </w:footnote>
  <w:footnote w:id="34">
    <w:p w14:paraId="383F8AB3" w14:textId="6FE3C48E" w:rsidR="00407417" w:rsidRDefault="00407417" w:rsidP="00D24E23">
      <w:pPr>
        <w:pStyle w:val="FootnoteText"/>
      </w:pPr>
      <w:r>
        <w:rPr>
          <w:rStyle w:val="FootnoteReference"/>
        </w:rPr>
        <w:footnoteRef/>
      </w:r>
      <w:r>
        <w:t xml:space="preserve"> Air Services Australia, 2015, accessed 27 April 2020, &lt;</w:t>
      </w:r>
      <w:hyperlink r:id="rId18" w:history="1">
        <w:r w:rsidRPr="00C36CF6">
          <w:rPr>
            <w:rStyle w:val="Hyperlink"/>
          </w:rPr>
          <w:t>http://www.airservicesaustralia.com/wp-content/uploads/15-190BKT_ATM-services-five-year-plan-2015-2020_WEB.pdf</w:t>
        </w:r>
      </w:hyperlink>
      <w:r>
        <w:t>&gt;.</w:t>
      </w:r>
    </w:p>
  </w:footnote>
  <w:footnote w:id="35">
    <w:p w14:paraId="2414EFC5" w14:textId="4802C4F7" w:rsidR="00407417" w:rsidRDefault="00407417">
      <w:pPr>
        <w:pStyle w:val="FootnoteText"/>
      </w:pPr>
      <w:r>
        <w:rPr>
          <w:rStyle w:val="FootnoteReference"/>
        </w:rPr>
        <w:footnoteRef/>
      </w:r>
      <w:r>
        <w:t xml:space="preserve"> Productivity Commission, 2015, accessed 27 April 2020, &lt;</w:t>
      </w:r>
      <w:hyperlink r:id="rId19" w:history="1">
        <w:r w:rsidRPr="00C36CF6">
          <w:rPr>
            <w:rStyle w:val="Hyperlink"/>
          </w:rPr>
          <w:t>https://www.pc.gov.au/inquiries/completed/public-safety-mobile-broadband</w:t>
        </w:r>
      </w:hyperlink>
      <w:r w:rsidRPr="0071208E">
        <w:rPr>
          <w:rStyle w:val="Hyperlink"/>
          <w:color w:val="auto"/>
          <w:u w:val="none"/>
        </w:rPr>
        <w:t>&gt;.</w:t>
      </w:r>
      <w:r>
        <w:t xml:space="preserve"> </w:t>
      </w:r>
    </w:p>
  </w:footnote>
  <w:footnote w:id="36">
    <w:p w14:paraId="2FD5B3EB" w14:textId="6303E75B" w:rsidR="00407417" w:rsidRPr="00AC568A" w:rsidRDefault="00407417">
      <w:pPr>
        <w:pStyle w:val="FootnoteText"/>
      </w:pPr>
      <w:r>
        <w:rPr>
          <w:rStyle w:val="FootnoteReference"/>
        </w:rPr>
        <w:footnoteRef/>
      </w:r>
      <w:r>
        <w:t xml:space="preserve"> M Cave and W Webb, </w:t>
      </w:r>
      <w:r>
        <w:rPr>
          <w:i/>
        </w:rPr>
        <w:t>Spectrum Management</w:t>
      </w:r>
      <w:r>
        <w:t>, Cambridge University Press, Cambridge, 2015, p. 5 and Chapter 8.</w:t>
      </w:r>
    </w:p>
  </w:footnote>
  <w:footnote w:id="37">
    <w:p w14:paraId="34640C4C" w14:textId="65503B72" w:rsidR="00407417" w:rsidRDefault="00407417" w:rsidP="00EA54D5">
      <w:pPr>
        <w:pStyle w:val="FootnoteText"/>
      </w:pPr>
      <w:r>
        <w:rPr>
          <w:rStyle w:val="FootnoteReference"/>
        </w:rPr>
        <w:footnoteRef/>
      </w:r>
      <w:r>
        <w:t xml:space="preserve"> </w:t>
      </w:r>
      <w:r w:rsidRPr="003072AC">
        <w:t>Cisco</w:t>
      </w:r>
      <w:r w:rsidRPr="00856C29">
        <w:t>, 2016, accessed 27 April 2020,</w:t>
      </w:r>
      <w:r>
        <w:rPr>
          <w:i/>
          <w:iCs/>
        </w:rPr>
        <w:t xml:space="preserve"> </w:t>
      </w:r>
      <w:r>
        <w:t>&lt;</w:t>
      </w:r>
      <w:hyperlink r:id="rId20" w:history="1">
        <w:r w:rsidRPr="000B76DA">
          <w:rPr>
            <w:rStyle w:val="Hyperlink"/>
          </w:rPr>
          <w:t>http://www.cisco.com/c/en/us/solutions/collateral/service-provider/visual-networking-index-vni/mobile-white-paper-c11-520862.pdf</w:t>
        </w:r>
      </w:hyperlink>
      <w:r>
        <w:t>&gt;, pp. 24–25.</w:t>
      </w:r>
    </w:p>
  </w:footnote>
  <w:footnote w:id="38">
    <w:p w14:paraId="7D3895D9" w14:textId="2CD0AE23" w:rsidR="00407417" w:rsidRDefault="00407417" w:rsidP="00D24E23">
      <w:pPr>
        <w:pStyle w:val="FootnoteText"/>
      </w:pPr>
      <w:r>
        <w:rPr>
          <w:rStyle w:val="FootnoteReference"/>
        </w:rPr>
        <w:footnoteRef/>
      </w:r>
      <w:r>
        <w:t xml:space="preserve"> FCC, 2020, accessed 27 April 2020, &lt;</w:t>
      </w:r>
      <w:hyperlink r:id="rId21" w:history="1">
        <w:r w:rsidRPr="000B76DA">
          <w:rPr>
            <w:rStyle w:val="Hyperlink"/>
          </w:rPr>
          <w:t>https://docs.fcc.gov/public/attachments/DOC-363490A1.pdf</w:t>
        </w:r>
      </w:hyperlink>
      <w:r>
        <w:rPr>
          <w:rStyle w:val="Hyperlink"/>
        </w:rPr>
        <w:t>&gt;</w:t>
      </w:r>
      <w:r>
        <w:t>.</w:t>
      </w:r>
    </w:p>
  </w:footnote>
  <w:footnote w:id="39">
    <w:p w14:paraId="3744C6F6" w14:textId="12A24262" w:rsidR="00407417" w:rsidRDefault="00407417" w:rsidP="00C75E8C">
      <w:pPr>
        <w:pStyle w:val="FootnoteText"/>
      </w:pPr>
      <w:r>
        <w:rPr>
          <w:rStyle w:val="FootnoteReference"/>
        </w:rPr>
        <w:footnoteRef/>
      </w:r>
      <w:r>
        <w:t xml:space="preserve"> Uses refer to the general types of use such as a service (for example, the mobile service) and more specific applications within a service (for example, mobile broadband within the mobile service). </w:t>
      </w:r>
    </w:p>
  </w:footnote>
  <w:footnote w:id="40">
    <w:p w14:paraId="0DD9785E" w14:textId="2E1122BC" w:rsidR="00407417" w:rsidRDefault="00407417" w:rsidP="00657A0B">
      <w:pPr>
        <w:pStyle w:val="FootnoteText"/>
      </w:pPr>
      <w:r>
        <w:rPr>
          <w:rStyle w:val="FootnoteReference"/>
        </w:rPr>
        <w:footnoteRef/>
      </w:r>
      <w:r>
        <w:t xml:space="preserve"> Use-cases refer to a service product or business type within a service/application (for example, wide area mobile networks used by MNOs or local area services offered by WISPs.)</w:t>
      </w:r>
    </w:p>
  </w:footnote>
  <w:footnote w:id="41">
    <w:p w14:paraId="334A2ABE" w14:textId="77777777" w:rsidR="00407417" w:rsidRDefault="00407417" w:rsidP="00B977A2">
      <w:pPr>
        <w:pStyle w:val="FootnoteText"/>
      </w:pPr>
      <w:r>
        <w:rPr>
          <w:rStyle w:val="FootnoteReference"/>
        </w:rPr>
        <w:footnoteRef/>
      </w:r>
      <w:r>
        <w:t xml:space="preserve"> This lower boundary (617 MHz) is based on the bottom edge of the 2 x 35 MHz plan identified for the US 600 MHz band. The size of any guard band between the bottom of possible 600 MHz arrangements and the upper edge of ongoing broadcasting would need to be considered as part of any review of the band. The upper boundary aligns with the top edge of the US 600 MHz band plan, noting that the top edge of the highest channel used for broadcasting in Australia ceases at 694 MHz.</w:t>
      </w:r>
    </w:p>
  </w:footnote>
  <w:footnote w:id="42">
    <w:p w14:paraId="026C4009" w14:textId="01AEA99F" w:rsidR="00407417" w:rsidRDefault="00407417" w:rsidP="00B977A2">
      <w:pPr>
        <w:pStyle w:val="FootnoteText"/>
      </w:pPr>
      <w:r>
        <w:rPr>
          <w:rStyle w:val="FootnoteReference"/>
        </w:rPr>
        <w:footnoteRef/>
      </w:r>
      <w:r>
        <w:t xml:space="preserve"> FCC, 2017, accessed 27 April 2020, &lt;</w:t>
      </w:r>
      <w:hyperlink r:id="rId22" w:anchor="block-menu-block-4" w:history="1">
        <w:r w:rsidRPr="009D5DC9">
          <w:rPr>
            <w:rStyle w:val="Hyperlink"/>
          </w:rPr>
          <w:t>https://www.fcc.gov/about-fcc/fcc-initiatives/incentive-auctions#block-menu-block-4</w:t>
        </w:r>
      </w:hyperlink>
      <w:r>
        <w:t xml:space="preserve">&gt;. </w:t>
      </w:r>
    </w:p>
  </w:footnote>
  <w:footnote w:id="43">
    <w:p w14:paraId="0DE137FE" w14:textId="53658A93" w:rsidR="00407417" w:rsidRDefault="00407417" w:rsidP="00B977A2">
      <w:pPr>
        <w:pStyle w:val="FootnoteText"/>
      </w:pPr>
      <w:r>
        <w:rPr>
          <w:rStyle w:val="FootnoteReference"/>
        </w:rPr>
        <w:footnoteRef/>
      </w:r>
      <w:r>
        <w:t xml:space="preserve"> T-Mobile, 2019, accessed 27 April 2020, &lt;</w:t>
      </w:r>
      <w:hyperlink r:id="rId23" w:history="1">
        <w:r w:rsidRPr="00647402">
          <w:rPr>
            <w:rStyle w:val="Hyperlink"/>
          </w:rPr>
          <w:t>https://www.t-mobile.com/news/americas-first-nationwide-5g-network</w:t>
        </w:r>
      </w:hyperlink>
      <w:r>
        <w:t xml:space="preserve">&gt;. </w:t>
      </w:r>
    </w:p>
  </w:footnote>
  <w:footnote w:id="44">
    <w:p w14:paraId="0DDA5BA0" w14:textId="23359822" w:rsidR="00407417" w:rsidRDefault="00407417" w:rsidP="00B977A2">
      <w:pPr>
        <w:pStyle w:val="FootnoteText"/>
      </w:pPr>
      <w:r>
        <w:rPr>
          <w:rStyle w:val="FootnoteReference"/>
        </w:rPr>
        <w:footnoteRef/>
      </w:r>
      <w:r>
        <w:t xml:space="preserve"> </w:t>
      </w:r>
      <w:bookmarkStart w:id="269" w:name="_Hlk51315196"/>
      <w:r>
        <w:t>Global mobile Suppliers Association</w:t>
      </w:r>
      <w:bookmarkEnd w:id="269"/>
      <w:r>
        <w:t>, 2020, accessed 27 April 2020, &lt;</w:t>
      </w:r>
      <w:hyperlink r:id="rId24" w:history="1">
        <w:r w:rsidRPr="00647402">
          <w:rPr>
            <w:rStyle w:val="Hyperlink"/>
          </w:rPr>
          <w:t>https://gsacom.com/paper/5g-spectrum-report-february-2020/</w:t>
        </w:r>
      </w:hyperlink>
      <w:r>
        <w:t>&gt;.</w:t>
      </w:r>
    </w:p>
  </w:footnote>
  <w:footnote w:id="45">
    <w:p w14:paraId="113A8F60" w14:textId="01B3657B" w:rsidR="00407417" w:rsidRDefault="00407417" w:rsidP="00B977A2">
      <w:pPr>
        <w:pStyle w:val="FootnoteText"/>
      </w:pPr>
      <w:r>
        <w:rPr>
          <w:rStyle w:val="FootnoteReference"/>
        </w:rPr>
        <w:footnoteRef/>
      </w:r>
      <w:r>
        <w:t xml:space="preserve"> 5G WorldPro, 2019, accessed 27 April 2020, </w:t>
      </w:r>
      <w:hyperlink r:id="rId25" w:history="1">
        <w:r w:rsidRPr="004F67A0">
          <w:rPr>
            <w:rStyle w:val="Hyperlink"/>
          </w:rPr>
          <w:t>https://www.5gworldpro.com/5g-news/110-5g-auctions-around-the-world.html</w:t>
        </w:r>
      </w:hyperlink>
      <w:r>
        <w:t xml:space="preserve">&gt;. </w:t>
      </w:r>
    </w:p>
  </w:footnote>
  <w:footnote w:id="46">
    <w:p w14:paraId="0E9B2274" w14:textId="53F52753" w:rsidR="00407417" w:rsidRDefault="00407417" w:rsidP="00B977A2">
      <w:pPr>
        <w:pStyle w:val="FootnoteText"/>
      </w:pPr>
      <w:r>
        <w:rPr>
          <w:rStyle w:val="FootnoteReference"/>
        </w:rPr>
        <w:footnoteRef/>
      </w:r>
      <w:r>
        <w:t xml:space="preserve"> Global mobile Suppliers Association, 2020, accessed 27 April 2020, &lt;</w:t>
      </w:r>
      <w:hyperlink r:id="rId26" w:history="1">
        <w:r w:rsidRPr="00647402">
          <w:rPr>
            <w:rStyle w:val="Hyperlink"/>
          </w:rPr>
          <w:t>https://gsacom.com/paper/5g-spectrum-report-february-2020/</w:t>
        </w:r>
      </w:hyperlink>
      <w:r>
        <w:t>&gt;.</w:t>
      </w:r>
    </w:p>
  </w:footnote>
  <w:footnote w:id="47">
    <w:p w14:paraId="22283555" w14:textId="7CF55CE5" w:rsidR="00407417" w:rsidRDefault="00407417" w:rsidP="00B977A2">
      <w:pPr>
        <w:pStyle w:val="FootnoteText"/>
      </w:pPr>
      <w:r>
        <w:rPr>
          <w:rStyle w:val="FootnoteReference"/>
        </w:rPr>
        <w:footnoteRef/>
      </w:r>
      <w:r>
        <w:t xml:space="preserve"> 5G WorldPro, 2019, accessed 27 April 2020, </w:t>
      </w:r>
      <w:hyperlink r:id="rId27" w:history="1">
        <w:r w:rsidRPr="004F67A0">
          <w:rPr>
            <w:rStyle w:val="Hyperlink"/>
          </w:rPr>
          <w:t>https://www.5gworldpro.com/5g-news/110-5g-auctions-around-the-world.html</w:t>
        </w:r>
      </w:hyperlink>
      <w:r>
        <w:t>&gt;.</w:t>
      </w:r>
    </w:p>
  </w:footnote>
  <w:footnote w:id="48">
    <w:p w14:paraId="7B92CF06" w14:textId="29A44D5A" w:rsidR="00407417" w:rsidRDefault="00407417" w:rsidP="00B977A2">
      <w:pPr>
        <w:pStyle w:val="FootnoteText"/>
      </w:pPr>
      <w:r>
        <w:rPr>
          <w:rStyle w:val="FootnoteReference"/>
        </w:rPr>
        <w:footnoteRef/>
      </w:r>
      <w:r>
        <w:t xml:space="preserve"> Global mobile Suppliers Association, 2020, accessed 27 April 2020, &lt;</w:t>
      </w:r>
      <w:hyperlink r:id="rId28" w:history="1">
        <w:r w:rsidRPr="00647402">
          <w:rPr>
            <w:rStyle w:val="Hyperlink"/>
          </w:rPr>
          <w:t>https://gsacom.com/paper/5g-spectrum-report-february-2020/</w:t>
        </w:r>
      </w:hyperlink>
      <w:r>
        <w:t>&gt;.</w:t>
      </w:r>
    </w:p>
  </w:footnote>
  <w:footnote w:id="49">
    <w:p w14:paraId="4A1D0E84" w14:textId="77777777" w:rsidR="00407417" w:rsidRDefault="00407417" w:rsidP="00B977A2">
      <w:pPr>
        <w:pStyle w:val="FootnoteText"/>
        <w:rPr>
          <w:rFonts w:cs="Arial"/>
        </w:rPr>
      </w:pPr>
      <w:r>
        <w:rPr>
          <w:rStyle w:val="FootnoteReference"/>
        </w:rPr>
        <w:footnoteRef/>
      </w:r>
      <w:r>
        <w:rPr>
          <w:rFonts w:cs="Arial"/>
        </w:rPr>
        <w:t xml:space="preserve"> In accordance with ITU-R Resolution </w:t>
      </w:r>
      <w:r>
        <w:rPr>
          <w:rFonts w:cs="Arial"/>
          <w:b/>
        </w:rPr>
        <w:t>646</w:t>
      </w:r>
      <w:r>
        <w:rPr>
          <w:rFonts w:cs="Arial"/>
        </w:rPr>
        <w:t>.</w:t>
      </w:r>
    </w:p>
  </w:footnote>
  <w:footnote w:id="50">
    <w:p w14:paraId="11A55B27" w14:textId="21DF0FF8" w:rsidR="00407417" w:rsidRDefault="00407417" w:rsidP="00B977A2">
      <w:pPr>
        <w:pStyle w:val="FootnoteText"/>
      </w:pPr>
      <w:r>
        <w:rPr>
          <w:rStyle w:val="FootnoteReference"/>
        </w:rPr>
        <w:footnoteRef/>
      </w:r>
      <w:r>
        <w:t xml:space="preserve"> European Communications Office, 2019, accessed 27 April 2020, &lt;</w:t>
      </w:r>
      <w:hyperlink r:id="rId29" w:history="1">
        <w:r w:rsidRPr="00E70708">
          <w:rPr>
            <w:rStyle w:val="Hyperlink"/>
          </w:rPr>
          <w:t>https://eccwp.cept.org/WI_Detail.aspx?wiid=667</w:t>
        </w:r>
      </w:hyperlink>
      <w:r>
        <w:t xml:space="preserve">&gt;. </w:t>
      </w:r>
    </w:p>
  </w:footnote>
  <w:footnote w:id="51">
    <w:p w14:paraId="138A47A0" w14:textId="2416E772" w:rsidR="00407417" w:rsidRDefault="00407417" w:rsidP="00B977A2">
      <w:pPr>
        <w:pStyle w:val="FootnoteText"/>
      </w:pPr>
      <w:r>
        <w:rPr>
          <w:rStyle w:val="FootnoteReference"/>
        </w:rPr>
        <w:footnoteRef/>
      </w:r>
      <w:r>
        <w:t xml:space="preserve"> Global mobile Suppliers Association, 2020, accessed 27 April 2020, &lt;</w:t>
      </w:r>
      <w:hyperlink r:id="rId30" w:history="1">
        <w:r w:rsidRPr="00647402">
          <w:rPr>
            <w:rStyle w:val="Hyperlink"/>
          </w:rPr>
          <w:t>https://gsacom.com/paper/5g-spectrum-report-february-2020/</w:t>
        </w:r>
      </w:hyperlink>
      <w:r>
        <w:t>&gt;.</w:t>
      </w:r>
    </w:p>
  </w:footnote>
  <w:footnote w:id="52">
    <w:p w14:paraId="2BBB3C0D" w14:textId="1A453778" w:rsidR="00407417" w:rsidRDefault="00407417" w:rsidP="00A25629">
      <w:pPr>
        <w:pStyle w:val="FootnoteText"/>
      </w:pPr>
      <w:r>
        <w:rPr>
          <w:rStyle w:val="FootnoteReference"/>
        </w:rPr>
        <w:footnoteRef/>
      </w:r>
      <w:r>
        <w:t xml:space="preserve"> ibid.</w:t>
      </w:r>
    </w:p>
  </w:footnote>
  <w:footnote w:id="53">
    <w:p w14:paraId="4FC4B640" w14:textId="44410FEC" w:rsidR="00407417" w:rsidRDefault="00407417" w:rsidP="00B2132C">
      <w:pPr>
        <w:pStyle w:val="FootnoteText"/>
      </w:pPr>
      <w:r>
        <w:rPr>
          <w:rStyle w:val="FootnoteReference"/>
        </w:rPr>
        <w:footnoteRef/>
      </w:r>
      <w:r>
        <w:t xml:space="preserve"> FCC, 2020, accessed 27 April 2020, &lt;</w:t>
      </w:r>
      <w:hyperlink r:id="rId31" w:history="1">
        <w:r w:rsidRPr="003E4DCF">
          <w:rPr>
            <w:rStyle w:val="Hyperlink"/>
          </w:rPr>
          <w:t>https://www.fcc.gov/document/summary-chairman-pais-c-band-proposal</w:t>
        </w:r>
      </w:hyperlink>
      <w:r>
        <w:t>&gt;.</w:t>
      </w:r>
    </w:p>
    <w:p w14:paraId="68F6C421" w14:textId="77777777" w:rsidR="00407417" w:rsidRDefault="00407417" w:rsidP="00B2132C">
      <w:pPr>
        <w:pStyle w:val="FootnoteText"/>
      </w:pPr>
    </w:p>
  </w:footnote>
  <w:footnote w:id="54">
    <w:p w14:paraId="28827FFB" w14:textId="5895AAEE" w:rsidR="00407417" w:rsidRDefault="00407417">
      <w:pPr>
        <w:pStyle w:val="FootnoteText"/>
      </w:pPr>
      <w:r>
        <w:rPr>
          <w:rStyle w:val="FootnoteReference"/>
        </w:rPr>
        <w:footnoteRef/>
      </w:r>
      <w:r>
        <w:t xml:space="preserve"> ACMA, 2019, accessed 27 April 2020, &lt;</w:t>
      </w:r>
      <w:hyperlink r:id="rId32" w:history="1">
        <w:r w:rsidRPr="003E4DCF">
          <w:rPr>
            <w:rStyle w:val="Hyperlink"/>
          </w:rPr>
          <w:t>https://www.acma.gov.au/consultations/2019-12/improved-spectrum-access-and-pricing-satellite-services-consultation-402019</w:t>
        </w:r>
      </w:hyperlink>
      <w:r>
        <w:t>&gt;.</w:t>
      </w:r>
    </w:p>
  </w:footnote>
  <w:footnote w:id="55">
    <w:p w14:paraId="3340C897" w14:textId="62F6FD8A" w:rsidR="00407417" w:rsidRDefault="00407417">
      <w:pPr>
        <w:pStyle w:val="FootnoteText"/>
      </w:pPr>
      <w:r>
        <w:rPr>
          <w:rStyle w:val="FootnoteReference"/>
        </w:rPr>
        <w:footnoteRef/>
      </w:r>
      <w:r>
        <w:t xml:space="preserve"> ACMA, 2019, accessed 27 April 2020, &lt;</w:t>
      </w:r>
      <w:hyperlink r:id="rId33" w:history="1">
        <w:r w:rsidRPr="003E4DCF">
          <w:rPr>
            <w:rStyle w:val="Hyperlink"/>
          </w:rPr>
          <w:t>https://www.acma.gov.au/publications/2019-08/publication/frequency-coordination-requirements-between-microwave-fixed-point-point-links-and-fss-earth-stations</w:t>
        </w:r>
      </w:hyperlink>
      <w:r>
        <w:t xml:space="preserve">&gt;. </w:t>
      </w:r>
    </w:p>
  </w:footnote>
  <w:footnote w:id="56">
    <w:p w14:paraId="3B02E9ED" w14:textId="6C79187E" w:rsidR="00407417" w:rsidRDefault="00407417">
      <w:pPr>
        <w:pStyle w:val="FootnoteText"/>
      </w:pPr>
      <w:r>
        <w:rPr>
          <w:rStyle w:val="FootnoteReference"/>
        </w:rPr>
        <w:footnoteRef/>
      </w:r>
      <w:r>
        <w:t xml:space="preserve"> ACMA, 2019, accessed 27 April 2020, &lt;</w:t>
      </w:r>
      <w:hyperlink r:id="rId34" w:history="1">
        <w:r w:rsidRPr="003E4DCF">
          <w:rPr>
            <w:rStyle w:val="Hyperlink"/>
          </w:rPr>
          <w:t>https://www.acma.gov.au/consultations/2019-11/review-space-licensing-procedures-consultation-382019</w:t>
        </w:r>
      </w:hyperlink>
      <w:r>
        <w:t xml:space="preserve">&gt;. </w:t>
      </w:r>
    </w:p>
  </w:footnote>
  <w:footnote w:id="57">
    <w:p w14:paraId="1A74B339" w14:textId="2A218416" w:rsidR="00407417" w:rsidRDefault="00407417">
      <w:pPr>
        <w:pStyle w:val="FootnoteText"/>
      </w:pPr>
      <w:r>
        <w:rPr>
          <w:rStyle w:val="FootnoteReference"/>
        </w:rPr>
        <w:footnoteRef/>
      </w:r>
      <w:r>
        <w:t xml:space="preserve"> </w:t>
      </w:r>
      <w:r>
        <w:rPr>
          <w:rFonts w:eastAsia="Calibri"/>
        </w:rPr>
        <w:t xml:space="preserve">The ACMA component of the </w:t>
      </w:r>
      <w:r>
        <w:t>Portfolio Charging Review process will review all existing and potential charging activities, evaluate the performance of charging activities, identify opportunities to amend or discontinue specific charging activities and assess the effectiveness of stakeholder engagement strategies and opportunities for improvement. Like all current charges, ACMA satellite filing charges will be reviewed in that process.</w:t>
      </w:r>
    </w:p>
  </w:footnote>
  <w:footnote w:id="58">
    <w:p w14:paraId="3F6F3427" w14:textId="3794F1E4" w:rsidR="00407417" w:rsidRDefault="00407417">
      <w:pPr>
        <w:pStyle w:val="FootnoteText"/>
      </w:pPr>
      <w:r>
        <w:rPr>
          <w:rStyle w:val="FootnoteReference"/>
        </w:rPr>
        <w:footnoteRef/>
      </w:r>
      <w:r>
        <w:t xml:space="preserve"> Refer ITU Radio Regulation 5.133B. Note</w:t>
      </w:r>
      <w:r w:rsidDel="00F11130">
        <w:t xml:space="preserve"> </w:t>
      </w:r>
      <w:r>
        <w:t>in some ITU Region 2 countries alternative limits of 20 or 25 watts apply.</w:t>
      </w:r>
    </w:p>
  </w:footnote>
  <w:footnote w:id="59">
    <w:p w14:paraId="535913BB" w14:textId="77777777" w:rsidR="00407417" w:rsidRDefault="00407417" w:rsidP="00A443F4">
      <w:pPr>
        <w:pStyle w:val="FootnoteText"/>
      </w:pPr>
      <w:r>
        <w:rPr>
          <w:rStyle w:val="FootnoteReference"/>
        </w:rPr>
        <w:footnoteRef/>
      </w:r>
      <w:r>
        <w:t xml:space="preserve"> ACMA, 2017, accessed 27 April 2020, &lt;</w:t>
      </w:r>
      <w:hyperlink r:id="rId35" w:history="1">
        <w:r w:rsidRPr="003E4DCF">
          <w:rPr>
            <w:rStyle w:val="Hyperlink"/>
          </w:rPr>
          <w:t>https://www.acma.gov.au/future-approach-36-ghz-band</w:t>
        </w:r>
      </w:hyperlink>
      <w:r>
        <w:t>&gt;.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77B60C" w14:textId="078A1DBB" w:rsidR="00407417" w:rsidRPr="00A5474E" w:rsidRDefault="00407417" w:rsidP="00A5474E">
    <w:pPr>
      <w:pStyle w:val="Header"/>
    </w:pPr>
    <w:r>
      <w:rPr>
        <w:noProof/>
      </w:rPr>
      <w:drawing>
        <wp:inline distT="0" distB="0" distL="0" distR="0" wp14:anchorId="58A336B8" wp14:editId="2868FD9B">
          <wp:extent cx="5699125" cy="52412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699125" cy="52412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DCF73C" w14:textId="77777777" w:rsidR="00407417" w:rsidRDefault="00407417" w:rsidP="005759E7">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19E870" w14:textId="77777777" w:rsidR="00407417" w:rsidRDefault="004074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74FF63" w14:textId="77777777" w:rsidR="00407417" w:rsidRDefault="0040741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407417" w14:paraId="1318C046" w14:textId="77777777" w:rsidTr="005435F9">
      <w:trPr>
        <w:trHeight w:hRule="exact" w:val="988"/>
      </w:trPr>
      <w:tc>
        <w:tcPr>
          <w:tcW w:w="7678" w:type="dxa"/>
          <w:shd w:val="clear" w:color="auto" w:fill="auto"/>
        </w:tcPr>
        <w:p w14:paraId="0F24D554" w14:textId="77777777" w:rsidR="00407417" w:rsidRDefault="00407417" w:rsidP="005435F9">
          <w:pPr>
            <w:pStyle w:val="Header"/>
          </w:pPr>
        </w:p>
      </w:tc>
    </w:tr>
    <w:tr w:rsidR="00407417" w14:paraId="6A0FCD40" w14:textId="77777777" w:rsidTr="005435F9">
      <w:tc>
        <w:tcPr>
          <w:tcW w:w="7678" w:type="dxa"/>
          <w:shd w:val="clear" w:color="auto" w:fill="auto"/>
        </w:tcPr>
        <w:p w14:paraId="3794FF38" w14:textId="77777777" w:rsidR="00407417" w:rsidRDefault="00407417" w:rsidP="005435F9">
          <w:pPr>
            <w:pStyle w:val="GridTable31"/>
          </w:pPr>
          <w:r>
            <w:t xml:space="preserve">Contents </w:t>
          </w:r>
          <w:r w:rsidRPr="00915B1C">
            <w:rPr>
              <w:b w:val="0"/>
              <w:spacing w:val="0"/>
              <w:sz w:val="28"/>
              <w:szCs w:val="28"/>
            </w:rPr>
            <w:t>(Continued)</w:t>
          </w:r>
        </w:p>
      </w:tc>
    </w:tr>
    <w:tr w:rsidR="00407417" w14:paraId="2D7306DC" w14:textId="77777777" w:rsidTr="005435F9">
      <w:trPr>
        <w:trHeight w:val="1220"/>
      </w:trPr>
      <w:tc>
        <w:tcPr>
          <w:tcW w:w="7678" w:type="dxa"/>
          <w:shd w:val="clear" w:color="auto" w:fill="auto"/>
        </w:tcPr>
        <w:p w14:paraId="7B41FC25" w14:textId="77777777" w:rsidR="00407417" w:rsidRDefault="00407417" w:rsidP="005435F9"/>
      </w:tc>
    </w:tr>
  </w:tbl>
  <w:p w14:paraId="30DB03A9" w14:textId="77777777" w:rsidR="00407417" w:rsidRPr="00652FC3" w:rsidRDefault="00407417" w:rsidP="004C4F3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407417" w14:paraId="7F7DDCF3" w14:textId="77777777" w:rsidTr="00F16F31">
      <w:trPr>
        <w:trHeight w:hRule="exact" w:val="988"/>
      </w:trPr>
      <w:tc>
        <w:tcPr>
          <w:tcW w:w="7678" w:type="dxa"/>
          <w:shd w:val="clear" w:color="auto" w:fill="auto"/>
        </w:tcPr>
        <w:p w14:paraId="6864D64B" w14:textId="77777777" w:rsidR="00407417" w:rsidRDefault="00407417" w:rsidP="00F16F31">
          <w:pPr>
            <w:pStyle w:val="Header"/>
          </w:pPr>
        </w:p>
      </w:tc>
    </w:tr>
    <w:tr w:rsidR="00407417" w14:paraId="7A3D87BD" w14:textId="77777777" w:rsidTr="00F16F31">
      <w:tc>
        <w:tcPr>
          <w:tcW w:w="7678" w:type="dxa"/>
          <w:shd w:val="clear" w:color="auto" w:fill="auto"/>
        </w:tcPr>
        <w:p w14:paraId="1A925116" w14:textId="77777777" w:rsidR="00407417" w:rsidRDefault="00407417" w:rsidP="00F16F31">
          <w:pPr>
            <w:pStyle w:val="GridTable31"/>
          </w:pPr>
          <w:r>
            <w:t xml:space="preserve">Contents </w:t>
          </w:r>
          <w:r w:rsidRPr="00915B1C">
            <w:rPr>
              <w:b w:val="0"/>
              <w:spacing w:val="0"/>
              <w:sz w:val="28"/>
              <w:szCs w:val="28"/>
            </w:rPr>
            <w:t>(Continued)</w:t>
          </w:r>
        </w:p>
      </w:tc>
    </w:tr>
    <w:tr w:rsidR="00407417" w14:paraId="3AC9DF72" w14:textId="77777777" w:rsidTr="00F16F31">
      <w:trPr>
        <w:trHeight w:val="1220"/>
      </w:trPr>
      <w:tc>
        <w:tcPr>
          <w:tcW w:w="7678" w:type="dxa"/>
          <w:shd w:val="clear" w:color="auto" w:fill="auto"/>
        </w:tcPr>
        <w:p w14:paraId="258D5A31" w14:textId="77777777" w:rsidR="00407417" w:rsidRDefault="00407417" w:rsidP="00F16F31"/>
      </w:tc>
    </w:tr>
  </w:tbl>
  <w:p w14:paraId="6D8DE37D" w14:textId="77777777" w:rsidR="00407417" w:rsidRPr="00A5474E" w:rsidRDefault="00407417" w:rsidP="005435F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91F228" w14:textId="77777777" w:rsidR="00407417" w:rsidRPr="006F542F" w:rsidRDefault="00407417" w:rsidP="00704E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7A8F57" w14:textId="77777777" w:rsidR="00407417" w:rsidRPr="00A5474E" w:rsidRDefault="00407417" w:rsidP="005435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A picture containing clipart&#10;&#10;Description automatically generated" style="width:21.75pt;height:12.75pt;visibility:visible" o:bullet="t">
        <v:imagedata r:id="rId1" o:title="A picture containing clipart&#10;&#10;Description automatically generated"/>
      </v:shape>
    </w:pict>
  </w:numPicBullet>
  <w:numPicBullet w:numPicBulletId="1">
    <w:pict>
      <v:shape id="_x0000_i1027" type="#_x0000_t75" alt="A close up of a sign&#10;&#10;Description automatically generated" style="width:19.5pt;height:11.25pt;visibility:visible" o:bullet="t">
        <v:imagedata r:id="rId2" o:title="A close up of a sign&#10;&#10;Description automatically generated"/>
      </v:shape>
    </w:pict>
  </w:numPicBullet>
  <w:numPicBullet w:numPicBulletId="2">
    <w:pict>
      <v:shape id="_x0000_i1028" type="#_x0000_t75" alt="International spectrum interests icon" style="width:30.75pt;height:32.25pt;visibility:visible;mso-wrap-style:square" o:bullet="t">
        <v:imagedata r:id="rId3" o:title="International spectrum interests icon"/>
      </v:shape>
    </w:pict>
  </w:numPicBullet>
  <w:numPicBullet w:numPicBulletId="3">
    <w:pict>
      <v:shape id="_x0000_i1029" type="#_x0000_t75" style="width:19.5pt;height:11.25pt;visibility:visible;mso-wrap-style:square" o:bullet="t">
        <v:imagedata r:id="rId4" o:title=""/>
      </v:shape>
    </w:pict>
  </w:numPicBullet>
  <w:abstractNum w:abstractNumId="0" w15:restartNumberingAfterBreak="0">
    <w:nsid w:val="FFFFFF7C"/>
    <w:multiLevelType w:val="singleLevel"/>
    <w:tmpl w:val="9D1A7AA4"/>
    <w:lvl w:ilvl="0">
      <w:start w:val="1"/>
      <w:numFmt w:val="decimal"/>
      <w:lvlText w:val="%1."/>
      <w:lvlJc w:val="left"/>
      <w:pPr>
        <w:tabs>
          <w:tab w:val="num" w:pos="8787"/>
        </w:tabs>
        <w:ind w:left="8787" w:hanging="360"/>
      </w:pPr>
    </w:lvl>
  </w:abstractNum>
  <w:abstractNum w:abstractNumId="1"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2"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4" w15:restartNumberingAfterBreak="0">
    <w:nsid w:val="FFFFFF89"/>
    <w:multiLevelType w:val="singleLevel"/>
    <w:tmpl w:val="72E424C6"/>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09F7489"/>
    <w:multiLevelType w:val="hybridMultilevel"/>
    <w:tmpl w:val="FC5E4E4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0D05142"/>
    <w:multiLevelType w:val="hybridMultilevel"/>
    <w:tmpl w:val="1E0AE4B4"/>
    <w:lvl w:ilvl="0" w:tplc="70D07034">
      <w:start w:val="1"/>
      <w:numFmt w:val="bullet"/>
      <w:lvlText w:val=""/>
      <w:lvlPicBulletId w:val="1"/>
      <w:lvlJc w:val="left"/>
      <w:pPr>
        <w:tabs>
          <w:tab w:val="num" w:pos="720"/>
        </w:tabs>
        <w:ind w:left="720" w:hanging="360"/>
      </w:pPr>
      <w:rPr>
        <w:rFonts w:ascii="Symbol" w:hAnsi="Symbol" w:hint="default"/>
      </w:rPr>
    </w:lvl>
    <w:lvl w:ilvl="1" w:tplc="E19E26B8" w:tentative="1">
      <w:start w:val="1"/>
      <w:numFmt w:val="bullet"/>
      <w:lvlText w:val=""/>
      <w:lvlJc w:val="left"/>
      <w:pPr>
        <w:tabs>
          <w:tab w:val="num" w:pos="1440"/>
        </w:tabs>
        <w:ind w:left="1440" w:hanging="360"/>
      </w:pPr>
      <w:rPr>
        <w:rFonts w:ascii="Symbol" w:hAnsi="Symbol" w:hint="default"/>
      </w:rPr>
    </w:lvl>
    <w:lvl w:ilvl="2" w:tplc="ED2419CC" w:tentative="1">
      <w:start w:val="1"/>
      <w:numFmt w:val="bullet"/>
      <w:lvlText w:val=""/>
      <w:lvlJc w:val="left"/>
      <w:pPr>
        <w:tabs>
          <w:tab w:val="num" w:pos="2160"/>
        </w:tabs>
        <w:ind w:left="2160" w:hanging="360"/>
      </w:pPr>
      <w:rPr>
        <w:rFonts w:ascii="Symbol" w:hAnsi="Symbol" w:hint="default"/>
      </w:rPr>
    </w:lvl>
    <w:lvl w:ilvl="3" w:tplc="EA4ACF4A" w:tentative="1">
      <w:start w:val="1"/>
      <w:numFmt w:val="bullet"/>
      <w:lvlText w:val=""/>
      <w:lvlJc w:val="left"/>
      <w:pPr>
        <w:tabs>
          <w:tab w:val="num" w:pos="2880"/>
        </w:tabs>
        <w:ind w:left="2880" w:hanging="360"/>
      </w:pPr>
      <w:rPr>
        <w:rFonts w:ascii="Symbol" w:hAnsi="Symbol" w:hint="default"/>
      </w:rPr>
    </w:lvl>
    <w:lvl w:ilvl="4" w:tplc="C5D29754" w:tentative="1">
      <w:start w:val="1"/>
      <w:numFmt w:val="bullet"/>
      <w:lvlText w:val=""/>
      <w:lvlJc w:val="left"/>
      <w:pPr>
        <w:tabs>
          <w:tab w:val="num" w:pos="3600"/>
        </w:tabs>
        <w:ind w:left="3600" w:hanging="360"/>
      </w:pPr>
      <w:rPr>
        <w:rFonts w:ascii="Symbol" w:hAnsi="Symbol" w:hint="default"/>
      </w:rPr>
    </w:lvl>
    <w:lvl w:ilvl="5" w:tplc="F1726096" w:tentative="1">
      <w:start w:val="1"/>
      <w:numFmt w:val="bullet"/>
      <w:lvlText w:val=""/>
      <w:lvlJc w:val="left"/>
      <w:pPr>
        <w:tabs>
          <w:tab w:val="num" w:pos="4320"/>
        </w:tabs>
        <w:ind w:left="4320" w:hanging="360"/>
      </w:pPr>
      <w:rPr>
        <w:rFonts w:ascii="Symbol" w:hAnsi="Symbol" w:hint="default"/>
      </w:rPr>
    </w:lvl>
    <w:lvl w:ilvl="6" w:tplc="C2280BA6" w:tentative="1">
      <w:start w:val="1"/>
      <w:numFmt w:val="bullet"/>
      <w:lvlText w:val=""/>
      <w:lvlJc w:val="left"/>
      <w:pPr>
        <w:tabs>
          <w:tab w:val="num" w:pos="5040"/>
        </w:tabs>
        <w:ind w:left="5040" w:hanging="360"/>
      </w:pPr>
      <w:rPr>
        <w:rFonts w:ascii="Symbol" w:hAnsi="Symbol" w:hint="default"/>
      </w:rPr>
    </w:lvl>
    <w:lvl w:ilvl="7" w:tplc="2CE48400" w:tentative="1">
      <w:start w:val="1"/>
      <w:numFmt w:val="bullet"/>
      <w:lvlText w:val=""/>
      <w:lvlJc w:val="left"/>
      <w:pPr>
        <w:tabs>
          <w:tab w:val="num" w:pos="5760"/>
        </w:tabs>
        <w:ind w:left="5760" w:hanging="360"/>
      </w:pPr>
      <w:rPr>
        <w:rFonts w:ascii="Symbol" w:hAnsi="Symbol" w:hint="default"/>
      </w:rPr>
    </w:lvl>
    <w:lvl w:ilvl="8" w:tplc="5B5AF5C0"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010D0D9F"/>
    <w:multiLevelType w:val="hybridMultilevel"/>
    <w:tmpl w:val="5C382AE8"/>
    <w:lvl w:ilvl="0" w:tplc="820C6D68">
      <w:start w:val="1"/>
      <w:numFmt w:val="bullet"/>
      <w:lvlText w:val=""/>
      <w:lvlPicBulletId w:val="1"/>
      <w:lvlJc w:val="left"/>
      <w:pPr>
        <w:tabs>
          <w:tab w:val="num" w:pos="720"/>
        </w:tabs>
        <w:ind w:left="720" w:hanging="360"/>
      </w:pPr>
      <w:rPr>
        <w:rFonts w:ascii="Symbol" w:hAnsi="Symbol" w:hint="default"/>
      </w:rPr>
    </w:lvl>
    <w:lvl w:ilvl="1" w:tplc="B184C518" w:tentative="1">
      <w:start w:val="1"/>
      <w:numFmt w:val="bullet"/>
      <w:lvlText w:val=""/>
      <w:lvlJc w:val="left"/>
      <w:pPr>
        <w:tabs>
          <w:tab w:val="num" w:pos="1440"/>
        </w:tabs>
        <w:ind w:left="1440" w:hanging="360"/>
      </w:pPr>
      <w:rPr>
        <w:rFonts w:ascii="Symbol" w:hAnsi="Symbol" w:hint="default"/>
      </w:rPr>
    </w:lvl>
    <w:lvl w:ilvl="2" w:tplc="CF64CB78" w:tentative="1">
      <w:start w:val="1"/>
      <w:numFmt w:val="bullet"/>
      <w:lvlText w:val=""/>
      <w:lvlJc w:val="left"/>
      <w:pPr>
        <w:tabs>
          <w:tab w:val="num" w:pos="2160"/>
        </w:tabs>
        <w:ind w:left="2160" w:hanging="360"/>
      </w:pPr>
      <w:rPr>
        <w:rFonts w:ascii="Symbol" w:hAnsi="Symbol" w:hint="default"/>
      </w:rPr>
    </w:lvl>
    <w:lvl w:ilvl="3" w:tplc="3DAAF80A" w:tentative="1">
      <w:start w:val="1"/>
      <w:numFmt w:val="bullet"/>
      <w:lvlText w:val=""/>
      <w:lvlJc w:val="left"/>
      <w:pPr>
        <w:tabs>
          <w:tab w:val="num" w:pos="2880"/>
        </w:tabs>
        <w:ind w:left="2880" w:hanging="360"/>
      </w:pPr>
      <w:rPr>
        <w:rFonts w:ascii="Symbol" w:hAnsi="Symbol" w:hint="default"/>
      </w:rPr>
    </w:lvl>
    <w:lvl w:ilvl="4" w:tplc="56543818" w:tentative="1">
      <w:start w:val="1"/>
      <w:numFmt w:val="bullet"/>
      <w:lvlText w:val=""/>
      <w:lvlJc w:val="left"/>
      <w:pPr>
        <w:tabs>
          <w:tab w:val="num" w:pos="3600"/>
        </w:tabs>
        <w:ind w:left="3600" w:hanging="360"/>
      </w:pPr>
      <w:rPr>
        <w:rFonts w:ascii="Symbol" w:hAnsi="Symbol" w:hint="default"/>
      </w:rPr>
    </w:lvl>
    <w:lvl w:ilvl="5" w:tplc="4686FC5A" w:tentative="1">
      <w:start w:val="1"/>
      <w:numFmt w:val="bullet"/>
      <w:lvlText w:val=""/>
      <w:lvlJc w:val="left"/>
      <w:pPr>
        <w:tabs>
          <w:tab w:val="num" w:pos="4320"/>
        </w:tabs>
        <w:ind w:left="4320" w:hanging="360"/>
      </w:pPr>
      <w:rPr>
        <w:rFonts w:ascii="Symbol" w:hAnsi="Symbol" w:hint="default"/>
      </w:rPr>
    </w:lvl>
    <w:lvl w:ilvl="6" w:tplc="BBBE0AF4" w:tentative="1">
      <w:start w:val="1"/>
      <w:numFmt w:val="bullet"/>
      <w:lvlText w:val=""/>
      <w:lvlJc w:val="left"/>
      <w:pPr>
        <w:tabs>
          <w:tab w:val="num" w:pos="5040"/>
        </w:tabs>
        <w:ind w:left="5040" w:hanging="360"/>
      </w:pPr>
      <w:rPr>
        <w:rFonts w:ascii="Symbol" w:hAnsi="Symbol" w:hint="default"/>
      </w:rPr>
    </w:lvl>
    <w:lvl w:ilvl="7" w:tplc="9E2EBDDE" w:tentative="1">
      <w:start w:val="1"/>
      <w:numFmt w:val="bullet"/>
      <w:lvlText w:val=""/>
      <w:lvlJc w:val="left"/>
      <w:pPr>
        <w:tabs>
          <w:tab w:val="num" w:pos="5760"/>
        </w:tabs>
        <w:ind w:left="5760" w:hanging="360"/>
      </w:pPr>
      <w:rPr>
        <w:rFonts w:ascii="Symbol" w:hAnsi="Symbol" w:hint="default"/>
      </w:rPr>
    </w:lvl>
    <w:lvl w:ilvl="8" w:tplc="9B245F10"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01106B66"/>
    <w:multiLevelType w:val="hybridMultilevel"/>
    <w:tmpl w:val="D3C612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1C77057"/>
    <w:multiLevelType w:val="hybridMultilevel"/>
    <w:tmpl w:val="3086ECFE"/>
    <w:lvl w:ilvl="0" w:tplc="08D2AB58">
      <w:start w:val="1"/>
      <w:numFmt w:val="bullet"/>
      <w:lvlText w:val="&gt;"/>
      <w:lvlJc w:val="left"/>
      <w:pPr>
        <w:ind w:left="1800" w:hanging="360"/>
      </w:pPr>
      <w:rPr>
        <w:rFonts w:ascii="HelveticaNeueLT Std Lt" w:hAnsi="HelveticaNeueLT Std Lt" w:hint="default"/>
        <w:sz w:val="20"/>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0" w15:restartNumberingAfterBreak="0">
    <w:nsid w:val="01D040EB"/>
    <w:multiLevelType w:val="hybridMultilevel"/>
    <w:tmpl w:val="814A6C72"/>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04BC483B"/>
    <w:multiLevelType w:val="hybridMultilevel"/>
    <w:tmpl w:val="9A703D54"/>
    <w:lvl w:ilvl="0" w:tplc="0BC843DC">
      <w:start w:val="1"/>
      <w:numFmt w:val="bullet"/>
      <w:lvlText w:val=""/>
      <w:lvlPicBulletId w:val="1"/>
      <w:lvlJc w:val="left"/>
      <w:pPr>
        <w:tabs>
          <w:tab w:val="num" w:pos="720"/>
        </w:tabs>
        <w:ind w:left="720" w:hanging="360"/>
      </w:pPr>
      <w:rPr>
        <w:rFonts w:ascii="Symbol" w:hAnsi="Symbol" w:hint="default"/>
      </w:rPr>
    </w:lvl>
    <w:lvl w:ilvl="1" w:tplc="C59C669E" w:tentative="1">
      <w:start w:val="1"/>
      <w:numFmt w:val="bullet"/>
      <w:lvlText w:val=""/>
      <w:lvlJc w:val="left"/>
      <w:pPr>
        <w:tabs>
          <w:tab w:val="num" w:pos="1440"/>
        </w:tabs>
        <w:ind w:left="1440" w:hanging="360"/>
      </w:pPr>
      <w:rPr>
        <w:rFonts w:ascii="Symbol" w:hAnsi="Symbol" w:hint="default"/>
      </w:rPr>
    </w:lvl>
    <w:lvl w:ilvl="2" w:tplc="1974FE60" w:tentative="1">
      <w:start w:val="1"/>
      <w:numFmt w:val="bullet"/>
      <w:lvlText w:val=""/>
      <w:lvlJc w:val="left"/>
      <w:pPr>
        <w:tabs>
          <w:tab w:val="num" w:pos="2160"/>
        </w:tabs>
        <w:ind w:left="2160" w:hanging="360"/>
      </w:pPr>
      <w:rPr>
        <w:rFonts w:ascii="Symbol" w:hAnsi="Symbol" w:hint="default"/>
      </w:rPr>
    </w:lvl>
    <w:lvl w:ilvl="3" w:tplc="7278DBA2" w:tentative="1">
      <w:start w:val="1"/>
      <w:numFmt w:val="bullet"/>
      <w:lvlText w:val=""/>
      <w:lvlJc w:val="left"/>
      <w:pPr>
        <w:tabs>
          <w:tab w:val="num" w:pos="2880"/>
        </w:tabs>
        <w:ind w:left="2880" w:hanging="360"/>
      </w:pPr>
      <w:rPr>
        <w:rFonts w:ascii="Symbol" w:hAnsi="Symbol" w:hint="default"/>
      </w:rPr>
    </w:lvl>
    <w:lvl w:ilvl="4" w:tplc="9104A892" w:tentative="1">
      <w:start w:val="1"/>
      <w:numFmt w:val="bullet"/>
      <w:lvlText w:val=""/>
      <w:lvlJc w:val="left"/>
      <w:pPr>
        <w:tabs>
          <w:tab w:val="num" w:pos="3600"/>
        </w:tabs>
        <w:ind w:left="3600" w:hanging="360"/>
      </w:pPr>
      <w:rPr>
        <w:rFonts w:ascii="Symbol" w:hAnsi="Symbol" w:hint="default"/>
      </w:rPr>
    </w:lvl>
    <w:lvl w:ilvl="5" w:tplc="999426F8" w:tentative="1">
      <w:start w:val="1"/>
      <w:numFmt w:val="bullet"/>
      <w:lvlText w:val=""/>
      <w:lvlJc w:val="left"/>
      <w:pPr>
        <w:tabs>
          <w:tab w:val="num" w:pos="4320"/>
        </w:tabs>
        <w:ind w:left="4320" w:hanging="360"/>
      </w:pPr>
      <w:rPr>
        <w:rFonts w:ascii="Symbol" w:hAnsi="Symbol" w:hint="default"/>
      </w:rPr>
    </w:lvl>
    <w:lvl w:ilvl="6" w:tplc="4D0C2738" w:tentative="1">
      <w:start w:val="1"/>
      <w:numFmt w:val="bullet"/>
      <w:lvlText w:val=""/>
      <w:lvlJc w:val="left"/>
      <w:pPr>
        <w:tabs>
          <w:tab w:val="num" w:pos="5040"/>
        </w:tabs>
        <w:ind w:left="5040" w:hanging="360"/>
      </w:pPr>
      <w:rPr>
        <w:rFonts w:ascii="Symbol" w:hAnsi="Symbol" w:hint="default"/>
      </w:rPr>
    </w:lvl>
    <w:lvl w:ilvl="7" w:tplc="15D635EA" w:tentative="1">
      <w:start w:val="1"/>
      <w:numFmt w:val="bullet"/>
      <w:lvlText w:val=""/>
      <w:lvlJc w:val="left"/>
      <w:pPr>
        <w:tabs>
          <w:tab w:val="num" w:pos="5760"/>
        </w:tabs>
        <w:ind w:left="5760" w:hanging="360"/>
      </w:pPr>
      <w:rPr>
        <w:rFonts w:ascii="Symbol" w:hAnsi="Symbol" w:hint="default"/>
      </w:rPr>
    </w:lvl>
    <w:lvl w:ilvl="8" w:tplc="AF68AE48"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05D9092E"/>
    <w:multiLevelType w:val="hybridMultilevel"/>
    <w:tmpl w:val="A67EDA80"/>
    <w:lvl w:ilvl="0" w:tplc="D99E2784">
      <w:start w:val="1"/>
      <w:numFmt w:val="bullet"/>
      <w:lvlText w:val=""/>
      <w:lvlPicBulletId w:val="0"/>
      <w:lvlJc w:val="left"/>
      <w:pPr>
        <w:tabs>
          <w:tab w:val="num" w:pos="720"/>
        </w:tabs>
        <w:ind w:left="720" w:hanging="360"/>
      </w:pPr>
      <w:rPr>
        <w:rFonts w:ascii="Symbol" w:hAnsi="Symbol" w:hint="default"/>
      </w:rPr>
    </w:lvl>
    <w:lvl w:ilvl="1" w:tplc="81865FBE" w:tentative="1">
      <w:start w:val="1"/>
      <w:numFmt w:val="bullet"/>
      <w:lvlText w:val=""/>
      <w:lvlJc w:val="left"/>
      <w:pPr>
        <w:tabs>
          <w:tab w:val="num" w:pos="1440"/>
        </w:tabs>
        <w:ind w:left="1440" w:hanging="360"/>
      </w:pPr>
      <w:rPr>
        <w:rFonts w:ascii="Symbol" w:hAnsi="Symbol" w:hint="default"/>
      </w:rPr>
    </w:lvl>
    <w:lvl w:ilvl="2" w:tplc="8CE0E7E4" w:tentative="1">
      <w:start w:val="1"/>
      <w:numFmt w:val="bullet"/>
      <w:lvlText w:val=""/>
      <w:lvlJc w:val="left"/>
      <w:pPr>
        <w:tabs>
          <w:tab w:val="num" w:pos="2160"/>
        </w:tabs>
        <w:ind w:left="2160" w:hanging="360"/>
      </w:pPr>
      <w:rPr>
        <w:rFonts w:ascii="Symbol" w:hAnsi="Symbol" w:hint="default"/>
      </w:rPr>
    </w:lvl>
    <w:lvl w:ilvl="3" w:tplc="CB7036E2" w:tentative="1">
      <w:start w:val="1"/>
      <w:numFmt w:val="bullet"/>
      <w:lvlText w:val=""/>
      <w:lvlJc w:val="left"/>
      <w:pPr>
        <w:tabs>
          <w:tab w:val="num" w:pos="2880"/>
        </w:tabs>
        <w:ind w:left="2880" w:hanging="360"/>
      </w:pPr>
      <w:rPr>
        <w:rFonts w:ascii="Symbol" w:hAnsi="Symbol" w:hint="default"/>
      </w:rPr>
    </w:lvl>
    <w:lvl w:ilvl="4" w:tplc="D2627976" w:tentative="1">
      <w:start w:val="1"/>
      <w:numFmt w:val="bullet"/>
      <w:lvlText w:val=""/>
      <w:lvlJc w:val="left"/>
      <w:pPr>
        <w:tabs>
          <w:tab w:val="num" w:pos="3600"/>
        </w:tabs>
        <w:ind w:left="3600" w:hanging="360"/>
      </w:pPr>
      <w:rPr>
        <w:rFonts w:ascii="Symbol" w:hAnsi="Symbol" w:hint="default"/>
      </w:rPr>
    </w:lvl>
    <w:lvl w:ilvl="5" w:tplc="36527726" w:tentative="1">
      <w:start w:val="1"/>
      <w:numFmt w:val="bullet"/>
      <w:lvlText w:val=""/>
      <w:lvlJc w:val="left"/>
      <w:pPr>
        <w:tabs>
          <w:tab w:val="num" w:pos="4320"/>
        </w:tabs>
        <w:ind w:left="4320" w:hanging="360"/>
      </w:pPr>
      <w:rPr>
        <w:rFonts w:ascii="Symbol" w:hAnsi="Symbol" w:hint="default"/>
      </w:rPr>
    </w:lvl>
    <w:lvl w:ilvl="6" w:tplc="6ECC03F4" w:tentative="1">
      <w:start w:val="1"/>
      <w:numFmt w:val="bullet"/>
      <w:lvlText w:val=""/>
      <w:lvlJc w:val="left"/>
      <w:pPr>
        <w:tabs>
          <w:tab w:val="num" w:pos="5040"/>
        </w:tabs>
        <w:ind w:left="5040" w:hanging="360"/>
      </w:pPr>
      <w:rPr>
        <w:rFonts w:ascii="Symbol" w:hAnsi="Symbol" w:hint="default"/>
      </w:rPr>
    </w:lvl>
    <w:lvl w:ilvl="7" w:tplc="1EFC0104" w:tentative="1">
      <w:start w:val="1"/>
      <w:numFmt w:val="bullet"/>
      <w:lvlText w:val=""/>
      <w:lvlJc w:val="left"/>
      <w:pPr>
        <w:tabs>
          <w:tab w:val="num" w:pos="5760"/>
        </w:tabs>
        <w:ind w:left="5760" w:hanging="360"/>
      </w:pPr>
      <w:rPr>
        <w:rFonts w:ascii="Symbol" w:hAnsi="Symbol" w:hint="default"/>
      </w:rPr>
    </w:lvl>
    <w:lvl w:ilvl="8" w:tplc="75747FCA"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07DB7B85"/>
    <w:multiLevelType w:val="hybridMultilevel"/>
    <w:tmpl w:val="E2CC5B14"/>
    <w:lvl w:ilvl="0" w:tplc="A34665A0">
      <w:start w:val="1"/>
      <w:numFmt w:val="bullet"/>
      <w:lvlText w:val=""/>
      <w:lvlPicBulletId w:val="1"/>
      <w:lvlJc w:val="left"/>
      <w:pPr>
        <w:tabs>
          <w:tab w:val="num" w:pos="720"/>
        </w:tabs>
        <w:ind w:left="720" w:hanging="360"/>
      </w:pPr>
      <w:rPr>
        <w:rFonts w:ascii="Symbol" w:hAnsi="Symbol" w:hint="default"/>
      </w:rPr>
    </w:lvl>
    <w:lvl w:ilvl="1" w:tplc="2A508D10" w:tentative="1">
      <w:start w:val="1"/>
      <w:numFmt w:val="bullet"/>
      <w:lvlText w:val=""/>
      <w:lvlJc w:val="left"/>
      <w:pPr>
        <w:tabs>
          <w:tab w:val="num" w:pos="1440"/>
        </w:tabs>
        <w:ind w:left="1440" w:hanging="360"/>
      </w:pPr>
      <w:rPr>
        <w:rFonts w:ascii="Symbol" w:hAnsi="Symbol" w:hint="default"/>
      </w:rPr>
    </w:lvl>
    <w:lvl w:ilvl="2" w:tplc="05F029A8" w:tentative="1">
      <w:start w:val="1"/>
      <w:numFmt w:val="bullet"/>
      <w:lvlText w:val=""/>
      <w:lvlJc w:val="left"/>
      <w:pPr>
        <w:tabs>
          <w:tab w:val="num" w:pos="2160"/>
        </w:tabs>
        <w:ind w:left="2160" w:hanging="360"/>
      </w:pPr>
      <w:rPr>
        <w:rFonts w:ascii="Symbol" w:hAnsi="Symbol" w:hint="default"/>
      </w:rPr>
    </w:lvl>
    <w:lvl w:ilvl="3" w:tplc="961EA4CE" w:tentative="1">
      <w:start w:val="1"/>
      <w:numFmt w:val="bullet"/>
      <w:lvlText w:val=""/>
      <w:lvlJc w:val="left"/>
      <w:pPr>
        <w:tabs>
          <w:tab w:val="num" w:pos="2880"/>
        </w:tabs>
        <w:ind w:left="2880" w:hanging="360"/>
      </w:pPr>
      <w:rPr>
        <w:rFonts w:ascii="Symbol" w:hAnsi="Symbol" w:hint="default"/>
      </w:rPr>
    </w:lvl>
    <w:lvl w:ilvl="4" w:tplc="F6360F82" w:tentative="1">
      <w:start w:val="1"/>
      <w:numFmt w:val="bullet"/>
      <w:lvlText w:val=""/>
      <w:lvlJc w:val="left"/>
      <w:pPr>
        <w:tabs>
          <w:tab w:val="num" w:pos="3600"/>
        </w:tabs>
        <w:ind w:left="3600" w:hanging="360"/>
      </w:pPr>
      <w:rPr>
        <w:rFonts w:ascii="Symbol" w:hAnsi="Symbol" w:hint="default"/>
      </w:rPr>
    </w:lvl>
    <w:lvl w:ilvl="5" w:tplc="31A04440" w:tentative="1">
      <w:start w:val="1"/>
      <w:numFmt w:val="bullet"/>
      <w:lvlText w:val=""/>
      <w:lvlJc w:val="left"/>
      <w:pPr>
        <w:tabs>
          <w:tab w:val="num" w:pos="4320"/>
        </w:tabs>
        <w:ind w:left="4320" w:hanging="360"/>
      </w:pPr>
      <w:rPr>
        <w:rFonts w:ascii="Symbol" w:hAnsi="Symbol" w:hint="default"/>
      </w:rPr>
    </w:lvl>
    <w:lvl w:ilvl="6" w:tplc="B0FEA136" w:tentative="1">
      <w:start w:val="1"/>
      <w:numFmt w:val="bullet"/>
      <w:lvlText w:val=""/>
      <w:lvlJc w:val="left"/>
      <w:pPr>
        <w:tabs>
          <w:tab w:val="num" w:pos="5040"/>
        </w:tabs>
        <w:ind w:left="5040" w:hanging="360"/>
      </w:pPr>
      <w:rPr>
        <w:rFonts w:ascii="Symbol" w:hAnsi="Symbol" w:hint="default"/>
      </w:rPr>
    </w:lvl>
    <w:lvl w:ilvl="7" w:tplc="1E586882" w:tentative="1">
      <w:start w:val="1"/>
      <w:numFmt w:val="bullet"/>
      <w:lvlText w:val=""/>
      <w:lvlJc w:val="left"/>
      <w:pPr>
        <w:tabs>
          <w:tab w:val="num" w:pos="5760"/>
        </w:tabs>
        <w:ind w:left="5760" w:hanging="360"/>
      </w:pPr>
      <w:rPr>
        <w:rFonts w:ascii="Symbol" w:hAnsi="Symbol" w:hint="default"/>
      </w:rPr>
    </w:lvl>
    <w:lvl w:ilvl="8" w:tplc="ACAA88AE"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081B15D5"/>
    <w:multiLevelType w:val="hybridMultilevel"/>
    <w:tmpl w:val="91C00568"/>
    <w:lvl w:ilvl="0" w:tplc="AAFC161A">
      <w:start w:val="1"/>
      <w:numFmt w:val="bullet"/>
      <w:lvlText w:val=""/>
      <w:lvlPicBulletId w:val="1"/>
      <w:lvlJc w:val="left"/>
      <w:pPr>
        <w:tabs>
          <w:tab w:val="num" w:pos="720"/>
        </w:tabs>
        <w:ind w:left="720" w:hanging="360"/>
      </w:pPr>
      <w:rPr>
        <w:rFonts w:ascii="Symbol" w:hAnsi="Symbol" w:hint="default"/>
      </w:rPr>
    </w:lvl>
    <w:lvl w:ilvl="1" w:tplc="4252B07C" w:tentative="1">
      <w:start w:val="1"/>
      <w:numFmt w:val="bullet"/>
      <w:lvlText w:val=""/>
      <w:lvlJc w:val="left"/>
      <w:pPr>
        <w:tabs>
          <w:tab w:val="num" w:pos="1440"/>
        </w:tabs>
        <w:ind w:left="1440" w:hanging="360"/>
      </w:pPr>
      <w:rPr>
        <w:rFonts w:ascii="Symbol" w:hAnsi="Symbol" w:hint="default"/>
      </w:rPr>
    </w:lvl>
    <w:lvl w:ilvl="2" w:tplc="148812E2" w:tentative="1">
      <w:start w:val="1"/>
      <w:numFmt w:val="bullet"/>
      <w:lvlText w:val=""/>
      <w:lvlJc w:val="left"/>
      <w:pPr>
        <w:tabs>
          <w:tab w:val="num" w:pos="2160"/>
        </w:tabs>
        <w:ind w:left="2160" w:hanging="360"/>
      </w:pPr>
      <w:rPr>
        <w:rFonts w:ascii="Symbol" w:hAnsi="Symbol" w:hint="default"/>
      </w:rPr>
    </w:lvl>
    <w:lvl w:ilvl="3" w:tplc="D818C014" w:tentative="1">
      <w:start w:val="1"/>
      <w:numFmt w:val="bullet"/>
      <w:lvlText w:val=""/>
      <w:lvlJc w:val="left"/>
      <w:pPr>
        <w:tabs>
          <w:tab w:val="num" w:pos="2880"/>
        </w:tabs>
        <w:ind w:left="2880" w:hanging="360"/>
      </w:pPr>
      <w:rPr>
        <w:rFonts w:ascii="Symbol" w:hAnsi="Symbol" w:hint="default"/>
      </w:rPr>
    </w:lvl>
    <w:lvl w:ilvl="4" w:tplc="6930C2EE" w:tentative="1">
      <w:start w:val="1"/>
      <w:numFmt w:val="bullet"/>
      <w:lvlText w:val=""/>
      <w:lvlJc w:val="left"/>
      <w:pPr>
        <w:tabs>
          <w:tab w:val="num" w:pos="3600"/>
        </w:tabs>
        <w:ind w:left="3600" w:hanging="360"/>
      </w:pPr>
      <w:rPr>
        <w:rFonts w:ascii="Symbol" w:hAnsi="Symbol" w:hint="default"/>
      </w:rPr>
    </w:lvl>
    <w:lvl w:ilvl="5" w:tplc="CE4CCFFA" w:tentative="1">
      <w:start w:val="1"/>
      <w:numFmt w:val="bullet"/>
      <w:lvlText w:val=""/>
      <w:lvlJc w:val="left"/>
      <w:pPr>
        <w:tabs>
          <w:tab w:val="num" w:pos="4320"/>
        </w:tabs>
        <w:ind w:left="4320" w:hanging="360"/>
      </w:pPr>
      <w:rPr>
        <w:rFonts w:ascii="Symbol" w:hAnsi="Symbol" w:hint="default"/>
      </w:rPr>
    </w:lvl>
    <w:lvl w:ilvl="6" w:tplc="43DA86F8" w:tentative="1">
      <w:start w:val="1"/>
      <w:numFmt w:val="bullet"/>
      <w:lvlText w:val=""/>
      <w:lvlJc w:val="left"/>
      <w:pPr>
        <w:tabs>
          <w:tab w:val="num" w:pos="5040"/>
        </w:tabs>
        <w:ind w:left="5040" w:hanging="360"/>
      </w:pPr>
      <w:rPr>
        <w:rFonts w:ascii="Symbol" w:hAnsi="Symbol" w:hint="default"/>
      </w:rPr>
    </w:lvl>
    <w:lvl w:ilvl="7" w:tplc="656A168E" w:tentative="1">
      <w:start w:val="1"/>
      <w:numFmt w:val="bullet"/>
      <w:lvlText w:val=""/>
      <w:lvlJc w:val="left"/>
      <w:pPr>
        <w:tabs>
          <w:tab w:val="num" w:pos="5760"/>
        </w:tabs>
        <w:ind w:left="5760" w:hanging="360"/>
      </w:pPr>
      <w:rPr>
        <w:rFonts w:ascii="Symbol" w:hAnsi="Symbol" w:hint="default"/>
      </w:rPr>
    </w:lvl>
    <w:lvl w:ilvl="8" w:tplc="84E83776" w:tentative="1">
      <w:start w:val="1"/>
      <w:numFmt w:val="bullet"/>
      <w:lvlText w:val=""/>
      <w:lvlJc w:val="left"/>
      <w:pPr>
        <w:tabs>
          <w:tab w:val="num" w:pos="6480"/>
        </w:tabs>
        <w:ind w:left="6480" w:hanging="360"/>
      </w:pPr>
      <w:rPr>
        <w:rFonts w:ascii="Symbol" w:hAnsi="Symbol" w:hint="default"/>
      </w:rPr>
    </w:lvl>
  </w:abstractNum>
  <w:abstractNum w:abstractNumId="15" w15:restartNumberingAfterBreak="0">
    <w:nsid w:val="088D32B0"/>
    <w:multiLevelType w:val="hybridMultilevel"/>
    <w:tmpl w:val="6A7E0030"/>
    <w:lvl w:ilvl="0" w:tplc="0C09000B">
      <w:start w:val="1"/>
      <w:numFmt w:val="bullet"/>
      <w:lvlText w:val=""/>
      <w:lvlJc w:val="left"/>
      <w:pPr>
        <w:ind w:left="360" w:hanging="360"/>
      </w:pPr>
      <w:rPr>
        <w:rFonts w:ascii="Wingdings" w:hAnsi="Wingdings" w:hint="default"/>
        <w:b w:val="0"/>
        <w:bCs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09EC57DB"/>
    <w:multiLevelType w:val="hybridMultilevel"/>
    <w:tmpl w:val="710EA874"/>
    <w:lvl w:ilvl="0" w:tplc="08D2AB58">
      <w:start w:val="1"/>
      <w:numFmt w:val="bullet"/>
      <w:lvlText w:val="&gt;"/>
      <w:lvlJc w:val="left"/>
      <w:pPr>
        <w:ind w:left="928" w:hanging="360"/>
      </w:pPr>
      <w:rPr>
        <w:rFonts w:ascii="HelveticaNeueLT Std Lt" w:hAnsi="HelveticaNeueLT Std Lt" w:hint="default"/>
        <w:sz w:val="2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17" w15:restartNumberingAfterBreak="0">
    <w:nsid w:val="0A03458B"/>
    <w:multiLevelType w:val="hybridMultilevel"/>
    <w:tmpl w:val="5E681AF4"/>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8" w15:restartNumberingAfterBreak="0">
    <w:nsid w:val="0A41123D"/>
    <w:multiLevelType w:val="hybridMultilevel"/>
    <w:tmpl w:val="C1403184"/>
    <w:lvl w:ilvl="0" w:tplc="063463FE">
      <w:start w:val="1"/>
      <w:numFmt w:val="bullet"/>
      <w:lvlText w:val=""/>
      <w:lvlPicBulletId w:val="1"/>
      <w:lvlJc w:val="left"/>
      <w:pPr>
        <w:tabs>
          <w:tab w:val="num" w:pos="720"/>
        </w:tabs>
        <w:ind w:left="720" w:hanging="360"/>
      </w:pPr>
      <w:rPr>
        <w:rFonts w:ascii="Symbol" w:hAnsi="Symbol" w:hint="default"/>
      </w:rPr>
    </w:lvl>
    <w:lvl w:ilvl="1" w:tplc="8CC604F4" w:tentative="1">
      <w:start w:val="1"/>
      <w:numFmt w:val="bullet"/>
      <w:lvlText w:val=""/>
      <w:lvlJc w:val="left"/>
      <w:pPr>
        <w:tabs>
          <w:tab w:val="num" w:pos="1440"/>
        </w:tabs>
        <w:ind w:left="1440" w:hanging="360"/>
      </w:pPr>
      <w:rPr>
        <w:rFonts w:ascii="Symbol" w:hAnsi="Symbol" w:hint="default"/>
      </w:rPr>
    </w:lvl>
    <w:lvl w:ilvl="2" w:tplc="6FD2248E" w:tentative="1">
      <w:start w:val="1"/>
      <w:numFmt w:val="bullet"/>
      <w:lvlText w:val=""/>
      <w:lvlJc w:val="left"/>
      <w:pPr>
        <w:tabs>
          <w:tab w:val="num" w:pos="2160"/>
        </w:tabs>
        <w:ind w:left="2160" w:hanging="360"/>
      </w:pPr>
      <w:rPr>
        <w:rFonts w:ascii="Symbol" w:hAnsi="Symbol" w:hint="default"/>
      </w:rPr>
    </w:lvl>
    <w:lvl w:ilvl="3" w:tplc="9DEE3DBE" w:tentative="1">
      <w:start w:val="1"/>
      <w:numFmt w:val="bullet"/>
      <w:lvlText w:val=""/>
      <w:lvlJc w:val="left"/>
      <w:pPr>
        <w:tabs>
          <w:tab w:val="num" w:pos="2880"/>
        </w:tabs>
        <w:ind w:left="2880" w:hanging="360"/>
      </w:pPr>
      <w:rPr>
        <w:rFonts w:ascii="Symbol" w:hAnsi="Symbol" w:hint="default"/>
      </w:rPr>
    </w:lvl>
    <w:lvl w:ilvl="4" w:tplc="34E8389C" w:tentative="1">
      <w:start w:val="1"/>
      <w:numFmt w:val="bullet"/>
      <w:lvlText w:val=""/>
      <w:lvlJc w:val="left"/>
      <w:pPr>
        <w:tabs>
          <w:tab w:val="num" w:pos="3600"/>
        </w:tabs>
        <w:ind w:left="3600" w:hanging="360"/>
      </w:pPr>
      <w:rPr>
        <w:rFonts w:ascii="Symbol" w:hAnsi="Symbol" w:hint="default"/>
      </w:rPr>
    </w:lvl>
    <w:lvl w:ilvl="5" w:tplc="18082DA6" w:tentative="1">
      <w:start w:val="1"/>
      <w:numFmt w:val="bullet"/>
      <w:lvlText w:val=""/>
      <w:lvlJc w:val="left"/>
      <w:pPr>
        <w:tabs>
          <w:tab w:val="num" w:pos="4320"/>
        </w:tabs>
        <w:ind w:left="4320" w:hanging="360"/>
      </w:pPr>
      <w:rPr>
        <w:rFonts w:ascii="Symbol" w:hAnsi="Symbol" w:hint="default"/>
      </w:rPr>
    </w:lvl>
    <w:lvl w:ilvl="6" w:tplc="B9FC7D42" w:tentative="1">
      <w:start w:val="1"/>
      <w:numFmt w:val="bullet"/>
      <w:lvlText w:val=""/>
      <w:lvlJc w:val="left"/>
      <w:pPr>
        <w:tabs>
          <w:tab w:val="num" w:pos="5040"/>
        </w:tabs>
        <w:ind w:left="5040" w:hanging="360"/>
      </w:pPr>
      <w:rPr>
        <w:rFonts w:ascii="Symbol" w:hAnsi="Symbol" w:hint="default"/>
      </w:rPr>
    </w:lvl>
    <w:lvl w:ilvl="7" w:tplc="C5AC0C28" w:tentative="1">
      <w:start w:val="1"/>
      <w:numFmt w:val="bullet"/>
      <w:lvlText w:val=""/>
      <w:lvlJc w:val="left"/>
      <w:pPr>
        <w:tabs>
          <w:tab w:val="num" w:pos="5760"/>
        </w:tabs>
        <w:ind w:left="5760" w:hanging="360"/>
      </w:pPr>
      <w:rPr>
        <w:rFonts w:ascii="Symbol" w:hAnsi="Symbol" w:hint="default"/>
      </w:rPr>
    </w:lvl>
    <w:lvl w:ilvl="8" w:tplc="B77C9D80" w:tentative="1">
      <w:start w:val="1"/>
      <w:numFmt w:val="bullet"/>
      <w:lvlText w:val=""/>
      <w:lvlJc w:val="left"/>
      <w:pPr>
        <w:tabs>
          <w:tab w:val="num" w:pos="6480"/>
        </w:tabs>
        <w:ind w:left="6480" w:hanging="360"/>
      </w:pPr>
      <w:rPr>
        <w:rFonts w:ascii="Symbol" w:hAnsi="Symbol" w:hint="default"/>
      </w:rPr>
    </w:lvl>
  </w:abstractNum>
  <w:abstractNum w:abstractNumId="19" w15:restartNumberingAfterBreak="0">
    <w:nsid w:val="0AF63B30"/>
    <w:multiLevelType w:val="hybridMultilevel"/>
    <w:tmpl w:val="DA3CC630"/>
    <w:lvl w:ilvl="0" w:tplc="CC8A5050">
      <w:start w:val="1"/>
      <w:numFmt w:val="bullet"/>
      <w:lvlText w:val=""/>
      <w:lvlPicBulletId w:val="0"/>
      <w:lvlJc w:val="left"/>
      <w:pPr>
        <w:tabs>
          <w:tab w:val="num" w:pos="720"/>
        </w:tabs>
        <w:ind w:left="720" w:hanging="360"/>
      </w:pPr>
      <w:rPr>
        <w:rFonts w:ascii="Symbol" w:hAnsi="Symbol" w:hint="default"/>
      </w:rPr>
    </w:lvl>
    <w:lvl w:ilvl="1" w:tplc="8C1A2908" w:tentative="1">
      <w:start w:val="1"/>
      <w:numFmt w:val="bullet"/>
      <w:lvlText w:val=""/>
      <w:lvlJc w:val="left"/>
      <w:pPr>
        <w:tabs>
          <w:tab w:val="num" w:pos="1440"/>
        </w:tabs>
        <w:ind w:left="1440" w:hanging="360"/>
      </w:pPr>
      <w:rPr>
        <w:rFonts w:ascii="Symbol" w:hAnsi="Symbol" w:hint="default"/>
      </w:rPr>
    </w:lvl>
    <w:lvl w:ilvl="2" w:tplc="8FC64C40" w:tentative="1">
      <w:start w:val="1"/>
      <w:numFmt w:val="bullet"/>
      <w:lvlText w:val=""/>
      <w:lvlJc w:val="left"/>
      <w:pPr>
        <w:tabs>
          <w:tab w:val="num" w:pos="2160"/>
        </w:tabs>
        <w:ind w:left="2160" w:hanging="360"/>
      </w:pPr>
      <w:rPr>
        <w:rFonts w:ascii="Symbol" w:hAnsi="Symbol" w:hint="default"/>
      </w:rPr>
    </w:lvl>
    <w:lvl w:ilvl="3" w:tplc="8FE48846" w:tentative="1">
      <w:start w:val="1"/>
      <w:numFmt w:val="bullet"/>
      <w:lvlText w:val=""/>
      <w:lvlJc w:val="left"/>
      <w:pPr>
        <w:tabs>
          <w:tab w:val="num" w:pos="2880"/>
        </w:tabs>
        <w:ind w:left="2880" w:hanging="360"/>
      </w:pPr>
      <w:rPr>
        <w:rFonts w:ascii="Symbol" w:hAnsi="Symbol" w:hint="default"/>
      </w:rPr>
    </w:lvl>
    <w:lvl w:ilvl="4" w:tplc="5CC46900" w:tentative="1">
      <w:start w:val="1"/>
      <w:numFmt w:val="bullet"/>
      <w:lvlText w:val=""/>
      <w:lvlJc w:val="left"/>
      <w:pPr>
        <w:tabs>
          <w:tab w:val="num" w:pos="3600"/>
        </w:tabs>
        <w:ind w:left="3600" w:hanging="360"/>
      </w:pPr>
      <w:rPr>
        <w:rFonts w:ascii="Symbol" w:hAnsi="Symbol" w:hint="default"/>
      </w:rPr>
    </w:lvl>
    <w:lvl w:ilvl="5" w:tplc="924625EE" w:tentative="1">
      <w:start w:val="1"/>
      <w:numFmt w:val="bullet"/>
      <w:lvlText w:val=""/>
      <w:lvlJc w:val="left"/>
      <w:pPr>
        <w:tabs>
          <w:tab w:val="num" w:pos="4320"/>
        </w:tabs>
        <w:ind w:left="4320" w:hanging="360"/>
      </w:pPr>
      <w:rPr>
        <w:rFonts w:ascii="Symbol" w:hAnsi="Symbol" w:hint="default"/>
      </w:rPr>
    </w:lvl>
    <w:lvl w:ilvl="6" w:tplc="7AA22276" w:tentative="1">
      <w:start w:val="1"/>
      <w:numFmt w:val="bullet"/>
      <w:lvlText w:val=""/>
      <w:lvlJc w:val="left"/>
      <w:pPr>
        <w:tabs>
          <w:tab w:val="num" w:pos="5040"/>
        </w:tabs>
        <w:ind w:left="5040" w:hanging="360"/>
      </w:pPr>
      <w:rPr>
        <w:rFonts w:ascii="Symbol" w:hAnsi="Symbol" w:hint="default"/>
      </w:rPr>
    </w:lvl>
    <w:lvl w:ilvl="7" w:tplc="4C8ABB32" w:tentative="1">
      <w:start w:val="1"/>
      <w:numFmt w:val="bullet"/>
      <w:lvlText w:val=""/>
      <w:lvlJc w:val="left"/>
      <w:pPr>
        <w:tabs>
          <w:tab w:val="num" w:pos="5760"/>
        </w:tabs>
        <w:ind w:left="5760" w:hanging="360"/>
      </w:pPr>
      <w:rPr>
        <w:rFonts w:ascii="Symbol" w:hAnsi="Symbol" w:hint="default"/>
      </w:rPr>
    </w:lvl>
    <w:lvl w:ilvl="8" w:tplc="EEA49C2A" w:tentative="1">
      <w:start w:val="1"/>
      <w:numFmt w:val="bullet"/>
      <w:lvlText w:val=""/>
      <w:lvlJc w:val="left"/>
      <w:pPr>
        <w:tabs>
          <w:tab w:val="num" w:pos="6480"/>
        </w:tabs>
        <w:ind w:left="6480" w:hanging="360"/>
      </w:pPr>
      <w:rPr>
        <w:rFonts w:ascii="Symbol" w:hAnsi="Symbol" w:hint="default"/>
      </w:rPr>
    </w:lvl>
  </w:abstractNum>
  <w:abstractNum w:abstractNumId="20" w15:restartNumberingAfterBreak="0">
    <w:nsid w:val="0B5318A0"/>
    <w:multiLevelType w:val="hybridMultilevel"/>
    <w:tmpl w:val="DA64DB24"/>
    <w:lvl w:ilvl="0" w:tplc="907ECC92">
      <w:start w:val="1"/>
      <w:numFmt w:val="bullet"/>
      <w:lvlText w:val=""/>
      <w:lvlPicBulletId w:val="0"/>
      <w:lvlJc w:val="left"/>
      <w:pPr>
        <w:tabs>
          <w:tab w:val="num" w:pos="720"/>
        </w:tabs>
        <w:ind w:left="720" w:hanging="360"/>
      </w:pPr>
      <w:rPr>
        <w:rFonts w:ascii="Symbol" w:hAnsi="Symbol" w:hint="default"/>
      </w:rPr>
    </w:lvl>
    <w:lvl w:ilvl="1" w:tplc="B69272B6" w:tentative="1">
      <w:start w:val="1"/>
      <w:numFmt w:val="bullet"/>
      <w:lvlText w:val=""/>
      <w:lvlJc w:val="left"/>
      <w:pPr>
        <w:tabs>
          <w:tab w:val="num" w:pos="1440"/>
        </w:tabs>
        <w:ind w:left="1440" w:hanging="360"/>
      </w:pPr>
      <w:rPr>
        <w:rFonts w:ascii="Symbol" w:hAnsi="Symbol" w:hint="default"/>
      </w:rPr>
    </w:lvl>
    <w:lvl w:ilvl="2" w:tplc="2DD6D536" w:tentative="1">
      <w:start w:val="1"/>
      <w:numFmt w:val="bullet"/>
      <w:lvlText w:val=""/>
      <w:lvlJc w:val="left"/>
      <w:pPr>
        <w:tabs>
          <w:tab w:val="num" w:pos="2160"/>
        </w:tabs>
        <w:ind w:left="2160" w:hanging="360"/>
      </w:pPr>
      <w:rPr>
        <w:rFonts w:ascii="Symbol" w:hAnsi="Symbol" w:hint="default"/>
      </w:rPr>
    </w:lvl>
    <w:lvl w:ilvl="3" w:tplc="03EE125E" w:tentative="1">
      <w:start w:val="1"/>
      <w:numFmt w:val="bullet"/>
      <w:lvlText w:val=""/>
      <w:lvlJc w:val="left"/>
      <w:pPr>
        <w:tabs>
          <w:tab w:val="num" w:pos="2880"/>
        </w:tabs>
        <w:ind w:left="2880" w:hanging="360"/>
      </w:pPr>
      <w:rPr>
        <w:rFonts w:ascii="Symbol" w:hAnsi="Symbol" w:hint="default"/>
      </w:rPr>
    </w:lvl>
    <w:lvl w:ilvl="4" w:tplc="E5E4E7EC" w:tentative="1">
      <w:start w:val="1"/>
      <w:numFmt w:val="bullet"/>
      <w:lvlText w:val=""/>
      <w:lvlJc w:val="left"/>
      <w:pPr>
        <w:tabs>
          <w:tab w:val="num" w:pos="3600"/>
        </w:tabs>
        <w:ind w:left="3600" w:hanging="360"/>
      </w:pPr>
      <w:rPr>
        <w:rFonts w:ascii="Symbol" w:hAnsi="Symbol" w:hint="default"/>
      </w:rPr>
    </w:lvl>
    <w:lvl w:ilvl="5" w:tplc="014C1672" w:tentative="1">
      <w:start w:val="1"/>
      <w:numFmt w:val="bullet"/>
      <w:lvlText w:val=""/>
      <w:lvlJc w:val="left"/>
      <w:pPr>
        <w:tabs>
          <w:tab w:val="num" w:pos="4320"/>
        </w:tabs>
        <w:ind w:left="4320" w:hanging="360"/>
      </w:pPr>
      <w:rPr>
        <w:rFonts w:ascii="Symbol" w:hAnsi="Symbol" w:hint="default"/>
      </w:rPr>
    </w:lvl>
    <w:lvl w:ilvl="6" w:tplc="967EDA02" w:tentative="1">
      <w:start w:val="1"/>
      <w:numFmt w:val="bullet"/>
      <w:lvlText w:val=""/>
      <w:lvlJc w:val="left"/>
      <w:pPr>
        <w:tabs>
          <w:tab w:val="num" w:pos="5040"/>
        </w:tabs>
        <w:ind w:left="5040" w:hanging="360"/>
      </w:pPr>
      <w:rPr>
        <w:rFonts w:ascii="Symbol" w:hAnsi="Symbol" w:hint="default"/>
      </w:rPr>
    </w:lvl>
    <w:lvl w:ilvl="7" w:tplc="294CB098" w:tentative="1">
      <w:start w:val="1"/>
      <w:numFmt w:val="bullet"/>
      <w:lvlText w:val=""/>
      <w:lvlJc w:val="left"/>
      <w:pPr>
        <w:tabs>
          <w:tab w:val="num" w:pos="5760"/>
        </w:tabs>
        <w:ind w:left="5760" w:hanging="360"/>
      </w:pPr>
      <w:rPr>
        <w:rFonts w:ascii="Symbol" w:hAnsi="Symbol" w:hint="default"/>
      </w:rPr>
    </w:lvl>
    <w:lvl w:ilvl="8" w:tplc="4B7C57F8" w:tentative="1">
      <w:start w:val="1"/>
      <w:numFmt w:val="bullet"/>
      <w:lvlText w:val=""/>
      <w:lvlJc w:val="left"/>
      <w:pPr>
        <w:tabs>
          <w:tab w:val="num" w:pos="6480"/>
        </w:tabs>
        <w:ind w:left="6480" w:hanging="360"/>
      </w:pPr>
      <w:rPr>
        <w:rFonts w:ascii="Symbol" w:hAnsi="Symbol" w:hint="default"/>
      </w:rPr>
    </w:lvl>
  </w:abstractNum>
  <w:abstractNum w:abstractNumId="21" w15:restartNumberingAfterBreak="0">
    <w:nsid w:val="0BFD1E10"/>
    <w:multiLevelType w:val="hybridMultilevel"/>
    <w:tmpl w:val="E98C1E42"/>
    <w:lvl w:ilvl="0" w:tplc="4B78D01C">
      <w:start w:val="1"/>
      <w:numFmt w:val="bullet"/>
      <w:lvlText w:val=""/>
      <w:lvlPicBulletId w:val="1"/>
      <w:lvlJc w:val="left"/>
      <w:pPr>
        <w:tabs>
          <w:tab w:val="num" w:pos="720"/>
        </w:tabs>
        <w:ind w:left="720" w:hanging="360"/>
      </w:pPr>
      <w:rPr>
        <w:rFonts w:ascii="Symbol" w:hAnsi="Symbol" w:hint="default"/>
      </w:rPr>
    </w:lvl>
    <w:lvl w:ilvl="1" w:tplc="73E80492" w:tentative="1">
      <w:start w:val="1"/>
      <w:numFmt w:val="bullet"/>
      <w:lvlText w:val=""/>
      <w:lvlJc w:val="left"/>
      <w:pPr>
        <w:tabs>
          <w:tab w:val="num" w:pos="1440"/>
        </w:tabs>
        <w:ind w:left="1440" w:hanging="360"/>
      </w:pPr>
      <w:rPr>
        <w:rFonts w:ascii="Symbol" w:hAnsi="Symbol" w:hint="default"/>
      </w:rPr>
    </w:lvl>
    <w:lvl w:ilvl="2" w:tplc="D5F8470C" w:tentative="1">
      <w:start w:val="1"/>
      <w:numFmt w:val="bullet"/>
      <w:lvlText w:val=""/>
      <w:lvlJc w:val="left"/>
      <w:pPr>
        <w:tabs>
          <w:tab w:val="num" w:pos="2160"/>
        </w:tabs>
        <w:ind w:left="2160" w:hanging="360"/>
      </w:pPr>
      <w:rPr>
        <w:rFonts w:ascii="Symbol" w:hAnsi="Symbol" w:hint="default"/>
      </w:rPr>
    </w:lvl>
    <w:lvl w:ilvl="3" w:tplc="F53EF144" w:tentative="1">
      <w:start w:val="1"/>
      <w:numFmt w:val="bullet"/>
      <w:lvlText w:val=""/>
      <w:lvlJc w:val="left"/>
      <w:pPr>
        <w:tabs>
          <w:tab w:val="num" w:pos="2880"/>
        </w:tabs>
        <w:ind w:left="2880" w:hanging="360"/>
      </w:pPr>
      <w:rPr>
        <w:rFonts w:ascii="Symbol" w:hAnsi="Symbol" w:hint="default"/>
      </w:rPr>
    </w:lvl>
    <w:lvl w:ilvl="4" w:tplc="46E899E2" w:tentative="1">
      <w:start w:val="1"/>
      <w:numFmt w:val="bullet"/>
      <w:lvlText w:val=""/>
      <w:lvlJc w:val="left"/>
      <w:pPr>
        <w:tabs>
          <w:tab w:val="num" w:pos="3600"/>
        </w:tabs>
        <w:ind w:left="3600" w:hanging="360"/>
      </w:pPr>
      <w:rPr>
        <w:rFonts w:ascii="Symbol" w:hAnsi="Symbol" w:hint="default"/>
      </w:rPr>
    </w:lvl>
    <w:lvl w:ilvl="5" w:tplc="22FA511E" w:tentative="1">
      <w:start w:val="1"/>
      <w:numFmt w:val="bullet"/>
      <w:lvlText w:val=""/>
      <w:lvlJc w:val="left"/>
      <w:pPr>
        <w:tabs>
          <w:tab w:val="num" w:pos="4320"/>
        </w:tabs>
        <w:ind w:left="4320" w:hanging="360"/>
      </w:pPr>
      <w:rPr>
        <w:rFonts w:ascii="Symbol" w:hAnsi="Symbol" w:hint="default"/>
      </w:rPr>
    </w:lvl>
    <w:lvl w:ilvl="6" w:tplc="46CEBD08" w:tentative="1">
      <w:start w:val="1"/>
      <w:numFmt w:val="bullet"/>
      <w:lvlText w:val=""/>
      <w:lvlJc w:val="left"/>
      <w:pPr>
        <w:tabs>
          <w:tab w:val="num" w:pos="5040"/>
        </w:tabs>
        <w:ind w:left="5040" w:hanging="360"/>
      </w:pPr>
      <w:rPr>
        <w:rFonts w:ascii="Symbol" w:hAnsi="Symbol" w:hint="default"/>
      </w:rPr>
    </w:lvl>
    <w:lvl w:ilvl="7" w:tplc="8662DFEE" w:tentative="1">
      <w:start w:val="1"/>
      <w:numFmt w:val="bullet"/>
      <w:lvlText w:val=""/>
      <w:lvlJc w:val="left"/>
      <w:pPr>
        <w:tabs>
          <w:tab w:val="num" w:pos="5760"/>
        </w:tabs>
        <w:ind w:left="5760" w:hanging="360"/>
      </w:pPr>
      <w:rPr>
        <w:rFonts w:ascii="Symbol" w:hAnsi="Symbol" w:hint="default"/>
      </w:rPr>
    </w:lvl>
    <w:lvl w:ilvl="8" w:tplc="5E10EDB2" w:tentative="1">
      <w:start w:val="1"/>
      <w:numFmt w:val="bullet"/>
      <w:lvlText w:val=""/>
      <w:lvlJc w:val="left"/>
      <w:pPr>
        <w:tabs>
          <w:tab w:val="num" w:pos="6480"/>
        </w:tabs>
        <w:ind w:left="6480" w:hanging="360"/>
      </w:pPr>
      <w:rPr>
        <w:rFonts w:ascii="Symbol" w:hAnsi="Symbol" w:hint="default"/>
      </w:rPr>
    </w:lvl>
  </w:abstractNum>
  <w:abstractNum w:abstractNumId="22" w15:restartNumberingAfterBreak="0">
    <w:nsid w:val="0CD85BFB"/>
    <w:multiLevelType w:val="hybridMultilevel"/>
    <w:tmpl w:val="CA803712"/>
    <w:lvl w:ilvl="0" w:tplc="3C9CAA56">
      <w:start w:val="1"/>
      <w:numFmt w:val="bullet"/>
      <w:lvlText w:val=""/>
      <w:lvlPicBulletId w:val="0"/>
      <w:lvlJc w:val="left"/>
      <w:pPr>
        <w:tabs>
          <w:tab w:val="num" w:pos="720"/>
        </w:tabs>
        <w:ind w:left="720" w:hanging="360"/>
      </w:pPr>
      <w:rPr>
        <w:rFonts w:ascii="Symbol" w:hAnsi="Symbol" w:hint="default"/>
      </w:rPr>
    </w:lvl>
    <w:lvl w:ilvl="1" w:tplc="145EC6F0" w:tentative="1">
      <w:start w:val="1"/>
      <w:numFmt w:val="bullet"/>
      <w:lvlText w:val=""/>
      <w:lvlJc w:val="left"/>
      <w:pPr>
        <w:tabs>
          <w:tab w:val="num" w:pos="1440"/>
        </w:tabs>
        <w:ind w:left="1440" w:hanging="360"/>
      </w:pPr>
      <w:rPr>
        <w:rFonts w:ascii="Symbol" w:hAnsi="Symbol" w:hint="default"/>
      </w:rPr>
    </w:lvl>
    <w:lvl w:ilvl="2" w:tplc="8BE2FBBE" w:tentative="1">
      <w:start w:val="1"/>
      <w:numFmt w:val="bullet"/>
      <w:lvlText w:val=""/>
      <w:lvlJc w:val="left"/>
      <w:pPr>
        <w:tabs>
          <w:tab w:val="num" w:pos="2160"/>
        </w:tabs>
        <w:ind w:left="2160" w:hanging="360"/>
      </w:pPr>
      <w:rPr>
        <w:rFonts w:ascii="Symbol" w:hAnsi="Symbol" w:hint="default"/>
      </w:rPr>
    </w:lvl>
    <w:lvl w:ilvl="3" w:tplc="31DEA2B4" w:tentative="1">
      <w:start w:val="1"/>
      <w:numFmt w:val="bullet"/>
      <w:lvlText w:val=""/>
      <w:lvlJc w:val="left"/>
      <w:pPr>
        <w:tabs>
          <w:tab w:val="num" w:pos="2880"/>
        </w:tabs>
        <w:ind w:left="2880" w:hanging="360"/>
      </w:pPr>
      <w:rPr>
        <w:rFonts w:ascii="Symbol" w:hAnsi="Symbol" w:hint="default"/>
      </w:rPr>
    </w:lvl>
    <w:lvl w:ilvl="4" w:tplc="69461F2A" w:tentative="1">
      <w:start w:val="1"/>
      <w:numFmt w:val="bullet"/>
      <w:lvlText w:val=""/>
      <w:lvlJc w:val="left"/>
      <w:pPr>
        <w:tabs>
          <w:tab w:val="num" w:pos="3600"/>
        </w:tabs>
        <w:ind w:left="3600" w:hanging="360"/>
      </w:pPr>
      <w:rPr>
        <w:rFonts w:ascii="Symbol" w:hAnsi="Symbol" w:hint="default"/>
      </w:rPr>
    </w:lvl>
    <w:lvl w:ilvl="5" w:tplc="E698F456" w:tentative="1">
      <w:start w:val="1"/>
      <w:numFmt w:val="bullet"/>
      <w:lvlText w:val=""/>
      <w:lvlJc w:val="left"/>
      <w:pPr>
        <w:tabs>
          <w:tab w:val="num" w:pos="4320"/>
        </w:tabs>
        <w:ind w:left="4320" w:hanging="360"/>
      </w:pPr>
      <w:rPr>
        <w:rFonts w:ascii="Symbol" w:hAnsi="Symbol" w:hint="default"/>
      </w:rPr>
    </w:lvl>
    <w:lvl w:ilvl="6" w:tplc="4880BEBE" w:tentative="1">
      <w:start w:val="1"/>
      <w:numFmt w:val="bullet"/>
      <w:lvlText w:val=""/>
      <w:lvlJc w:val="left"/>
      <w:pPr>
        <w:tabs>
          <w:tab w:val="num" w:pos="5040"/>
        </w:tabs>
        <w:ind w:left="5040" w:hanging="360"/>
      </w:pPr>
      <w:rPr>
        <w:rFonts w:ascii="Symbol" w:hAnsi="Symbol" w:hint="default"/>
      </w:rPr>
    </w:lvl>
    <w:lvl w:ilvl="7" w:tplc="2C8A05B8" w:tentative="1">
      <w:start w:val="1"/>
      <w:numFmt w:val="bullet"/>
      <w:lvlText w:val=""/>
      <w:lvlJc w:val="left"/>
      <w:pPr>
        <w:tabs>
          <w:tab w:val="num" w:pos="5760"/>
        </w:tabs>
        <w:ind w:left="5760" w:hanging="360"/>
      </w:pPr>
      <w:rPr>
        <w:rFonts w:ascii="Symbol" w:hAnsi="Symbol" w:hint="default"/>
      </w:rPr>
    </w:lvl>
    <w:lvl w:ilvl="8" w:tplc="C49C1D70" w:tentative="1">
      <w:start w:val="1"/>
      <w:numFmt w:val="bullet"/>
      <w:lvlText w:val=""/>
      <w:lvlJc w:val="left"/>
      <w:pPr>
        <w:tabs>
          <w:tab w:val="num" w:pos="6480"/>
        </w:tabs>
        <w:ind w:left="6480" w:hanging="360"/>
      </w:pPr>
      <w:rPr>
        <w:rFonts w:ascii="Symbol" w:hAnsi="Symbol" w:hint="default"/>
      </w:rPr>
    </w:lvl>
  </w:abstractNum>
  <w:abstractNum w:abstractNumId="23" w15:restartNumberingAfterBreak="0">
    <w:nsid w:val="0E382321"/>
    <w:multiLevelType w:val="hybridMultilevel"/>
    <w:tmpl w:val="B39CF6AE"/>
    <w:lvl w:ilvl="0" w:tplc="235AAC98">
      <w:start w:val="1"/>
      <w:numFmt w:val="bullet"/>
      <w:lvlText w:val=""/>
      <w:lvlPicBulletId w:val="1"/>
      <w:lvlJc w:val="left"/>
      <w:pPr>
        <w:tabs>
          <w:tab w:val="num" w:pos="720"/>
        </w:tabs>
        <w:ind w:left="720" w:hanging="360"/>
      </w:pPr>
      <w:rPr>
        <w:rFonts w:ascii="Symbol" w:hAnsi="Symbol" w:hint="default"/>
      </w:rPr>
    </w:lvl>
    <w:lvl w:ilvl="1" w:tplc="EB12AAE8" w:tentative="1">
      <w:start w:val="1"/>
      <w:numFmt w:val="bullet"/>
      <w:lvlText w:val=""/>
      <w:lvlJc w:val="left"/>
      <w:pPr>
        <w:tabs>
          <w:tab w:val="num" w:pos="1440"/>
        </w:tabs>
        <w:ind w:left="1440" w:hanging="360"/>
      </w:pPr>
      <w:rPr>
        <w:rFonts w:ascii="Symbol" w:hAnsi="Symbol" w:hint="default"/>
      </w:rPr>
    </w:lvl>
    <w:lvl w:ilvl="2" w:tplc="0A18A044" w:tentative="1">
      <w:start w:val="1"/>
      <w:numFmt w:val="bullet"/>
      <w:lvlText w:val=""/>
      <w:lvlJc w:val="left"/>
      <w:pPr>
        <w:tabs>
          <w:tab w:val="num" w:pos="2160"/>
        </w:tabs>
        <w:ind w:left="2160" w:hanging="360"/>
      </w:pPr>
      <w:rPr>
        <w:rFonts w:ascii="Symbol" w:hAnsi="Symbol" w:hint="default"/>
      </w:rPr>
    </w:lvl>
    <w:lvl w:ilvl="3" w:tplc="C5B68834" w:tentative="1">
      <w:start w:val="1"/>
      <w:numFmt w:val="bullet"/>
      <w:lvlText w:val=""/>
      <w:lvlJc w:val="left"/>
      <w:pPr>
        <w:tabs>
          <w:tab w:val="num" w:pos="2880"/>
        </w:tabs>
        <w:ind w:left="2880" w:hanging="360"/>
      </w:pPr>
      <w:rPr>
        <w:rFonts w:ascii="Symbol" w:hAnsi="Symbol" w:hint="default"/>
      </w:rPr>
    </w:lvl>
    <w:lvl w:ilvl="4" w:tplc="997815A4" w:tentative="1">
      <w:start w:val="1"/>
      <w:numFmt w:val="bullet"/>
      <w:lvlText w:val=""/>
      <w:lvlJc w:val="left"/>
      <w:pPr>
        <w:tabs>
          <w:tab w:val="num" w:pos="3600"/>
        </w:tabs>
        <w:ind w:left="3600" w:hanging="360"/>
      </w:pPr>
      <w:rPr>
        <w:rFonts w:ascii="Symbol" w:hAnsi="Symbol" w:hint="default"/>
      </w:rPr>
    </w:lvl>
    <w:lvl w:ilvl="5" w:tplc="809EA1C2" w:tentative="1">
      <w:start w:val="1"/>
      <w:numFmt w:val="bullet"/>
      <w:lvlText w:val=""/>
      <w:lvlJc w:val="left"/>
      <w:pPr>
        <w:tabs>
          <w:tab w:val="num" w:pos="4320"/>
        </w:tabs>
        <w:ind w:left="4320" w:hanging="360"/>
      </w:pPr>
      <w:rPr>
        <w:rFonts w:ascii="Symbol" w:hAnsi="Symbol" w:hint="default"/>
      </w:rPr>
    </w:lvl>
    <w:lvl w:ilvl="6" w:tplc="41A84C14" w:tentative="1">
      <w:start w:val="1"/>
      <w:numFmt w:val="bullet"/>
      <w:lvlText w:val=""/>
      <w:lvlJc w:val="left"/>
      <w:pPr>
        <w:tabs>
          <w:tab w:val="num" w:pos="5040"/>
        </w:tabs>
        <w:ind w:left="5040" w:hanging="360"/>
      </w:pPr>
      <w:rPr>
        <w:rFonts w:ascii="Symbol" w:hAnsi="Symbol" w:hint="default"/>
      </w:rPr>
    </w:lvl>
    <w:lvl w:ilvl="7" w:tplc="EFCC2D2E" w:tentative="1">
      <w:start w:val="1"/>
      <w:numFmt w:val="bullet"/>
      <w:lvlText w:val=""/>
      <w:lvlJc w:val="left"/>
      <w:pPr>
        <w:tabs>
          <w:tab w:val="num" w:pos="5760"/>
        </w:tabs>
        <w:ind w:left="5760" w:hanging="360"/>
      </w:pPr>
      <w:rPr>
        <w:rFonts w:ascii="Symbol" w:hAnsi="Symbol" w:hint="default"/>
      </w:rPr>
    </w:lvl>
    <w:lvl w:ilvl="8" w:tplc="C6763D0A" w:tentative="1">
      <w:start w:val="1"/>
      <w:numFmt w:val="bullet"/>
      <w:lvlText w:val=""/>
      <w:lvlJc w:val="left"/>
      <w:pPr>
        <w:tabs>
          <w:tab w:val="num" w:pos="6480"/>
        </w:tabs>
        <w:ind w:left="6480" w:hanging="360"/>
      </w:pPr>
      <w:rPr>
        <w:rFonts w:ascii="Symbol" w:hAnsi="Symbol" w:hint="default"/>
      </w:rPr>
    </w:lvl>
  </w:abstractNum>
  <w:abstractNum w:abstractNumId="24" w15:restartNumberingAfterBreak="0">
    <w:nsid w:val="0E3E0B52"/>
    <w:multiLevelType w:val="hybridMultilevel"/>
    <w:tmpl w:val="1958A464"/>
    <w:lvl w:ilvl="0" w:tplc="FE5E0A54">
      <w:start w:val="1"/>
      <w:numFmt w:val="bullet"/>
      <w:lvlText w:val=""/>
      <w:lvlPicBulletId w:val="1"/>
      <w:lvlJc w:val="left"/>
      <w:pPr>
        <w:tabs>
          <w:tab w:val="num" w:pos="720"/>
        </w:tabs>
        <w:ind w:left="720" w:hanging="360"/>
      </w:pPr>
      <w:rPr>
        <w:rFonts w:ascii="Symbol" w:hAnsi="Symbol" w:hint="default"/>
      </w:rPr>
    </w:lvl>
    <w:lvl w:ilvl="1" w:tplc="8E142052" w:tentative="1">
      <w:start w:val="1"/>
      <w:numFmt w:val="bullet"/>
      <w:lvlText w:val=""/>
      <w:lvlJc w:val="left"/>
      <w:pPr>
        <w:tabs>
          <w:tab w:val="num" w:pos="1440"/>
        </w:tabs>
        <w:ind w:left="1440" w:hanging="360"/>
      </w:pPr>
      <w:rPr>
        <w:rFonts w:ascii="Symbol" w:hAnsi="Symbol" w:hint="default"/>
      </w:rPr>
    </w:lvl>
    <w:lvl w:ilvl="2" w:tplc="3C2CB720" w:tentative="1">
      <w:start w:val="1"/>
      <w:numFmt w:val="bullet"/>
      <w:lvlText w:val=""/>
      <w:lvlJc w:val="left"/>
      <w:pPr>
        <w:tabs>
          <w:tab w:val="num" w:pos="2160"/>
        </w:tabs>
        <w:ind w:left="2160" w:hanging="360"/>
      </w:pPr>
      <w:rPr>
        <w:rFonts w:ascii="Symbol" w:hAnsi="Symbol" w:hint="default"/>
      </w:rPr>
    </w:lvl>
    <w:lvl w:ilvl="3" w:tplc="BE6E16D2" w:tentative="1">
      <w:start w:val="1"/>
      <w:numFmt w:val="bullet"/>
      <w:lvlText w:val=""/>
      <w:lvlJc w:val="left"/>
      <w:pPr>
        <w:tabs>
          <w:tab w:val="num" w:pos="2880"/>
        </w:tabs>
        <w:ind w:left="2880" w:hanging="360"/>
      </w:pPr>
      <w:rPr>
        <w:rFonts w:ascii="Symbol" w:hAnsi="Symbol" w:hint="default"/>
      </w:rPr>
    </w:lvl>
    <w:lvl w:ilvl="4" w:tplc="DB3ADCBC" w:tentative="1">
      <w:start w:val="1"/>
      <w:numFmt w:val="bullet"/>
      <w:lvlText w:val=""/>
      <w:lvlJc w:val="left"/>
      <w:pPr>
        <w:tabs>
          <w:tab w:val="num" w:pos="3600"/>
        </w:tabs>
        <w:ind w:left="3600" w:hanging="360"/>
      </w:pPr>
      <w:rPr>
        <w:rFonts w:ascii="Symbol" w:hAnsi="Symbol" w:hint="default"/>
      </w:rPr>
    </w:lvl>
    <w:lvl w:ilvl="5" w:tplc="BEAEB692" w:tentative="1">
      <w:start w:val="1"/>
      <w:numFmt w:val="bullet"/>
      <w:lvlText w:val=""/>
      <w:lvlJc w:val="left"/>
      <w:pPr>
        <w:tabs>
          <w:tab w:val="num" w:pos="4320"/>
        </w:tabs>
        <w:ind w:left="4320" w:hanging="360"/>
      </w:pPr>
      <w:rPr>
        <w:rFonts w:ascii="Symbol" w:hAnsi="Symbol" w:hint="default"/>
      </w:rPr>
    </w:lvl>
    <w:lvl w:ilvl="6" w:tplc="97C29012" w:tentative="1">
      <w:start w:val="1"/>
      <w:numFmt w:val="bullet"/>
      <w:lvlText w:val=""/>
      <w:lvlJc w:val="left"/>
      <w:pPr>
        <w:tabs>
          <w:tab w:val="num" w:pos="5040"/>
        </w:tabs>
        <w:ind w:left="5040" w:hanging="360"/>
      </w:pPr>
      <w:rPr>
        <w:rFonts w:ascii="Symbol" w:hAnsi="Symbol" w:hint="default"/>
      </w:rPr>
    </w:lvl>
    <w:lvl w:ilvl="7" w:tplc="89D41788" w:tentative="1">
      <w:start w:val="1"/>
      <w:numFmt w:val="bullet"/>
      <w:lvlText w:val=""/>
      <w:lvlJc w:val="left"/>
      <w:pPr>
        <w:tabs>
          <w:tab w:val="num" w:pos="5760"/>
        </w:tabs>
        <w:ind w:left="5760" w:hanging="360"/>
      </w:pPr>
      <w:rPr>
        <w:rFonts w:ascii="Symbol" w:hAnsi="Symbol" w:hint="default"/>
      </w:rPr>
    </w:lvl>
    <w:lvl w:ilvl="8" w:tplc="3D8A47CC" w:tentative="1">
      <w:start w:val="1"/>
      <w:numFmt w:val="bullet"/>
      <w:lvlText w:val=""/>
      <w:lvlJc w:val="left"/>
      <w:pPr>
        <w:tabs>
          <w:tab w:val="num" w:pos="6480"/>
        </w:tabs>
        <w:ind w:left="6480" w:hanging="360"/>
      </w:pPr>
      <w:rPr>
        <w:rFonts w:ascii="Symbol" w:hAnsi="Symbol" w:hint="default"/>
      </w:rPr>
    </w:lvl>
  </w:abstractNum>
  <w:abstractNum w:abstractNumId="25" w15:restartNumberingAfterBreak="0">
    <w:nsid w:val="0ED36DE4"/>
    <w:multiLevelType w:val="hybridMultilevel"/>
    <w:tmpl w:val="04F21F78"/>
    <w:lvl w:ilvl="0" w:tplc="999EC3D2">
      <w:start w:val="1"/>
      <w:numFmt w:val="bullet"/>
      <w:lvlText w:val=""/>
      <w:lvlPicBulletId w:val="1"/>
      <w:lvlJc w:val="left"/>
      <w:pPr>
        <w:tabs>
          <w:tab w:val="num" w:pos="720"/>
        </w:tabs>
        <w:ind w:left="720" w:hanging="360"/>
      </w:pPr>
      <w:rPr>
        <w:rFonts w:ascii="Symbol" w:hAnsi="Symbol" w:hint="default"/>
      </w:rPr>
    </w:lvl>
    <w:lvl w:ilvl="1" w:tplc="EB604E1C" w:tentative="1">
      <w:start w:val="1"/>
      <w:numFmt w:val="bullet"/>
      <w:lvlText w:val=""/>
      <w:lvlJc w:val="left"/>
      <w:pPr>
        <w:tabs>
          <w:tab w:val="num" w:pos="1440"/>
        </w:tabs>
        <w:ind w:left="1440" w:hanging="360"/>
      </w:pPr>
      <w:rPr>
        <w:rFonts w:ascii="Symbol" w:hAnsi="Symbol" w:hint="default"/>
      </w:rPr>
    </w:lvl>
    <w:lvl w:ilvl="2" w:tplc="FA4A6EB8" w:tentative="1">
      <w:start w:val="1"/>
      <w:numFmt w:val="bullet"/>
      <w:lvlText w:val=""/>
      <w:lvlJc w:val="left"/>
      <w:pPr>
        <w:tabs>
          <w:tab w:val="num" w:pos="2160"/>
        </w:tabs>
        <w:ind w:left="2160" w:hanging="360"/>
      </w:pPr>
      <w:rPr>
        <w:rFonts w:ascii="Symbol" w:hAnsi="Symbol" w:hint="default"/>
      </w:rPr>
    </w:lvl>
    <w:lvl w:ilvl="3" w:tplc="F66AE854" w:tentative="1">
      <w:start w:val="1"/>
      <w:numFmt w:val="bullet"/>
      <w:lvlText w:val=""/>
      <w:lvlJc w:val="left"/>
      <w:pPr>
        <w:tabs>
          <w:tab w:val="num" w:pos="2880"/>
        </w:tabs>
        <w:ind w:left="2880" w:hanging="360"/>
      </w:pPr>
      <w:rPr>
        <w:rFonts w:ascii="Symbol" w:hAnsi="Symbol" w:hint="default"/>
      </w:rPr>
    </w:lvl>
    <w:lvl w:ilvl="4" w:tplc="6068CE12" w:tentative="1">
      <w:start w:val="1"/>
      <w:numFmt w:val="bullet"/>
      <w:lvlText w:val=""/>
      <w:lvlJc w:val="left"/>
      <w:pPr>
        <w:tabs>
          <w:tab w:val="num" w:pos="3600"/>
        </w:tabs>
        <w:ind w:left="3600" w:hanging="360"/>
      </w:pPr>
      <w:rPr>
        <w:rFonts w:ascii="Symbol" w:hAnsi="Symbol" w:hint="default"/>
      </w:rPr>
    </w:lvl>
    <w:lvl w:ilvl="5" w:tplc="088E8BA0" w:tentative="1">
      <w:start w:val="1"/>
      <w:numFmt w:val="bullet"/>
      <w:lvlText w:val=""/>
      <w:lvlJc w:val="left"/>
      <w:pPr>
        <w:tabs>
          <w:tab w:val="num" w:pos="4320"/>
        </w:tabs>
        <w:ind w:left="4320" w:hanging="360"/>
      </w:pPr>
      <w:rPr>
        <w:rFonts w:ascii="Symbol" w:hAnsi="Symbol" w:hint="default"/>
      </w:rPr>
    </w:lvl>
    <w:lvl w:ilvl="6" w:tplc="0E90F644" w:tentative="1">
      <w:start w:val="1"/>
      <w:numFmt w:val="bullet"/>
      <w:lvlText w:val=""/>
      <w:lvlJc w:val="left"/>
      <w:pPr>
        <w:tabs>
          <w:tab w:val="num" w:pos="5040"/>
        </w:tabs>
        <w:ind w:left="5040" w:hanging="360"/>
      </w:pPr>
      <w:rPr>
        <w:rFonts w:ascii="Symbol" w:hAnsi="Symbol" w:hint="default"/>
      </w:rPr>
    </w:lvl>
    <w:lvl w:ilvl="7" w:tplc="455432FA" w:tentative="1">
      <w:start w:val="1"/>
      <w:numFmt w:val="bullet"/>
      <w:lvlText w:val=""/>
      <w:lvlJc w:val="left"/>
      <w:pPr>
        <w:tabs>
          <w:tab w:val="num" w:pos="5760"/>
        </w:tabs>
        <w:ind w:left="5760" w:hanging="360"/>
      </w:pPr>
      <w:rPr>
        <w:rFonts w:ascii="Symbol" w:hAnsi="Symbol" w:hint="default"/>
      </w:rPr>
    </w:lvl>
    <w:lvl w:ilvl="8" w:tplc="21480DC6" w:tentative="1">
      <w:start w:val="1"/>
      <w:numFmt w:val="bullet"/>
      <w:lvlText w:val=""/>
      <w:lvlJc w:val="left"/>
      <w:pPr>
        <w:tabs>
          <w:tab w:val="num" w:pos="6480"/>
        </w:tabs>
        <w:ind w:left="6480" w:hanging="360"/>
      </w:pPr>
      <w:rPr>
        <w:rFonts w:ascii="Symbol" w:hAnsi="Symbol" w:hint="default"/>
      </w:rPr>
    </w:lvl>
  </w:abstractNum>
  <w:abstractNum w:abstractNumId="26" w15:restartNumberingAfterBreak="0">
    <w:nsid w:val="0EF91340"/>
    <w:multiLevelType w:val="hybridMultilevel"/>
    <w:tmpl w:val="811C92C2"/>
    <w:lvl w:ilvl="0" w:tplc="8EE696D6">
      <w:start w:val="1"/>
      <w:numFmt w:val="decimal"/>
      <w:lvlText w:val="Table %1."/>
      <w:lvlJc w:val="left"/>
      <w:pPr>
        <w:ind w:left="720" w:hanging="360"/>
      </w:pPr>
      <w:rPr>
        <w:rFonts w:hint="default"/>
        <w:b/>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0FE86CD1"/>
    <w:multiLevelType w:val="hybridMultilevel"/>
    <w:tmpl w:val="2AB6CF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10815B5A"/>
    <w:multiLevelType w:val="hybridMultilevel"/>
    <w:tmpl w:val="B4F6CF3C"/>
    <w:lvl w:ilvl="0" w:tplc="D4B6E4CC">
      <w:start w:val="1"/>
      <w:numFmt w:val="bullet"/>
      <w:lvlText w:val=""/>
      <w:lvlPicBulletId w:val="1"/>
      <w:lvlJc w:val="left"/>
      <w:pPr>
        <w:tabs>
          <w:tab w:val="num" w:pos="720"/>
        </w:tabs>
        <w:ind w:left="720" w:hanging="360"/>
      </w:pPr>
      <w:rPr>
        <w:rFonts w:ascii="Symbol" w:hAnsi="Symbol" w:hint="default"/>
      </w:rPr>
    </w:lvl>
    <w:lvl w:ilvl="1" w:tplc="067886BA" w:tentative="1">
      <w:start w:val="1"/>
      <w:numFmt w:val="bullet"/>
      <w:lvlText w:val=""/>
      <w:lvlJc w:val="left"/>
      <w:pPr>
        <w:tabs>
          <w:tab w:val="num" w:pos="1440"/>
        </w:tabs>
        <w:ind w:left="1440" w:hanging="360"/>
      </w:pPr>
      <w:rPr>
        <w:rFonts w:ascii="Symbol" w:hAnsi="Symbol" w:hint="default"/>
      </w:rPr>
    </w:lvl>
    <w:lvl w:ilvl="2" w:tplc="04B0365A" w:tentative="1">
      <w:start w:val="1"/>
      <w:numFmt w:val="bullet"/>
      <w:lvlText w:val=""/>
      <w:lvlJc w:val="left"/>
      <w:pPr>
        <w:tabs>
          <w:tab w:val="num" w:pos="2160"/>
        </w:tabs>
        <w:ind w:left="2160" w:hanging="360"/>
      </w:pPr>
      <w:rPr>
        <w:rFonts w:ascii="Symbol" w:hAnsi="Symbol" w:hint="default"/>
      </w:rPr>
    </w:lvl>
    <w:lvl w:ilvl="3" w:tplc="A504F9EC" w:tentative="1">
      <w:start w:val="1"/>
      <w:numFmt w:val="bullet"/>
      <w:lvlText w:val=""/>
      <w:lvlJc w:val="left"/>
      <w:pPr>
        <w:tabs>
          <w:tab w:val="num" w:pos="2880"/>
        </w:tabs>
        <w:ind w:left="2880" w:hanging="360"/>
      </w:pPr>
      <w:rPr>
        <w:rFonts w:ascii="Symbol" w:hAnsi="Symbol" w:hint="default"/>
      </w:rPr>
    </w:lvl>
    <w:lvl w:ilvl="4" w:tplc="639001BA" w:tentative="1">
      <w:start w:val="1"/>
      <w:numFmt w:val="bullet"/>
      <w:lvlText w:val=""/>
      <w:lvlJc w:val="left"/>
      <w:pPr>
        <w:tabs>
          <w:tab w:val="num" w:pos="3600"/>
        </w:tabs>
        <w:ind w:left="3600" w:hanging="360"/>
      </w:pPr>
      <w:rPr>
        <w:rFonts w:ascii="Symbol" w:hAnsi="Symbol" w:hint="default"/>
      </w:rPr>
    </w:lvl>
    <w:lvl w:ilvl="5" w:tplc="7714C64E" w:tentative="1">
      <w:start w:val="1"/>
      <w:numFmt w:val="bullet"/>
      <w:lvlText w:val=""/>
      <w:lvlJc w:val="left"/>
      <w:pPr>
        <w:tabs>
          <w:tab w:val="num" w:pos="4320"/>
        </w:tabs>
        <w:ind w:left="4320" w:hanging="360"/>
      </w:pPr>
      <w:rPr>
        <w:rFonts w:ascii="Symbol" w:hAnsi="Symbol" w:hint="default"/>
      </w:rPr>
    </w:lvl>
    <w:lvl w:ilvl="6" w:tplc="1520EFBC" w:tentative="1">
      <w:start w:val="1"/>
      <w:numFmt w:val="bullet"/>
      <w:lvlText w:val=""/>
      <w:lvlJc w:val="left"/>
      <w:pPr>
        <w:tabs>
          <w:tab w:val="num" w:pos="5040"/>
        </w:tabs>
        <w:ind w:left="5040" w:hanging="360"/>
      </w:pPr>
      <w:rPr>
        <w:rFonts w:ascii="Symbol" w:hAnsi="Symbol" w:hint="default"/>
      </w:rPr>
    </w:lvl>
    <w:lvl w:ilvl="7" w:tplc="C6540E5E" w:tentative="1">
      <w:start w:val="1"/>
      <w:numFmt w:val="bullet"/>
      <w:lvlText w:val=""/>
      <w:lvlJc w:val="left"/>
      <w:pPr>
        <w:tabs>
          <w:tab w:val="num" w:pos="5760"/>
        </w:tabs>
        <w:ind w:left="5760" w:hanging="360"/>
      </w:pPr>
      <w:rPr>
        <w:rFonts w:ascii="Symbol" w:hAnsi="Symbol" w:hint="default"/>
      </w:rPr>
    </w:lvl>
    <w:lvl w:ilvl="8" w:tplc="9EDA9A20" w:tentative="1">
      <w:start w:val="1"/>
      <w:numFmt w:val="bullet"/>
      <w:lvlText w:val=""/>
      <w:lvlJc w:val="left"/>
      <w:pPr>
        <w:tabs>
          <w:tab w:val="num" w:pos="6480"/>
        </w:tabs>
        <w:ind w:left="6480" w:hanging="360"/>
      </w:pPr>
      <w:rPr>
        <w:rFonts w:ascii="Symbol" w:hAnsi="Symbol" w:hint="default"/>
      </w:rPr>
    </w:lvl>
  </w:abstractNum>
  <w:abstractNum w:abstractNumId="29" w15:restartNumberingAfterBreak="0">
    <w:nsid w:val="10C912F4"/>
    <w:multiLevelType w:val="hybridMultilevel"/>
    <w:tmpl w:val="BF826F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0" w15:restartNumberingAfterBreak="0">
    <w:nsid w:val="119704C8"/>
    <w:multiLevelType w:val="hybridMultilevel"/>
    <w:tmpl w:val="2EDC2D2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124645FB"/>
    <w:multiLevelType w:val="hybridMultilevel"/>
    <w:tmpl w:val="FD76232A"/>
    <w:lvl w:ilvl="0" w:tplc="63BCB244">
      <w:start w:val="1"/>
      <w:numFmt w:val="bullet"/>
      <w:lvlText w:val=""/>
      <w:lvlPicBulletId w:val="1"/>
      <w:lvlJc w:val="left"/>
      <w:pPr>
        <w:tabs>
          <w:tab w:val="num" w:pos="720"/>
        </w:tabs>
        <w:ind w:left="720" w:hanging="360"/>
      </w:pPr>
      <w:rPr>
        <w:rFonts w:ascii="Symbol" w:hAnsi="Symbol" w:hint="default"/>
      </w:rPr>
    </w:lvl>
    <w:lvl w:ilvl="1" w:tplc="54E8A570" w:tentative="1">
      <w:start w:val="1"/>
      <w:numFmt w:val="bullet"/>
      <w:lvlText w:val=""/>
      <w:lvlJc w:val="left"/>
      <w:pPr>
        <w:tabs>
          <w:tab w:val="num" w:pos="1440"/>
        </w:tabs>
        <w:ind w:left="1440" w:hanging="360"/>
      </w:pPr>
      <w:rPr>
        <w:rFonts w:ascii="Symbol" w:hAnsi="Symbol" w:hint="default"/>
      </w:rPr>
    </w:lvl>
    <w:lvl w:ilvl="2" w:tplc="3B34BFD4" w:tentative="1">
      <w:start w:val="1"/>
      <w:numFmt w:val="bullet"/>
      <w:lvlText w:val=""/>
      <w:lvlJc w:val="left"/>
      <w:pPr>
        <w:tabs>
          <w:tab w:val="num" w:pos="2160"/>
        </w:tabs>
        <w:ind w:left="2160" w:hanging="360"/>
      </w:pPr>
      <w:rPr>
        <w:rFonts w:ascii="Symbol" w:hAnsi="Symbol" w:hint="default"/>
      </w:rPr>
    </w:lvl>
    <w:lvl w:ilvl="3" w:tplc="C09E1C64" w:tentative="1">
      <w:start w:val="1"/>
      <w:numFmt w:val="bullet"/>
      <w:lvlText w:val=""/>
      <w:lvlJc w:val="left"/>
      <w:pPr>
        <w:tabs>
          <w:tab w:val="num" w:pos="2880"/>
        </w:tabs>
        <w:ind w:left="2880" w:hanging="360"/>
      </w:pPr>
      <w:rPr>
        <w:rFonts w:ascii="Symbol" w:hAnsi="Symbol" w:hint="default"/>
      </w:rPr>
    </w:lvl>
    <w:lvl w:ilvl="4" w:tplc="9B5EECFC" w:tentative="1">
      <w:start w:val="1"/>
      <w:numFmt w:val="bullet"/>
      <w:lvlText w:val=""/>
      <w:lvlJc w:val="left"/>
      <w:pPr>
        <w:tabs>
          <w:tab w:val="num" w:pos="3600"/>
        </w:tabs>
        <w:ind w:left="3600" w:hanging="360"/>
      </w:pPr>
      <w:rPr>
        <w:rFonts w:ascii="Symbol" w:hAnsi="Symbol" w:hint="default"/>
      </w:rPr>
    </w:lvl>
    <w:lvl w:ilvl="5" w:tplc="0330888E" w:tentative="1">
      <w:start w:val="1"/>
      <w:numFmt w:val="bullet"/>
      <w:lvlText w:val=""/>
      <w:lvlJc w:val="left"/>
      <w:pPr>
        <w:tabs>
          <w:tab w:val="num" w:pos="4320"/>
        </w:tabs>
        <w:ind w:left="4320" w:hanging="360"/>
      </w:pPr>
      <w:rPr>
        <w:rFonts w:ascii="Symbol" w:hAnsi="Symbol" w:hint="default"/>
      </w:rPr>
    </w:lvl>
    <w:lvl w:ilvl="6" w:tplc="1658B406" w:tentative="1">
      <w:start w:val="1"/>
      <w:numFmt w:val="bullet"/>
      <w:lvlText w:val=""/>
      <w:lvlJc w:val="left"/>
      <w:pPr>
        <w:tabs>
          <w:tab w:val="num" w:pos="5040"/>
        </w:tabs>
        <w:ind w:left="5040" w:hanging="360"/>
      </w:pPr>
      <w:rPr>
        <w:rFonts w:ascii="Symbol" w:hAnsi="Symbol" w:hint="default"/>
      </w:rPr>
    </w:lvl>
    <w:lvl w:ilvl="7" w:tplc="DF08E0A2" w:tentative="1">
      <w:start w:val="1"/>
      <w:numFmt w:val="bullet"/>
      <w:lvlText w:val=""/>
      <w:lvlJc w:val="left"/>
      <w:pPr>
        <w:tabs>
          <w:tab w:val="num" w:pos="5760"/>
        </w:tabs>
        <w:ind w:left="5760" w:hanging="360"/>
      </w:pPr>
      <w:rPr>
        <w:rFonts w:ascii="Symbol" w:hAnsi="Symbol" w:hint="default"/>
      </w:rPr>
    </w:lvl>
    <w:lvl w:ilvl="8" w:tplc="32BA7198" w:tentative="1">
      <w:start w:val="1"/>
      <w:numFmt w:val="bullet"/>
      <w:lvlText w:val=""/>
      <w:lvlJc w:val="left"/>
      <w:pPr>
        <w:tabs>
          <w:tab w:val="num" w:pos="6480"/>
        </w:tabs>
        <w:ind w:left="6480" w:hanging="360"/>
      </w:pPr>
      <w:rPr>
        <w:rFonts w:ascii="Symbol" w:hAnsi="Symbol" w:hint="default"/>
      </w:rPr>
    </w:lvl>
  </w:abstractNum>
  <w:abstractNum w:abstractNumId="32" w15:restartNumberingAfterBreak="0">
    <w:nsid w:val="12797208"/>
    <w:multiLevelType w:val="hybridMultilevel"/>
    <w:tmpl w:val="CF662D16"/>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33" w15:restartNumberingAfterBreak="0">
    <w:nsid w:val="133917F8"/>
    <w:multiLevelType w:val="hybridMultilevel"/>
    <w:tmpl w:val="5ADE4C14"/>
    <w:lvl w:ilvl="0" w:tplc="06D6BC52">
      <w:start w:val="1"/>
      <w:numFmt w:val="bullet"/>
      <w:lvlText w:val=""/>
      <w:lvlPicBulletId w:val="1"/>
      <w:lvlJc w:val="left"/>
      <w:pPr>
        <w:tabs>
          <w:tab w:val="num" w:pos="720"/>
        </w:tabs>
        <w:ind w:left="720" w:hanging="360"/>
      </w:pPr>
      <w:rPr>
        <w:rFonts w:ascii="Symbol" w:hAnsi="Symbol" w:hint="default"/>
      </w:rPr>
    </w:lvl>
    <w:lvl w:ilvl="1" w:tplc="4D925C3A" w:tentative="1">
      <w:start w:val="1"/>
      <w:numFmt w:val="bullet"/>
      <w:lvlText w:val=""/>
      <w:lvlJc w:val="left"/>
      <w:pPr>
        <w:tabs>
          <w:tab w:val="num" w:pos="1440"/>
        </w:tabs>
        <w:ind w:left="1440" w:hanging="360"/>
      </w:pPr>
      <w:rPr>
        <w:rFonts w:ascii="Symbol" w:hAnsi="Symbol" w:hint="default"/>
      </w:rPr>
    </w:lvl>
    <w:lvl w:ilvl="2" w:tplc="B186F95A" w:tentative="1">
      <w:start w:val="1"/>
      <w:numFmt w:val="bullet"/>
      <w:lvlText w:val=""/>
      <w:lvlJc w:val="left"/>
      <w:pPr>
        <w:tabs>
          <w:tab w:val="num" w:pos="2160"/>
        </w:tabs>
        <w:ind w:left="2160" w:hanging="360"/>
      </w:pPr>
      <w:rPr>
        <w:rFonts w:ascii="Symbol" w:hAnsi="Symbol" w:hint="default"/>
      </w:rPr>
    </w:lvl>
    <w:lvl w:ilvl="3" w:tplc="96D61ECA" w:tentative="1">
      <w:start w:val="1"/>
      <w:numFmt w:val="bullet"/>
      <w:lvlText w:val=""/>
      <w:lvlJc w:val="left"/>
      <w:pPr>
        <w:tabs>
          <w:tab w:val="num" w:pos="2880"/>
        </w:tabs>
        <w:ind w:left="2880" w:hanging="360"/>
      </w:pPr>
      <w:rPr>
        <w:rFonts w:ascii="Symbol" w:hAnsi="Symbol" w:hint="default"/>
      </w:rPr>
    </w:lvl>
    <w:lvl w:ilvl="4" w:tplc="94949B74" w:tentative="1">
      <w:start w:val="1"/>
      <w:numFmt w:val="bullet"/>
      <w:lvlText w:val=""/>
      <w:lvlJc w:val="left"/>
      <w:pPr>
        <w:tabs>
          <w:tab w:val="num" w:pos="3600"/>
        </w:tabs>
        <w:ind w:left="3600" w:hanging="360"/>
      </w:pPr>
      <w:rPr>
        <w:rFonts w:ascii="Symbol" w:hAnsi="Symbol" w:hint="default"/>
      </w:rPr>
    </w:lvl>
    <w:lvl w:ilvl="5" w:tplc="3DCC2FBC" w:tentative="1">
      <w:start w:val="1"/>
      <w:numFmt w:val="bullet"/>
      <w:lvlText w:val=""/>
      <w:lvlJc w:val="left"/>
      <w:pPr>
        <w:tabs>
          <w:tab w:val="num" w:pos="4320"/>
        </w:tabs>
        <w:ind w:left="4320" w:hanging="360"/>
      </w:pPr>
      <w:rPr>
        <w:rFonts w:ascii="Symbol" w:hAnsi="Symbol" w:hint="default"/>
      </w:rPr>
    </w:lvl>
    <w:lvl w:ilvl="6" w:tplc="B12C7198" w:tentative="1">
      <w:start w:val="1"/>
      <w:numFmt w:val="bullet"/>
      <w:lvlText w:val=""/>
      <w:lvlJc w:val="left"/>
      <w:pPr>
        <w:tabs>
          <w:tab w:val="num" w:pos="5040"/>
        </w:tabs>
        <w:ind w:left="5040" w:hanging="360"/>
      </w:pPr>
      <w:rPr>
        <w:rFonts w:ascii="Symbol" w:hAnsi="Symbol" w:hint="default"/>
      </w:rPr>
    </w:lvl>
    <w:lvl w:ilvl="7" w:tplc="402437B2" w:tentative="1">
      <w:start w:val="1"/>
      <w:numFmt w:val="bullet"/>
      <w:lvlText w:val=""/>
      <w:lvlJc w:val="left"/>
      <w:pPr>
        <w:tabs>
          <w:tab w:val="num" w:pos="5760"/>
        </w:tabs>
        <w:ind w:left="5760" w:hanging="360"/>
      </w:pPr>
      <w:rPr>
        <w:rFonts w:ascii="Symbol" w:hAnsi="Symbol" w:hint="default"/>
      </w:rPr>
    </w:lvl>
    <w:lvl w:ilvl="8" w:tplc="0608E174" w:tentative="1">
      <w:start w:val="1"/>
      <w:numFmt w:val="bullet"/>
      <w:lvlText w:val=""/>
      <w:lvlJc w:val="left"/>
      <w:pPr>
        <w:tabs>
          <w:tab w:val="num" w:pos="6480"/>
        </w:tabs>
        <w:ind w:left="6480" w:hanging="360"/>
      </w:pPr>
      <w:rPr>
        <w:rFonts w:ascii="Symbol" w:hAnsi="Symbol" w:hint="default"/>
      </w:rPr>
    </w:lvl>
  </w:abstractNum>
  <w:abstractNum w:abstractNumId="34" w15:restartNumberingAfterBreak="0">
    <w:nsid w:val="135B3C99"/>
    <w:multiLevelType w:val="hybridMultilevel"/>
    <w:tmpl w:val="FD88E4CC"/>
    <w:lvl w:ilvl="0" w:tplc="07547296">
      <w:start w:val="1"/>
      <w:numFmt w:val="bullet"/>
      <w:lvlText w:val=""/>
      <w:lvlPicBulletId w:val="1"/>
      <w:lvlJc w:val="left"/>
      <w:pPr>
        <w:tabs>
          <w:tab w:val="num" w:pos="720"/>
        </w:tabs>
        <w:ind w:left="720" w:hanging="360"/>
      </w:pPr>
      <w:rPr>
        <w:rFonts w:ascii="Symbol" w:hAnsi="Symbol" w:hint="default"/>
      </w:rPr>
    </w:lvl>
    <w:lvl w:ilvl="1" w:tplc="71A2EB4C" w:tentative="1">
      <w:start w:val="1"/>
      <w:numFmt w:val="bullet"/>
      <w:lvlText w:val=""/>
      <w:lvlJc w:val="left"/>
      <w:pPr>
        <w:tabs>
          <w:tab w:val="num" w:pos="1440"/>
        </w:tabs>
        <w:ind w:left="1440" w:hanging="360"/>
      </w:pPr>
      <w:rPr>
        <w:rFonts w:ascii="Symbol" w:hAnsi="Symbol" w:hint="default"/>
      </w:rPr>
    </w:lvl>
    <w:lvl w:ilvl="2" w:tplc="6A92CAFE" w:tentative="1">
      <w:start w:val="1"/>
      <w:numFmt w:val="bullet"/>
      <w:lvlText w:val=""/>
      <w:lvlJc w:val="left"/>
      <w:pPr>
        <w:tabs>
          <w:tab w:val="num" w:pos="2160"/>
        </w:tabs>
        <w:ind w:left="2160" w:hanging="360"/>
      </w:pPr>
      <w:rPr>
        <w:rFonts w:ascii="Symbol" w:hAnsi="Symbol" w:hint="default"/>
      </w:rPr>
    </w:lvl>
    <w:lvl w:ilvl="3" w:tplc="F21CBBFC" w:tentative="1">
      <w:start w:val="1"/>
      <w:numFmt w:val="bullet"/>
      <w:lvlText w:val=""/>
      <w:lvlJc w:val="left"/>
      <w:pPr>
        <w:tabs>
          <w:tab w:val="num" w:pos="2880"/>
        </w:tabs>
        <w:ind w:left="2880" w:hanging="360"/>
      </w:pPr>
      <w:rPr>
        <w:rFonts w:ascii="Symbol" w:hAnsi="Symbol" w:hint="default"/>
      </w:rPr>
    </w:lvl>
    <w:lvl w:ilvl="4" w:tplc="2EEC63E4" w:tentative="1">
      <w:start w:val="1"/>
      <w:numFmt w:val="bullet"/>
      <w:lvlText w:val=""/>
      <w:lvlJc w:val="left"/>
      <w:pPr>
        <w:tabs>
          <w:tab w:val="num" w:pos="3600"/>
        </w:tabs>
        <w:ind w:left="3600" w:hanging="360"/>
      </w:pPr>
      <w:rPr>
        <w:rFonts w:ascii="Symbol" w:hAnsi="Symbol" w:hint="default"/>
      </w:rPr>
    </w:lvl>
    <w:lvl w:ilvl="5" w:tplc="A0B81B46" w:tentative="1">
      <w:start w:val="1"/>
      <w:numFmt w:val="bullet"/>
      <w:lvlText w:val=""/>
      <w:lvlJc w:val="left"/>
      <w:pPr>
        <w:tabs>
          <w:tab w:val="num" w:pos="4320"/>
        </w:tabs>
        <w:ind w:left="4320" w:hanging="360"/>
      </w:pPr>
      <w:rPr>
        <w:rFonts w:ascii="Symbol" w:hAnsi="Symbol" w:hint="default"/>
      </w:rPr>
    </w:lvl>
    <w:lvl w:ilvl="6" w:tplc="9FDC27F8" w:tentative="1">
      <w:start w:val="1"/>
      <w:numFmt w:val="bullet"/>
      <w:lvlText w:val=""/>
      <w:lvlJc w:val="left"/>
      <w:pPr>
        <w:tabs>
          <w:tab w:val="num" w:pos="5040"/>
        </w:tabs>
        <w:ind w:left="5040" w:hanging="360"/>
      </w:pPr>
      <w:rPr>
        <w:rFonts w:ascii="Symbol" w:hAnsi="Symbol" w:hint="default"/>
      </w:rPr>
    </w:lvl>
    <w:lvl w:ilvl="7" w:tplc="C3FE599A" w:tentative="1">
      <w:start w:val="1"/>
      <w:numFmt w:val="bullet"/>
      <w:lvlText w:val=""/>
      <w:lvlJc w:val="left"/>
      <w:pPr>
        <w:tabs>
          <w:tab w:val="num" w:pos="5760"/>
        </w:tabs>
        <w:ind w:left="5760" w:hanging="360"/>
      </w:pPr>
      <w:rPr>
        <w:rFonts w:ascii="Symbol" w:hAnsi="Symbol" w:hint="default"/>
      </w:rPr>
    </w:lvl>
    <w:lvl w:ilvl="8" w:tplc="DA441BD0" w:tentative="1">
      <w:start w:val="1"/>
      <w:numFmt w:val="bullet"/>
      <w:lvlText w:val=""/>
      <w:lvlJc w:val="left"/>
      <w:pPr>
        <w:tabs>
          <w:tab w:val="num" w:pos="6480"/>
        </w:tabs>
        <w:ind w:left="6480" w:hanging="360"/>
      </w:pPr>
      <w:rPr>
        <w:rFonts w:ascii="Symbol" w:hAnsi="Symbol" w:hint="default"/>
      </w:rPr>
    </w:lvl>
  </w:abstractNum>
  <w:abstractNum w:abstractNumId="35" w15:restartNumberingAfterBreak="0">
    <w:nsid w:val="13AD7D10"/>
    <w:multiLevelType w:val="hybridMultilevel"/>
    <w:tmpl w:val="63B0C9AA"/>
    <w:lvl w:ilvl="0" w:tplc="1B2AA3CE">
      <w:start w:val="1"/>
      <w:numFmt w:val="bullet"/>
      <w:lvlText w:val=""/>
      <w:lvlPicBulletId w:val="1"/>
      <w:lvlJc w:val="left"/>
      <w:pPr>
        <w:tabs>
          <w:tab w:val="num" w:pos="720"/>
        </w:tabs>
        <w:ind w:left="720" w:hanging="360"/>
      </w:pPr>
      <w:rPr>
        <w:rFonts w:ascii="Symbol" w:hAnsi="Symbol" w:hint="default"/>
      </w:rPr>
    </w:lvl>
    <w:lvl w:ilvl="1" w:tplc="94F86678" w:tentative="1">
      <w:start w:val="1"/>
      <w:numFmt w:val="bullet"/>
      <w:lvlText w:val=""/>
      <w:lvlJc w:val="left"/>
      <w:pPr>
        <w:tabs>
          <w:tab w:val="num" w:pos="1440"/>
        </w:tabs>
        <w:ind w:left="1440" w:hanging="360"/>
      </w:pPr>
      <w:rPr>
        <w:rFonts w:ascii="Symbol" w:hAnsi="Symbol" w:hint="default"/>
      </w:rPr>
    </w:lvl>
    <w:lvl w:ilvl="2" w:tplc="AA88D392" w:tentative="1">
      <w:start w:val="1"/>
      <w:numFmt w:val="bullet"/>
      <w:lvlText w:val=""/>
      <w:lvlJc w:val="left"/>
      <w:pPr>
        <w:tabs>
          <w:tab w:val="num" w:pos="2160"/>
        </w:tabs>
        <w:ind w:left="2160" w:hanging="360"/>
      </w:pPr>
      <w:rPr>
        <w:rFonts w:ascii="Symbol" w:hAnsi="Symbol" w:hint="default"/>
      </w:rPr>
    </w:lvl>
    <w:lvl w:ilvl="3" w:tplc="31AC07F6" w:tentative="1">
      <w:start w:val="1"/>
      <w:numFmt w:val="bullet"/>
      <w:lvlText w:val=""/>
      <w:lvlJc w:val="left"/>
      <w:pPr>
        <w:tabs>
          <w:tab w:val="num" w:pos="2880"/>
        </w:tabs>
        <w:ind w:left="2880" w:hanging="360"/>
      </w:pPr>
      <w:rPr>
        <w:rFonts w:ascii="Symbol" w:hAnsi="Symbol" w:hint="default"/>
      </w:rPr>
    </w:lvl>
    <w:lvl w:ilvl="4" w:tplc="C9E255C6" w:tentative="1">
      <w:start w:val="1"/>
      <w:numFmt w:val="bullet"/>
      <w:lvlText w:val=""/>
      <w:lvlJc w:val="left"/>
      <w:pPr>
        <w:tabs>
          <w:tab w:val="num" w:pos="3600"/>
        </w:tabs>
        <w:ind w:left="3600" w:hanging="360"/>
      </w:pPr>
      <w:rPr>
        <w:rFonts w:ascii="Symbol" w:hAnsi="Symbol" w:hint="default"/>
      </w:rPr>
    </w:lvl>
    <w:lvl w:ilvl="5" w:tplc="113A379E" w:tentative="1">
      <w:start w:val="1"/>
      <w:numFmt w:val="bullet"/>
      <w:lvlText w:val=""/>
      <w:lvlJc w:val="left"/>
      <w:pPr>
        <w:tabs>
          <w:tab w:val="num" w:pos="4320"/>
        </w:tabs>
        <w:ind w:left="4320" w:hanging="360"/>
      </w:pPr>
      <w:rPr>
        <w:rFonts w:ascii="Symbol" w:hAnsi="Symbol" w:hint="default"/>
      </w:rPr>
    </w:lvl>
    <w:lvl w:ilvl="6" w:tplc="3AD0A904" w:tentative="1">
      <w:start w:val="1"/>
      <w:numFmt w:val="bullet"/>
      <w:lvlText w:val=""/>
      <w:lvlJc w:val="left"/>
      <w:pPr>
        <w:tabs>
          <w:tab w:val="num" w:pos="5040"/>
        </w:tabs>
        <w:ind w:left="5040" w:hanging="360"/>
      </w:pPr>
      <w:rPr>
        <w:rFonts w:ascii="Symbol" w:hAnsi="Symbol" w:hint="default"/>
      </w:rPr>
    </w:lvl>
    <w:lvl w:ilvl="7" w:tplc="687CFC70" w:tentative="1">
      <w:start w:val="1"/>
      <w:numFmt w:val="bullet"/>
      <w:lvlText w:val=""/>
      <w:lvlJc w:val="left"/>
      <w:pPr>
        <w:tabs>
          <w:tab w:val="num" w:pos="5760"/>
        </w:tabs>
        <w:ind w:left="5760" w:hanging="360"/>
      </w:pPr>
      <w:rPr>
        <w:rFonts w:ascii="Symbol" w:hAnsi="Symbol" w:hint="default"/>
      </w:rPr>
    </w:lvl>
    <w:lvl w:ilvl="8" w:tplc="1EBA2590" w:tentative="1">
      <w:start w:val="1"/>
      <w:numFmt w:val="bullet"/>
      <w:lvlText w:val=""/>
      <w:lvlJc w:val="left"/>
      <w:pPr>
        <w:tabs>
          <w:tab w:val="num" w:pos="6480"/>
        </w:tabs>
        <w:ind w:left="6480" w:hanging="360"/>
      </w:pPr>
      <w:rPr>
        <w:rFonts w:ascii="Symbol" w:hAnsi="Symbol" w:hint="default"/>
      </w:rPr>
    </w:lvl>
  </w:abstractNum>
  <w:abstractNum w:abstractNumId="36" w15:restartNumberingAfterBreak="0">
    <w:nsid w:val="13CC1D8B"/>
    <w:multiLevelType w:val="hybridMultilevel"/>
    <w:tmpl w:val="05AC0BAA"/>
    <w:lvl w:ilvl="0" w:tplc="B434B076">
      <w:start w:val="1"/>
      <w:numFmt w:val="bullet"/>
      <w:lvlText w:val=""/>
      <w:lvlPicBulletId w:val="1"/>
      <w:lvlJc w:val="left"/>
      <w:pPr>
        <w:tabs>
          <w:tab w:val="num" w:pos="720"/>
        </w:tabs>
        <w:ind w:left="720" w:hanging="360"/>
      </w:pPr>
      <w:rPr>
        <w:rFonts w:ascii="Symbol" w:hAnsi="Symbol" w:hint="default"/>
      </w:rPr>
    </w:lvl>
    <w:lvl w:ilvl="1" w:tplc="38A2FCF6" w:tentative="1">
      <w:start w:val="1"/>
      <w:numFmt w:val="bullet"/>
      <w:lvlText w:val=""/>
      <w:lvlJc w:val="left"/>
      <w:pPr>
        <w:tabs>
          <w:tab w:val="num" w:pos="1440"/>
        </w:tabs>
        <w:ind w:left="1440" w:hanging="360"/>
      </w:pPr>
      <w:rPr>
        <w:rFonts w:ascii="Symbol" w:hAnsi="Symbol" w:hint="default"/>
      </w:rPr>
    </w:lvl>
    <w:lvl w:ilvl="2" w:tplc="0DFCC06E" w:tentative="1">
      <w:start w:val="1"/>
      <w:numFmt w:val="bullet"/>
      <w:lvlText w:val=""/>
      <w:lvlJc w:val="left"/>
      <w:pPr>
        <w:tabs>
          <w:tab w:val="num" w:pos="2160"/>
        </w:tabs>
        <w:ind w:left="2160" w:hanging="360"/>
      </w:pPr>
      <w:rPr>
        <w:rFonts w:ascii="Symbol" w:hAnsi="Symbol" w:hint="default"/>
      </w:rPr>
    </w:lvl>
    <w:lvl w:ilvl="3" w:tplc="DB6AFB00" w:tentative="1">
      <w:start w:val="1"/>
      <w:numFmt w:val="bullet"/>
      <w:lvlText w:val=""/>
      <w:lvlJc w:val="left"/>
      <w:pPr>
        <w:tabs>
          <w:tab w:val="num" w:pos="2880"/>
        </w:tabs>
        <w:ind w:left="2880" w:hanging="360"/>
      </w:pPr>
      <w:rPr>
        <w:rFonts w:ascii="Symbol" w:hAnsi="Symbol" w:hint="default"/>
      </w:rPr>
    </w:lvl>
    <w:lvl w:ilvl="4" w:tplc="F056B91C" w:tentative="1">
      <w:start w:val="1"/>
      <w:numFmt w:val="bullet"/>
      <w:lvlText w:val=""/>
      <w:lvlJc w:val="left"/>
      <w:pPr>
        <w:tabs>
          <w:tab w:val="num" w:pos="3600"/>
        </w:tabs>
        <w:ind w:left="3600" w:hanging="360"/>
      </w:pPr>
      <w:rPr>
        <w:rFonts w:ascii="Symbol" w:hAnsi="Symbol" w:hint="default"/>
      </w:rPr>
    </w:lvl>
    <w:lvl w:ilvl="5" w:tplc="F648E62E" w:tentative="1">
      <w:start w:val="1"/>
      <w:numFmt w:val="bullet"/>
      <w:lvlText w:val=""/>
      <w:lvlJc w:val="left"/>
      <w:pPr>
        <w:tabs>
          <w:tab w:val="num" w:pos="4320"/>
        </w:tabs>
        <w:ind w:left="4320" w:hanging="360"/>
      </w:pPr>
      <w:rPr>
        <w:rFonts w:ascii="Symbol" w:hAnsi="Symbol" w:hint="default"/>
      </w:rPr>
    </w:lvl>
    <w:lvl w:ilvl="6" w:tplc="F8A2FAA6" w:tentative="1">
      <w:start w:val="1"/>
      <w:numFmt w:val="bullet"/>
      <w:lvlText w:val=""/>
      <w:lvlJc w:val="left"/>
      <w:pPr>
        <w:tabs>
          <w:tab w:val="num" w:pos="5040"/>
        </w:tabs>
        <w:ind w:left="5040" w:hanging="360"/>
      </w:pPr>
      <w:rPr>
        <w:rFonts w:ascii="Symbol" w:hAnsi="Symbol" w:hint="default"/>
      </w:rPr>
    </w:lvl>
    <w:lvl w:ilvl="7" w:tplc="4E883CE2" w:tentative="1">
      <w:start w:val="1"/>
      <w:numFmt w:val="bullet"/>
      <w:lvlText w:val=""/>
      <w:lvlJc w:val="left"/>
      <w:pPr>
        <w:tabs>
          <w:tab w:val="num" w:pos="5760"/>
        </w:tabs>
        <w:ind w:left="5760" w:hanging="360"/>
      </w:pPr>
      <w:rPr>
        <w:rFonts w:ascii="Symbol" w:hAnsi="Symbol" w:hint="default"/>
      </w:rPr>
    </w:lvl>
    <w:lvl w:ilvl="8" w:tplc="35E03472" w:tentative="1">
      <w:start w:val="1"/>
      <w:numFmt w:val="bullet"/>
      <w:lvlText w:val=""/>
      <w:lvlJc w:val="left"/>
      <w:pPr>
        <w:tabs>
          <w:tab w:val="num" w:pos="6480"/>
        </w:tabs>
        <w:ind w:left="6480" w:hanging="360"/>
      </w:pPr>
      <w:rPr>
        <w:rFonts w:ascii="Symbol" w:hAnsi="Symbol" w:hint="default"/>
      </w:rPr>
    </w:lvl>
  </w:abstractNum>
  <w:abstractNum w:abstractNumId="37" w15:restartNumberingAfterBreak="0">
    <w:nsid w:val="14287245"/>
    <w:multiLevelType w:val="hybridMultilevel"/>
    <w:tmpl w:val="811C92C2"/>
    <w:lvl w:ilvl="0" w:tplc="8EE696D6">
      <w:start w:val="1"/>
      <w:numFmt w:val="decimal"/>
      <w:lvlText w:val="Table %1."/>
      <w:lvlJc w:val="left"/>
      <w:pPr>
        <w:ind w:left="720" w:hanging="360"/>
      </w:pPr>
      <w:rPr>
        <w:rFonts w:hint="default"/>
        <w:b/>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4F81E5C"/>
    <w:multiLevelType w:val="hybridMultilevel"/>
    <w:tmpl w:val="A586AC2C"/>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58956B3"/>
    <w:multiLevelType w:val="hybridMultilevel"/>
    <w:tmpl w:val="A0488A1E"/>
    <w:lvl w:ilvl="0" w:tplc="2AD45928">
      <w:start w:val="1"/>
      <w:numFmt w:val="bullet"/>
      <w:lvlText w:val=""/>
      <w:lvlPicBulletId w:val="1"/>
      <w:lvlJc w:val="left"/>
      <w:pPr>
        <w:tabs>
          <w:tab w:val="num" w:pos="720"/>
        </w:tabs>
        <w:ind w:left="720" w:hanging="360"/>
      </w:pPr>
      <w:rPr>
        <w:rFonts w:ascii="Symbol" w:hAnsi="Symbol" w:hint="default"/>
      </w:rPr>
    </w:lvl>
    <w:lvl w:ilvl="1" w:tplc="DA5A70C8" w:tentative="1">
      <w:start w:val="1"/>
      <w:numFmt w:val="bullet"/>
      <w:lvlText w:val=""/>
      <w:lvlJc w:val="left"/>
      <w:pPr>
        <w:tabs>
          <w:tab w:val="num" w:pos="1440"/>
        </w:tabs>
        <w:ind w:left="1440" w:hanging="360"/>
      </w:pPr>
      <w:rPr>
        <w:rFonts w:ascii="Symbol" w:hAnsi="Symbol" w:hint="default"/>
      </w:rPr>
    </w:lvl>
    <w:lvl w:ilvl="2" w:tplc="3D229C54" w:tentative="1">
      <w:start w:val="1"/>
      <w:numFmt w:val="bullet"/>
      <w:lvlText w:val=""/>
      <w:lvlJc w:val="left"/>
      <w:pPr>
        <w:tabs>
          <w:tab w:val="num" w:pos="2160"/>
        </w:tabs>
        <w:ind w:left="2160" w:hanging="360"/>
      </w:pPr>
      <w:rPr>
        <w:rFonts w:ascii="Symbol" w:hAnsi="Symbol" w:hint="default"/>
      </w:rPr>
    </w:lvl>
    <w:lvl w:ilvl="3" w:tplc="D9447E38" w:tentative="1">
      <w:start w:val="1"/>
      <w:numFmt w:val="bullet"/>
      <w:lvlText w:val=""/>
      <w:lvlJc w:val="left"/>
      <w:pPr>
        <w:tabs>
          <w:tab w:val="num" w:pos="2880"/>
        </w:tabs>
        <w:ind w:left="2880" w:hanging="360"/>
      </w:pPr>
      <w:rPr>
        <w:rFonts w:ascii="Symbol" w:hAnsi="Symbol" w:hint="default"/>
      </w:rPr>
    </w:lvl>
    <w:lvl w:ilvl="4" w:tplc="B35A01A6" w:tentative="1">
      <w:start w:val="1"/>
      <w:numFmt w:val="bullet"/>
      <w:lvlText w:val=""/>
      <w:lvlJc w:val="left"/>
      <w:pPr>
        <w:tabs>
          <w:tab w:val="num" w:pos="3600"/>
        </w:tabs>
        <w:ind w:left="3600" w:hanging="360"/>
      </w:pPr>
      <w:rPr>
        <w:rFonts w:ascii="Symbol" w:hAnsi="Symbol" w:hint="default"/>
      </w:rPr>
    </w:lvl>
    <w:lvl w:ilvl="5" w:tplc="ABBA80C4" w:tentative="1">
      <w:start w:val="1"/>
      <w:numFmt w:val="bullet"/>
      <w:lvlText w:val=""/>
      <w:lvlJc w:val="left"/>
      <w:pPr>
        <w:tabs>
          <w:tab w:val="num" w:pos="4320"/>
        </w:tabs>
        <w:ind w:left="4320" w:hanging="360"/>
      </w:pPr>
      <w:rPr>
        <w:rFonts w:ascii="Symbol" w:hAnsi="Symbol" w:hint="default"/>
      </w:rPr>
    </w:lvl>
    <w:lvl w:ilvl="6" w:tplc="5E3E027E" w:tentative="1">
      <w:start w:val="1"/>
      <w:numFmt w:val="bullet"/>
      <w:lvlText w:val=""/>
      <w:lvlJc w:val="left"/>
      <w:pPr>
        <w:tabs>
          <w:tab w:val="num" w:pos="5040"/>
        </w:tabs>
        <w:ind w:left="5040" w:hanging="360"/>
      </w:pPr>
      <w:rPr>
        <w:rFonts w:ascii="Symbol" w:hAnsi="Symbol" w:hint="default"/>
      </w:rPr>
    </w:lvl>
    <w:lvl w:ilvl="7" w:tplc="D41825FA" w:tentative="1">
      <w:start w:val="1"/>
      <w:numFmt w:val="bullet"/>
      <w:lvlText w:val=""/>
      <w:lvlJc w:val="left"/>
      <w:pPr>
        <w:tabs>
          <w:tab w:val="num" w:pos="5760"/>
        </w:tabs>
        <w:ind w:left="5760" w:hanging="360"/>
      </w:pPr>
      <w:rPr>
        <w:rFonts w:ascii="Symbol" w:hAnsi="Symbol" w:hint="default"/>
      </w:rPr>
    </w:lvl>
    <w:lvl w:ilvl="8" w:tplc="526EDA96" w:tentative="1">
      <w:start w:val="1"/>
      <w:numFmt w:val="bullet"/>
      <w:lvlText w:val=""/>
      <w:lvlJc w:val="left"/>
      <w:pPr>
        <w:tabs>
          <w:tab w:val="num" w:pos="6480"/>
        </w:tabs>
        <w:ind w:left="6480" w:hanging="360"/>
      </w:pPr>
      <w:rPr>
        <w:rFonts w:ascii="Symbol" w:hAnsi="Symbol" w:hint="default"/>
      </w:rPr>
    </w:lvl>
  </w:abstractNum>
  <w:abstractNum w:abstractNumId="40" w15:restartNumberingAfterBreak="0">
    <w:nsid w:val="162419FA"/>
    <w:multiLevelType w:val="hybridMultilevel"/>
    <w:tmpl w:val="92622542"/>
    <w:lvl w:ilvl="0" w:tplc="BFDE6244">
      <w:start w:val="1"/>
      <w:numFmt w:val="bullet"/>
      <w:lvlText w:val=""/>
      <w:lvlPicBulletId w:val="0"/>
      <w:lvlJc w:val="left"/>
      <w:pPr>
        <w:tabs>
          <w:tab w:val="num" w:pos="720"/>
        </w:tabs>
        <w:ind w:left="720" w:hanging="360"/>
      </w:pPr>
      <w:rPr>
        <w:rFonts w:ascii="Symbol" w:hAnsi="Symbol" w:hint="default"/>
      </w:rPr>
    </w:lvl>
    <w:lvl w:ilvl="1" w:tplc="37006F52" w:tentative="1">
      <w:start w:val="1"/>
      <w:numFmt w:val="bullet"/>
      <w:lvlText w:val=""/>
      <w:lvlJc w:val="left"/>
      <w:pPr>
        <w:tabs>
          <w:tab w:val="num" w:pos="1440"/>
        </w:tabs>
        <w:ind w:left="1440" w:hanging="360"/>
      </w:pPr>
      <w:rPr>
        <w:rFonts w:ascii="Symbol" w:hAnsi="Symbol" w:hint="default"/>
      </w:rPr>
    </w:lvl>
    <w:lvl w:ilvl="2" w:tplc="3B1E6C3A" w:tentative="1">
      <w:start w:val="1"/>
      <w:numFmt w:val="bullet"/>
      <w:lvlText w:val=""/>
      <w:lvlJc w:val="left"/>
      <w:pPr>
        <w:tabs>
          <w:tab w:val="num" w:pos="2160"/>
        </w:tabs>
        <w:ind w:left="2160" w:hanging="360"/>
      </w:pPr>
      <w:rPr>
        <w:rFonts w:ascii="Symbol" w:hAnsi="Symbol" w:hint="default"/>
      </w:rPr>
    </w:lvl>
    <w:lvl w:ilvl="3" w:tplc="51EE9912" w:tentative="1">
      <w:start w:val="1"/>
      <w:numFmt w:val="bullet"/>
      <w:lvlText w:val=""/>
      <w:lvlJc w:val="left"/>
      <w:pPr>
        <w:tabs>
          <w:tab w:val="num" w:pos="2880"/>
        </w:tabs>
        <w:ind w:left="2880" w:hanging="360"/>
      </w:pPr>
      <w:rPr>
        <w:rFonts w:ascii="Symbol" w:hAnsi="Symbol" w:hint="default"/>
      </w:rPr>
    </w:lvl>
    <w:lvl w:ilvl="4" w:tplc="B3E4E654" w:tentative="1">
      <w:start w:val="1"/>
      <w:numFmt w:val="bullet"/>
      <w:lvlText w:val=""/>
      <w:lvlJc w:val="left"/>
      <w:pPr>
        <w:tabs>
          <w:tab w:val="num" w:pos="3600"/>
        </w:tabs>
        <w:ind w:left="3600" w:hanging="360"/>
      </w:pPr>
      <w:rPr>
        <w:rFonts w:ascii="Symbol" w:hAnsi="Symbol" w:hint="default"/>
      </w:rPr>
    </w:lvl>
    <w:lvl w:ilvl="5" w:tplc="ADB0EAFE" w:tentative="1">
      <w:start w:val="1"/>
      <w:numFmt w:val="bullet"/>
      <w:lvlText w:val=""/>
      <w:lvlJc w:val="left"/>
      <w:pPr>
        <w:tabs>
          <w:tab w:val="num" w:pos="4320"/>
        </w:tabs>
        <w:ind w:left="4320" w:hanging="360"/>
      </w:pPr>
      <w:rPr>
        <w:rFonts w:ascii="Symbol" w:hAnsi="Symbol" w:hint="default"/>
      </w:rPr>
    </w:lvl>
    <w:lvl w:ilvl="6" w:tplc="CA1C4162" w:tentative="1">
      <w:start w:val="1"/>
      <w:numFmt w:val="bullet"/>
      <w:lvlText w:val=""/>
      <w:lvlJc w:val="left"/>
      <w:pPr>
        <w:tabs>
          <w:tab w:val="num" w:pos="5040"/>
        </w:tabs>
        <w:ind w:left="5040" w:hanging="360"/>
      </w:pPr>
      <w:rPr>
        <w:rFonts w:ascii="Symbol" w:hAnsi="Symbol" w:hint="default"/>
      </w:rPr>
    </w:lvl>
    <w:lvl w:ilvl="7" w:tplc="DD4899DA" w:tentative="1">
      <w:start w:val="1"/>
      <w:numFmt w:val="bullet"/>
      <w:lvlText w:val=""/>
      <w:lvlJc w:val="left"/>
      <w:pPr>
        <w:tabs>
          <w:tab w:val="num" w:pos="5760"/>
        </w:tabs>
        <w:ind w:left="5760" w:hanging="360"/>
      </w:pPr>
      <w:rPr>
        <w:rFonts w:ascii="Symbol" w:hAnsi="Symbol" w:hint="default"/>
      </w:rPr>
    </w:lvl>
    <w:lvl w:ilvl="8" w:tplc="D50CA5BC" w:tentative="1">
      <w:start w:val="1"/>
      <w:numFmt w:val="bullet"/>
      <w:lvlText w:val=""/>
      <w:lvlJc w:val="left"/>
      <w:pPr>
        <w:tabs>
          <w:tab w:val="num" w:pos="6480"/>
        </w:tabs>
        <w:ind w:left="6480" w:hanging="360"/>
      </w:pPr>
      <w:rPr>
        <w:rFonts w:ascii="Symbol" w:hAnsi="Symbol" w:hint="default"/>
      </w:rPr>
    </w:lvl>
  </w:abstractNum>
  <w:abstractNum w:abstractNumId="41" w15:restartNumberingAfterBreak="0">
    <w:nsid w:val="18D900C9"/>
    <w:multiLevelType w:val="hybridMultilevel"/>
    <w:tmpl w:val="84B8EA6C"/>
    <w:lvl w:ilvl="0" w:tplc="F94C76B0">
      <w:start w:val="1"/>
      <w:numFmt w:val="bullet"/>
      <w:lvlText w:val=""/>
      <w:lvlPicBulletId w:val="1"/>
      <w:lvlJc w:val="left"/>
      <w:pPr>
        <w:tabs>
          <w:tab w:val="num" w:pos="720"/>
        </w:tabs>
        <w:ind w:left="720" w:hanging="360"/>
      </w:pPr>
      <w:rPr>
        <w:rFonts w:ascii="Symbol" w:hAnsi="Symbol" w:hint="default"/>
      </w:rPr>
    </w:lvl>
    <w:lvl w:ilvl="1" w:tplc="C106B4C2" w:tentative="1">
      <w:start w:val="1"/>
      <w:numFmt w:val="bullet"/>
      <w:lvlText w:val=""/>
      <w:lvlJc w:val="left"/>
      <w:pPr>
        <w:tabs>
          <w:tab w:val="num" w:pos="1440"/>
        </w:tabs>
        <w:ind w:left="1440" w:hanging="360"/>
      </w:pPr>
      <w:rPr>
        <w:rFonts w:ascii="Symbol" w:hAnsi="Symbol" w:hint="default"/>
      </w:rPr>
    </w:lvl>
    <w:lvl w:ilvl="2" w:tplc="163C7F00" w:tentative="1">
      <w:start w:val="1"/>
      <w:numFmt w:val="bullet"/>
      <w:lvlText w:val=""/>
      <w:lvlJc w:val="left"/>
      <w:pPr>
        <w:tabs>
          <w:tab w:val="num" w:pos="2160"/>
        </w:tabs>
        <w:ind w:left="2160" w:hanging="360"/>
      </w:pPr>
      <w:rPr>
        <w:rFonts w:ascii="Symbol" w:hAnsi="Symbol" w:hint="default"/>
      </w:rPr>
    </w:lvl>
    <w:lvl w:ilvl="3" w:tplc="93FE1246" w:tentative="1">
      <w:start w:val="1"/>
      <w:numFmt w:val="bullet"/>
      <w:lvlText w:val=""/>
      <w:lvlJc w:val="left"/>
      <w:pPr>
        <w:tabs>
          <w:tab w:val="num" w:pos="2880"/>
        </w:tabs>
        <w:ind w:left="2880" w:hanging="360"/>
      </w:pPr>
      <w:rPr>
        <w:rFonts w:ascii="Symbol" w:hAnsi="Symbol" w:hint="default"/>
      </w:rPr>
    </w:lvl>
    <w:lvl w:ilvl="4" w:tplc="7A2A04CA" w:tentative="1">
      <w:start w:val="1"/>
      <w:numFmt w:val="bullet"/>
      <w:lvlText w:val=""/>
      <w:lvlJc w:val="left"/>
      <w:pPr>
        <w:tabs>
          <w:tab w:val="num" w:pos="3600"/>
        </w:tabs>
        <w:ind w:left="3600" w:hanging="360"/>
      </w:pPr>
      <w:rPr>
        <w:rFonts w:ascii="Symbol" w:hAnsi="Symbol" w:hint="default"/>
      </w:rPr>
    </w:lvl>
    <w:lvl w:ilvl="5" w:tplc="2CF4D496" w:tentative="1">
      <w:start w:val="1"/>
      <w:numFmt w:val="bullet"/>
      <w:lvlText w:val=""/>
      <w:lvlJc w:val="left"/>
      <w:pPr>
        <w:tabs>
          <w:tab w:val="num" w:pos="4320"/>
        </w:tabs>
        <w:ind w:left="4320" w:hanging="360"/>
      </w:pPr>
      <w:rPr>
        <w:rFonts w:ascii="Symbol" w:hAnsi="Symbol" w:hint="default"/>
      </w:rPr>
    </w:lvl>
    <w:lvl w:ilvl="6" w:tplc="2DD24E88" w:tentative="1">
      <w:start w:val="1"/>
      <w:numFmt w:val="bullet"/>
      <w:lvlText w:val=""/>
      <w:lvlJc w:val="left"/>
      <w:pPr>
        <w:tabs>
          <w:tab w:val="num" w:pos="5040"/>
        </w:tabs>
        <w:ind w:left="5040" w:hanging="360"/>
      </w:pPr>
      <w:rPr>
        <w:rFonts w:ascii="Symbol" w:hAnsi="Symbol" w:hint="default"/>
      </w:rPr>
    </w:lvl>
    <w:lvl w:ilvl="7" w:tplc="1CEE3D1A" w:tentative="1">
      <w:start w:val="1"/>
      <w:numFmt w:val="bullet"/>
      <w:lvlText w:val=""/>
      <w:lvlJc w:val="left"/>
      <w:pPr>
        <w:tabs>
          <w:tab w:val="num" w:pos="5760"/>
        </w:tabs>
        <w:ind w:left="5760" w:hanging="360"/>
      </w:pPr>
      <w:rPr>
        <w:rFonts w:ascii="Symbol" w:hAnsi="Symbol" w:hint="default"/>
      </w:rPr>
    </w:lvl>
    <w:lvl w:ilvl="8" w:tplc="5FBAF050" w:tentative="1">
      <w:start w:val="1"/>
      <w:numFmt w:val="bullet"/>
      <w:lvlText w:val=""/>
      <w:lvlJc w:val="left"/>
      <w:pPr>
        <w:tabs>
          <w:tab w:val="num" w:pos="6480"/>
        </w:tabs>
        <w:ind w:left="6480" w:hanging="360"/>
      </w:pPr>
      <w:rPr>
        <w:rFonts w:ascii="Symbol" w:hAnsi="Symbol" w:hint="default"/>
      </w:rPr>
    </w:lvl>
  </w:abstractNum>
  <w:abstractNum w:abstractNumId="42" w15:restartNumberingAfterBreak="0">
    <w:nsid w:val="18D971CE"/>
    <w:multiLevelType w:val="hybridMultilevel"/>
    <w:tmpl w:val="5BC2768A"/>
    <w:lvl w:ilvl="0" w:tplc="4A286DEE">
      <w:start w:val="1"/>
      <w:numFmt w:val="bullet"/>
      <w:lvlText w:val="&gt;"/>
      <w:lvlJc w:val="left"/>
      <w:pPr>
        <w:ind w:left="1080" w:hanging="360"/>
      </w:pPr>
      <w:rPr>
        <w:rFonts w:ascii="HelveticaNeueLT Std Lt" w:hAnsi="HelveticaNeueLT Std Lt" w:hint="default"/>
        <w:sz w:val="20"/>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3" w15:restartNumberingAfterBreak="0">
    <w:nsid w:val="18F17A3F"/>
    <w:multiLevelType w:val="hybridMultilevel"/>
    <w:tmpl w:val="11EA8CA6"/>
    <w:lvl w:ilvl="0" w:tplc="39583AF8">
      <w:start w:val="1"/>
      <w:numFmt w:val="bullet"/>
      <w:lvlText w:val=""/>
      <w:lvlPicBulletId w:val="1"/>
      <w:lvlJc w:val="left"/>
      <w:pPr>
        <w:tabs>
          <w:tab w:val="num" w:pos="720"/>
        </w:tabs>
        <w:ind w:left="720" w:hanging="360"/>
      </w:pPr>
      <w:rPr>
        <w:rFonts w:ascii="Symbol" w:hAnsi="Symbol" w:hint="default"/>
      </w:rPr>
    </w:lvl>
    <w:lvl w:ilvl="1" w:tplc="840C6768" w:tentative="1">
      <w:start w:val="1"/>
      <w:numFmt w:val="bullet"/>
      <w:lvlText w:val=""/>
      <w:lvlJc w:val="left"/>
      <w:pPr>
        <w:tabs>
          <w:tab w:val="num" w:pos="1440"/>
        </w:tabs>
        <w:ind w:left="1440" w:hanging="360"/>
      </w:pPr>
      <w:rPr>
        <w:rFonts w:ascii="Symbol" w:hAnsi="Symbol" w:hint="default"/>
      </w:rPr>
    </w:lvl>
    <w:lvl w:ilvl="2" w:tplc="9A703686" w:tentative="1">
      <w:start w:val="1"/>
      <w:numFmt w:val="bullet"/>
      <w:lvlText w:val=""/>
      <w:lvlJc w:val="left"/>
      <w:pPr>
        <w:tabs>
          <w:tab w:val="num" w:pos="2160"/>
        </w:tabs>
        <w:ind w:left="2160" w:hanging="360"/>
      </w:pPr>
      <w:rPr>
        <w:rFonts w:ascii="Symbol" w:hAnsi="Symbol" w:hint="default"/>
      </w:rPr>
    </w:lvl>
    <w:lvl w:ilvl="3" w:tplc="13CE1B74" w:tentative="1">
      <w:start w:val="1"/>
      <w:numFmt w:val="bullet"/>
      <w:lvlText w:val=""/>
      <w:lvlJc w:val="left"/>
      <w:pPr>
        <w:tabs>
          <w:tab w:val="num" w:pos="2880"/>
        </w:tabs>
        <w:ind w:left="2880" w:hanging="360"/>
      </w:pPr>
      <w:rPr>
        <w:rFonts w:ascii="Symbol" w:hAnsi="Symbol" w:hint="default"/>
      </w:rPr>
    </w:lvl>
    <w:lvl w:ilvl="4" w:tplc="8B802744" w:tentative="1">
      <w:start w:val="1"/>
      <w:numFmt w:val="bullet"/>
      <w:lvlText w:val=""/>
      <w:lvlJc w:val="left"/>
      <w:pPr>
        <w:tabs>
          <w:tab w:val="num" w:pos="3600"/>
        </w:tabs>
        <w:ind w:left="3600" w:hanging="360"/>
      </w:pPr>
      <w:rPr>
        <w:rFonts w:ascii="Symbol" w:hAnsi="Symbol" w:hint="default"/>
      </w:rPr>
    </w:lvl>
    <w:lvl w:ilvl="5" w:tplc="E7D44C52" w:tentative="1">
      <w:start w:val="1"/>
      <w:numFmt w:val="bullet"/>
      <w:lvlText w:val=""/>
      <w:lvlJc w:val="left"/>
      <w:pPr>
        <w:tabs>
          <w:tab w:val="num" w:pos="4320"/>
        </w:tabs>
        <w:ind w:left="4320" w:hanging="360"/>
      </w:pPr>
      <w:rPr>
        <w:rFonts w:ascii="Symbol" w:hAnsi="Symbol" w:hint="default"/>
      </w:rPr>
    </w:lvl>
    <w:lvl w:ilvl="6" w:tplc="429485EA" w:tentative="1">
      <w:start w:val="1"/>
      <w:numFmt w:val="bullet"/>
      <w:lvlText w:val=""/>
      <w:lvlJc w:val="left"/>
      <w:pPr>
        <w:tabs>
          <w:tab w:val="num" w:pos="5040"/>
        </w:tabs>
        <w:ind w:left="5040" w:hanging="360"/>
      </w:pPr>
      <w:rPr>
        <w:rFonts w:ascii="Symbol" w:hAnsi="Symbol" w:hint="default"/>
      </w:rPr>
    </w:lvl>
    <w:lvl w:ilvl="7" w:tplc="FE603DBE" w:tentative="1">
      <w:start w:val="1"/>
      <w:numFmt w:val="bullet"/>
      <w:lvlText w:val=""/>
      <w:lvlJc w:val="left"/>
      <w:pPr>
        <w:tabs>
          <w:tab w:val="num" w:pos="5760"/>
        </w:tabs>
        <w:ind w:left="5760" w:hanging="360"/>
      </w:pPr>
      <w:rPr>
        <w:rFonts w:ascii="Symbol" w:hAnsi="Symbol" w:hint="default"/>
      </w:rPr>
    </w:lvl>
    <w:lvl w:ilvl="8" w:tplc="0E02A868" w:tentative="1">
      <w:start w:val="1"/>
      <w:numFmt w:val="bullet"/>
      <w:lvlText w:val=""/>
      <w:lvlJc w:val="left"/>
      <w:pPr>
        <w:tabs>
          <w:tab w:val="num" w:pos="6480"/>
        </w:tabs>
        <w:ind w:left="6480" w:hanging="360"/>
      </w:pPr>
      <w:rPr>
        <w:rFonts w:ascii="Symbol" w:hAnsi="Symbol" w:hint="default"/>
      </w:rPr>
    </w:lvl>
  </w:abstractNum>
  <w:abstractNum w:abstractNumId="44" w15:restartNumberingAfterBreak="0">
    <w:nsid w:val="195760DD"/>
    <w:multiLevelType w:val="hybridMultilevel"/>
    <w:tmpl w:val="86FE2652"/>
    <w:lvl w:ilvl="0" w:tplc="7C22A950">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5" w15:restartNumberingAfterBreak="0">
    <w:nsid w:val="1ADF1905"/>
    <w:multiLevelType w:val="hybridMultilevel"/>
    <w:tmpl w:val="26BA20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B414604"/>
    <w:multiLevelType w:val="hybridMultilevel"/>
    <w:tmpl w:val="72B89E06"/>
    <w:lvl w:ilvl="0" w:tplc="D61C8EA0">
      <w:start w:val="1"/>
      <w:numFmt w:val="bullet"/>
      <w:lvlText w:val=""/>
      <w:lvlPicBulletId w:val="1"/>
      <w:lvlJc w:val="left"/>
      <w:pPr>
        <w:tabs>
          <w:tab w:val="num" w:pos="720"/>
        </w:tabs>
        <w:ind w:left="720" w:hanging="360"/>
      </w:pPr>
      <w:rPr>
        <w:rFonts w:ascii="Symbol" w:hAnsi="Symbol" w:hint="default"/>
      </w:rPr>
    </w:lvl>
    <w:lvl w:ilvl="1" w:tplc="F3269712" w:tentative="1">
      <w:start w:val="1"/>
      <w:numFmt w:val="bullet"/>
      <w:lvlText w:val=""/>
      <w:lvlJc w:val="left"/>
      <w:pPr>
        <w:tabs>
          <w:tab w:val="num" w:pos="1440"/>
        </w:tabs>
        <w:ind w:left="1440" w:hanging="360"/>
      </w:pPr>
      <w:rPr>
        <w:rFonts w:ascii="Symbol" w:hAnsi="Symbol" w:hint="default"/>
      </w:rPr>
    </w:lvl>
    <w:lvl w:ilvl="2" w:tplc="00C008C2" w:tentative="1">
      <w:start w:val="1"/>
      <w:numFmt w:val="bullet"/>
      <w:lvlText w:val=""/>
      <w:lvlJc w:val="left"/>
      <w:pPr>
        <w:tabs>
          <w:tab w:val="num" w:pos="2160"/>
        </w:tabs>
        <w:ind w:left="2160" w:hanging="360"/>
      </w:pPr>
      <w:rPr>
        <w:rFonts w:ascii="Symbol" w:hAnsi="Symbol" w:hint="default"/>
      </w:rPr>
    </w:lvl>
    <w:lvl w:ilvl="3" w:tplc="37447474" w:tentative="1">
      <w:start w:val="1"/>
      <w:numFmt w:val="bullet"/>
      <w:lvlText w:val=""/>
      <w:lvlJc w:val="left"/>
      <w:pPr>
        <w:tabs>
          <w:tab w:val="num" w:pos="2880"/>
        </w:tabs>
        <w:ind w:left="2880" w:hanging="360"/>
      </w:pPr>
      <w:rPr>
        <w:rFonts w:ascii="Symbol" w:hAnsi="Symbol" w:hint="default"/>
      </w:rPr>
    </w:lvl>
    <w:lvl w:ilvl="4" w:tplc="0C9AB4A2" w:tentative="1">
      <w:start w:val="1"/>
      <w:numFmt w:val="bullet"/>
      <w:lvlText w:val=""/>
      <w:lvlJc w:val="left"/>
      <w:pPr>
        <w:tabs>
          <w:tab w:val="num" w:pos="3600"/>
        </w:tabs>
        <w:ind w:left="3600" w:hanging="360"/>
      </w:pPr>
      <w:rPr>
        <w:rFonts w:ascii="Symbol" w:hAnsi="Symbol" w:hint="default"/>
      </w:rPr>
    </w:lvl>
    <w:lvl w:ilvl="5" w:tplc="4B242070" w:tentative="1">
      <w:start w:val="1"/>
      <w:numFmt w:val="bullet"/>
      <w:lvlText w:val=""/>
      <w:lvlJc w:val="left"/>
      <w:pPr>
        <w:tabs>
          <w:tab w:val="num" w:pos="4320"/>
        </w:tabs>
        <w:ind w:left="4320" w:hanging="360"/>
      </w:pPr>
      <w:rPr>
        <w:rFonts w:ascii="Symbol" w:hAnsi="Symbol" w:hint="default"/>
      </w:rPr>
    </w:lvl>
    <w:lvl w:ilvl="6" w:tplc="C948844C" w:tentative="1">
      <w:start w:val="1"/>
      <w:numFmt w:val="bullet"/>
      <w:lvlText w:val=""/>
      <w:lvlJc w:val="left"/>
      <w:pPr>
        <w:tabs>
          <w:tab w:val="num" w:pos="5040"/>
        </w:tabs>
        <w:ind w:left="5040" w:hanging="360"/>
      </w:pPr>
      <w:rPr>
        <w:rFonts w:ascii="Symbol" w:hAnsi="Symbol" w:hint="default"/>
      </w:rPr>
    </w:lvl>
    <w:lvl w:ilvl="7" w:tplc="DF86998A" w:tentative="1">
      <w:start w:val="1"/>
      <w:numFmt w:val="bullet"/>
      <w:lvlText w:val=""/>
      <w:lvlJc w:val="left"/>
      <w:pPr>
        <w:tabs>
          <w:tab w:val="num" w:pos="5760"/>
        </w:tabs>
        <w:ind w:left="5760" w:hanging="360"/>
      </w:pPr>
      <w:rPr>
        <w:rFonts w:ascii="Symbol" w:hAnsi="Symbol" w:hint="default"/>
      </w:rPr>
    </w:lvl>
    <w:lvl w:ilvl="8" w:tplc="C8AE4F38" w:tentative="1">
      <w:start w:val="1"/>
      <w:numFmt w:val="bullet"/>
      <w:lvlText w:val=""/>
      <w:lvlJc w:val="left"/>
      <w:pPr>
        <w:tabs>
          <w:tab w:val="num" w:pos="6480"/>
        </w:tabs>
        <w:ind w:left="6480" w:hanging="360"/>
      </w:pPr>
      <w:rPr>
        <w:rFonts w:ascii="Symbol" w:hAnsi="Symbol" w:hint="default"/>
      </w:rPr>
    </w:lvl>
  </w:abstractNum>
  <w:abstractNum w:abstractNumId="47" w15:restartNumberingAfterBreak="0">
    <w:nsid w:val="1B553A82"/>
    <w:multiLevelType w:val="hybridMultilevel"/>
    <w:tmpl w:val="915AA9F4"/>
    <w:lvl w:ilvl="0" w:tplc="5EB81A90">
      <w:start w:val="1"/>
      <w:numFmt w:val="bullet"/>
      <w:lvlText w:val=""/>
      <w:lvlPicBulletId w:val="1"/>
      <w:lvlJc w:val="left"/>
      <w:pPr>
        <w:tabs>
          <w:tab w:val="num" w:pos="720"/>
        </w:tabs>
        <w:ind w:left="720" w:hanging="360"/>
      </w:pPr>
      <w:rPr>
        <w:rFonts w:ascii="Symbol" w:hAnsi="Symbol" w:hint="default"/>
      </w:rPr>
    </w:lvl>
    <w:lvl w:ilvl="1" w:tplc="5A1E9DAE" w:tentative="1">
      <w:start w:val="1"/>
      <w:numFmt w:val="bullet"/>
      <w:lvlText w:val=""/>
      <w:lvlJc w:val="left"/>
      <w:pPr>
        <w:tabs>
          <w:tab w:val="num" w:pos="1440"/>
        </w:tabs>
        <w:ind w:left="1440" w:hanging="360"/>
      </w:pPr>
      <w:rPr>
        <w:rFonts w:ascii="Symbol" w:hAnsi="Symbol" w:hint="default"/>
      </w:rPr>
    </w:lvl>
    <w:lvl w:ilvl="2" w:tplc="8DA8D87A" w:tentative="1">
      <w:start w:val="1"/>
      <w:numFmt w:val="bullet"/>
      <w:lvlText w:val=""/>
      <w:lvlJc w:val="left"/>
      <w:pPr>
        <w:tabs>
          <w:tab w:val="num" w:pos="2160"/>
        </w:tabs>
        <w:ind w:left="2160" w:hanging="360"/>
      </w:pPr>
      <w:rPr>
        <w:rFonts w:ascii="Symbol" w:hAnsi="Symbol" w:hint="default"/>
      </w:rPr>
    </w:lvl>
    <w:lvl w:ilvl="3" w:tplc="40D47C6A" w:tentative="1">
      <w:start w:val="1"/>
      <w:numFmt w:val="bullet"/>
      <w:lvlText w:val=""/>
      <w:lvlJc w:val="left"/>
      <w:pPr>
        <w:tabs>
          <w:tab w:val="num" w:pos="2880"/>
        </w:tabs>
        <w:ind w:left="2880" w:hanging="360"/>
      </w:pPr>
      <w:rPr>
        <w:rFonts w:ascii="Symbol" w:hAnsi="Symbol" w:hint="default"/>
      </w:rPr>
    </w:lvl>
    <w:lvl w:ilvl="4" w:tplc="68E48598" w:tentative="1">
      <w:start w:val="1"/>
      <w:numFmt w:val="bullet"/>
      <w:lvlText w:val=""/>
      <w:lvlJc w:val="left"/>
      <w:pPr>
        <w:tabs>
          <w:tab w:val="num" w:pos="3600"/>
        </w:tabs>
        <w:ind w:left="3600" w:hanging="360"/>
      </w:pPr>
      <w:rPr>
        <w:rFonts w:ascii="Symbol" w:hAnsi="Symbol" w:hint="default"/>
      </w:rPr>
    </w:lvl>
    <w:lvl w:ilvl="5" w:tplc="97865A60" w:tentative="1">
      <w:start w:val="1"/>
      <w:numFmt w:val="bullet"/>
      <w:lvlText w:val=""/>
      <w:lvlJc w:val="left"/>
      <w:pPr>
        <w:tabs>
          <w:tab w:val="num" w:pos="4320"/>
        </w:tabs>
        <w:ind w:left="4320" w:hanging="360"/>
      </w:pPr>
      <w:rPr>
        <w:rFonts w:ascii="Symbol" w:hAnsi="Symbol" w:hint="default"/>
      </w:rPr>
    </w:lvl>
    <w:lvl w:ilvl="6" w:tplc="A9387998" w:tentative="1">
      <w:start w:val="1"/>
      <w:numFmt w:val="bullet"/>
      <w:lvlText w:val=""/>
      <w:lvlJc w:val="left"/>
      <w:pPr>
        <w:tabs>
          <w:tab w:val="num" w:pos="5040"/>
        </w:tabs>
        <w:ind w:left="5040" w:hanging="360"/>
      </w:pPr>
      <w:rPr>
        <w:rFonts w:ascii="Symbol" w:hAnsi="Symbol" w:hint="default"/>
      </w:rPr>
    </w:lvl>
    <w:lvl w:ilvl="7" w:tplc="56B4A0BA" w:tentative="1">
      <w:start w:val="1"/>
      <w:numFmt w:val="bullet"/>
      <w:lvlText w:val=""/>
      <w:lvlJc w:val="left"/>
      <w:pPr>
        <w:tabs>
          <w:tab w:val="num" w:pos="5760"/>
        </w:tabs>
        <w:ind w:left="5760" w:hanging="360"/>
      </w:pPr>
      <w:rPr>
        <w:rFonts w:ascii="Symbol" w:hAnsi="Symbol" w:hint="default"/>
      </w:rPr>
    </w:lvl>
    <w:lvl w:ilvl="8" w:tplc="8408984A" w:tentative="1">
      <w:start w:val="1"/>
      <w:numFmt w:val="bullet"/>
      <w:lvlText w:val=""/>
      <w:lvlJc w:val="left"/>
      <w:pPr>
        <w:tabs>
          <w:tab w:val="num" w:pos="6480"/>
        </w:tabs>
        <w:ind w:left="6480" w:hanging="360"/>
      </w:pPr>
      <w:rPr>
        <w:rFonts w:ascii="Symbol" w:hAnsi="Symbol" w:hint="default"/>
      </w:rPr>
    </w:lvl>
  </w:abstractNum>
  <w:abstractNum w:abstractNumId="48" w15:restartNumberingAfterBreak="0">
    <w:nsid w:val="1D3C3546"/>
    <w:multiLevelType w:val="hybridMultilevel"/>
    <w:tmpl w:val="DBB683C4"/>
    <w:lvl w:ilvl="0" w:tplc="77D473FC">
      <w:start w:val="1"/>
      <w:numFmt w:val="bullet"/>
      <w:lvlText w:val=""/>
      <w:lvlPicBulletId w:val="1"/>
      <w:lvlJc w:val="left"/>
      <w:pPr>
        <w:tabs>
          <w:tab w:val="num" w:pos="720"/>
        </w:tabs>
        <w:ind w:left="720" w:hanging="360"/>
      </w:pPr>
      <w:rPr>
        <w:rFonts w:ascii="Symbol" w:hAnsi="Symbol" w:hint="default"/>
      </w:rPr>
    </w:lvl>
    <w:lvl w:ilvl="1" w:tplc="E8DE4356" w:tentative="1">
      <w:start w:val="1"/>
      <w:numFmt w:val="bullet"/>
      <w:lvlText w:val=""/>
      <w:lvlJc w:val="left"/>
      <w:pPr>
        <w:tabs>
          <w:tab w:val="num" w:pos="1440"/>
        </w:tabs>
        <w:ind w:left="1440" w:hanging="360"/>
      </w:pPr>
      <w:rPr>
        <w:rFonts w:ascii="Symbol" w:hAnsi="Symbol" w:hint="default"/>
      </w:rPr>
    </w:lvl>
    <w:lvl w:ilvl="2" w:tplc="9A4029D8" w:tentative="1">
      <w:start w:val="1"/>
      <w:numFmt w:val="bullet"/>
      <w:lvlText w:val=""/>
      <w:lvlJc w:val="left"/>
      <w:pPr>
        <w:tabs>
          <w:tab w:val="num" w:pos="2160"/>
        </w:tabs>
        <w:ind w:left="2160" w:hanging="360"/>
      </w:pPr>
      <w:rPr>
        <w:rFonts w:ascii="Symbol" w:hAnsi="Symbol" w:hint="default"/>
      </w:rPr>
    </w:lvl>
    <w:lvl w:ilvl="3" w:tplc="C49E8B24" w:tentative="1">
      <w:start w:val="1"/>
      <w:numFmt w:val="bullet"/>
      <w:lvlText w:val=""/>
      <w:lvlJc w:val="left"/>
      <w:pPr>
        <w:tabs>
          <w:tab w:val="num" w:pos="2880"/>
        </w:tabs>
        <w:ind w:left="2880" w:hanging="360"/>
      </w:pPr>
      <w:rPr>
        <w:rFonts w:ascii="Symbol" w:hAnsi="Symbol" w:hint="default"/>
      </w:rPr>
    </w:lvl>
    <w:lvl w:ilvl="4" w:tplc="5B6A8E3A" w:tentative="1">
      <w:start w:val="1"/>
      <w:numFmt w:val="bullet"/>
      <w:lvlText w:val=""/>
      <w:lvlJc w:val="left"/>
      <w:pPr>
        <w:tabs>
          <w:tab w:val="num" w:pos="3600"/>
        </w:tabs>
        <w:ind w:left="3600" w:hanging="360"/>
      </w:pPr>
      <w:rPr>
        <w:rFonts w:ascii="Symbol" w:hAnsi="Symbol" w:hint="default"/>
      </w:rPr>
    </w:lvl>
    <w:lvl w:ilvl="5" w:tplc="B634928C" w:tentative="1">
      <w:start w:val="1"/>
      <w:numFmt w:val="bullet"/>
      <w:lvlText w:val=""/>
      <w:lvlJc w:val="left"/>
      <w:pPr>
        <w:tabs>
          <w:tab w:val="num" w:pos="4320"/>
        </w:tabs>
        <w:ind w:left="4320" w:hanging="360"/>
      </w:pPr>
      <w:rPr>
        <w:rFonts w:ascii="Symbol" w:hAnsi="Symbol" w:hint="default"/>
      </w:rPr>
    </w:lvl>
    <w:lvl w:ilvl="6" w:tplc="ADD8A3C8" w:tentative="1">
      <w:start w:val="1"/>
      <w:numFmt w:val="bullet"/>
      <w:lvlText w:val=""/>
      <w:lvlJc w:val="left"/>
      <w:pPr>
        <w:tabs>
          <w:tab w:val="num" w:pos="5040"/>
        </w:tabs>
        <w:ind w:left="5040" w:hanging="360"/>
      </w:pPr>
      <w:rPr>
        <w:rFonts w:ascii="Symbol" w:hAnsi="Symbol" w:hint="default"/>
      </w:rPr>
    </w:lvl>
    <w:lvl w:ilvl="7" w:tplc="E2F6B2EE" w:tentative="1">
      <w:start w:val="1"/>
      <w:numFmt w:val="bullet"/>
      <w:lvlText w:val=""/>
      <w:lvlJc w:val="left"/>
      <w:pPr>
        <w:tabs>
          <w:tab w:val="num" w:pos="5760"/>
        </w:tabs>
        <w:ind w:left="5760" w:hanging="360"/>
      </w:pPr>
      <w:rPr>
        <w:rFonts w:ascii="Symbol" w:hAnsi="Symbol" w:hint="default"/>
      </w:rPr>
    </w:lvl>
    <w:lvl w:ilvl="8" w:tplc="023610CC" w:tentative="1">
      <w:start w:val="1"/>
      <w:numFmt w:val="bullet"/>
      <w:lvlText w:val=""/>
      <w:lvlJc w:val="left"/>
      <w:pPr>
        <w:tabs>
          <w:tab w:val="num" w:pos="6480"/>
        </w:tabs>
        <w:ind w:left="6480" w:hanging="360"/>
      </w:pPr>
      <w:rPr>
        <w:rFonts w:ascii="Symbol" w:hAnsi="Symbol" w:hint="default"/>
      </w:rPr>
    </w:lvl>
  </w:abstractNum>
  <w:abstractNum w:abstractNumId="49" w15:restartNumberingAfterBreak="0">
    <w:nsid w:val="1D7B248D"/>
    <w:multiLevelType w:val="hybridMultilevel"/>
    <w:tmpl w:val="811C92C2"/>
    <w:lvl w:ilvl="0" w:tplc="8EE696D6">
      <w:start w:val="1"/>
      <w:numFmt w:val="decimal"/>
      <w:lvlText w:val="Table %1."/>
      <w:lvlJc w:val="left"/>
      <w:pPr>
        <w:ind w:left="720" w:hanging="360"/>
      </w:pPr>
      <w:rPr>
        <w:rFonts w:hint="default"/>
        <w:b/>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1DB14715"/>
    <w:multiLevelType w:val="hybridMultilevel"/>
    <w:tmpl w:val="865CF41E"/>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E6F4938"/>
    <w:multiLevelType w:val="hybridMultilevel"/>
    <w:tmpl w:val="7EE49170"/>
    <w:lvl w:ilvl="0" w:tplc="1306239C">
      <w:start w:val="1"/>
      <w:numFmt w:val="bullet"/>
      <w:lvlText w:val=""/>
      <w:lvlPicBulletId w:val="0"/>
      <w:lvlJc w:val="left"/>
      <w:pPr>
        <w:tabs>
          <w:tab w:val="num" w:pos="720"/>
        </w:tabs>
        <w:ind w:left="720" w:hanging="360"/>
      </w:pPr>
      <w:rPr>
        <w:rFonts w:ascii="Symbol" w:hAnsi="Symbol" w:hint="default"/>
      </w:rPr>
    </w:lvl>
    <w:lvl w:ilvl="1" w:tplc="675A7D36" w:tentative="1">
      <w:start w:val="1"/>
      <w:numFmt w:val="bullet"/>
      <w:lvlText w:val=""/>
      <w:lvlJc w:val="left"/>
      <w:pPr>
        <w:tabs>
          <w:tab w:val="num" w:pos="1440"/>
        </w:tabs>
        <w:ind w:left="1440" w:hanging="360"/>
      </w:pPr>
      <w:rPr>
        <w:rFonts w:ascii="Symbol" w:hAnsi="Symbol" w:hint="default"/>
      </w:rPr>
    </w:lvl>
    <w:lvl w:ilvl="2" w:tplc="07DE1F30" w:tentative="1">
      <w:start w:val="1"/>
      <w:numFmt w:val="bullet"/>
      <w:lvlText w:val=""/>
      <w:lvlJc w:val="left"/>
      <w:pPr>
        <w:tabs>
          <w:tab w:val="num" w:pos="2160"/>
        </w:tabs>
        <w:ind w:left="2160" w:hanging="360"/>
      </w:pPr>
      <w:rPr>
        <w:rFonts w:ascii="Symbol" w:hAnsi="Symbol" w:hint="default"/>
      </w:rPr>
    </w:lvl>
    <w:lvl w:ilvl="3" w:tplc="C77A15D6" w:tentative="1">
      <w:start w:val="1"/>
      <w:numFmt w:val="bullet"/>
      <w:lvlText w:val=""/>
      <w:lvlJc w:val="left"/>
      <w:pPr>
        <w:tabs>
          <w:tab w:val="num" w:pos="2880"/>
        </w:tabs>
        <w:ind w:left="2880" w:hanging="360"/>
      </w:pPr>
      <w:rPr>
        <w:rFonts w:ascii="Symbol" w:hAnsi="Symbol" w:hint="default"/>
      </w:rPr>
    </w:lvl>
    <w:lvl w:ilvl="4" w:tplc="26C4A72A" w:tentative="1">
      <w:start w:val="1"/>
      <w:numFmt w:val="bullet"/>
      <w:lvlText w:val=""/>
      <w:lvlJc w:val="left"/>
      <w:pPr>
        <w:tabs>
          <w:tab w:val="num" w:pos="3600"/>
        </w:tabs>
        <w:ind w:left="3600" w:hanging="360"/>
      </w:pPr>
      <w:rPr>
        <w:rFonts w:ascii="Symbol" w:hAnsi="Symbol" w:hint="default"/>
      </w:rPr>
    </w:lvl>
    <w:lvl w:ilvl="5" w:tplc="A6E65A78" w:tentative="1">
      <w:start w:val="1"/>
      <w:numFmt w:val="bullet"/>
      <w:lvlText w:val=""/>
      <w:lvlJc w:val="left"/>
      <w:pPr>
        <w:tabs>
          <w:tab w:val="num" w:pos="4320"/>
        </w:tabs>
        <w:ind w:left="4320" w:hanging="360"/>
      </w:pPr>
      <w:rPr>
        <w:rFonts w:ascii="Symbol" w:hAnsi="Symbol" w:hint="default"/>
      </w:rPr>
    </w:lvl>
    <w:lvl w:ilvl="6" w:tplc="1CBA7D2E" w:tentative="1">
      <w:start w:val="1"/>
      <w:numFmt w:val="bullet"/>
      <w:lvlText w:val=""/>
      <w:lvlJc w:val="left"/>
      <w:pPr>
        <w:tabs>
          <w:tab w:val="num" w:pos="5040"/>
        </w:tabs>
        <w:ind w:left="5040" w:hanging="360"/>
      </w:pPr>
      <w:rPr>
        <w:rFonts w:ascii="Symbol" w:hAnsi="Symbol" w:hint="default"/>
      </w:rPr>
    </w:lvl>
    <w:lvl w:ilvl="7" w:tplc="BDFC044C" w:tentative="1">
      <w:start w:val="1"/>
      <w:numFmt w:val="bullet"/>
      <w:lvlText w:val=""/>
      <w:lvlJc w:val="left"/>
      <w:pPr>
        <w:tabs>
          <w:tab w:val="num" w:pos="5760"/>
        </w:tabs>
        <w:ind w:left="5760" w:hanging="360"/>
      </w:pPr>
      <w:rPr>
        <w:rFonts w:ascii="Symbol" w:hAnsi="Symbol" w:hint="default"/>
      </w:rPr>
    </w:lvl>
    <w:lvl w:ilvl="8" w:tplc="3FF63AE4" w:tentative="1">
      <w:start w:val="1"/>
      <w:numFmt w:val="bullet"/>
      <w:lvlText w:val=""/>
      <w:lvlJc w:val="left"/>
      <w:pPr>
        <w:tabs>
          <w:tab w:val="num" w:pos="6480"/>
        </w:tabs>
        <w:ind w:left="6480" w:hanging="360"/>
      </w:pPr>
      <w:rPr>
        <w:rFonts w:ascii="Symbol" w:hAnsi="Symbol" w:hint="default"/>
      </w:rPr>
    </w:lvl>
  </w:abstractNum>
  <w:abstractNum w:abstractNumId="52" w15:restartNumberingAfterBreak="0">
    <w:nsid w:val="1F0957BC"/>
    <w:multiLevelType w:val="hybridMultilevel"/>
    <w:tmpl w:val="0F56C5D8"/>
    <w:lvl w:ilvl="0" w:tplc="91BE940A">
      <w:start w:val="1"/>
      <w:numFmt w:val="bullet"/>
      <w:lvlText w:val=""/>
      <w:lvlPicBulletId w:val="1"/>
      <w:lvlJc w:val="left"/>
      <w:pPr>
        <w:tabs>
          <w:tab w:val="num" w:pos="720"/>
        </w:tabs>
        <w:ind w:left="720" w:hanging="360"/>
      </w:pPr>
      <w:rPr>
        <w:rFonts w:ascii="Symbol" w:hAnsi="Symbol" w:hint="default"/>
      </w:rPr>
    </w:lvl>
    <w:lvl w:ilvl="1" w:tplc="D79E58D2" w:tentative="1">
      <w:start w:val="1"/>
      <w:numFmt w:val="bullet"/>
      <w:lvlText w:val=""/>
      <w:lvlJc w:val="left"/>
      <w:pPr>
        <w:tabs>
          <w:tab w:val="num" w:pos="1440"/>
        </w:tabs>
        <w:ind w:left="1440" w:hanging="360"/>
      </w:pPr>
      <w:rPr>
        <w:rFonts w:ascii="Symbol" w:hAnsi="Symbol" w:hint="default"/>
      </w:rPr>
    </w:lvl>
    <w:lvl w:ilvl="2" w:tplc="F6920AE8" w:tentative="1">
      <w:start w:val="1"/>
      <w:numFmt w:val="bullet"/>
      <w:lvlText w:val=""/>
      <w:lvlJc w:val="left"/>
      <w:pPr>
        <w:tabs>
          <w:tab w:val="num" w:pos="2160"/>
        </w:tabs>
        <w:ind w:left="2160" w:hanging="360"/>
      </w:pPr>
      <w:rPr>
        <w:rFonts w:ascii="Symbol" w:hAnsi="Symbol" w:hint="default"/>
      </w:rPr>
    </w:lvl>
    <w:lvl w:ilvl="3" w:tplc="DDE2A4E8" w:tentative="1">
      <w:start w:val="1"/>
      <w:numFmt w:val="bullet"/>
      <w:lvlText w:val=""/>
      <w:lvlJc w:val="left"/>
      <w:pPr>
        <w:tabs>
          <w:tab w:val="num" w:pos="2880"/>
        </w:tabs>
        <w:ind w:left="2880" w:hanging="360"/>
      </w:pPr>
      <w:rPr>
        <w:rFonts w:ascii="Symbol" w:hAnsi="Symbol" w:hint="default"/>
      </w:rPr>
    </w:lvl>
    <w:lvl w:ilvl="4" w:tplc="EEA869F2" w:tentative="1">
      <w:start w:val="1"/>
      <w:numFmt w:val="bullet"/>
      <w:lvlText w:val=""/>
      <w:lvlJc w:val="left"/>
      <w:pPr>
        <w:tabs>
          <w:tab w:val="num" w:pos="3600"/>
        </w:tabs>
        <w:ind w:left="3600" w:hanging="360"/>
      </w:pPr>
      <w:rPr>
        <w:rFonts w:ascii="Symbol" w:hAnsi="Symbol" w:hint="default"/>
      </w:rPr>
    </w:lvl>
    <w:lvl w:ilvl="5" w:tplc="BED8E53A" w:tentative="1">
      <w:start w:val="1"/>
      <w:numFmt w:val="bullet"/>
      <w:lvlText w:val=""/>
      <w:lvlJc w:val="left"/>
      <w:pPr>
        <w:tabs>
          <w:tab w:val="num" w:pos="4320"/>
        </w:tabs>
        <w:ind w:left="4320" w:hanging="360"/>
      </w:pPr>
      <w:rPr>
        <w:rFonts w:ascii="Symbol" w:hAnsi="Symbol" w:hint="default"/>
      </w:rPr>
    </w:lvl>
    <w:lvl w:ilvl="6" w:tplc="766A1D78" w:tentative="1">
      <w:start w:val="1"/>
      <w:numFmt w:val="bullet"/>
      <w:lvlText w:val=""/>
      <w:lvlJc w:val="left"/>
      <w:pPr>
        <w:tabs>
          <w:tab w:val="num" w:pos="5040"/>
        </w:tabs>
        <w:ind w:left="5040" w:hanging="360"/>
      </w:pPr>
      <w:rPr>
        <w:rFonts w:ascii="Symbol" w:hAnsi="Symbol" w:hint="default"/>
      </w:rPr>
    </w:lvl>
    <w:lvl w:ilvl="7" w:tplc="F8A2FDF4" w:tentative="1">
      <w:start w:val="1"/>
      <w:numFmt w:val="bullet"/>
      <w:lvlText w:val=""/>
      <w:lvlJc w:val="left"/>
      <w:pPr>
        <w:tabs>
          <w:tab w:val="num" w:pos="5760"/>
        </w:tabs>
        <w:ind w:left="5760" w:hanging="360"/>
      </w:pPr>
      <w:rPr>
        <w:rFonts w:ascii="Symbol" w:hAnsi="Symbol" w:hint="default"/>
      </w:rPr>
    </w:lvl>
    <w:lvl w:ilvl="8" w:tplc="1DD271AE" w:tentative="1">
      <w:start w:val="1"/>
      <w:numFmt w:val="bullet"/>
      <w:lvlText w:val=""/>
      <w:lvlJc w:val="left"/>
      <w:pPr>
        <w:tabs>
          <w:tab w:val="num" w:pos="6480"/>
        </w:tabs>
        <w:ind w:left="6480" w:hanging="360"/>
      </w:pPr>
      <w:rPr>
        <w:rFonts w:ascii="Symbol" w:hAnsi="Symbol" w:hint="default"/>
      </w:rPr>
    </w:lvl>
  </w:abstractNum>
  <w:abstractNum w:abstractNumId="53" w15:restartNumberingAfterBreak="0">
    <w:nsid w:val="1FA415CB"/>
    <w:multiLevelType w:val="hybridMultilevel"/>
    <w:tmpl w:val="9E78EA12"/>
    <w:lvl w:ilvl="0" w:tplc="4976AA08">
      <w:start w:val="1"/>
      <w:numFmt w:val="bullet"/>
      <w:lvlText w:val=""/>
      <w:lvlPicBulletId w:val="1"/>
      <w:lvlJc w:val="left"/>
      <w:pPr>
        <w:tabs>
          <w:tab w:val="num" w:pos="720"/>
        </w:tabs>
        <w:ind w:left="720" w:hanging="360"/>
      </w:pPr>
      <w:rPr>
        <w:rFonts w:ascii="Symbol" w:hAnsi="Symbol" w:hint="default"/>
      </w:rPr>
    </w:lvl>
    <w:lvl w:ilvl="1" w:tplc="A8EE64BA" w:tentative="1">
      <w:start w:val="1"/>
      <w:numFmt w:val="bullet"/>
      <w:lvlText w:val=""/>
      <w:lvlJc w:val="left"/>
      <w:pPr>
        <w:tabs>
          <w:tab w:val="num" w:pos="1440"/>
        </w:tabs>
        <w:ind w:left="1440" w:hanging="360"/>
      </w:pPr>
      <w:rPr>
        <w:rFonts w:ascii="Symbol" w:hAnsi="Symbol" w:hint="default"/>
      </w:rPr>
    </w:lvl>
    <w:lvl w:ilvl="2" w:tplc="AB0A5338" w:tentative="1">
      <w:start w:val="1"/>
      <w:numFmt w:val="bullet"/>
      <w:lvlText w:val=""/>
      <w:lvlJc w:val="left"/>
      <w:pPr>
        <w:tabs>
          <w:tab w:val="num" w:pos="2160"/>
        </w:tabs>
        <w:ind w:left="2160" w:hanging="360"/>
      </w:pPr>
      <w:rPr>
        <w:rFonts w:ascii="Symbol" w:hAnsi="Symbol" w:hint="default"/>
      </w:rPr>
    </w:lvl>
    <w:lvl w:ilvl="3" w:tplc="FA2E841E" w:tentative="1">
      <w:start w:val="1"/>
      <w:numFmt w:val="bullet"/>
      <w:lvlText w:val=""/>
      <w:lvlJc w:val="left"/>
      <w:pPr>
        <w:tabs>
          <w:tab w:val="num" w:pos="2880"/>
        </w:tabs>
        <w:ind w:left="2880" w:hanging="360"/>
      </w:pPr>
      <w:rPr>
        <w:rFonts w:ascii="Symbol" w:hAnsi="Symbol" w:hint="default"/>
      </w:rPr>
    </w:lvl>
    <w:lvl w:ilvl="4" w:tplc="01B26764" w:tentative="1">
      <w:start w:val="1"/>
      <w:numFmt w:val="bullet"/>
      <w:lvlText w:val=""/>
      <w:lvlJc w:val="left"/>
      <w:pPr>
        <w:tabs>
          <w:tab w:val="num" w:pos="3600"/>
        </w:tabs>
        <w:ind w:left="3600" w:hanging="360"/>
      </w:pPr>
      <w:rPr>
        <w:rFonts w:ascii="Symbol" w:hAnsi="Symbol" w:hint="default"/>
      </w:rPr>
    </w:lvl>
    <w:lvl w:ilvl="5" w:tplc="FD0EB20A" w:tentative="1">
      <w:start w:val="1"/>
      <w:numFmt w:val="bullet"/>
      <w:lvlText w:val=""/>
      <w:lvlJc w:val="left"/>
      <w:pPr>
        <w:tabs>
          <w:tab w:val="num" w:pos="4320"/>
        </w:tabs>
        <w:ind w:left="4320" w:hanging="360"/>
      </w:pPr>
      <w:rPr>
        <w:rFonts w:ascii="Symbol" w:hAnsi="Symbol" w:hint="default"/>
      </w:rPr>
    </w:lvl>
    <w:lvl w:ilvl="6" w:tplc="BE64B108" w:tentative="1">
      <w:start w:val="1"/>
      <w:numFmt w:val="bullet"/>
      <w:lvlText w:val=""/>
      <w:lvlJc w:val="left"/>
      <w:pPr>
        <w:tabs>
          <w:tab w:val="num" w:pos="5040"/>
        </w:tabs>
        <w:ind w:left="5040" w:hanging="360"/>
      </w:pPr>
      <w:rPr>
        <w:rFonts w:ascii="Symbol" w:hAnsi="Symbol" w:hint="default"/>
      </w:rPr>
    </w:lvl>
    <w:lvl w:ilvl="7" w:tplc="285C98D6" w:tentative="1">
      <w:start w:val="1"/>
      <w:numFmt w:val="bullet"/>
      <w:lvlText w:val=""/>
      <w:lvlJc w:val="left"/>
      <w:pPr>
        <w:tabs>
          <w:tab w:val="num" w:pos="5760"/>
        </w:tabs>
        <w:ind w:left="5760" w:hanging="360"/>
      </w:pPr>
      <w:rPr>
        <w:rFonts w:ascii="Symbol" w:hAnsi="Symbol" w:hint="default"/>
      </w:rPr>
    </w:lvl>
    <w:lvl w:ilvl="8" w:tplc="E5DCDCA0" w:tentative="1">
      <w:start w:val="1"/>
      <w:numFmt w:val="bullet"/>
      <w:lvlText w:val=""/>
      <w:lvlJc w:val="left"/>
      <w:pPr>
        <w:tabs>
          <w:tab w:val="num" w:pos="6480"/>
        </w:tabs>
        <w:ind w:left="6480" w:hanging="360"/>
      </w:pPr>
      <w:rPr>
        <w:rFonts w:ascii="Symbol" w:hAnsi="Symbol" w:hint="default"/>
      </w:rPr>
    </w:lvl>
  </w:abstractNum>
  <w:abstractNum w:abstractNumId="54" w15:restartNumberingAfterBreak="0">
    <w:nsid w:val="1FEC502E"/>
    <w:multiLevelType w:val="hybridMultilevel"/>
    <w:tmpl w:val="77BCD3A0"/>
    <w:lvl w:ilvl="0" w:tplc="3B546040">
      <w:start w:val="1"/>
      <w:numFmt w:val="bullet"/>
      <w:lvlText w:val=""/>
      <w:lvlPicBulletId w:val="1"/>
      <w:lvlJc w:val="left"/>
      <w:pPr>
        <w:tabs>
          <w:tab w:val="num" w:pos="720"/>
        </w:tabs>
        <w:ind w:left="720" w:hanging="360"/>
      </w:pPr>
      <w:rPr>
        <w:rFonts w:ascii="Symbol" w:hAnsi="Symbol" w:hint="default"/>
      </w:rPr>
    </w:lvl>
    <w:lvl w:ilvl="1" w:tplc="D29C5A2E" w:tentative="1">
      <w:start w:val="1"/>
      <w:numFmt w:val="bullet"/>
      <w:lvlText w:val=""/>
      <w:lvlJc w:val="left"/>
      <w:pPr>
        <w:tabs>
          <w:tab w:val="num" w:pos="1440"/>
        </w:tabs>
        <w:ind w:left="1440" w:hanging="360"/>
      </w:pPr>
      <w:rPr>
        <w:rFonts w:ascii="Symbol" w:hAnsi="Symbol" w:hint="default"/>
      </w:rPr>
    </w:lvl>
    <w:lvl w:ilvl="2" w:tplc="2B907DAE" w:tentative="1">
      <w:start w:val="1"/>
      <w:numFmt w:val="bullet"/>
      <w:lvlText w:val=""/>
      <w:lvlJc w:val="left"/>
      <w:pPr>
        <w:tabs>
          <w:tab w:val="num" w:pos="2160"/>
        </w:tabs>
        <w:ind w:left="2160" w:hanging="360"/>
      </w:pPr>
      <w:rPr>
        <w:rFonts w:ascii="Symbol" w:hAnsi="Symbol" w:hint="default"/>
      </w:rPr>
    </w:lvl>
    <w:lvl w:ilvl="3" w:tplc="E4FE9FEC" w:tentative="1">
      <w:start w:val="1"/>
      <w:numFmt w:val="bullet"/>
      <w:lvlText w:val=""/>
      <w:lvlJc w:val="left"/>
      <w:pPr>
        <w:tabs>
          <w:tab w:val="num" w:pos="2880"/>
        </w:tabs>
        <w:ind w:left="2880" w:hanging="360"/>
      </w:pPr>
      <w:rPr>
        <w:rFonts w:ascii="Symbol" w:hAnsi="Symbol" w:hint="default"/>
      </w:rPr>
    </w:lvl>
    <w:lvl w:ilvl="4" w:tplc="B30A3966" w:tentative="1">
      <w:start w:val="1"/>
      <w:numFmt w:val="bullet"/>
      <w:lvlText w:val=""/>
      <w:lvlJc w:val="left"/>
      <w:pPr>
        <w:tabs>
          <w:tab w:val="num" w:pos="3600"/>
        </w:tabs>
        <w:ind w:left="3600" w:hanging="360"/>
      </w:pPr>
      <w:rPr>
        <w:rFonts w:ascii="Symbol" w:hAnsi="Symbol" w:hint="default"/>
      </w:rPr>
    </w:lvl>
    <w:lvl w:ilvl="5" w:tplc="4FE8DFBA" w:tentative="1">
      <w:start w:val="1"/>
      <w:numFmt w:val="bullet"/>
      <w:lvlText w:val=""/>
      <w:lvlJc w:val="left"/>
      <w:pPr>
        <w:tabs>
          <w:tab w:val="num" w:pos="4320"/>
        </w:tabs>
        <w:ind w:left="4320" w:hanging="360"/>
      </w:pPr>
      <w:rPr>
        <w:rFonts w:ascii="Symbol" w:hAnsi="Symbol" w:hint="default"/>
      </w:rPr>
    </w:lvl>
    <w:lvl w:ilvl="6" w:tplc="782CC7F2" w:tentative="1">
      <w:start w:val="1"/>
      <w:numFmt w:val="bullet"/>
      <w:lvlText w:val=""/>
      <w:lvlJc w:val="left"/>
      <w:pPr>
        <w:tabs>
          <w:tab w:val="num" w:pos="5040"/>
        </w:tabs>
        <w:ind w:left="5040" w:hanging="360"/>
      </w:pPr>
      <w:rPr>
        <w:rFonts w:ascii="Symbol" w:hAnsi="Symbol" w:hint="default"/>
      </w:rPr>
    </w:lvl>
    <w:lvl w:ilvl="7" w:tplc="190416DE" w:tentative="1">
      <w:start w:val="1"/>
      <w:numFmt w:val="bullet"/>
      <w:lvlText w:val=""/>
      <w:lvlJc w:val="left"/>
      <w:pPr>
        <w:tabs>
          <w:tab w:val="num" w:pos="5760"/>
        </w:tabs>
        <w:ind w:left="5760" w:hanging="360"/>
      </w:pPr>
      <w:rPr>
        <w:rFonts w:ascii="Symbol" w:hAnsi="Symbol" w:hint="default"/>
      </w:rPr>
    </w:lvl>
    <w:lvl w:ilvl="8" w:tplc="C1F6817C" w:tentative="1">
      <w:start w:val="1"/>
      <w:numFmt w:val="bullet"/>
      <w:lvlText w:val=""/>
      <w:lvlJc w:val="left"/>
      <w:pPr>
        <w:tabs>
          <w:tab w:val="num" w:pos="6480"/>
        </w:tabs>
        <w:ind w:left="6480" w:hanging="360"/>
      </w:pPr>
      <w:rPr>
        <w:rFonts w:ascii="Symbol" w:hAnsi="Symbol" w:hint="default"/>
      </w:rPr>
    </w:lvl>
  </w:abstractNum>
  <w:abstractNum w:abstractNumId="55" w15:restartNumberingAfterBreak="0">
    <w:nsid w:val="20337540"/>
    <w:multiLevelType w:val="hybridMultilevel"/>
    <w:tmpl w:val="D8C244BE"/>
    <w:lvl w:ilvl="0" w:tplc="8B26B774">
      <w:start w:val="1"/>
      <w:numFmt w:val="bullet"/>
      <w:lvlText w:val=""/>
      <w:lvlPicBulletId w:val="1"/>
      <w:lvlJc w:val="left"/>
      <w:pPr>
        <w:tabs>
          <w:tab w:val="num" w:pos="720"/>
        </w:tabs>
        <w:ind w:left="720" w:hanging="360"/>
      </w:pPr>
      <w:rPr>
        <w:rFonts w:ascii="Symbol" w:hAnsi="Symbol" w:hint="default"/>
      </w:rPr>
    </w:lvl>
    <w:lvl w:ilvl="1" w:tplc="6204B2BE" w:tentative="1">
      <w:start w:val="1"/>
      <w:numFmt w:val="bullet"/>
      <w:lvlText w:val=""/>
      <w:lvlJc w:val="left"/>
      <w:pPr>
        <w:tabs>
          <w:tab w:val="num" w:pos="1440"/>
        </w:tabs>
        <w:ind w:left="1440" w:hanging="360"/>
      </w:pPr>
      <w:rPr>
        <w:rFonts w:ascii="Symbol" w:hAnsi="Symbol" w:hint="default"/>
      </w:rPr>
    </w:lvl>
    <w:lvl w:ilvl="2" w:tplc="A64431BA" w:tentative="1">
      <w:start w:val="1"/>
      <w:numFmt w:val="bullet"/>
      <w:lvlText w:val=""/>
      <w:lvlJc w:val="left"/>
      <w:pPr>
        <w:tabs>
          <w:tab w:val="num" w:pos="2160"/>
        </w:tabs>
        <w:ind w:left="2160" w:hanging="360"/>
      </w:pPr>
      <w:rPr>
        <w:rFonts w:ascii="Symbol" w:hAnsi="Symbol" w:hint="default"/>
      </w:rPr>
    </w:lvl>
    <w:lvl w:ilvl="3" w:tplc="FB9879F6" w:tentative="1">
      <w:start w:val="1"/>
      <w:numFmt w:val="bullet"/>
      <w:lvlText w:val=""/>
      <w:lvlJc w:val="left"/>
      <w:pPr>
        <w:tabs>
          <w:tab w:val="num" w:pos="2880"/>
        </w:tabs>
        <w:ind w:left="2880" w:hanging="360"/>
      </w:pPr>
      <w:rPr>
        <w:rFonts w:ascii="Symbol" w:hAnsi="Symbol" w:hint="default"/>
      </w:rPr>
    </w:lvl>
    <w:lvl w:ilvl="4" w:tplc="3D7E825A" w:tentative="1">
      <w:start w:val="1"/>
      <w:numFmt w:val="bullet"/>
      <w:lvlText w:val=""/>
      <w:lvlJc w:val="left"/>
      <w:pPr>
        <w:tabs>
          <w:tab w:val="num" w:pos="3600"/>
        </w:tabs>
        <w:ind w:left="3600" w:hanging="360"/>
      </w:pPr>
      <w:rPr>
        <w:rFonts w:ascii="Symbol" w:hAnsi="Symbol" w:hint="default"/>
      </w:rPr>
    </w:lvl>
    <w:lvl w:ilvl="5" w:tplc="514419B0" w:tentative="1">
      <w:start w:val="1"/>
      <w:numFmt w:val="bullet"/>
      <w:lvlText w:val=""/>
      <w:lvlJc w:val="left"/>
      <w:pPr>
        <w:tabs>
          <w:tab w:val="num" w:pos="4320"/>
        </w:tabs>
        <w:ind w:left="4320" w:hanging="360"/>
      </w:pPr>
      <w:rPr>
        <w:rFonts w:ascii="Symbol" w:hAnsi="Symbol" w:hint="default"/>
      </w:rPr>
    </w:lvl>
    <w:lvl w:ilvl="6" w:tplc="F70E906A" w:tentative="1">
      <w:start w:val="1"/>
      <w:numFmt w:val="bullet"/>
      <w:lvlText w:val=""/>
      <w:lvlJc w:val="left"/>
      <w:pPr>
        <w:tabs>
          <w:tab w:val="num" w:pos="5040"/>
        </w:tabs>
        <w:ind w:left="5040" w:hanging="360"/>
      </w:pPr>
      <w:rPr>
        <w:rFonts w:ascii="Symbol" w:hAnsi="Symbol" w:hint="default"/>
      </w:rPr>
    </w:lvl>
    <w:lvl w:ilvl="7" w:tplc="9B28BF24" w:tentative="1">
      <w:start w:val="1"/>
      <w:numFmt w:val="bullet"/>
      <w:lvlText w:val=""/>
      <w:lvlJc w:val="left"/>
      <w:pPr>
        <w:tabs>
          <w:tab w:val="num" w:pos="5760"/>
        </w:tabs>
        <w:ind w:left="5760" w:hanging="360"/>
      </w:pPr>
      <w:rPr>
        <w:rFonts w:ascii="Symbol" w:hAnsi="Symbol" w:hint="default"/>
      </w:rPr>
    </w:lvl>
    <w:lvl w:ilvl="8" w:tplc="77BAA4D8" w:tentative="1">
      <w:start w:val="1"/>
      <w:numFmt w:val="bullet"/>
      <w:lvlText w:val=""/>
      <w:lvlJc w:val="left"/>
      <w:pPr>
        <w:tabs>
          <w:tab w:val="num" w:pos="6480"/>
        </w:tabs>
        <w:ind w:left="6480" w:hanging="360"/>
      </w:pPr>
      <w:rPr>
        <w:rFonts w:ascii="Symbol" w:hAnsi="Symbol" w:hint="default"/>
      </w:rPr>
    </w:lvl>
  </w:abstractNum>
  <w:abstractNum w:abstractNumId="56" w15:restartNumberingAfterBreak="0">
    <w:nsid w:val="20B85FF1"/>
    <w:multiLevelType w:val="hybridMultilevel"/>
    <w:tmpl w:val="BA247A8E"/>
    <w:lvl w:ilvl="0" w:tplc="29646AD6">
      <w:start w:val="1"/>
      <w:numFmt w:val="bullet"/>
      <w:lvlText w:val=""/>
      <w:lvlPicBulletId w:val="1"/>
      <w:lvlJc w:val="left"/>
      <w:pPr>
        <w:tabs>
          <w:tab w:val="num" w:pos="720"/>
        </w:tabs>
        <w:ind w:left="720" w:hanging="360"/>
      </w:pPr>
      <w:rPr>
        <w:rFonts w:ascii="Symbol" w:hAnsi="Symbol" w:hint="default"/>
      </w:rPr>
    </w:lvl>
    <w:lvl w:ilvl="1" w:tplc="287680CA" w:tentative="1">
      <w:start w:val="1"/>
      <w:numFmt w:val="bullet"/>
      <w:lvlText w:val=""/>
      <w:lvlJc w:val="left"/>
      <w:pPr>
        <w:tabs>
          <w:tab w:val="num" w:pos="1440"/>
        </w:tabs>
        <w:ind w:left="1440" w:hanging="360"/>
      </w:pPr>
      <w:rPr>
        <w:rFonts w:ascii="Symbol" w:hAnsi="Symbol" w:hint="default"/>
      </w:rPr>
    </w:lvl>
    <w:lvl w:ilvl="2" w:tplc="35FEBCCE" w:tentative="1">
      <w:start w:val="1"/>
      <w:numFmt w:val="bullet"/>
      <w:lvlText w:val=""/>
      <w:lvlJc w:val="left"/>
      <w:pPr>
        <w:tabs>
          <w:tab w:val="num" w:pos="2160"/>
        </w:tabs>
        <w:ind w:left="2160" w:hanging="360"/>
      </w:pPr>
      <w:rPr>
        <w:rFonts w:ascii="Symbol" w:hAnsi="Symbol" w:hint="default"/>
      </w:rPr>
    </w:lvl>
    <w:lvl w:ilvl="3" w:tplc="C532A71C" w:tentative="1">
      <w:start w:val="1"/>
      <w:numFmt w:val="bullet"/>
      <w:lvlText w:val=""/>
      <w:lvlJc w:val="left"/>
      <w:pPr>
        <w:tabs>
          <w:tab w:val="num" w:pos="2880"/>
        </w:tabs>
        <w:ind w:left="2880" w:hanging="360"/>
      </w:pPr>
      <w:rPr>
        <w:rFonts w:ascii="Symbol" w:hAnsi="Symbol" w:hint="default"/>
      </w:rPr>
    </w:lvl>
    <w:lvl w:ilvl="4" w:tplc="79FC235A" w:tentative="1">
      <w:start w:val="1"/>
      <w:numFmt w:val="bullet"/>
      <w:lvlText w:val=""/>
      <w:lvlJc w:val="left"/>
      <w:pPr>
        <w:tabs>
          <w:tab w:val="num" w:pos="3600"/>
        </w:tabs>
        <w:ind w:left="3600" w:hanging="360"/>
      </w:pPr>
      <w:rPr>
        <w:rFonts w:ascii="Symbol" w:hAnsi="Symbol" w:hint="default"/>
      </w:rPr>
    </w:lvl>
    <w:lvl w:ilvl="5" w:tplc="74AC849A" w:tentative="1">
      <w:start w:val="1"/>
      <w:numFmt w:val="bullet"/>
      <w:lvlText w:val=""/>
      <w:lvlJc w:val="left"/>
      <w:pPr>
        <w:tabs>
          <w:tab w:val="num" w:pos="4320"/>
        </w:tabs>
        <w:ind w:left="4320" w:hanging="360"/>
      </w:pPr>
      <w:rPr>
        <w:rFonts w:ascii="Symbol" w:hAnsi="Symbol" w:hint="default"/>
      </w:rPr>
    </w:lvl>
    <w:lvl w:ilvl="6" w:tplc="83469FF2" w:tentative="1">
      <w:start w:val="1"/>
      <w:numFmt w:val="bullet"/>
      <w:lvlText w:val=""/>
      <w:lvlJc w:val="left"/>
      <w:pPr>
        <w:tabs>
          <w:tab w:val="num" w:pos="5040"/>
        </w:tabs>
        <w:ind w:left="5040" w:hanging="360"/>
      </w:pPr>
      <w:rPr>
        <w:rFonts w:ascii="Symbol" w:hAnsi="Symbol" w:hint="default"/>
      </w:rPr>
    </w:lvl>
    <w:lvl w:ilvl="7" w:tplc="B1C21672" w:tentative="1">
      <w:start w:val="1"/>
      <w:numFmt w:val="bullet"/>
      <w:lvlText w:val=""/>
      <w:lvlJc w:val="left"/>
      <w:pPr>
        <w:tabs>
          <w:tab w:val="num" w:pos="5760"/>
        </w:tabs>
        <w:ind w:left="5760" w:hanging="360"/>
      </w:pPr>
      <w:rPr>
        <w:rFonts w:ascii="Symbol" w:hAnsi="Symbol" w:hint="default"/>
      </w:rPr>
    </w:lvl>
    <w:lvl w:ilvl="8" w:tplc="86304BA4" w:tentative="1">
      <w:start w:val="1"/>
      <w:numFmt w:val="bullet"/>
      <w:lvlText w:val=""/>
      <w:lvlJc w:val="left"/>
      <w:pPr>
        <w:tabs>
          <w:tab w:val="num" w:pos="6480"/>
        </w:tabs>
        <w:ind w:left="6480" w:hanging="360"/>
      </w:pPr>
      <w:rPr>
        <w:rFonts w:ascii="Symbol" w:hAnsi="Symbol" w:hint="default"/>
      </w:rPr>
    </w:lvl>
  </w:abstractNum>
  <w:abstractNum w:abstractNumId="57" w15:restartNumberingAfterBreak="0">
    <w:nsid w:val="217133DA"/>
    <w:multiLevelType w:val="hybridMultilevel"/>
    <w:tmpl w:val="02A6DB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8" w15:restartNumberingAfterBreak="0">
    <w:nsid w:val="21894241"/>
    <w:multiLevelType w:val="hybridMultilevel"/>
    <w:tmpl w:val="10AE569E"/>
    <w:lvl w:ilvl="0" w:tplc="7E1A12FC">
      <w:start w:val="1"/>
      <w:numFmt w:val="bullet"/>
      <w:lvlText w:val=""/>
      <w:lvlPicBulletId w:val="1"/>
      <w:lvlJc w:val="left"/>
      <w:pPr>
        <w:tabs>
          <w:tab w:val="num" w:pos="720"/>
        </w:tabs>
        <w:ind w:left="720" w:hanging="360"/>
      </w:pPr>
      <w:rPr>
        <w:rFonts w:ascii="Symbol" w:hAnsi="Symbol" w:hint="default"/>
      </w:rPr>
    </w:lvl>
    <w:lvl w:ilvl="1" w:tplc="C8EE0B6E" w:tentative="1">
      <w:start w:val="1"/>
      <w:numFmt w:val="bullet"/>
      <w:lvlText w:val=""/>
      <w:lvlJc w:val="left"/>
      <w:pPr>
        <w:tabs>
          <w:tab w:val="num" w:pos="1440"/>
        </w:tabs>
        <w:ind w:left="1440" w:hanging="360"/>
      </w:pPr>
      <w:rPr>
        <w:rFonts w:ascii="Symbol" w:hAnsi="Symbol" w:hint="default"/>
      </w:rPr>
    </w:lvl>
    <w:lvl w:ilvl="2" w:tplc="F77023D2" w:tentative="1">
      <w:start w:val="1"/>
      <w:numFmt w:val="bullet"/>
      <w:lvlText w:val=""/>
      <w:lvlJc w:val="left"/>
      <w:pPr>
        <w:tabs>
          <w:tab w:val="num" w:pos="2160"/>
        </w:tabs>
        <w:ind w:left="2160" w:hanging="360"/>
      </w:pPr>
      <w:rPr>
        <w:rFonts w:ascii="Symbol" w:hAnsi="Symbol" w:hint="default"/>
      </w:rPr>
    </w:lvl>
    <w:lvl w:ilvl="3" w:tplc="92680724" w:tentative="1">
      <w:start w:val="1"/>
      <w:numFmt w:val="bullet"/>
      <w:lvlText w:val=""/>
      <w:lvlJc w:val="left"/>
      <w:pPr>
        <w:tabs>
          <w:tab w:val="num" w:pos="2880"/>
        </w:tabs>
        <w:ind w:left="2880" w:hanging="360"/>
      </w:pPr>
      <w:rPr>
        <w:rFonts w:ascii="Symbol" w:hAnsi="Symbol" w:hint="default"/>
      </w:rPr>
    </w:lvl>
    <w:lvl w:ilvl="4" w:tplc="2B885A54" w:tentative="1">
      <w:start w:val="1"/>
      <w:numFmt w:val="bullet"/>
      <w:lvlText w:val=""/>
      <w:lvlJc w:val="left"/>
      <w:pPr>
        <w:tabs>
          <w:tab w:val="num" w:pos="3600"/>
        </w:tabs>
        <w:ind w:left="3600" w:hanging="360"/>
      </w:pPr>
      <w:rPr>
        <w:rFonts w:ascii="Symbol" w:hAnsi="Symbol" w:hint="default"/>
      </w:rPr>
    </w:lvl>
    <w:lvl w:ilvl="5" w:tplc="CB588A96" w:tentative="1">
      <w:start w:val="1"/>
      <w:numFmt w:val="bullet"/>
      <w:lvlText w:val=""/>
      <w:lvlJc w:val="left"/>
      <w:pPr>
        <w:tabs>
          <w:tab w:val="num" w:pos="4320"/>
        </w:tabs>
        <w:ind w:left="4320" w:hanging="360"/>
      </w:pPr>
      <w:rPr>
        <w:rFonts w:ascii="Symbol" w:hAnsi="Symbol" w:hint="default"/>
      </w:rPr>
    </w:lvl>
    <w:lvl w:ilvl="6" w:tplc="FF0404BA" w:tentative="1">
      <w:start w:val="1"/>
      <w:numFmt w:val="bullet"/>
      <w:lvlText w:val=""/>
      <w:lvlJc w:val="left"/>
      <w:pPr>
        <w:tabs>
          <w:tab w:val="num" w:pos="5040"/>
        </w:tabs>
        <w:ind w:left="5040" w:hanging="360"/>
      </w:pPr>
      <w:rPr>
        <w:rFonts w:ascii="Symbol" w:hAnsi="Symbol" w:hint="default"/>
      </w:rPr>
    </w:lvl>
    <w:lvl w:ilvl="7" w:tplc="A1DAC3B8" w:tentative="1">
      <w:start w:val="1"/>
      <w:numFmt w:val="bullet"/>
      <w:lvlText w:val=""/>
      <w:lvlJc w:val="left"/>
      <w:pPr>
        <w:tabs>
          <w:tab w:val="num" w:pos="5760"/>
        </w:tabs>
        <w:ind w:left="5760" w:hanging="360"/>
      </w:pPr>
      <w:rPr>
        <w:rFonts w:ascii="Symbol" w:hAnsi="Symbol" w:hint="default"/>
      </w:rPr>
    </w:lvl>
    <w:lvl w:ilvl="8" w:tplc="E320E798" w:tentative="1">
      <w:start w:val="1"/>
      <w:numFmt w:val="bullet"/>
      <w:lvlText w:val=""/>
      <w:lvlJc w:val="left"/>
      <w:pPr>
        <w:tabs>
          <w:tab w:val="num" w:pos="6480"/>
        </w:tabs>
        <w:ind w:left="6480" w:hanging="360"/>
      </w:pPr>
      <w:rPr>
        <w:rFonts w:ascii="Symbol" w:hAnsi="Symbol" w:hint="default"/>
      </w:rPr>
    </w:lvl>
  </w:abstractNum>
  <w:abstractNum w:abstractNumId="59" w15:restartNumberingAfterBreak="0">
    <w:nsid w:val="22C05A96"/>
    <w:multiLevelType w:val="hybridMultilevel"/>
    <w:tmpl w:val="CE32E20A"/>
    <w:lvl w:ilvl="0" w:tplc="08D2AB58">
      <w:start w:val="1"/>
      <w:numFmt w:val="bullet"/>
      <w:lvlText w:val="&gt;"/>
      <w:lvlJc w:val="left"/>
      <w:pPr>
        <w:ind w:left="1211" w:hanging="360"/>
      </w:pPr>
      <w:rPr>
        <w:rFonts w:ascii="HelveticaNeueLT Std Lt" w:hAnsi="HelveticaNeueLT Std Lt" w:hint="default"/>
        <w:sz w:val="20"/>
      </w:rPr>
    </w:lvl>
    <w:lvl w:ilvl="1" w:tplc="0C090003" w:tentative="1">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60" w15:restartNumberingAfterBreak="0">
    <w:nsid w:val="231F078C"/>
    <w:multiLevelType w:val="hybridMultilevel"/>
    <w:tmpl w:val="6AF82188"/>
    <w:lvl w:ilvl="0" w:tplc="D74C2ECA">
      <w:start w:val="1"/>
      <w:numFmt w:val="bullet"/>
      <w:lvlText w:val=""/>
      <w:lvlPicBulletId w:val="1"/>
      <w:lvlJc w:val="left"/>
      <w:pPr>
        <w:tabs>
          <w:tab w:val="num" w:pos="720"/>
        </w:tabs>
        <w:ind w:left="720" w:hanging="360"/>
      </w:pPr>
      <w:rPr>
        <w:rFonts w:ascii="Symbol" w:hAnsi="Symbol" w:hint="default"/>
      </w:rPr>
    </w:lvl>
    <w:lvl w:ilvl="1" w:tplc="5E2E93A0" w:tentative="1">
      <w:start w:val="1"/>
      <w:numFmt w:val="bullet"/>
      <w:lvlText w:val=""/>
      <w:lvlJc w:val="left"/>
      <w:pPr>
        <w:tabs>
          <w:tab w:val="num" w:pos="1440"/>
        </w:tabs>
        <w:ind w:left="1440" w:hanging="360"/>
      </w:pPr>
      <w:rPr>
        <w:rFonts w:ascii="Symbol" w:hAnsi="Symbol" w:hint="default"/>
      </w:rPr>
    </w:lvl>
    <w:lvl w:ilvl="2" w:tplc="FD4E3A28" w:tentative="1">
      <w:start w:val="1"/>
      <w:numFmt w:val="bullet"/>
      <w:lvlText w:val=""/>
      <w:lvlJc w:val="left"/>
      <w:pPr>
        <w:tabs>
          <w:tab w:val="num" w:pos="2160"/>
        </w:tabs>
        <w:ind w:left="2160" w:hanging="360"/>
      </w:pPr>
      <w:rPr>
        <w:rFonts w:ascii="Symbol" w:hAnsi="Symbol" w:hint="default"/>
      </w:rPr>
    </w:lvl>
    <w:lvl w:ilvl="3" w:tplc="9B94FE1C" w:tentative="1">
      <w:start w:val="1"/>
      <w:numFmt w:val="bullet"/>
      <w:lvlText w:val=""/>
      <w:lvlJc w:val="left"/>
      <w:pPr>
        <w:tabs>
          <w:tab w:val="num" w:pos="2880"/>
        </w:tabs>
        <w:ind w:left="2880" w:hanging="360"/>
      </w:pPr>
      <w:rPr>
        <w:rFonts w:ascii="Symbol" w:hAnsi="Symbol" w:hint="default"/>
      </w:rPr>
    </w:lvl>
    <w:lvl w:ilvl="4" w:tplc="2EA022CC" w:tentative="1">
      <w:start w:val="1"/>
      <w:numFmt w:val="bullet"/>
      <w:lvlText w:val=""/>
      <w:lvlJc w:val="left"/>
      <w:pPr>
        <w:tabs>
          <w:tab w:val="num" w:pos="3600"/>
        </w:tabs>
        <w:ind w:left="3600" w:hanging="360"/>
      </w:pPr>
      <w:rPr>
        <w:rFonts w:ascii="Symbol" w:hAnsi="Symbol" w:hint="default"/>
      </w:rPr>
    </w:lvl>
    <w:lvl w:ilvl="5" w:tplc="7866532C" w:tentative="1">
      <w:start w:val="1"/>
      <w:numFmt w:val="bullet"/>
      <w:lvlText w:val=""/>
      <w:lvlJc w:val="left"/>
      <w:pPr>
        <w:tabs>
          <w:tab w:val="num" w:pos="4320"/>
        </w:tabs>
        <w:ind w:left="4320" w:hanging="360"/>
      </w:pPr>
      <w:rPr>
        <w:rFonts w:ascii="Symbol" w:hAnsi="Symbol" w:hint="default"/>
      </w:rPr>
    </w:lvl>
    <w:lvl w:ilvl="6" w:tplc="182EE440" w:tentative="1">
      <w:start w:val="1"/>
      <w:numFmt w:val="bullet"/>
      <w:lvlText w:val=""/>
      <w:lvlJc w:val="left"/>
      <w:pPr>
        <w:tabs>
          <w:tab w:val="num" w:pos="5040"/>
        </w:tabs>
        <w:ind w:left="5040" w:hanging="360"/>
      </w:pPr>
      <w:rPr>
        <w:rFonts w:ascii="Symbol" w:hAnsi="Symbol" w:hint="default"/>
      </w:rPr>
    </w:lvl>
    <w:lvl w:ilvl="7" w:tplc="FB7433BE" w:tentative="1">
      <w:start w:val="1"/>
      <w:numFmt w:val="bullet"/>
      <w:lvlText w:val=""/>
      <w:lvlJc w:val="left"/>
      <w:pPr>
        <w:tabs>
          <w:tab w:val="num" w:pos="5760"/>
        </w:tabs>
        <w:ind w:left="5760" w:hanging="360"/>
      </w:pPr>
      <w:rPr>
        <w:rFonts w:ascii="Symbol" w:hAnsi="Symbol" w:hint="default"/>
      </w:rPr>
    </w:lvl>
    <w:lvl w:ilvl="8" w:tplc="8DD0E8B8" w:tentative="1">
      <w:start w:val="1"/>
      <w:numFmt w:val="bullet"/>
      <w:lvlText w:val=""/>
      <w:lvlJc w:val="left"/>
      <w:pPr>
        <w:tabs>
          <w:tab w:val="num" w:pos="6480"/>
        </w:tabs>
        <w:ind w:left="6480" w:hanging="360"/>
      </w:pPr>
      <w:rPr>
        <w:rFonts w:ascii="Symbol" w:hAnsi="Symbol" w:hint="default"/>
      </w:rPr>
    </w:lvl>
  </w:abstractNum>
  <w:abstractNum w:abstractNumId="61" w15:restartNumberingAfterBreak="0">
    <w:nsid w:val="235768EA"/>
    <w:multiLevelType w:val="hybridMultilevel"/>
    <w:tmpl w:val="5A4EE660"/>
    <w:lvl w:ilvl="0" w:tplc="33BE7B98">
      <w:start w:val="1"/>
      <w:numFmt w:val="bullet"/>
      <w:lvlText w:val="&gt;"/>
      <w:lvlJc w:val="left"/>
      <w:pPr>
        <w:ind w:left="720" w:hanging="360"/>
      </w:pPr>
      <w:rPr>
        <w:rFonts w:ascii="HelveticaNeueLT Std Lt" w:hAnsi="HelveticaNeueLT Std Lt"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248F4178"/>
    <w:multiLevelType w:val="hybridMultilevel"/>
    <w:tmpl w:val="C068F2BC"/>
    <w:lvl w:ilvl="0" w:tplc="C8B69472">
      <w:start w:val="1"/>
      <w:numFmt w:val="bullet"/>
      <w:lvlText w:val=""/>
      <w:lvlPicBulletId w:val="1"/>
      <w:lvlJc w:val="left"/>
      <w:pPr>
        <w:tabs>
          <w:tab w:val="num" w:pos="720"/>
        </w:tabs>
        <w:ind w:left="720" w:hanging="360"/>
      </w:pPr>
      <w:rPr>
        <w:rFonts w:ascii="Symbol" w:hAnsi="Symbol" w:hint="default"/>
      </w:rPr>
    </w:lvl>
    <w:lvl w:ilvl="1" w:tplc="8680605A" w:tentative="1">
      <w:start w:val="1"/>
      <w:numFmt w:val="bullet"/>
      <w:lvlText w:val=""/>
      <w:lvlJc w:val="left"/>
      <w:pPr>
        <w:tabs>
          <w:tab w:val="num" w:pos="1440"/>
        </w:tabs>
        <w:ind w:left="1440" w:hanging="360"/>
      </w:pPr>
      <w:rPr>
        <w:rFonts w:ascii="Symbol" w:hAnsi="Symbol" w:hint="default"/>
      </w:rPr>
    </w:lvl>
    <w:lvl w:ilvl="2" w:tplc="BF4C5D18" w:tentative="1">
      <w:start w:val="1"/>
      <w:numFmt w:val="bullet"/>
      <w:lvlText w:val=""/>
      <w:lvlJc w:val="left"/>
      <w:pPr>
        <w:tabs>
          <w:tab w:val="num" w:pos="2160"/>
        </w:tabs>
        <w:ind w:left="2160" w:hanging="360"/>
      </w:pPr>
      <w:rPr>
        <w:rFonts w:ascii="Symbol" w:hAnsi="Symbol" w:hint="default"/>
      </w:rPr>
    </w:lvl>
    <w:lvl w:ilvl="3" w:tplc="C2085A9C" w:tentative="1">
      <w:start w:val="1"/>
      <w:numFmt w:val="bullet"/>
      <w:lvlText w:val=""/>
      <w:lvlJc w:val="left"/>
      <w:pPr>
        <w:tabs>
          <w:tab w:val="num" w:pos="2880"/>
        </w:tabs>
        <w:ind w:left="2880" w:hanging="360"/>
      </w:pPr>
      <w:rPr>
        <w:rFonts w:ascii="Symbol" w:hAnsi="Symbol" w:hint="default"/>
      </w:rPr>
    </w:lvl>
    <w:lvl w:ilvl="4" w:tplc="6EB8F83E" w:tentative="1">
      <w:start w:val="1"/>
      <w:numFmt w:val="bullet"/>
      <w:lvlText w:val=""/>
      <w:lvlJc w:val="left"/>
      <w:pPr>
        <w:tabs>
          <w:tab w:val="num" w:pos="3600"/>
        </w:tabs>
        <w:ind w:left="3600" w:hanging="360"/>
      </w:pPr>
      <w:rPr>
        <w:rFonts w:ascii="Symbol" w:hAnsi="Symbol" w:hint="default"/>
      </w:rPr>
    </w:lvl>
    <w:lvl w:ilvl="5" w:tplc="E8604A02" w:tentative="1">
      <w:start w:val="1"/>
      <w:numFmt w:val="bullet"/>
      <w:lvlText w:val=""/>
      <w:lvlJc w:val="left"/>
      <w:pPr>
        <w:tabs>
          <w:tab w:val="num" w:pos="4320"/>
        </w:tabs>
        <w:ind w:left="4320" w:hanging="360"/>
      </w:pPr>
      <w:rPr>
        <w:rFonts w:ascii="Symbol" w:hAnsi="Symbol" w:hint="default"/>
      </w:rPr>
    </w:lvl>
    <w:lvl w:ilvl="6" w:tplc="AB0ECE40" w:tentative="1">
      <w:start w:val="1"/>
      <w:numFmt w:val="bullet"/>
      <w:lvlText w:val=""/>
      <w:lvlJc w:val="left"/>
      <w:pPr>
        <w:tabs>
          <w:tab w:val="num" w:pos="5040"/>
        </w:tabs>
        <w:ind w:left="5040" w:hanging="360"/>
      </w:pPr>
      <w:rPr>
        <w:rFonts w:ascii="Symbol" w:hAnsi="Symbol" w:hint="default"/>
      </w:rPr>
    </w:lvl>
    <w:lvl w:ilvl="7" w:tplc="14E29910" w:tentative="1">
      <w:start w:val="1"/>
      <w:numFmt w:val="bullet"/>
      <w:lvlText w:val=""/>
      <w:lvlJc w:val="left"/>
      <w:pPr>
        <w:tabs>
          <w:tab w:val="num" w:pos="5760"/>
        </w:tabs>
        <w:ind w:left="5760" w:hanging="360"/>
      </w:pPr>
      <w:rPr>
        <w:rFonts w:ascii="Symbol" w:hAnsi="Symbol" w:hint="default"/>
      </w:rPr>
    </w:lvl>
    <w:lvl w:ilvl="8" w:tplc="69AC47C8" w:tentative="1">
      <w:start w:val="1"/>
      <w:numFmt w:val="bullet"/>
      <w:lvlText w:val=""/>
      <w:lvlJc w:val="left"/>
      <w:pPr>
        <w:tabs>
          <w:tab w:val="num" w:pos="6480"/>
        </w:tabs>
        <w:ind w:left="6480" w:hanging="360"/>
      </w:pPr>
      <w:rPr>
        <w:rFonts w:ascii="Symbol" w:hAnsi="Symbol" w:hint="default"/>
      </w:rPr>
    </w:lvl>
  </w:abstractNum>
  <w:abstractNum w:abstractNumId="63" w15:restartNumberingAfterBreak="0">
    <w:nsid w:val="24F8661C"/>
    <w:multiLevelType w:val="hybridMultilevel"/>
    <w:tmpl w:val="F404CBB8"/>
    <w:lvl w:ilvl="0" w:tplc="E2E277DE">
      <w:start w:val="1"/>
      <w:numFmt w:val="bullet"/>
      <w:lvlText w:val=""/>
      <w:lvlPicBulletId w:val="1"/>
      <w:lvlJc w:val="left"/>
      <w:pPr>
        <w:tabs>
          <w:tab w:val="num" w:pos="720"/>
        </w:tabs>
        <w:ind w:left="720" w:hanging="360"/>
      </w:pPr>
      <w:rPr>
        <w:rFonts w:ascii="Symbol" w:hAnsi="Symbol" w:hint="default"/>
      </w:rPr>
    </w:lvl>
    <w:lvl w:ilvl="1" w:tplc="0BB0C680" w:tentative="1">
      <w:start w:val="1"/>
      <w:numFmt w:val="bullet"/>
      <w:lvlText w:val=""/>
      <w:lvlJc w:val="left"/>
      <w:pPr>
        <w:tabs>
          <w:tab w:val="num" w:pos="1440"/>
        </w:tabs>
        <w:ind w:left="1440" w:hanging="360"/>
      </w:pPr>
      <w:rPr>
        <w:rFonts w:ascii="Symbol" w:hAnsi="Symbol" w:hint="default"/>
      </w:rPr>
    </w:lvl>
    <w:lvl w:ilvl="2" w:tplc="A34868DA" w:tentative="1">
      <w:start w:val="1"/>
      <w:numFmt w:val="bullet"/>
      <w:lvlText w:val=""/>
      <w:lvlJc w:val="left"/>
      <w:pPr>
        <w:tabs>
          <w:tab w:val="num" w:pos="2160"/>
        </w:tabs>
        <w:ind w:left="2160" w:hanging="360"/>
      </w:pPr>
      <w:rPr>
        <w:rFonts w:ascii="Symbol" w:hAnsi="Symbol" w:hint="default"/>
      </w:rPr>
    </w:lvl>
    <w:lvl w:ilvl="3" w:tplc="143468A2" w:tentative="1">
      <w:start w:val="1"/>
      <w:numFmt w:val="bullet"/>
      <w:lvlText w:val=""/>
      <w:lvlJc w:val="left"/>
      <w:pPr>
        <w:tabs>
          <w:tab w:val="num" w:pos="2880"/>
        </w:tabs>
        <w:ind w:left="2880" w:hanging="360"/>
      </w:pPr>
      <w:rPr>
        <w:rFonts w:ascii="Symbol" w:hAnsi="Symbol" w:hint="default"/>
      </w:rPr>
    </w:lvl>
    <w:lvl w:ilvl="4" w:tplc="A8008C46" w:tentative="1">
      <w:start w:val="1"/>
      <w:numFmt w:val="bullet"/>
      <w:lvlText w:val=""/>
      <w:lvlJc w:val="left"/>
      <w:pPr>
        <w:tabs>
          <w:tab w:val="num" w:pos="3600"/>
        </w:tabs>
        <w:ind w:left="3600" w:hanging="360"/>
      </w:pPr>
      <w:rPr>
        <w:rFonts w:ascii="Symbol" w:hAnsi="Symbol" w:hint="default"/>
      </w:rPr>
    </w:lvl>
    <w:lvl w:ilvl="5" w:tplc="FDAAF500" w:tentative="1">
      <w:start w:val="1"/>
      <w:numFmt w:val="bullet"/>
      <w:lvlText w:val=""/>
      <w:lvlJc w:val="left"/>
      <w:pPr>
        <w:tabs>
          <w:tab w:val="num" w:pos="4320"/>
        </w:tabs>
        <w:ind w:left="4320" w:hanging="360"/>
      </w:pPr>
      <w:rPr>
        <w:rFonts w:ascii="Symbol" w:hAnsi="Symbol" w:hint="default"/>
      </w:rPr>
    </w:lvl>
    <w:lvl w:ilvl="6" w:tplc="B84A93B8" w:tentative="1">
      <w:start w:val="1"/>
      <w:numFmt w:val="bullet"/>
      <w:lvlText w:val=""/>
      <w:lvlJc w:val="left"/>
      <w:pPr>
        <w:tabs>
          <w:tab w:val="num" w:pos="5040"/>
        </w:tabs>
        <w:ind w:left="5040" w:hanging="360"/>
      </w:pPr>
      <w:rPr>
        <w:rFonts w:ascii="Symbol" w:hAnsi="Symbol" w:hint="default"/>
      </w:rPr>
    </w:lvl>
    <w:lvl w:ilvl="7" w:tplc="8188C2BE" w:tentative="1">
      <w:start w:val="1"/>
      <w:numFmt w:val="bullet"/>
      <w:lvlText w:val=""/>
      <w:lvlJc w:val="left"/>
      <w:pPr>
        <w:tabs>
          <w:tab w:val="num" w:pos="5760"/>
        </w:tabs>
        <w:ind w:left="5760" w:hanging="360"/>
      </w:pPr>
      <w:rPr>
        <w:rFonts w:ascii="Symbol" w:hAnsi="Symbol" w:hint="default"/>
      </w:rPr>
    </w:lvl>
    <w:lvl w:ilvl="8" w:tplc="95323A1E" w:tentative="1">
      <w:start w:val="1"/>
      <w:numFmt w:val="bullet"/>
      <w:lvlText w:val=""/>
      <w:lvlJc w:val="left"/>
      <w:pPr>
        <w:tabs>
          <w:tab w:val="num" w:pos="6480"/>
        </w:tabs>
        <w:ind w:left="6480" w:hanging="360"/>
      </w:pPr>
      <w:rPr>
        <w:rFonts w:ascii="Symbol" w:hAnsi="Symbol" w:hint="default"/>
      </w:rPr>
    </w:lvl>
  </w:abstractNum>
  <w:abstractNum w:abstractNumId="64" w15:restartNumberingAfterBreak="0">
    <w:nsid w:val="264973D1"/>
    <w:multiLevelType w:val="hybridMultilevel"/>
    <w:tmpl w:val="811C92C2"/>
    <w:lvl w:ilvl="0" w:tplc="8EE696D6">
      <w:start w:val="1"/>
      <w:numFmt w:val="decimal"/>
      <w:lvlText w:val="Table %1."/>
      <w:lvlJc w:val="left"/>
      <w:pPr>
        <w:ind w:left="720" w:hanging="360"/>
      </w:pPr>
      <w:rPr>
        <w:rFonts w:hint="default"/>
        <w:b/>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268D1D6A"/>
    <w:multiLevelType w:val="hybridMultilevel"/>
    <w:tmpl w:val="F0C2F788"/>
    <w:lvl w:ilvl="0" w:tplc="8EE696D6">
      <w:start w:val="1"/>
      <w:numFmt w:val="decimal"/>
      <w:lvlText w:val="Table %1."/>
      <w:lvlJc w:val="left"/>
      <w:pPr>
        <w:ind w:left="720" w:hanging="360"/>
      </w:pPr>
      <w:rPr>
        <w:rFonts w:hint="default"/>
        <w:b/>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26937F86"/>
    <w:multiLevelType w:val="hybridMultilevel"/>
    <w:tmpl w:val="2F0AF8E8"/>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7" w15:restartNumberingAfterBreak="0">
    <w:nsid w:val="272F0102"/>
    <w:multiLevelType w:val="hybridMultilevel"/>
    <w:tmpl w:val="D14A7CFE"/>
    <w:lvl w:ilvl="0" w:tplc="B386C3BA">
      <w:start w:val="1"/>
      <w:numFmt w:val="bullet"/>
      <w:lvlText w:val=""/>
      <w:lvlPicBulletId w:val="0"/>
      <w:lvlJc w:val="left"/>
      <w:pPr>
        <w:tabs>
          <w:tab w:val="num" w:pos="720"/>
        </w:tabs>
        <w:ind w:left="720" w:hanging="360"/>
      </w:pPr>
      <w:rPr>
        <w:rFonts w:ascii="Symbol" w:hAnsi="Symbol" w:hint="default"/>
      </w:rPr>
    </w:lvl>
    <w:lvl w:ilvl="1" w:tplc="46A48058" w:tentative="1">
      <w:start w:val="1"/>
      <w:numFmt w:val="bullet"/>
      <w:lvlText w:val=""/>
      <w:lvlJc w:val="left"/>
      <w:pPr>
        <w:tabs>
          <w:tab w:val="num" w:pos="1440"/>
        </w:tabs>
        <w:ind w:left="1440" w:hanging="360"/>
      </w:pPr>
      <w:rPr>
        <w:rFonts w:ascii="Symbol" w:hAnsi="Symbol" w:hint="default"/>
      </w:rPr>
    </w:lvl>
    <w:lvl w:ilvl="2" w:tplc="35F0C16C" w:tentative="1">
      <w:start w:val="1"/>
      <w:numFmt w:val="bullet"/>
      <w:lvlText w:val=""/>
      <w:lvlJc w:val="left"/>
      <w:pPr>
        <w:tabs>
          <w:tab w:val="num" w:pos="2160"/>
        </w:tabs>
        <w:ind w:left="2160" w:hanging="360"/>
      </w:pPr>
      <w:rPr>
        <w:rFonts w:ascii="Symbol" w:hAnsi="Symbol" w:hint="default"/>
      </w:rPr>
    </w:lvl>
    <w:lvl w:ilvl="3" w:tplc="E392099A" w:tentative="1">
      <w:start w:val="1"/>
      <w:numFmt w:val="bullet"/>
      <w:lvlText w:val=""/>
      <w:lvlJc w:val="left"/>
      <w:pPr>
        <w:tabs>
          <w:tab w:val="num" w:pos="2880"/>
        </w:tabs>
        <w:ind w:left="2880" w:hanging="360"/>
      </w:pPr>
      <w:rPr>
        <w:rFonts w:ascii="Symbol" w:hAnsi="Symbol" w:hint="default"/>
      </w:rPr>
    </w:lvl>
    <w:lvl w:ilvl="4" w:tplc="A022E740" w:tentative="1">
      <w:start w:val="1"/>
      <w:numFmt w:val="bullet"/>
      <w:lvlText w:val=""/>
      <w:lvlJc w:val="left"/>
      <w:pPr>
        <w:tabs>
          <w:tab w:val="num" w:pos="3600"/>
        </w:tabs>
        <w:ind w:left="3600" w:hanging="360"/>
      </w:pPr>
      <w:rPr>
        <w:rFonts w:ascii="Symbol" w:hAnsi="Symbol" w:hint="default"/>
      </w:rPr>
    </w:lvl>
    <w:lvl w:ilvl="5" w:tplc="49A0D264" w:tentative="1">
      <w:start w:val="1"/>
      <w:numFmt w:val="bullet"/>
      <w:lvlText w:val=""/>
      <w:lvlJc w:val="left"/>
      <w:pPr>
        <w:tabs>
          <w:tab w:val="num" w:pos="4320"/>
        </w:tabs>
        <w:ind w:left="4320" w:hanging="360"/>
      </w:pPr>
      <w:rPr>
        <w:rFonts w:ascii="Symbol" w:hAnsi="Symbol" w:hint="default"/>
      </w:rPr>
    </w:lvl>
    <w:lvl w:ilvl="6" w:tplc="F52EA284" w:tentative="1">
      <w:start w:val="1"/>
      <w:numFmt w:val="bullet"/>
      <w:lvlText w:val=""/>
      <w:lvlJc w:val="left"/>
      <w:pPr>
        <w:tabs>
          <w:tab w:val="num" w:pos="5040"/>
        </w:tabs>
        <w:ind w:left="5040" w:hanging="360"/>
      </w:pPr>
      <w:rPr>
        <w:rFonts w:ascii="Symbol" w:hAnsi="Symbol" w:hint="default"/>
      </w:rPr>
    </w:lvl>
    <w:lvl w:ilvl="7" w:tplc="35F438CE" w:tentative="1">
      <w:start w:val="1"/>
      <w:numFmt w:val="bullet"/>
      <w:lvlText w:val=""/>
      <w:lvlJc w:val="left"/>
      <w:pPr>
        <w:tabs>
          <w:tab w:val="num" w:pos="5760"/>
        </w:tabs>
        <w:ind w:left="5760" w:hanging="360"/>
      </w:pPr>
      <w:rPr>
        <w:rFonts w:ascii="Symbol" w:hAnsi="Symbol" w:hint="default"/>
      </w:rPr>
    </w:lvl>
    <w:lvl w:ilvl="8" w:tplc="BB4AAD1C" w:tentative="1">
      <w:start w:val="1"/>
      <w:numFmt w:val="bullet"/>
      <w:lvlText w:val=""/>
      <w:lvlJc w:val="left"/>
      <w:pPr>
        <w:tabs>
          <w:tab w:val="num" w:pos="6480"/>
        </w:tabs>
        <w:ind w:left="6480" w:hanging="360"/>
      </w:pPr>
      <w:rPr>
        <w:rFonts w:ascii="Symbol" w:hAnsi="Symbol" w:hint="default"/>
      </w:rPr>
    </w:lvl>
  </w:abstractNum>
  <w:abstractNum w:abstractNumId="68" w15:restartNumberingAfterBreak="0">
    <w:nsid w:val="27FE6A93"/>
    <w:multiLevelType w:val="hybridMultilevel"/>
    <w:tmpl w:val="99DE517C"/>
    <w:lvl w:ilvl="0" w:tplc="566CDF56">
      <w:start w:val="1"/>
      <w:numFmt w:val="bullet"/>
      <w:lvlText w:val=""/>
      <w:lvlPicBulletId w:val="1"/>
      <w:lvlJc w:val="left"/>
      <w:pPr>
        <w:tabs>
          <w:tab w:val="num" w:pos="720"/>
        </w:tabs>
        <w:ind w:left="720" w:hanging="360"/>
      </w:pPr>
      <w:rPr>
        <w:rFonts w:ascii="Symbol" w:hAnsi="Symbol" w:hint="default"/>
      </w:rPr>
    </w:lvl>
    <w:lvl w:ilvl="1" w:tplc="91CE3148" w:tentative="1">
      <w:start w:val="1"/>
      <w:numFmt w:val="bullet"/>
      <w:lvlText w:val=""/>
      <w:lvlJc w:val="left"/>
      <w:pPr>
        <w:tabs>
          <w:tab w:val="num" w:pos="1440"/>
        </w:tabs>
        <w:ind w:left="1440" w:hanging="360"/>
      </w:pPr>
      <w:rPr>
        <w:rFonts w:ascii="Symbol" w:hAnsi="Symbol" w:hint="default"/>
      </w:rPr>
    </w:lvl>
    <w:lvl w:ilvl="2" w:tplc="1B6A1ECC" w:tentative="1">
      <w:start w:val="1"/>
      <w:numFmt w:val="bullet"/>
      <w:lvlText w:val=""/>
      <w:lvlJc w:val="left"/>
      <w:pPr>
        <w:tabs>
          <w:tab w:val="num" w:pos="2160"/>
        </w:tabs>
        <w:ind w:left="2160" w:hanging="360"/>
      </w:pPr>
      <w:rPr>
        <w:rFonts w:ascii="Symbol" w:hAnsi="Symbol" w:hint="default"/>
      </w:rPr>
    </w:lvl>
    <w:lvl w:ilvl="3" w:tplc="F26CA75C" w:tentative="1">
      <w:start w:val="1"/>
      <w:numFmt w:val="bullet"/>
      <w:lvlText w:val=""/>
      <w:lvlJc w:val="left"/>
      <w:pPr>
        <w:tabs>
          <w:tab w:val="num" w:pos="2880"/>
        </w:tabs>
        <w:ind w:left="2880" w:hanging="360"/>
      </w:pPr>
      <w:rPr>
        <w:rFonts w:ascii="Symbol" w:hAnsi="Symbol" w:hint="default"/>
      </w:rPr>
    </w:lvl>
    <w:lvl w:ilvl="4" w:tplc="FE56BA84" w:tentative="1">
      <w:start w:val="1"/>
      <w:numFmt w:val="bullet"/>
      <w:lvlText w:val=""/>
      <w:lvlJc w:val="left"/>
      <w:pPr>
        <w:tabs>
          <w:tab w:val="num" w:pos="3600"/>
        </w:tabs>
        <w:ind w:left="3600" w:hanging="360"/>
      </w:pPr>
      <w:rPr>
        <w:rFonts w:ascii="Symbol" w:hAnsi="Symbol" w:hint="default"/>
      </w:rPr>
    </w:lvl>
    <w:lvl w:ilvl="5" w:tplc="D00AA07E" w:tentative="1">
      <w:start w:val="1"/>
      <w:numFmt w:val="bullet"/>
      <w:lvlText w:val=""/>
      <w:lvlJc w:val="left"/>
      <w:pPr>
        <w:tabs>
          <w:tab w:val="num" w:pos="4320"/>
        </w:tabs>
        <w:ind w:left="4320" w:hanging="360"/>
      </w:pPr>
      <w:rPr>
        <w:rFonts w:ascii="Symbol" w:hAnsi="Symbol" w:hint="default"/>
      </w:rPr>
    </w:lvl>
    <w:lvl w:ilvl="6" w:tplc="9198EA24" w:tentative="1">
      <w:start w:val="1"/>
      <w:numFmt w:val="bullet"/>
      <w:lvlText w:val=""/>
      <w:lvlJc w:val="left"/>
      <w:pPr>
        <w:tabs>
          <w:tab w:val="num" w:pos="5040"/>
        </w:tabs>
        <w:ind w:left="5040" w:hanging="360"/>
      </w:pPr>
      <w:rPr>
        <w:rFonts w:ascii="Symbol" w:hAnsi="Symbol" w:hint="default"/>
      </w:rPr>
    </w:lvl>
    <w:lvl w:ilvl="7" w:tplc="F152A1A8" w:tentative="1">
      <w:start w:val="1"/>
      <w:numFmt w:val="bullet"/>
      <w:lvlText w:val=""/>
      <w:lvlJc w:val="left"/>
      <w:pPr>
        <w:tabs>
          <w:tab w:val="num" w:pos="5760"/>
        </w:tabs>
        <w:ind w:left="5760" w:hanging="360"/>
      </w:pPr>
      <w:rPr>
        <w:rFonts w:ascii="Symbol" w:hAnsi="Symbol" w:hint="default"/>
      </w:rPr>
    </w:lvl>
    <w:lvl w:ilvl="8" w:tplc="43A2F828" w:tentative="1">
      <w:start w:val="1"/>
      <w:numFmt w:val="bullet"/>
      <w:lvlText w:val=""/>
      <w:lvlJc w:val="left"/>
      <w:pPr>
        <w:tabs>
          <w:tab w:val="num" w:pos="6480"/>
        </w:tabs>
        <w:ind w:left="6480" w:hanging="360"/>
      </w:pPr>
      <w:rPr>
        <w:rFonts w:ascii="Symbol" w:hAnsi="Symbol" w:hint="default"/>
      </w:rPr>
    </w:lvl>
  </w:abstractNum>
  <w:abstractNum w:abstractNumId="69" w15:restartNumberingAfterBreak="0">
    <w:nsid w:val="290D16ED"/>
    <w:multiLevelType w:val="hybridMultilevel"/>
    <w:tmpl w:val="5E9C2322"/>
    <w:lvl w:ilvl="0" w:tplc="36166560">
      <w:start w:val="1"/>
      <w:numFmt w:val="bullet"/>
      <w:lvlText w:val=""/>
      <w:lvlPicBulletId w:val="0"/>
      <w:lvlJc w:val="left"/>
      <w:pPr>
        <w:tabs>
          <w:tab w:val="num" w:pos="720"/>
        </w:tabs>
        <w:ind w:left="720" w:hanging="360"/>
      </w:pPr>
      <w:rPr>
        <w:rFonts w:ascii="Symbol" w:hAnsi="Symbol" w:hint="default"/>
      </w:rPr>
    </w:lvl>
    <w:lvl w:ilvl="1" w:tplc="A8987714" w:tentative="1">
      <w:start w:val="1"/>
      <w:numFmt w:val="bullet"/>
      <w:lvlText w:val=""/>
      <w:lvlJc w:val="left"/>
      <w:pPr>
        <w:tabs>
          <w:tab w:val="num" w:pos="1440"/>
        </w:tabs>
        <w:ind w:left="1440" w:hanging="360"/>
      </w:pPr>
      <w:rPr>
        <w:rFonts w:ascii="Symbol" w:hAnsi="Symbol" w:hint="default"/>
      </w:rPr>
    </w:lvl>
    <w:lvl w:ilvl="2" w:tplc="ABC8955E" w:tentative="1">
      <w:start w:val="1"/>
      <w:numFmt w:val="bullet"/>
      <w:lvlText w:val=""/>
      <w:lvlJc w:val="left"/>
      <w:pPr>
        <w:tabs>
          <w:tab w:val="num" w:pos="2160"/>
        </w:tabs>
        <w:ind w:left="2160" w:hanging="360"/>
      </w:pPr>
      <w:rPr>
        <w:rFonts w:ascii="Symbol" w:hAnsi="Symbol" w:hint="default"/>
      </w:rPr>
    </w:lvl>
    <w:lvl w:ilvl="3" w:tplc="AB323C76" w:tentative="1">
      <w:start w:val="1"/>
      <w:numFmt w:val="bullet"/>
      <w:lvlText w:val=""/>
      <w:lvlJc w:val="left"/>
      <w:pPr>
        <w:tabs>
          <w:tab w:val="num" w:pos="2880"/>
        </w:tabs>
        <w:ind w:left="2880" w:hanging="360"/>
      </w:pPr>
      <w:rPr>
        <w:rFonts w:ascii="Symbol" w:hAnsi="Symbol" w:hint="default"/>
      </w:rPr>
    </w:lvl>
    <w:lvl w:ilvl="4" w:tplc="DD6C1E68" w:tentative="1">
      <w:start w:val="1"/>
      <w:numFmt w:val="bullet"/>
      <w:lvlText w:val=""/>
      <w:lvlJc w:val="left"/>
      <w:pPr>
        <w:tabs>
          <w:tab w:val="num" w:pos="3600"/>
        </w:tabs>
        <w:ind w:left="3600" w:hanging="360"/>
      </w:pPr>
      <w:rPr>
        <w:rFonts w:ascii="Symbol" w:hAnsi="Symbol" w:hint="default"/>
      </w:rPr>
    </w:lvl>
    <w:lvl w:ilvl="5" w:tplc="E5EC1E34" w:tentative="1">
      <w:start w:val="1"/>
      <w:numFmt w:val="bullet"/>
      <w:lvlText w:val=""/>
      <w:lvlJc w:val="left"/>
      <w:pPr>
        <w:tabs>
          <w:tab w:val="num" w:pos="4320"/>
        </w:tabs>
        <w:ind w:left="4320" w:hanging="360"/>
      </w:pPr>
      <w:rPr>
        <w:rFonts w:ascii="Symbol" w:hAnsi="Symbol" w:hint="default"/>
      </w:rPr>
    </w:lvl>
    <w:lvl w:ilvl="6" w:tplc="205A68DC" w:tentative="1">
      <w:start w:val="1"/>
      <w:numFmt w:val="bullet"/>
      <w:lvlText w:val=""/>
      <w:lvlJc w:val="left"/>
      <w:pPr>
        <w:tabs>
          <w:tab w:val="num" w:pos="5040"/>
        </w:tabs>
        <w:ind w:left="5040" w:hanging="360"/>
      </w:pPr>
      <w:rPr>
        <w:rFonts w:ascii="Symbol" w:hAnsi="Symbol" w:hint="default"/>
      </w:rPr>
    </w:lvl>
    <w:lvl w:ilvl="7" w:tplc="5E44E77A" w:tentative="1">
      <w:start w:val="1"/>
      <w:numFmt w:val="bullet"/>
      <w:lvlText w:val=""/>
      <w:lvlJc w:val="left"/>
      <w:pPr>
        <w:tabs>
          <w:tab w:val="num" w:pos="5760"/>
        </w:tabs>
        <w:ind w:left="5760" w:hanging="360"/>
      </w:pPr>
      <w:rPr>
        <w:rFonts w:ascii="Symbol" w:hAnsi="Symbol" w:hint="default"/>
      </w:rPr>
    </w:lvl>
    <w:lvl w:ilvl="8" w:tplc="F8B016A0" w:tentative="1">
      <w:start w:val="1"/>
      <w:numFmt w:val="bullet"/>
      <w:lvlText w:val=""/>
      <w:lvlJc w:val="left"/>
      <w:pPr>
        <w:tabs>
          <w:tab w:val="num" w:pos="6480"/>
        </w:tabs>
        <w:ind w:left="6480" w:hanging="360"/>
      </w:pPr>
      <w:rPr>
        <w:rFonts w:ascii="Symbol" w:hAnsi="Symbol" w:hint="default"/>
      </w:rPr>
    </w:lvl>
  </w:abstractNum>
  <w:abstractNum w:abstractNumId="70" w15:restartNumberingAfterBreak="0">
    <w:nsid w:val="29D86F20"/>
    <w:multiLevelType w:val="hybridMultilevel"/>
    <w:tmpl w:val="EC724F10"/>
    <w:lvl w:ilvl="0" w:tplc="97DC6D4A">
      <w:start w:val="1"/>
      <w:numFmt w:val="bullet"/>
      <w:lvlText w:val=""/>
      <w:lvlPicBulletId w:val="0"/>
      <w:lvlJc w:val="left"/>
      <w:pPr>
        <w:tabs>
          <w:tab w:val="num" w:pos="720"/>
        </w:tabs>
        <w:ind w:left="720" w:hanging="360"/>
      </w:pPr>
      <w:rPr>
        <w:rFonts w:ascii="Symbol" w:hAnsi="Symbol" w:hint="default"/>
      </w:rPr>
    </w:lvl>
    <w:lvl w:ilvl="1" w:tplc="4508D434" w:tentative="1">
      <w:start w:val="1"/>
      <w:numFmt w:val="bullet"/>
      <w:lvlText w:val=""/>
      <w:lvlJc w:val="left"/>
      <w:pPr>
        <w:tabs>
          <w:tab w:val="num" w:pos="1440"/>
        </w:tabs>
        <w:ind w:left="1440" w:hanging="360"/>
      </w:pPr>
      <w:rPr>
        <w:rFonts w:ascii="Symbol" w:hAnsi="Symbol" w:hint="default"/>
      </w:rPr>
    </w:lvl>
    <w:lvl w:ilvl="2" w:tplc="6E760146" w:tentative="1">
      <w:start w:val="1"/>
      <w:numFmt w:val="bullet"/>
      <w:lvlText w:val=""/>
      <w:lvlJc w:val="left"/>
      <w:pPr>
        <w:tabs>
          <w:tab w:val="num" w:pos="2160"/>
        </w:tabs>
        <w:ind w:left="2160" w:hanging="360"/>
      </w:pPr>
      <w:rPr>
        <w:rFonts w:ascii="Symbol" w:hAnsi="Symbol" w:hint="default"/>
      </w:rPr>
    </w:lvl>
    <w:lvl w:ilvl="3" w:tplc="4F004B1A" w:tentative="1">
      <w:start w:val="1"/>
      <w:numFmt w:val="bullet"/>
      <w:lvlText w:val=""/>
      <w:lvlJc w:val="left"/>
      <w:pPr>
        <w:tabs>
          <w:tab w:val="num" w:pos="2880"/>
        </w:tabs>
        <w:ind w:left="2880" w:hanging="360"/>
      </w:pPr>
      <w:rPr>
        <w:rFonts w:ascii="Symbol" w:hAnsi="Symbol" w:hint="default"/>
      </w:rPr>
    </w:lvl>
    <w:lvl w:ilvl="4" w:tplc="AEE89042" w:tentative="1">
      <w:start w:val="1"/>
      <w:numFmt w:val="bullet"/>
      <w:lvlText w:val=""/>
      <w:lvlJc w:val="left"/>
      <w:pPr>
        <w:tabs>
          <w:tab w:val="num" w:pos="3600"/>
        </w:tabs>
        <w:ind w:left="3600" w:hanging="360"/>
      </w:pPr>
      <w:rPr>
        <w:rFonts w:ascii="Symbol" w:hAnsi="Symbol" w:hint="default"/>
      </w:rPr>
    </w:lvl>
    <w:lvl w:ilvl="5" w:tplc="B494FE4E" w:tentative="1">
      <w:start w:val="1"/>
      <w:numFmt w:val="bullet"/>
      <w:lvlText w:val=""/>
      <w:lvlJc w:val="left"/>
      <w:pPr>
        <w:tabs>
          <w:tab w:val="num" w:pos="4320"/>
        </w:tabs>
        <w:ind w:left="4320" w:hanging="360"/>
      </w:pPr>
      <w:rPr>
        <w:rFonts w:ascii="Symbol" w:hAnsi="Symbol" w:hint="default"/>
      </w:rPr>
    </w:lvl>
    <w:lvl w:ilvl="6" w:tplc="BFDE4252" w:tentative="1">
      <w:start w:val="1"/>
      <w:numFmt w:val="bullet"/>
      <w:lvlText w:val=""/>
      <w:lvlJc w:val="left"/>
      <w:pPr>
        <w:tabs>
          <w:tab w:val="num" w:pos="5040"/>
        </w:tabs>
        <w:ind w:left="5040" w:hanging="360"/>
      </w:pPr>
      <w:rPr>
        <w:rFonts w:ascii="Symbol" w:hAnsi="Symbol" w:hint="default"/>
      </w:rPr>
    </w:lvl>
    <w:lvl w:ilvl="7" w:tplc="9DC66350" w:tentative="1">
      <w:start w:val="1"/>
      <w:numFmt w:val="bullet"/>
      <w:lvlText w:val=""/>
      <w:lvlJc w:val="left"/>
      <w:pPr>
        <w:tabs>
          <w:tab w:val="num" w:pos="5760"/>
        </w:tabs>
        <w:ind w:left="5760" w:hanging="360"/>
      </w:pPr>
      <w:rPr>
        <w:rFonts w:ascii="Symbol" w:hAnsi="Symbol" w:hint="default"/>
      </w:rPr>
    </w:lvl>
    <w:lvl w:ilvl="8" w:tplc="53401BD6" w:tentative="1">
      <w:start w:val="1"/>
      <w:numFmt w:val="bullet"/>
      <w:lvlText w:val=""/>
      <w:lvlJc w:val="left"/>
      <w:pPr>
        <w:tabs>
          <w:tab w:val="num" w:pos="6480"/>
        </w:tabs>
        <w:ind w:left="6480" w:hanging="360"/>
      </w:pPr>
      <w:rPr>
        <w:rFonts w:ascii="Symbol" w:hAnsi="Symbol" w:hint="default"/>
      </w:rPr>
    </w:lvl>
  </w:abstractNum>
  <w:abstractNum w:abstractNumId="71" w15:restartNumberingAfterBreak="0">
    <w:nsid w:val="2A6A60E4"/>
    <w:multiLevelType w:val="hybridMultilevel"/>
    <w:tmpl w:val="C4A8E1EE"/>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AB525FB"/>
    <w:multiLevelType w:val="hybridMultilevel"/>
    <w:tmpl w:val="D0922840"/>
    <w:lvl w:ilvl="0" w:tplc="5746A350">
      <w:numFmt w:val="bullet"/>
      <w:lvlText w:val=""/>
      <w:lvlJc w:val="left"/>
      <w:pPr>
        <w:ind w:left="655" w:hanging="360"/>
      </w:pPr>
      <w:rPr>
        <w:rFonts w:ascii="Wingdings" w:eastAsia="Times New Roman" w:hAnsi="Wingdings" w:cs="Arial" w:hint="default"/>
        <w:b/>
      </w:rPr>
    </w:lvl>
    <w:lvl w:ilvl="1" w:tplc="0C090003" w:tentative="1">
      <w:start w:val="1"/>
      <w:numFmt w:val="bullet"/>
      <w:lvlText w:val="o"/>
      <w:lvlJc w:val="left"/>
      <w:pPr>
        <w:ind w:left="1375" w:hanging="360"/>
      </w:pPr>
      <w:rPr>
        <w:rFonts w:ascii="Courier New" w:hAnsi="Courier New" w:cs="Courier New" w:hint="default"/>
      </w:rPr>
    </w:lvl>
    <w:lvl w:ilvl="2" w:tplc="0C090005" w:tentative="1">
      <w:start w:val="1"/>
      <w:numFmt w:val="bullet"/>
      <w:lvlText w:val=""/>
      <w:lvlJc w:val="left"/>
      <w:pPr>
        <w:ind w:left="2095" w:hanging="360"/>
      </w:pPr>
      <w:rPr>
        <w:rFonts w:ascii="Wingdings" w:hAnsi="Wingdings" w:hint="default"/>
      </w:rPr>
    </w:lvl>
    <w:lvl w:ilvl="3" w:tplc="0C090001" w:tentative="1">
      <w:start w:val="1"/>
      <w:numFmt w:val="bullet"/>
      <w:lvlText w:val=""/>
      <w:lvlJc w:val="left"/>
      <w:pPr>
        <w:ind w:left="2815" w:hanging="360"/>
      </w:pPr>
      <w:rPr>
        <w:rFonts w:ascii="Symbol" w:hAnsi="Symbol" w:hint="default"/>
      </w:rPr>
    </w:lvl>
    <w:lvl w:ilvl="4" w:tplc="0C090003" w:tentative="1">
      <w:start w:val="1"/>
      <w:numFmt w:val="bullet"/>
      <w:lvlText w:val="o"/>
      <w:lvlJc w:val="left"/>
      <w:pPr>
        <w:ind w:left="3535" w:hanging="360"/>
      </w:pPr>
      <w:rPr>
        <w:rFonts w:ascii="Courier New" w:hAnsi="Courier New" w:cs="Courier New" w:hint="default"/>
      </w:rPr>
    </w:lvl>
    <w:lvl w:ilvl="5" w:tplc="0C090005" w:tentative="1">
      <w:start w:val="1"/>
      <w:numFmt w:val="bullet"/>
      <w:lvlText w:val=""/>
      <w:lvlJc w:val="left"/>
      <w:pPr>
        <w:ind w:left="4255" w:hanging="360"/>
      </w:pPr>
      <w:rPr>
        <w:rFonts w:ascii="Wingdings" w:hAnsi="Wingdings" w:hint="default"/>
      </w:rPr>
    </w:lvl>
    <w:lvl w:ilvl="6" w:tplc="0C090001" w:tentative="1">
      <w:start w:val="1"/>
      <w:numFmt w:val="bullet"/>
      <w:lvlText w:val=""/>
      <w:lvlJc w:val="left"/>
      <w:pPr>
        <w:ind w:left="4975" w:hanging="360"/>
      </w:pPr>
      <w:rPr>
        <w:rFonts w:ascii="Symbol" w:hAnsi="Symbol" w:hint="default"/>
      </w:rPr>
    </w:lvl>
    <w:lvl w:ilvl="7" w:tplc="0C090003" w:tentative="1">
      <w:start w:val="1"/>
      <w:numFmt w:val="bullet"/>
      <w:lvlText w:val="o"/>
      <w:lvlJc w:val="left"/>
      <w:pPr>
        <w:ind w:left="5695" w:hanging="360"/>
      </w:pPr>
      <w:rPr>
        <w:rFonts w:ascii="Courier New" w:hAnsi="Courier New" w:cs="Courier New" w:hint="default"/>
      </w:rPr>
    </w:lvl>
    <w:lvl w:ilvl="8" w:tplc="0C090005" w:tentative="1">
      <w:start w:val="1"/>
      <w:numFmt w:val="bullet"/>
      <w:lvlText w:val=""/>
      <w:lvlJc w:val="left"/>
      <w:pPr>
        <w:ind w:left="6415" w:hanging="360"/>
      </w:pPr>
      <w:rPr>
        <w:rFonts w:ascii="Wingdings" w:hAnsi="Wingdings" w:hint="default"/>
      </w:rPr>
    </w:lvl>
  </w:abstractNum>
  <w:abstractNum w:abstractNumId="73" w15:restartNumberingAfterBreak="0">
    <w:nsid w:val="2ADB526F"/>
    <w:multiLevelType w:val="hybridMultilevel"/>
    <w:tmpl w:val="44F4ADCA"/>
    <w:lvl w:ilvl="0" w:tplc="A1E2F840">
      <w:start w:val="1"/>
      <w:numFmt w:val="bullet"/>
      <w:lvlText w:val=""/>
      <w:lvlPicBulletId w:val="1"/>
      <w:lvlJc w:val="left"/>
      <w:pPr>
        <w:tabs>
          <w:tab w:val="num" w:pos="720"/>
        </w:tabs>
        <w:ind w:left="720" w:hanging="360"/>
      </w:pPr>
      <w:rPr>
        <w:rFonts w:ascii="Symbol" w:hAnsi="Symbol" w:hint="default"/>
      </w:rPr>
    </w:lvl>
    <w:lvl w:ilvl="1" w:tplc="3A704626" w:tentative="1">
      <w:start w:val="1"/>
      <w:numFmt w:val="bullet"/>
      <w:lvlText w:val=""/>
      <w:lvlJc w:val="left"/>
      <w:pPr>
        <w:tabs>
          <w:tab w:val="num" w:pos="1440"/>
        </w:tabs>
        <w:ind w:left="1440" w:hanging="360"/>
      </w:pPr>
      <w:rPr>
        <w:rFonts w:ascii="Symbol" w:hAnsi="Symbol" w:hint="default"/>
      </w:rPr>
    </w:lvl>
    <w:lvl w:ilvl="2" w:tplc="83C45534" w:tentative="1">
      <w:start w:val="1"/>
      <w:numFmt w:val="bullet"/>
      <w:lvlText w:val=""/>
      <w:lvlJc w:val="left"/>
      <w:pPr>
        <w:tabs>
          <w:tab w:val="num" w:pos="2160"/>
        </w:tabs>
        <w:ind w:left="2160" w:hanging="360"/>
      </w:pPr>
      <w:rPr>
        <w:rFonts w:ascii="Symbol" w:hAnsi="Symbol" w:hint="default"/>
      </w:rPr>
    </w:lvl>
    <w:lvl w:ilvl="3" w:tplc="3FFC35DC" w:tentative="1">
      <w:start w:val="1"/>
      <w:numFmt w:val="bullet"/>
      <w:lvlText w:val=""/>
      <w:lvlJc w:val="left"/>
      <w:pPr>
        <w:tabs>
          <w:tab w:val="num" w:pos="2880"/>
        </w:tabs>
        <w:ind w:left="2880" w:hanging="360"/>
      </w:pPr>
      <w:rPr>
        <w:rFonts w:ascii="Symbol" w:hAnsi="Symbol" w:hint="default"/>
      </w:rPr>
    </w:lvl>
    <w:lvl w:ilvl="4" w:tplc="BE22D64E" w:tentative="1">
      <w:start w:val="1"/>
      <w:numFmt w:val="bullet"/>
      <w:lvlText w:val=""/>
      <w:lvlJc w:val="left"/>
      <w:pPr>
        <w:tabs>
          <w:tab w:val="num" w:pos="3600"/>
        </w:tabs>
        <w:ind w:left="3600" w:hanging="360"/>
      </w:pPr>
      <w:rPr>
        <w:rFonts w:ascii="Symbol" w:hAnsi="Symbol" w:hint="default"/>
      </w:rPr>
    </w:lvl>
    <w:lvl w:ilvl="5" w:tplc="E892B09C" w:tentative="1">
      <w:start w:val="1"/>
      <w:numFmt w:val="bullet"/>
      <w:lvlText w:val=""/>
      <w:lvlJc w:val="left"/>
      <w:pPr>
        <w:tabs>
          <w:tab w:val="num" w:pos="4320"/>
        </w:tabs>
        <w:ind w:left="4320" w:hanging="360"/>
      </w:pPr>
      <w:rPr>
        <w:rFonts w:ascii="Symbol" w:hAnsi="Symbol" w:hint="default"/>
      </w:rPr>
    </w:lvl>
    <w:lvl w:ilvl="6" w:tplc="C04EFDDE" w:tentative="1">
      <w:start w:val="1"/>
      <w:numFmt w:val="bullet"/>
      <w:lvlText w:val=""/>
      <w:lvlJc w:val="left"/>
      <w:pPr>
        <w:tabs>
          <w:tab w:val="num" w:pos="5040"/>
        </w:tabs>
        <w:ind w:left="5040" w:hanging="360"/>
      </w:pPr>
      <w:rPr>
        <w:rFonts w:ascii="Symbol" w:hAnsi="Symbol" w:hint="default"/>
      </w:rPr>
    </w:lvl>
    <w:lvl w:ilvl="7" w:tplc="D06A031E" w:tentative="1">
      <w:start w:val="1"/>
      <w:numFmt w:val="bullet"/>
      <w:lvlText w:val=""/>
      <w:lvlJc w:val="left"/>
      <w:pPr>
        <w:tabs>
          <w:tab w:val="num" w:pos="5760"/>
        </w:tabs>
        <w:ind w:left="5760" w:hanging="360"/>
      </w:pPr>
      <w:rPr>
        <w:rFonts w:ascii="Symbol" w:hAnsi="Symbol" w:hint="default"/>
      </w:rPr>
    </w:lvl>
    <w:lvl w:ilvl="8" w:tplc="EF262790" w:tentative="1">
      <w:start w:val="1"/>
      <w:numFmt w:val="bullet"/>
      <w:lvlText w:val=""/>
      <w:lvlJc w:val="left"/>
      <w:pPr>
        <w:tabs>
          <w:tab w:val="num" w:pos="6480"/>
        </w:tabs>
        <w:ind w:left="6480" w:hanging="360"/>
      </w:pPr>
      <w:rPr>
        <w:rFonts w:ascii="Symbol" w:hAnsi="Symbol" w:hint="default"/>
      </w:rPr>
    </w:lvl>
  </w:abstractNum>
  <w:abstractNum w:abstractNumId="74" w15:restartNumberingAfterBreak="0">
    <w:nsid w:val="2B6A30D5"/>
    <w:multiLevelType w:val="hybridMultilevel"/>
    <w:tmpl w:val="4ED49D50"/>
    <w:lvl w:ilvl="0" w:tplc="8C229846">
      <w:start w:val="1"/>
      <w:numFmt w:val="bullet"/>
      <w:lvlText w:val=""/>
      <w:lvlPicBulletId w:val="1"/>
      <w:lvlJc w:val="left"/>
      <w:pPr>
        <w:tabs>
          <w:tab w:val="num" w:pos="720"/>
        </w:tabs>
        <w:ind w:left="720" w:hanging="360"/>
      </w:pPr>
      <w:rPr>
        <w:rFonts w:ascii="Symbol" w:hAnsi="Symbol" w:hint="default"/>
      </w:rPr>
    </w:lvl>
    <w:lvl w:ilvl="1" w:tplc="237A8510" w:tentative="1">
      <w:start w:val="1"/>
      <w:numFmt w:val="bullet"/>
      <w:lvlText w:val=""/>
      <w:lvlJc w:val="left"/>
      <w:pPr>
        <w:tabs>
          <w:tab w:val="num" w:pos="1440"/>
        </w:tabs>
        <w:ind w:left="1440" w:hanging="360"/>
      </w:pPr>
      <w:rPr>
        <w:rFonts w:ascii="Symbol" w:hAnsi="Symbol" w:hint="default"/>
      </w:rPr>
    </w:lvl>
    <w:lvl w:ilvl="2" w:tplc="1A78CD40" w:tentative="1">
      <w:start w:val="1"/>
      <w:numFmt w:val="bullet"/>
      <w:lvlText w:val=""/>
      <w:lvlJc w:val="left"/>
      <w:pPr>
        <w:tabs>
          <w:tab w:val="num" w:pos="2160"/>
        </w:tabs>
        <w:ind w:left="2160" w:hanging="360"/>
      </w:pPr>
      <w:rPr>
        <w:rFonts w:ascii="Symbol" w:hAnsi="Symbol" w:hint="default"/>
      </w:rPr>
    </w:lvl>
    <w:lvl w:ilvl="3" w:tplc="CE762CA6" w:tentative="1">
      <w:start w:val="1"/>
      <w:numFmt w:val="bullet"/>
      <w:lvlText w:val=""/>
      <w:lvlJc w:val="left"/>
      <w:pPr>
        <w:tabs>
          <w:tab w:val="num" w:pos="2880"/>
        </w:tabs>
        <w:ind w:left="2880" w:hanging="360"/>
      </w:pPr>
      <w:rPr>
        <w:rFonts w:ascii="Symbol" w:hAnsi="Symbol" w:hint="default"/>
      </w:rPr>
    </w:lvl>
    <w:lvl w:ilvl="4" w:tplc="56B23D0E" w:tentative="1">
      <w:start w:val="1"/>
      <w:numFmt w:val="bullet"/>
      <w:lvlText w:val=""/>
      <w:lvlJc w:val="left"/>
      <w:pPr>
        <w:tabs>
          <w:tab w:val="num" w:pos="3600"/>
        </w:tabs>
        <w:ind w:left="3600" w:hanging="360"/>
      </w:pPr>
      <w:rPr>
        <w:rFonts w:ascii="Symbol" w:hAnsi="Symbol" w:hint="default"/>
      </w:rPr>
    </w:lvl>
    <w:lvl w:ilvl="5" w:tplc="BF408B44" w:tentative="1">
      <w:start w:val="1"/>
      <w:numFmt w:val="bullet"/>
      <w:lvlText w:val=""/>
      <w:lvlJc w:val="left"/>
      <w:pPr>
        <w:tabs>
          <w:tab w:val="num" w:pos="4320"/>
        </w:tabs>
        <w:ind w:left="4320" w:hanging="360"/>
      </w:pPr>
      <w:rPr>
        <w:rFonts w:ascii="Symbol" w:hAnsi="Symbol" w:hint="default"/>
      </w:rPr>
    </w:lvl>
    <w:lvl w:ilvl="6" w:tplc="5BE286DC" w:tentative="1">
      <w:start w:val="1"/>
      <w:numFmt w:val="bullet"/>
      <w:lvlText w:val=""/>
      <w:lvlJc w:val="left"/>
      <w:pPr>
        <w:tabs>
          <w:tab w:val="num" w:pos="5040"/>
        </w:tabs>
        <w:ind w:left="5040" w:hanging="360"/>
      </w:pPr>
      <w:rPr>
        <w:rFonts w:ascii="Symbol" w:hAnsi="Symbol" w:hint="default"/>
      </w:rPr>
    </w:lvl>
    <w:lvl w:ilvl="7" w:tplc="2CCA9DD0" w:tentative="1">
      <w:start w:val="1"/>
      <w:numFmt w:val="bullet"/>
      <w:lvlText w:val=""/>
      <w:lvlJc w:val="left"/>
      <w:pPr>
        <w:tabs>
          <w:tab w:val="num" w:pos="5760"/>
        </w:tabs>
        <w:ind w:left="5760" w:hanging="360"/>
      </w:pPr>
      <w:rPr>
        <w:rFonts w:ascii="Symbol" w:hAnsi="Symbol" w:hint="default"/>
      </w:rPr>
    </w:lvl>
    <w:lvl w:ilvl="8" w:tplc="E07EE958" w:tentative="1">
      <w:start w:val="1"/>
      <w:numFmt w:val="bullet"/>
      <w:lvlText w:val=""/>
      <w:lvlJc w:val="left"/>
      <w:pPr>
        <w:tabs>
          <w:tab w:val="num" w:pos="6480"/>
        </w:tabs>
        <w:ind w:left="6480" w:hanging="360"/>
      </w:pPr>
      <w:rPr>
        <w:rFonts w:ascii="Symbol" w:hAnsi="Symbol" w:hint="default"/>
      </w:rPr>
    </w:lvl>
  </w:abstractNum>
  <w:abstractNum w:abstractNumId="75" w15:restartNumberingAfterBreak="0">
    <w:nsid w:val="2B6E468E"/>
    <w:multiLevelType w:val="hybridMultilevel"/>
    <w:tmpl w:val="04548724"/>
    <w:lvl w:ilvl="0" w:tplc="102E1484">
      <w:start w:val="1"/>
      <w:numFmt w:val="bullet"/>
      <w:lvlText w:val=""/>
      <w:lvlPicBulletId w:val="0"/>
      <w:lvlJc w:val="left"/>
      <w:pPr>
        <w:tabs>
          <w:tab w:val="num" w:pos="720"/>
        </w:tabs>
        <w:ind w:left="720" w:hanging="360"/>
      </w:pPr>
      <w:rPr>
        <w:rFonts w:ascii="Symbol" w:hAnsi="Symbol" w:hint="default"/>
      </w:rPr>
    </w:lvl>
    <w:lvl w:ilvl="1" w:tplc="655A99F0" w:tentative="1">
      <w:start w:val="1"/>
      <w:numFmt w:val="bullet"/>
      <w:lvlText w:val=""/>
      <w:lvlJc w:val="left"/>
      <w:pPr>
        <w:tabs>
          <w:tab w:val="num" w:pos="1440"/>
        </w:tabs>
        <w:ind w:left="1440" w:hanging="360"/>
      </w:pPr>
      <w:rPr>
        <w:rFonts w:ascii="Symbol" w:hAnsi="Symbol" w:hint="default"/>
      </w:rPr>
    </w:lvl>
    <w:lvl w:ilvl="2" w:tplc="201E7032" w:tentative="1">
      <w:start w:val="1"/>
      <w:numFmt w:val="bullet"/>
      <w:lvlText w:val=""/>
      <w:lvlJc w:val="left"/>
      <w:pPr>
        <w:tabs>
          <w:tab w:val="num" w:pos="2160"/>
        </w:tabs>
        <w:ind w:left="2160" w:hanging="360"/>
      </w:pPr>
      <w:rPr>
        <w:rFonts w:ascii="Symbol" w:hAnsi="Symbol" w:hint="default"/>
      </w:rPr>
    </w:lvl>
    <w:lvl w:ilvl="3" w:tplc="D15EBD1A" w:tentative="1">
      <w:start w:val="1"/>
      <w:numFmt w:val="bullet"/>
      <w:lvlText w:val=""/>
      <w:lvlJc w:val="left"/>
      <w:pPr>
        <w:tabs>
          <w:tab w:val="num" w:pos="2880"/>
        </w:tabs>
        <w:ind w:left="2880" w:hanging="360"/>
      </w:pPr>
      <w:rPr>
        <w:rFonts w:ascii="Symbol" w:hAnsi="Symbol" w:hint="default"/>
      </w:rPr>
    </w:lvl>
    <w:lvl w:ilvl="4" w:tplc="3766BFAC" w:tentative="1">
      <w:start w:val="1"/>
      <w:numFmt w:val="bullet"/>
      <w:lvlText w:val=""/>
      <w:lvlJc w:val="left"/>
      <w:pPr>
        <w:tabs>
          <w:tab w:val="num" w:pos="3600"/>
        </w:tabs>
        <w:ind w:left="3600" w:hanging="360"/>
      </w:pPr>
      <w:rPr>
        <w:rFonts w:ascii="Symbol" w:hAnsi="Symbol" w:hint="default"/>
      </w:rPr>
    </w:lvl>
    <w:lvl w:ilvl="5" w:tplc="C49AFF3C" w:tentative="1">
      <w:start w:val="1"/>
      <w:numFmt w:val="bullet"/>
      <w:lvlText w:val=""/>
      <w:lvlJc w:val="left"/>
      <w:pPr>
        <w:tabs>
          <w:tab w:val="num" w:pos="4320"/>
        </w:tabs>
        <w:ind w:left="4320" w:hanging="360"/>
      </w:pPr>
      <w:rPr>
        <w:rFonts w:ascii="Symbol" w:hAnsi="Symbol" w:hint="default"/>
      </w:rPr>
    </w:lvl>
    <w:lvl w:ilvl="6" w:tplc="471202BA" w:tentative="1">
      <w:start w:val="1"/>
      <w:numFmt w:val="bullet"/>
      <w:lvlText w:val=""/>
      <w:lvlJc w:val="left"/>
      <w:pPr>
        <w:tabs>
          <w:tab w:val="num" w:pos="5040"/>
        </w:tabs>
        <w:ind w:left="5040" w:hanging="360"/>
      </w:pPr>
      <w:rPr>
        <w:rFonts w:ascii="Symbol" w:hAnsi="Symbol" w:hint="default"/>
      </w:rPr>
    </w:lvl>
    <w:lvl w:ilvl="7" w:tplc="FF1EE1B0" w:tentative="1">
      <w:start w:val="1"/>
      <w:numFmt w:val="bullet"/>
      <w:lvlText w:val=""/>
      <w:lvlJc w:val="left"/>
      <w:pPr>
        <w:tabs>
          <w:tab w:val="num" w:pos="5760"/>
        </w:tabs>
        <w:ind w:left="5760" w:hanging="360"/>
      </w:pPr>
      <w:rPr>
        <w:rFonts w:ascii="Symbol" w:hAnsi="Symbol" w:hint="default"/>
      </w:rPr>
    </w:lvl>
    <w:lvl w:ilvl="8" w:tplc="D338948C" w:tentative="1">
      <w:start w:val="1"/>
      <w:numFmt w:val="bullet"/>
      <w:lvlText w:val=""/>
      <w:lvlJc w:val="left"/>
      <w:pPr>
        <w:tabs>
          <w:tab w:val="num" w:pos="6480"/>
        </w:tabs>
        <w:ind w:left="6480" w:hanging="360"/>
      </w:pPr>
      <w:rPr>
        <w:rFonts w:ascii="Symbol" w:hAnsi="Symbol" w:hint="default"/>
      </w:rPr>
    </w:lvl>
  </w:abstractNum>
  <w:abstractNum w:abstractNumId="76" w15:restartNumberingAfterBreak="0">
    <w:nsid w:val="2B940C89"/>
    <w:multiLevelType w:val="hybridMultilevel"/>
    <w:tmpl w:val="0C22B6B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7" w15:restartNumberingAfterBreak="0">
    <w:nsid w:val="2CAC02DE"/>
    <w:multiLevelType w:val="hybridMultilevel"/>
    <w:tmpl w:val="85989592"/>
    <w:lvl w:ilvl="0" w:tplc="08D2AB58">
      <w:start w:val="1"/>
      <w:numFmt w:val="bullet"/>
      <w:lvlText w:val="&gt;"/>
      <w:lvlJc w:val="left"/>
      <w:pPr>
        <w:ind w:left="1015" w:hanging="360"/>
      </w:pPr>
      <w:rPr>
        <w:rFonts w:ascii="HelveticaNeueLT Std Lt" w:hAnsi="HelveticaNeueLT Std Lt" w:hint="default"/>
        <w:sz w:val="20"/>
      </w:rPr>
    </w:lvl>
    <w:lvl w:ilvl="1" w:tplc="08D2AB58">
      <w:start w:val="1"/>
      <w:numFmt w:val="bullet"/>
      <w:lvlText w:val="&gt;"/>
      <w:lvlJc w:val="left"/>
      <w:pPr>
        <w:ind w:left="1735" w:hanging="360"/>
      </w:pPr>
      <w:rPr>
        <w:rFonts w:ascii="HelveticaNeueLT Std Lt" w:hAnsi="HelveticaNeueLT Std Lt" w:hint="default"/>
        <w:sz w:val="20"/>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78" w15:restartNumberingAfterBreak="0">
    <w:nsid w:val="2CBD1A11"/>
    <w:multiLevelType w:val="hybridMultilevel"/>
    <w:tmpl w:val="58C858FA"/>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2D3F10F3"/>
    <w:multiLevelType w:val="hybridMultilevel"/>
    <w:tmpl w:val="FBAEFEA0"/>
    <w:lvl w:ilvl="0" w:tplc="08D2AB58">
      <w:start w:val="1"/>
      <w:numFmt w:val="bullet"/>
      <w:lvlText w:val="&gt;"/>
      <w:lvlJc w:val="left"/>
      <w:pPr>
        <w:ind w:left="1469" w:hanging="360"/>
      </w:pPr>
      <w:rPr>
        <w:rFonts w:ascii="HelveticaNeueLT Std Lt" w:hAnsi="HelveticaNeueLT Std Lt" w:hint="default"/>
        <w:sz w:val="20"/>
      </w:rPr>
    </w:lvl>
    <w:lvl w:ilvl="1" w:tplc="0C090003">
      <w:start w:val="1"/>
      <w:numFmt w:val="bullet"/>
      <w:lvlText w:val="o"/>
      <w:lvlJc w:val="left"/>
      <w:pPr>
        <w:ind w:left="2189" w:hanging="360"/>
      </w:pPr>
      <w:rPr>
        <w:rFonts w:ascii="Courier New" w:hAnsi="Courier New" w:cs="Courier New" w:hint="default"/>
      </w:rPr>
    </w:lvl>
    <w:lvl w:ilvl="2" w:tplc="0C090005" w:tentative="1">
      <w:start w:val="1"/>
      <w:numFmt w:val="bullet"/>
      <w:lvlText w:val=""/>
      <w:lvlJc w:val="left"/>
      <w:pPr>
        <w:ind w:left="2909" w:hanging="360"/>
      </w:pPr>
      <w:rPr>
        <w:rFonts w:ascii="Wingdings" w:hAnsi="Wingdings" w:hint="default"/>
      </w:rPr>
    </w:lvl>
    <w:lvl w:ilvl="3" w:tplc="0C090001" w:tentative="1">
      <w:start w:val="1"/>
      <w:numFmt w:val="bullet"/>
      <w:lvlText w:val=""/>
      <w:lvlJc w:val="left"/>
      <w:pPr>
        <w:ind w:left="3629" w:hanging="360"/>
      </w:pPr>
      <w:rPr>
        <w:rFonts w:ascii="Symbol" w:hAnsi="Symbol" w:hint="default"/>
      </w:rPr>
    </w:lvl>
    <w:lvl w:ilvl="4" w:tplc="0C090003" w:tentative="1">
      <w:start w:val="1"/>
      <w:numFmt w:val="bullet"/>
      <w:lvlText w:val="o"/>
      <w:lvlJc w:val="left"/>
      <w:pPr>
        <w:ind w:left="4349" w:hanging="360"/>
      </w:pPr>
      <w:rPr>
        <w:rFonts w:ascii="Courier New" w:hAnsi="Courier New" w:cs="Courier New" w:hint="default"/>
      </w:rPr>
    </w:lvl>
    <w:lvl w:ilvl="5" w:tplc="0C090005" w:tentative="1">
      <w:start w:val="1"/>
      <w:numFmt w:val="bullet"/>
      <w:lvlText w:val=""/>
      <w:lvlJc w:val="left"/>
      <w:pPr>
        <w:ind w:left="5069" w:hanging="360"/>
      </w:pPr>
      <w:rPr>
        <w:rFonts w:ascii="Wingdings" w:hAnsi="Wingdings" w:hint="default"/>
      </w:rPr>
    </w:lvl>
    <w:lvl w:ilvl="6" w:tplc="0C090001" w:tentative="1">
      <w:start w:val="1"/>
      <w:numFmt w:val="bullet"/>
      <w:lvlText w:val=""/>
      <w:lvlJc w:val="left"/>
      <w:pPr>
        <w:ind w:left="5789" w:hanging="360"/>
      </w:pPr>
      <w:rPr>
        <w:rFonts w:ascii="Symbol" w:hAnsi="Symbol" w:hint="default"/>
      </w:rPr>
    </w:lvl>
    <w:lvl w:ilvl="7" w:tplc="0C090003" w:tentative="1">
      <w:start w:val="1"/>
      <w:numFmt w:val="bullet"/>
      <w:lvlText w:val="o"/>
      <w:lvlJc w:val="left"/>
      <w:pPr>
        <w:ind w:left="6509" w:hanging="360"/>
      </w:pPr>
      <w:rPr>
        <w:rFonts w:ascii="Courier New" w:hAnsi="Courier New" w:cs="Courier New" w:hint="default"/>
      </w:rPr>
    </w:lvl>
    <w:lvl w:ilvl="8" w:tplc="0C090005" w:tentative="1">
      <w:start w:val="1"/>
      <w:numFmt w:val="bullet"/>
      <w:lvlText w:val=""/>
      <w:lvlJc w:val="left"/>
      <w:pPr>
        <w:ind w:left="7229" w:hanging="360"/>
      </w:pPr>
      <w:rPr>
        <w:rFonts w:ascii="Wingdings" w:hAnsi="Wingdings" w:hint="default"/>
      </w:rPr>
    </w:lvl>
  </w:abstractNum>
  <w:abstractNum w:abstractNumId="80" w15:restartNumberingAfterBreak="0">
    <w:nsid w:val="2E3D187B"/>
    <w:multiLevelType w:val="hybridMultilevel"/>
    <w:tmpl w:val="A3768F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2E9C4DD8"/>
    <w:multiLevelType w:val="hybridMultilevel"/>
    <w:tmpl w:val="40D0BD20"/>
    <w:lvl w:ilvl="0" w:tplc="25B4EB1E">
      <w:start w:val="1"/>
      <w:numFmt w:val="bullet"/>
      <w:lvlText w:val=""/>
      <w:lvlPicBulletId w:val="0"/>
      <w:lvlJc w:val="left"/>
      <w:pPr>
        <w:tabs>
          <w:tab w:val="num" w:pos="720"/>
        </w:tabs>
        <w:ind w:left="720" w:hanging="360"/>
      </w:pPr>
      <w:rPr>
        <w:rFonts w:ascii="Symbol" w:hAnsi="Symbol" w:hint="default"/>
      </w:rPr>
    </w:lvl>
    <w:lvl w:ilvl="1" w:tplc="93DE1D86" w:tentative="1">
      <w:start w:val="1"/>
      <w:numFmt w:val="bullet"/>
      <w:lvlText w:val=""/>
      <w:lvlJc w:val="left"/>
      <w:pPr>
        <w:tabs>
          <w:tab w:val="num" w:pos="1440"/>
        </w:tabs>
        <w:ind w:left="1440" w:hanging="360"/>
      </w:pPr>
      <w:rPr>
        <w:rFonts w:ascii="Symbol" w:hAnsi="Symbol" w:hint="default"/>
      </w:rPr>
    </w:lvl>
    <w:lvl w:ilvl="2" w:tplc="E918C3D8" w:tentative="1">
      <w:start w:val="1"/>
      <w:numFmt w:val="bullet"/>
      <w:lvlText w:val=""/>
      <w:lvlJc w:val="left"/>
      <w:pPr>
        <w:tabs>
          <w:tab w:val="num" w:pos="2160"/>
        </w:tabs>
        <w:ind w:left="2160" w:hanging="360"/>
      </w:pPr>
      <w:rPr>
        <w:rFonts w:ascii="Symbol" w:hAnsi="Symbol" w:hint="default"/>
      </w:rPr>
    </w:lvl>
    <w:lvl w:ilvl="3" w:tplc="D8B05DB4" w:tentative="1">
      <w:start w:val="1"/>
      <w:numFmt w:val="bullet"/>
      <w:lvlText w:val=""/>
      <w:lvlJc w:val="left"/>
      <w:pPr>
        <w:tabs>
          <w:tab w:val="num" w:pos="2880"/>
        </w:tabs>
        <w:ind w:left="2880" w:hanging="360"/>
      </w:pPr>
      <w:rPr>
        <w:rFonts w:ascii="Symbol" w:hAnsi="Symbol" w:hint="default"/>
      </w:rPr>
    </w:lvl>
    <w:lvl w:ilvl="4" w:tplc="26120274" w:tentative="1">
      <w:start w:val="1"/>
      <w:numFmt w:val="bullet"/>
      <w:lvlText w:val=""/>
      <w:lvlJc w:val="left"/>
      <w:pPr>
        <w:tabs>
          <w:tab w:val="num" w:pos="3600"/>
        </w:tabs>
        <w:ind w:left="3600" w:hanging="360"/>
      </w:pPr>
      <w:rPr>
        <w:rFonts w:ascii="Symbol" w:hAnsi="Symbol" w:hint="default"/>
      </w:rPr>
    </w:lvl>
    <w:lvl w:ilvl="5" w:tplc="9B2C6CC4" w:tentative="1">
      <w:start w:val="1"/>
      <w:numFmt w:val="bullet"/>
      <w:lvlText w:val=""/>
      <w:lvlJc w:val="left"/>
      <w:pPr>
        <w:tabs>
          <w:tab w:val="num" w:pos="4320"/>
        </w:tabs>
        <w:ind w:left="4320" w:hanging="360"/>
      </w:pPr>
      <w:rPr>
        <w:rFonts w:ascii="Symbol" w:hAnsi="Symbol" w:hint="default"/>
      </w:rPr>
    </w:lvl>
    <w:lvl w:ilvl="6" w:tplc="16AAD7C0" w:tentative="1">
      <w:start w:val="1"/>
      <w:numFmt w:val="bullet"/>
      <w:lvlText w:val=""/>
      <w:lvlJc w:val="left"/>
      <w:pPr>
        <w:tabs>
          <w:tab w:val="num" w:pos="5040"/>
        </w:tabs>
        <w:ind w:left="5040" w:hanging="360"/>
      </w:pPr>
      <w:rPr>
        <w:rFonts w:ascii="Symbol" w:hAnsi="Symbol" w:hint="default"/>
      </w:rPr>
    </w:lvl>
    <w:lvl w:ilvl="7" w:tplc="6FC427A8" w:tentative="1">
      <w:start w:val="1"/>
      <w:numFmt w:val="bullet"/>
      <w:lvlText w:val=""/>
      <w:lvlJc w:val="left"/>
      <w:pPr>
        <w:tabs>
          <w:tab w:val="num" w:pos="5760"/>
        </w:tabs>
        <w:ind w:left="5760" w:hanging="360"/>
      </w:pPr>
      <w:rPr>
        <w:rFonts w:ascii="Symbol" w:hAnsi="Symbol" w:hint="default"/>
      </w:rPr>
    </w:lvl>
    <w:lvl w:ilvl="8" w:tplc="A21E073A" w:tentative="1">
      <w:start w:val="1"/>
      <w:numFmt w:val="bullet"/>
      <w:lvlText w:val=""/>
      <w:lvlJc w:val="left"/>
      <w:pPr>
        <w:tabs>
          <w:tab w:val="num" w:pos="6480"/>
        </w:tabs>
        <w:ind w:left="6480" w:hanging="360"/>
      </w:pPr>
      <w:rPr>
        <w:rFonts w:ascii="Symbol" w:hAnsi="Symbol" w:hint="default"/>
      </w:rPr>
    </w:lvl>
  </w:abstractNum>
  <w:abstractNum w:abstractNumId="82" w15:restartNumberingAfterBreak="0">
    <w:nsid w:val="2ECF6AC0"/>
    <w:multiLevelType w:val="hybridMultilevel"/>
    <w:tmpl w:val="397A5874"/>
    <w:lvl w:ilvl="0" w:tplc="D88610F4">
      <w:start w:val="1"/>
      <w:numFmt w:val="bullet"/>
      <w:lvlText w:val=""/>
      <w:lvlPicBulletId w:val="1"/>
      <w:lvlJc w:val="left"/>
      <w:pPr>
        <w:tabs>
          <w:tab w:val="num" w:pos="720"/>
        </w:tabs>
        <w:ind w:left="720" w:hanging="360"/>
      </w:pPr>
      <w:rPr>
        <w:rFonts w:ascii="Symbol" w:hAnsi="Symbol" w:hint="default"/>
      </w:rPr>
    </w:lvl>
    <w:lvl w:ilvl="1" w:tplc="D5B287DE" w:tentative="1">
      <w:start w:val="1"/>
      <w:numFmt w:val="bullet"/>
      <w:lvlText w:val=""/>
      <w:lvlJc w:val="left"/>
      <w:pPr>
        <w:tabs>
          <w:tab w:val="num" w:pos="1440"/>
        </w:tabs>
        <w:ind w:left="1440" w:hanging="360"/>
      </w:pPr>
      <w:rPr>
        <w:rFonts w:ascii="Symbol" w:hAnsi="Symbol" w:hint="default"/>
      </w:rPr>
    </w:lvl>
    <w:lvl w:ilvl="2" w:tplc="F9A02250" w:tentative="1">
      <w:start w:val="1"/>
      <w:numFmt w:val="bullet"/>
      <w:lvlText w:val=""/>
      <w:lvlJc w:val="left"/>
      <w:pPr>
        <w:tabs>
          <w:tab w:val="num" w:pos="2160"/>
        </w:tabs>
        <w:ind w:left="2160" w:hanging="360"/>
      </w:pPr>
      <w:rPr>
        <w:rFonts w:ascii="Symbol" w:hAnsi="Symbol" w:hint="default"/>
      </w:rPr>
    </w:lvl>
    <w:lvl w:ilvl="3" w:tplc="CD54896E" w:tentative="1">
      <w:start w:val="1"/>
      <w:numFmt w:val="bullet"/>
      <w:lvlText w:val=""/>
      <w:lvlJc w:val="left"/>
      <w:pPr>
        <w:tabs>
          <w:tab w:val="num" w:pos="2880"/>
        </w:tabs>
        <w:ind w:left="2880" w:hanging="360"/>
      </w:pPr>
      <w:rPr>
        <w:rFonts w:ascii="Symbol" w:hAnsi="Symbol" w:hint="default"/>
      </w:rPr>
    </w:lvl>
    <w:lvl w:ilvl="4" w:tplc="C2D62CC6" w:tentative="1">
      <w:start w:val="1"/>
      <w:numFmt w:val="bullet"/>
      <w:lvlText w:val=""/>
      <w:lvlJc w:val="left"/>
      <w:pPr>
        <w:tabs>
          <w:tab w:val="num" w:pos="3600"/>
        </w:tabs>
        <w:ind w:left="3600" w:hanging="360"/>
      </w:pPr>
      <w:rPr>
        <w:rFonts w:ascii="Symbol" w:hAnsi="Symbol" w:hint="default"/>
      </w:rPr>
    </w:lvl>
    <w:lvl w:ilvl="5" w:tplc="2CF41092" w:tentative="1">
      <w:start w:val="1"/>
      <w:numFmt w:val="bullet"/>
      <w:lvlText w:val=""/>
      <w:lvlJc w:val="left"/>
      <w:pPr>
        <w:tabs>
          <w:tab w:val="num" w:pos="4320"/>
        </w:tabs>
        <w:ind w:left="4320" w:hanging="360"/>
      </w:pPr>
      <w:rPr>
        <w:rFonts w:ascii="Symbol" w:hAnsi="Symbol" w:hint="default"/>
      </w:rPr>
    </w:lvl>
    <w:lvl w:ilvl="6" w:tplc="28EAED3E" w:tentative="1">
      <w:start w:val="1"/>
      <w:numFmt w:val="bullet"/>
      <w:lvlText w:val=""/>
      <w:lvlJc w:val="left"/>
      <w:pPr>
        <w:tabs>
          <w:tab w:val="num" w:pos="5040"/>
        </w:tabs>
        <w:ind w:left="5040" w:hanging="360"/>
      </w:pPr>
      <w:rPr>
        <w:rFonts w:ascii="Symbol" w:hAnsi="Symbol" w:hint="default"/>
      </w:rPr>
    </w:lvl>
    <w:lvl w:ilvl="7" w:tplc="0F08EA06" w:tentative="1">
      <w:start w:val="1"/>
      <w:numFmt w:val="bullet"/>
      <w:lvlText w:val=""/>
      <w:lvlJc w:val="left"/>
      <w:pPr>
        <w:tabs>
          <w:tab w:val="num" w:pos="5760"/>
        </w:tabs>
        <w:ind w:left="5760" w:hanging="360"/>
      </w:pPr>
      <w:rPr>
        <w:rFonts w:ascii="Symbol" w:hAnsi="Symbol" w:hint="default"/>
      </w:rPr>
    </w:lvl>
    <w:lvl w:ilvl="8" w:tplc="946EEA9E" w:tentative="1">
      <w:start w:val="1"/>
      <w:numFmt w:val="bullet"/>
      <w:lvlText w:val=""/>
      <w:lvlJc w:val="left"/>
      <w:pPr>
        <w:tabs>
          <w:tab w:val="num" w:pos="6480"/>
        </w:tabs>
        <w:ind w:left="6480" w:hanging="360"/>
      </w:pPr>
      <w:rPr>
        <w:rFonts w:ascii="Symbol" w:hAnsi="Symbol" w:hint="default"/>
      </w:rPr>
    </w:lvl>
  </w:abstractNum>
  <w:abstractNum w:abstractNumId="83" w15:restartNumberingAfterBreak="0">
    <w:nsid w:val="2EF401C6"/>
    <w:multiLevelType w:val="hybridMultilevel"/>
    <w:tmpl w:val="939C58CC"/>
    <w:lvl w:ilvl="0" w:tplc="F9F0121E">
      <w:start w:val="1"/>
      <w:numFmt w:val="bullet"/>
      <w:lvlText w:val=""/>
      <w:lvlPicBulletId w:val="1"/>
      <w:lvlJc w:val="left"/>
      <w:pPr>
        <w:tabs>
          <w:tab w:val="num" w:pos="720"/>
        </w:tabs>
        <w:ind w:left="720" w:hanging="360"/>
      </w:pPr>
      <w:rPr>
        <w:rFonts w:ascii="Symbol" w:hAnsi="Symbol" w:hint="default"/>
      </w:rPr>
    </w:lvl>
    <w:lvl w:ilvl="1" w:tplc="461E7402" w:tentative="1">
      <w:start w:val="1"/>
      <w:numFmt w:val="bullet"/>
      <w:lvlText w:val=""/>
      <w:lvlJc w:val="left"/>
      <w:pPr>
        <w:tabs>
          <w:tab w:val="num" w:pos="1440"/>
        </w:tabs>
        <w:ind w:left="1440" w:hanging="360"/>
      </w:pPr>
      <w:rPr>
        <w:rFonts w:ascii="Symbol" w:hAnsi="Symbol" w:hint="default"/>
      </w:rPr>
    </w:lvl>
    <w:lvl w:ilvl="2" w:tplc="12E68166" w:tentative="1">
      <w:start w:val="1"/>
      <w:numFmt w:val="bullet"/>
      <w:lvlText w:val=""/>
      <w:lvlJc w:val="left"/>
      <w:pPr>
        <w:tabs>
          <w:tab w:val="num" w:pos="2160"/>
        </w:tabs>
        <w:ind w:left="2160" w:hanging="360"/>
      </w:pPr>
      <w:rPr>
        <w:rFonts w:ascii="Symbol" w:hAnsi="Symbol" w:hint="default"/>
      </w:rPr>
    </w:lvl>
    <w:lvl w:ilvl="3" w:tplc="A9B073C8" w:tentative="1">
      <w:start w:val="1"/>
      <w:numFmt w:val="bullet"/>
      <w:lvlText w:val=""/>
      <w:lvlJc w:val="left"/>
      <w:pPr>
        <w:tabs>
          <w:tab w:val="num" w:pos="2880"/>
        </w:tabs>
        <w:ind w:left="2880" w:hanging="360"/>
      </w:pPr>
      <w:rPr>
        <w:rFonts w:ascii="Symbol" w:hAnsi="Symbol" w:hint="default"/>
      </w:rPr>
    </w:lvl>
    <w:lvl w:ilvl="4" w:tplc="2542AAA8" w:tentative="1">
      <w:start w:val="1"/>
      <w:numFmt w:val="bullet"/>
      <w:lvlText w:val=""/>
      <w:lvlJc w:val="left"/>
      <w:pPr>
        <w:tabs>
          <w:tab w:val="num" w:pos="3600"/>
        </w:tabs>
        <w:ind w:left="3600" w:hanging="360"/>
      </w:pPr>
      <w:rPr>
        <w:rFonts w:ascii="Symbol" w:hAnsi="Symbol" w:hint="default"/>
      </w:rPr>
    </w:lvl>
    <w:lvl w:ilvl="5" w:tplc="7996FB1E" w:tentative="1">
      <w:start w:val="1"/>
      <w:numFmt w:val="bullet"/>
      <w:lvlText w:val=""/>
      <w:lvlJc w:val="left"/>
      <w:pPr>
        <w:tabs>
          <w:tab w:val="num" w:pos="4320"/>
        </w:tabs>
        <w:ind w:left="4320" w:hanging="360"/>
      </w:pPr>
      <w:rPr>
        <w:rFonts w:ascii="Symbol" w:hAnsi="Symbol" w:hint="default"/>
      </w:rPr>
    </w:lvl>
    <w:lvl w:ilvl="6" w:tplc="64D82B36" w:tentative="1">
      <w:start w:val="1"/>
      <w:numFmt w:val="bullet"/>
      <w:lvlText w:val=""/>
      <w:lvlJc w:val="left"/>
      <w:pPr>
        <w:tabs>
          <w:tab w:val="num" w:pos="5040"/>
        </w:tabs>
        <w:ind w:left="5040" w:hanging="360"/>
      </w:pPr>
      <w:rPr>
        <w:rFonts w:ascii="Symbol" w:hAnsi="Symbol" w:hint="default"/>
      </w:rPr>
    </w:lvl>
    <w:lvl w:ilvl="7" w:tplc="2632C1EC" w:tentative="1">
      <w:start w:val="1"/>
      <w:numFmt w:val="bullet"/>
      <w:lvlText w:val=""/>
      <w:lvlJc w:val="left"/>
      <w:pPr>
        <w:tabs>
          <w:tab w:val="num" w:pos="5760"/>
        </w:tabs>
        <w:ind w:left="5760" w:hanging="360"/>
      </w:pPr>
      <w:rPr>
        <w:rFonts w:ascii="Symbol" w:hAnsi="Symbol" w:hint="default"/>
      </w:rPr>
    </w:lvl>
    <w:lvl w:ilvl="8" w:tplc="F6828CCE" w:tentative="1">
      <w:start w:val="1"/>
      <w:numFmt w:val="bullet"/>
      <w:lvlText w:val=""/>
      <w:lvlJc w:val="left"/>
      <w:pPr>
        <w:tabs>
          <w:tab w:val="num" w:pos="6480"/>
        </w:tabs>
        <w:ind w:left="6480" w:hanging="360"/>
      </w:pPr>
      <w:rPr>
        <w:rFonts w:ascii="Symbol" w:hAnsi="Symbol" w:hint="default"/>
      </w:rPr>
    </w:lvl>
  </w:abstractNum>
  <w:abstractNum w:abstractNumId="84"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5" w15:restartNumberingAfterBreak="0">
    <w:nsid w:val="2FF33F37"/>
    <w:multiLevelType w:val="hybridMultilevel"/>
    <w:tmpl w:val="BE64AB4C"/>
    <w:lvl w:ilvl="0" w:tplc="04F8DAF6">
      <w:start w:val="1"/>
      <w:numFmt w:val="bullet"/>
      <w:lvlText w:val=""/>
      <w:lvlPicBulletId w:val="1"/>
      <w:lvlJc w:val="left"/>
      <w:pPr>
        <w:tabs>
          <w:tab w:val="num" w:pos="720"/>
        </w:tabs>
        <w:ind w:left="720" w:hanging="360"/>
      </w:pPr>
      <w:rPr>
        <w:rFonts w:ascii="Symbol" w:hAnsi="Symbol" w:hint="default"/>
      </w:rPr>
    </w:lvl>
    <w:lvl w:ilvl="1" w:tplc="9D542FB6" w:tentative="1">
      <w:start w:val="1"/>
      <w:numFmt w:val="bullet"/>
      <w:lvlText w:val=""/>
      <w:lvlJc w:val="left"/>
      <w:pPr>
        <w:tabs>
          <w:tab w:val="num" w:pos="1440"/>
        </w:tabs>
        <w:ind w:left="1440" w:hanging="360"/>
      </w:pPr>
      <w:rPr>
        <w:rFonts w:ascii="Symbol" w:hAnsi="Symbol" w:hint="default"/>
      </w:rPr>
    </w:lvl>
    <w:lvl w:ilvl="2" w:tplc="DC8A2BF2" w:tentative="1">
      <w:start w:val="1"/>
      <w:numFmt w:val="bullet"/>
      <w:lvlText w:val=""/>
      <w:lvlJc w:val="left"/>
      <w:pPr>
        <w:tabs>
          <w:tab w:val="num" w:pos="2160"/>
        </w:tabs>
        <w:ind w:left="2160" w:hanging="360"/>
      </w:pPr>
      <w:rPr>
        <w:rFonts w:ascii="Symbol" w:hAnsi="Symbol" w:hint="default"/>
      </w:rPr>
    </w:lvl>
    <w:lvl w:ilvl="3" w:tplc="3F4EF312" w:tentative="1">
      <w:start w:val="1"/>
      <w:numFmt w:val="bullet"/>
      <w:lvlText w:val=""/>
      <w:lvlJc w:val="left"/>
      <w:pPr>
        <w:tabs>
          <w:tab w:val="num" w:pos="2880"/>
        </w:tabs>
        <w:ind w:left="2880" w:hanging="360"/>
      </w:pPr>
      <w:rPr>
        <w:rFonts w:ascii="Symbol" w:hAnsi="Symbol" w:hint="default"/>
      </w:rPr>
    </w:lvl>
    <w:lvl w:ilvl="4" w:tplc="95264C0E" w:tentative="1">
      <w:start w:val="1"/>
      <w:numFmt w:val="bullet"/>
      <w:lvlText w:val=""/>
      <w:lvlJc w:val="left"/>
      <w:pPr>
        <w:tabs>
          <w:tab w:val="num" w:pos="3600"/>
        </w:tabs>
        <w:ind w:left="3600" w:hanging="360"/>
      </w:pPr>
      <w:rPr>
        <w:rFonts w:ascii="Symbol" w:hAnsi="Symbol" w:hint="default"/>
      </w:rPr>
    </w:lvl>
    <w:lvl w:ilvl="5" w:tplc="2460CB66" w:tentative="1">
      <w:start w:val="1"/>
      <w:numFmt w:val="bullet"/>
      <w:lvlText w:val=""/>
      <w:lvlJc w:val="left"/>
      <w:pPr>
        <w:tabs>
          <w:tab w:val="num" w:pos="4320"/>
        </w:tabs>
        <w:ind w:left="4320" w:hanging="360"/>
      </w:pPr>
      <w:rPr>
        <w:rFonts w:ascii="Symbol" w:hAnsi="Symbol" w:hint="default"/>
      </w:rPr>
    </w:lvl>
    <w:lvl w:ilvl="6" w:tplc="9F68E70C" w:tentative="1">
      <w:start w:val="1"/>
      <w:numFmt w:val="bullet"/>
      <w:lvlText w:val=""/>
      <w:lvlJc w:val="left"/>
      <w:pPr>
        <w:tabs>
          <w:tab w:val="num" w:pos="5040"/>
        </w:tabs>
        <w:ind w:left="5040" w:hanging="360"/>
      </w:pPr>
      <w:rPr>
        <w:rFonts w:ascii="Symbol" w:hAnsi="Symbol" w:hint="default"/>
      </w:rPr>
    </w:lvl>
    <w:lvl w:ilvl="7" w:tplc="78AE3788" w:tentative="1">
      <w:start w:val="1"/>
      <w:numFmt w:val="bullet"/>
      <w:lvlText w:val=""/>
      <w:lvlJc w:val="left"/>
      <w:pPr>
        <w:tabs>
          <w:tab w:val="num" w:pos="5760"/>
        </w:tabs>
        <w:ind w:left="5760" w:hanging="360"/>
      </w:pPr>
      <w:rPr>
        <w:rFonts w:ascii="Symbol" w:hAnsi="Symbol" w:hint="default"/>
      </w:rPr>
    </w:lvl>
    <w:lvl w:ilvl="8" w:tplc="BDA4EA36" w:tentative="1">
      <w:start w:val="1"/>
      <w:numFmt w:val="bullet"/>
      <w:lvlText w:val=""/>
      <w:lvlJc w:val="left"/>
      <w:pPr>
        <w:tabs>
          <w:tab w:val="num" w:pos="6480"/>
        </w:tabs>
        <w:ind w:left="6480" w:hanging="360"/>
      </w:pPr>
      <w:rPr>
        <w:rFonts w:ascii="Symbol" w:hAnsi="Symbol" w:hint="default"/>
      </w:rPr>
    </w:lvl>
  </w:abstractNum>
  <w:abstractNum w:abstractNumId="86" w15:restartNumberingAfterBreak="0">
    <w:nsid w:val="30530E9F"/>
    <w:multiLevelType w:val="hybridMultilevel"/>
    <w:tmpl w:val="3D94D9FC"/>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7" w15:restartNumberingAfterBreak="0">
    <w:nsid w:val="31A2413F"/>
    <w:multiLevelType w:val="hybridMultilevel"/>
    <w:tmpl w:val="09FA3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1FF50AE"/>
    <w:multiLevelType w:val="hybridMultilevel"/>
    <w:tmpl w:val="DC8C9312"/>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9" w15:restartNumberingAfterBreak="0">
    <w:nsid w:val="32337E1E"/>
    <w:multiLevelType w:val="hybridMultilevel"/>
    <w:tmpl w:val="91DADECA"/>
    <w:lvl w:ilvl="0" w:tplc="0C09000F">
      <w:start w:val="1"/>
      <w:numFmt w:val="decimal"/>
      <w:lvlText w:val="%1."/>
      <w:lvlJc w:val="left"/>
      <w:pPr>
        <w:ind w:left="360" w:hanging="360"/>
      </w:p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90" w15:restartNumberingAfterBreak="0">
    <w:nsid w:val="32F81F4F"/>
    <w:multiLevelType w:val="hybridMultilevel"/>
    <w:tmpl w:val="C5FA9E9A"/>
    <w:lvl w:ilvl="0" w:tplc="E63C1E18">
      <w:start w:val="1"/>
      <w:numFmt w:val="bullet"/>
      <w:lvlText w:val=""/>
      <w:lvlPicBulletId w:val="1"/>
      <w:lvlJc w:val="left"/>
      <w:pPr>
        <w:tabs>
          <w:tab w:val="num" w:pos="720"/>
        </w:tabs>
        <w:ind w:left="720" w:hanging="360"/>
      </w:pPr>
      <w:rPr>
        <w:rFonts w:ascii="Symbol" w:hAnsi="Symbol" w:hint="default"/>
      </w:rPr>
    </w:lvl>
    <w:lvl w:ilvl="1" w:tplc="E778A32C" w:tentative="1">
      <w:start w:val="1"/>
      <w:numFmt w:val="bullet"/>
      <w:lvlText w:val=""/>
      <w:lvlJc w:val="left"/>
      <w:pPr>
        <w:tabs>
          <w:tab w:val="num" w:pos="1440"/>
        </w:tabs>
        <w:ind w:left="1440" w:hanging="360"/>
      </w:pPr>
      <w:rPr>
        <w:rFonts w:ascii="Symbol" w:hAnsi="Symbol" w:hint="default"/>
      </w:rPr>
    </w:lvl>
    <w:lvl w:ilvl="2" w:tplc="61EAC4B8" w:tentative="1">
      <w:start w:val="1"/>
      <w:numFmt w:val="bullet"/>
      <w:lvlText w:val=""/>
      <w:lvlJc w:val="left"/>
      <w:pPr>
        <w:tabs>
          <w:tab w:val="num" w:pos="2160"/>
        </w:tabs>
        <w:ind w:left="2160" w:hanging="360"/>
      </w:pPr>
      <w:rPr>
        <w:rFonts w:ascii="Symbol" w:hAnsi="Symbol" w:hint="default"/>
      </w:rPr>
    </w:lvl>
    <w:lvl w:ilvl="3" w:tplc="40B00E3E" w:tentative="1">
      <w:start w:val="1"/>
      <w:numFmt w:val="bullet"/>
      <w:lvlText w:val=""/>
      <w:lvlJc w:val="left"/>
      <w:pPr>
        <w:tabs>
          <w:tab w:val="num" w:pos="2880"/>
        </w:tabs>
        <w:ind w:left="2880" w:hanging="360"/>
      </w:pPr>
      <w:rPr>
        <w:rFonts w:ascii="Symbol" w:hAnsi="Symbol" w:hint="default"/>
      </w:rPr>
    </w:lvl>
    <w:lvl w:ilvl="4" w:tplc="E2CE9F3A" w:tentative="1">
      <w:start w:val="1"/>
      <w:numFmt w:val="bullet"/>
      <w:lvlText w:val=""/>
      <w:lvlJc w:val="left"/>
      <w:pPr>
        <w:tabs>
          <w:tab w:val="num" w:pos="3600"/>
        </w:tabs>
        <w:ind w:left="3600" w:hanging="360"/>
      </w:pPr>
      <w:rPr>
        <w:rFonts w:ascii="Symbol" w:hAnsi="Symbol" w:hint="default"/>
      </w:rPr>
    </w:lvl>
    <w:lvl w:ilvl="5" w:tplc="1612132C" w:tentative="1">
      <w:start w:val="1"/>
      <w:numFmt w:val="bullet"/>
      <w:lvlText w:val=""/>
      <w:lvlJc w:val="left"/>
      <w:pPr>
        <w:tabs>
          <w:tab w:val="num" w:pos="4320"/>
        </w:tabs>
        <w:ind w:left="4320" w:hanging="360"/>
      </w:pPr>
      <w:rPr>
        <w:rFonts w:ascii="Symbol" w:hAnsi="Symbol" w:hint="default"/>
      </w:rPr>
    </w:lvl>
    <w:lvl w:ilvl="6" w:tplc="F95603A8" w:tentative="1">
      <w:start w:val="1"/>
      <w:numFmt w:val="bullet"/>
      <w:lvlText w:val=""/>
      <w:lvlJc w:val="left"/>
      <w:pPr>
        <w:tabs>
          <w:tab w:val="num" w:pos="5040"/>
        </w:tabs>
        <w:ind w:left="5040" w:hanging="360"/>
      </w:pPr>
      <w:rPr>
        <w:rFonts w:ascii="Symbol" w:hAnsi="Symbol" w:hint="default"/>
      </w:rPr>
    </w:lvl>
    <w:lvl w:ilvl="7" w:tplc="9B06A126" w:tentative="1">
      <w:start w:val="1"/>
      <w:numFmt w:val="bullet"/>
      <w:lvlText w:val=""/>
      <w:lvlJc w:val="left"/>
      <w:pPr>
        <w:tabs>
          <w:tab w:val="num" w:pos="5760"/>
        </w:tabs>
        <w:ind w:left="5760" w:hanging="360"/>
      </w:pPr>
      <w:rPr>
        <w:rFonts w:ascii="Symbol" w:hAnsi="Symbol" w:hint="default"/>
      </w:rPr>
    </w:lvl>
    <w:lvl w:ilvl="8" w:tplc="D4F68FDA" w:tentative="1">
      <w:start w:val="1"/>
      <w:numFmt w:val="bullet"/>
      <w:lvlText w:val=""/>
      <w:lvlJc w:val="left"/>
      <w:pPr>
        <w:tabs>
          <w:tab w:val="num" w:pos="6480"/>
        </w:tabs>
        <w:ind w:left="6480" w:hanging="360"/>
      </w:pPr>
      <w:rPr>
        <w:rFonts w:ascii="Symbol" w:hAnsi="Symbol" w:hint="default"/>
      </w:rPr>
    </w:lvl>
  </w:abstractNum>
  <w:abstractNum w:abstractNumId="91" w15:restartNumberingAfterBreak="0">
    <w:nsid w:val="33782DC7"/>
    <w:multiLevelType w:val="hybridMultilevel"/>
    <w:tmpl w:val="CE3C6BEA"/>
    <w:lvl w:ilvl="0" w:tplc="47446D9E">
      <w:start w:val="1"/>
      <w:numFmt w:val="bullet"/>
      <w:lvlText w:val=""/>
      <w:lvlPicBulletId w:val="1"/>
      <w:lvlJc w:val="left"/>
      <w:pPr>
        <w:tabs>
          <w:tab w:val="num" w:pos="720"/>
        </w:tabs>
        <w:ind w:left="720" w:hanging="360"/>
      </w:pPr>
      <w:rPr>
        <w:rFonts w:ascii="Symbol" w:hAnsi="Symbol" w:hint="default"/>
      </w:rPr>
    </w:lvl>
    <w:lvl w:ilvl="1" w:tplc="CA9A2988" w:tentative="1">
      <w:start w:val="1"/>
      <w:numFmt w:val="bullet"/>
      <w:lvlText w:val=""/>
      <w:lvlJc w:val="left"/>
      <w:pPr>
        <w:tabs>
          <w:tab w:val="num" w:pos="1440"/>
        </w:tabs>
        <w:ind w:left="1440" w:hanging="360"/>
      </w:pPr>
      <w:rPr>
        <w:rFonts w:ascii="Symbol" w:hAnsi="Symbol" w:hint="default"/>
      </w:rPr>
    </w:lvl>
    <w:lvl w:ilvl="2" w:tplc="AD96EF02" w:tentative="1">
      <w:start w:val="1"/>
      <w:numFmt w:val="bullet"/>
      <w:lvlText w:val=""/>
      <w:lvlJc w:val="left"/>
      <w:pPr>
        <w:tabs>
          <w:tab w:val="num" w:pos="2160"/>
        </w:tabs>
        <w:ind w:left="2160" w:hanging="360"/>
      </w:pPr>
      <w:rPr>
        <w:rFonts w:ascii="Symbol" w:hAnsi="Symbol" w:hint="default"/>
      </w:rPr>
    </w:lvl>
    <w:lvl w:ilvl="3" w:tplc="A2D6809A" w:tentative="1">
      <w:start w:val="1"/>
      <w:numFmt w:val="bullet"/>
      <w:lvlText w:val=""/>
      <w:lvlJc w:val="left"/>
      <w:pPr>
        <w:tabs>
          <w:tab w:val="num" w:pos="2880"/>
        </w:tabs>
        <w:ind w:left="2880" w:hanging="360"/>
      </w:pPr>
      <w:rPr>
        <w:rFonts w:ascii="Symbol" w:hAnsi="Symbol" w:hint="default"/>
      </w:rPr>
    </w:lvl>
    <w:lvl w:ilvl="4" w:tplc="3AE49788" w:tentative="1">
      <w:start w:val="1"/>
      <w:numFmt w:val="bullet"/>
      <w:lvlText w:val=""/>
      <w:lvlJc w:val="left"/>
      <w:pPr>
        <w:tabs>
          <w:tab w:val="num" w:pos="3600"/>
        </w:tabs>
        <w:ind w:left="3600" w:hanging="360"/>
      </w:pPr>
      <w:rPr>
        <w:rFonts w:ascii="Symbol" w:hAnsi="Symbol" w:hint="default"/>
      </w:rPr>
    </w:lvl>
    <w:lvl w:ilvl="5" w:tplc="C9D0BBE0" w:tentative="1">
      <w:start w:val="1"/>
      <w:numFmt w:val="bullet"/>
      <w:lvlText w:val=""/>
      <w:lvlJc w:val="left"/>
      <w:pPr>
        <w:tabs>
          <w:tab w:val="num" w:pos="4320"/>
        </w:tabs>
        <w:ind w:left="4320" w:hanging="360"/>
      </w:pPr>
      <w:rPr>
        <w:rFonts w:ascii="Symbol" w:hAnsi="Symbol" w:hint="default"/>
      </w:rPr>
    </w:lvl>
    <w:lvl w:ilvl="6" w:tplc="08D08950" w:tentative="1">
      <w:start w:val="1"/>
      <w:numFmt w:val="bullet"/>
      <w:lvlText w:val=""/>
      <w:lvlJc w:val="left"/>
      <w:pPr>
        <w:tabs>
          <w:tab w:val="num" w:pos="5040"/>
        </w:tabs>
        <w:ind w:left="5040" w:hanging="360"/>
      </w:pPr>
      <w:rPr>
        <w:rFonts w:ascii="Symbol" w:hAnsi="Symbol" w:hint="default"/>
      </w:rPr>
    </w:lvl>
    <w:lvl w:ilvl="7" w:tplc="480E947A" w:tentative="1">
      <w:start w:val="1"/>
      <w:numFmt w:val="bullet"/>
      <w:lvlText w:val=""/>
      <w:lvlJc w:val="left"/>
      <w:pPr>
        <w:tabs>
          <w:tab w:val="num" w:pos="5760"/>
        </w:tabs>
        <w:ind w:left="5760" w:hanging="360"/>
      </w:pPr>
      <w:rPr>
        <w:rFonts w:ascii="Symbol" w:hAnsi="Symbol" w:hint="default"/>
      </w:rPr>
    </w:lvl>
    <w:lvl w:ilvl="8" w:tplc="7FDA7568" w:tentative="1">
      <w:start w:val="1"/>
      <w:numFmt w:val="bullet"/>
      <w:lvlText w:val=""/>
      <w:lvlJc w:val="left"/>
      <w:pPr>
        <w:tabs>
          <w:tab w:val="num" w:pos="6480"/>
        </w:tabs>
        <w:ind w:left="6480" w:hanging="360"/>
      </w:pPr>
      <w:rPr>
        <w:rFonts w:ascii="Symbol" w:hAnsi="Symbol" w:hint="default"/>
      </w:rPr>
    </w:lvl>
  </w:abstractNum>
  <w:abstractNum w:abstractNumId="92" w15:restartNumberingAfterBreak="0">
    <w:nsid w:val="347828CE"/>
    <w:multiLevelType w:val="hybridMultilevel"/>
    <w:tmpl w:val="DE202FCA"/>
    <w:lvl w:ilvl="0" w:tplc="0C09000B">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35640D42"/>
    <w:multiLevelType w:val="hybridMultilevel"/>
    <w:tmpl w:val="9CB663A2"/>
    <w:lvl w:ilvl="0" w:tplc="C9427EEE">
      <w:start w:val="1"/>
      <w:numFmt w:val="bullet"/>
      <w:lvlText w:val=""/>
      <w:lvlPicBulletId w:val="1"/>
      <w:lvlJc w:val="left"/>
      <w:pPr>
        <w:tabs>
          <w:tab w:val="num" w:pos="720"/>
        </w:tabs>
        <w:ind w:left="720" w:hanging="360"/>
      </w:pPr>
      <w:rPr>
        <w:rFonts w:ascii="Symbol" w:hAnsi="Symbol" w:hint="default"/>
      </w:rPr>
    </w:lvl>
    <w:lvl w:ilvl="1" w:tplc="DB6442EA" w:tentative="1">
      <w:start w:val="1"/>
      <w:numFmt w:val="bullet"/>
      <w:lvlText w:val=""/>
      <w:lvlJc w:val="left"/>
      <w:pPr>
        <w:tabs>
          <w:tab w:val="num" w:pos="1440"/>
        </w:tabs>
        <w:ind w:left="1440" w:hanging="360"/>
      </w:pPr>
      <w:rPr>
        <w:rFonts w:ascii="Symbol" w:hAnsi="Symbol" w:hint="default"/>
      </w:rPr>
    </w:lvl>
    <w:lvl w:ilvl="2" w:tplc="72908920" w:tentative="1">
      <w:start w:val="1"/>
      <w:numFmt w:val="bullet"/>
      <w:lvlText w:val=""/>
      <w:lvlJc w:val="left"/>
      <w:pPr>
        <w:tabs>
          <w:tab w:val="num" w:pos="2160"/>
        </w:tabs>
        <w:ind w:left="2160" w:hanging="360"/>
      </w:pPr>
      <w:rPr>
        <w:rFonts w:ascii="Symbol" w:hAnsi="Symbol" w:hint="default"/>
      </w:rPr>
    </w:lvl>
    <w:lvl w:ilvl="3" w:tplc="0C4C18AA" w:tentative="1">
      <w:start w:val="1"/>
      <w:numFmt w:val="bullet"/>
      <w:lvlText w:val=""/>
      <w:lvlJc w:val="left"/>
      <w:pPr>
        <w:tabs>
          <w:tab w:val="num" w:pos="2880"/>
        </w:tabs>
        <w:ind w:left="2880" w:hanging="360"/>
      </w:pPr>
      <w:rPr>
        <w:rFonts w:ascii="Symbol" w:hAnsi="Symbol" w:hint="default"/>
      </w:rPr>
    </w:lvl>
    <w:lvl w:ilvl="4" w:tplc="81CE4292" w:tentative="1">
      <w:start w:val="1"/>
      <w:numFmt w:val="bullet"/>
      <w:lvlText w:val=""/>
      <w:lvlJc w:val="left"/>
      <w:pPr>
        <w:tabs>
          <w:tab w:val="num" w:pos="3600"/>
        </w:tabs>
        <w:ind w:left="3600" w:hanging="360"/>
      </w:pPr>
      <w:rPr>
        <w:rFonts w:ascii="Symbol" w:hAnsi="Symbol" w:hint="default"/>
      </w:rPr>
    </w:lvl>
    <w:lvl w:ilvl="5" w:tplc="5F466EBA" w:tentative="1">
      <w:start w:val="1"/>
      <w:numFmt w:val="bullet"/>
      <w:lvlText w:val=""/>
      <w:lvlJc w:val="left"/>
      <w:pPr>
        <w:tabs>
          <w:tab w:val="num" w:pos="4320"/>
        </w:tabs>
        <w:ind w:left="4320" w:hanging="360"/>
      </w:pPr>
      <w:rPr>
        <w:rFonts w:ascii="Symbol" w:hAnsi="Symbol" w:hint="default"/>
      </w:rPr>
    </w:lvl>
    <w:lvl w:ilvl="6" w:tplc="3F089894" w:tentative="1">
      <w:start w:val="1"/>
      <w:numFmt w:val="bullet"/>
      <w:lvlText w:val=""/>
      <w:lvlJc w:val="left"/>
      <w:pPr>
        <w:tabs>
          <w:tab w:val="num" w:pos="5040"/>
        </w:tabs>
        <w:ind w:left="5040" w:hanging="360"/>
      </w:pPr>
      <w:rPr>
        <w:rFonts w:ascii="Symbol" w:hAnsi="Symbol" w:hint="default"/>
      </w:rPr>
    </w:lvl>
    <w:lvl w:ilvl="7" w:tplc="E48461C6" w:tentative="1">
      <w:start w:val="1"/>
      <w:numFmt w:val="bullet"/>
      <w:lvlText w:val=""/>
      <w:lvlJc w:val="left"/>
      <w:pPr>
        <w:tabs>
          <w:tab w:val="num" w:pos="5760"/>
        </w:tabs>
        <w:ind w:left="5760" w:hanging="360"/>
      </w:pPr>
      <w:rPr>
        <w:rFonts w:ascii="Symbol" w:hAnsi="Symbol" w:hint="default"/>
      </w:rPr>
    </w:lvl>
    <w:lvl w:ilvl="8" w:tplc="603089BA" w:tentative="1">
      <w:start w:val="1"/>
      <w:numFmt w:val="bullet"/>
      <w:lvlText w:val=""/>
      <w:lvlJc w:val="left"/>
      <w:pPr>
        <w:tabs>
          <w:tab w:val="num" w:pos="6480"/>
        </w:tabs>
        <w:ind w:left="6480" w:hanging="360"/>
      </w:pPr>
      <w:rPr>
        <w:rFonts w:ascii="Symbol" w:hAnsi="Symbol" w:hint="default"/>
      </w:rPr>
    </w:lvl>
  </w:abstractNum>
  <w:abstractNum w:abstractNumId="94" w15:restartNumberingAfterBreak="0">
    <w:nsid w:val="35843D54"/>
    <w:multiLevelType w:val="hybridMultilevel"/>
    <w:tmpl w:val="EA72D684"/>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5884D83"/>
    <w:multiLevelType w:val="hybridMultilevel"/>
    <w:tmpl w:val="F53471AE"/>
    <w:lvl w:ilvl="0" w:tplc="4A200054">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36A876A2"/>
    <w:multiLevelType w:val="hybridMultilevel"/>
    <w:tmpl w:val="FFCCE360"/>
    <w:lvl w:ilvl="0" w:tplc="5738805C">
      <w:start w:val="1"/>
      <w:numFmt w:val="bullet"/>
      <w:lvlText w:val=""/>
      <w:lvlPicBulletId w:val="1"/>
      <w:lvlJc w:val="left"/>
      <w:pPr>
        <w:tabs>
          <w:tab w:val="num" w:pos="720"/>
        </w:tabs>
        <w:ind w:left="720" w:hanging="360"/>
      </w:pPr>
      <w:rPr>
        <w:rFonts w:ascii="Symbol" w:hAnsi="Symbol" w:hint="default"/>
      </w:rPr>
    </w:lvl>
    <w:lvl w:ilvl="1" w:tplc="ABC091AA" w:tentative="1">
      <w:start w:val="1"/>
      <w:numFmt w:val="bullet"/>
      <w:lvlText w:val=""/>
      <w:lvlJc w:val="left"/>
      <w:pPr>
        <w:tabs>
          <w:tab w:val="num" w:pos="1440"/>
        </w:tabs>
        <w:ind w:left="1440" w:hanging="360"/>
      </w:pPr>
      <w:rPr>
        <w:rFonts w:ascii="Symbol" w:hAnsi="Symbol" w:hint="default"/>
      </w:rPr>
    </w:lvl>
    <w:lvl w:ilvl="2" w:tplc="B958DBEE" w:tentative="1">
      <w:start w:val="1"/>
      <w:numFmt w:val="bullet"/>
      <w:lvlText w:val=""/>
      <w:lvlJc w:val="left"/>
      <w:pPr>
        <w:tabs>
          <w:tab w:val="num" w:pos="2160"/>
        </w:tabs>
        <w:ind w:left="2160" w:hanging="360"/>
      </w:pPr>
      <w:rPr>
        <w:rFonts w:ascii="Symbol" w:hAnsi="Symbol" w:hint="default"/>
      </w:rPr>
    </w:lvl>
    <w:lvl w:ilvl="3" w:tplc="F1AE4748" w:tentative="1">
      <w:start w:val="1"/>
      <w:numFmt w:val="bullet"/>
      <w:lvlText w:val=""/>
      <w:lvlJc w:val="left"/>
      <w:pPr>
        <w:tabs>
          <w:tab w:val="num" w:pos="2880"/>
        </w:tabs>
        <w:ind w:left="2880" w:hanging="360"/>
      </w:pPr>
      <w:rPr>
        <w:rFonts w:ascii="Symbol" w:hAnsi="Symbol" w:hint="default"/>
      </w:rPr>
    </w:lvl>
    <w:lvl w:ilvl="4" w:tplc="2AC67648" w:tentative="1">
      <w:start w:val="1"/>
      <w:numFmt w:val="bullet"/>
      <w:lvlText w:val=""/>
      <w:lvlJc w:val="left"/>
      <w:pPr>
        <w:tabs>
          <w:tab w:val="num" w:pos="3600"/>
        </w:tabs>
        <w:ind w:left="3600" w:hanging="360"/>
      </w:pPr>
      <w:rPr>
        <w:rFonts w:ascii="Symbol" w:hAnsi="Symbol" w:hint="default"/>
      </w:rPr>
    </w:lvl>
    <w:lvl w:ilvl="5" w:tplc="17520EB6" w:tentative="1">
      <w:start w:val="1"/>
      <w:numFmt w:val="bullet"/>
      <w:lvlText w:val=""/>
      <w:lvlJc w:val="left"/>
      <w:pPr>
        <w:tabs>
          <w:tab w:val="num" w:pos="4320"/>
        </w:tabs>
        <w:ind w:left="4320" w:hanging="360"/>
      </w:pPr>
      <w:rPr>
        <w:rFonts w:ascii="Symbol" w:hAnsi="Symbol" w:hint="default"/>
      </w:rPr>
    </w:lvl>
    <w:lvl w:ilvl="6" w:tplc="BAAAB8D8" w:tentative="1">
      <w:start w:val="1"/>
      <w:numFmt w:val="bullet"/>
      <w:lvlText w:val=""/>
      <w:lvlJc w:val="left"/>
      <w:pPr>
        <w:tabs>
          <w:tab w:val="num" w:pos="5040"/>
        </w:tabs>
        <w:ind w:left="5040" w:hanging="360"/>
      </w:pPr>
      <w:rPr>
        <w:rFonts w:ascii="Symbol" w:hAnsi="Symbol" w:hint="default"/>
      </w:rPr>
    </w:lvl>
    <w:lvl w:ilvl="7" w:tplc="B61846FA" w:tentative="1">
      <w:start w:val="1"/>
      <w:numFmt w:val="bullet"/>
      <w:lvlText w:val=""/>
      <w:lvlJc w:val="left"/>
      <w:pPr>
        <w:tabs>
          <w:tab w:val="num" w:pos="5760"/>
        </w:tabs>
        <w:ind w:left="5760" w:hanging="360"/>
      </w:pPr>
      <w:rPr>
        <w:rFonts w:ascii="Symbol" w:hAnsi="Symbol" w:hint="default"/>
      </w:rPr>
    </w:lvl>
    <w:lvl w:ilvl="8" w:tplc="40BA87A4" w:tentative="1">
      <w:start w:val="1"/>
      <w:numFmt w:val="bullet"/>
      <w:lvlText w:val=""/>
      <w:lvlJc w:val="left"/>
      <w:pPr>
        <w:tabs>
          <w:tab w:val="num" w:pos="6480"/>
        </w:tabs>
        <w:ind w:left="6480" w:hanging="360"/>
      </w:pPr>
      <w:rPr>
        <w:rFonts w:ascii="Symbol" w:hAnsi="Symbol" w:hint="default"/>
      </w:rPr>
    </w:lvl>
  </w:abstractNum>
  <w:abstractNum w:abstractNumId="97" w15:restartNumberingAfterBreak="0">
    <w:nsid w:val="36D41108"/>
    <w:multiLevelType w:val="hybridMultilevel"/>
    <w:tmpl w:val="46DE0C00"/>
    <w:lvl w:ilvl="0" w:tplc="BCC8CE22">
      <w:start w:val="1"/>
      <w:numFmt w:val="bullet"/>
      <w:lvlText w:val=""/>
      <w:lvlPicBulletId w:val="1"/>
      <w:lvlJc w:val="left"/>
      <w:pPr>
        <w:tabs>
          <w:tab w:val="num" w:pos="720"/>
        </w:tabs>
        <w:ind w:left="720" w:hanging="360"/>
      </w:pPr>
      <w:rPr>
        <w:rFonts w:ascii="Symbol" w:hAnsi="Symbol" w:hint="default"/>
      </w:rPr>
    </w:lvl>
    <w:lvl w:ilvl="1" w:tplc="67908E1A" w:tentative="1">
      <w:start w:val="1"/>
      <w:numFmt w:val="bullet"/>
      <w:lvlText w:val=""/>
      <w:lvlJc w:val="left"/>
      <w:pPr>
        <w:tabs>
          <w:tab w:val="num" w:pos="1440"/>
        </w:tabs>
        <w:ind w:left="1440" w:hanging="360"/>
      </w:pPr>
      <w:rPr>
        <w:rFonts w:ascii="Symbol" w:hAnsi="Symbol" w:hint="default"/>
      </w:rPr>
    </w:lvl>
    <w:lvl w:ilvl="2" w:tplc="16A884C4" w:tentative="1">
      <w:start w:val="1"/>
      <w:numFmt w:val="bullet"/>
      <w:lvlText w:val=""/>
      <w:lvlJc w:val="left"/>
      <w:pPr>
        <w:tabs>
          <w:tab w:val="num" w:pos="2160"/>
        </w:tabs>
        <w:ind w:left="2160" w:hanging="360"/>
      </w:pPr>
      <w:rPr>
        <w:rFonts w:ascii="Symbol" w:hAnsi="Symbol" w:hint="default"/>
      </w:rPr>
    </w:lvl>
    <w:lvl w:ilvl="3" w:tplc="C14ADA46" w:tentative="1">
      <w:start w:val="1"/>
      <w:numFmt w:val="bullet"/>
      <w:lvlText w:val=""/>
      <w:lvlJc w:val="left"/>
      <w:pPr>
        <w:tabs>
          <w:tab w:val="num" w:pos="2880"/>
        </w:tabs>
        <w:ind w:left="2880" w:hanging="360"/>
      </w:pPr>
      <w:rPr>
        <w:rFonts w:ascii="Symbol" w:hAnsi="Symbol" w:hint="default"/>
      </w:rPr>
    </w:lvl>
    <w:lvl w:ilvl="4" w:tplc="3A4033D8" w:tentative="1">
      <w:start w:val="1"/>
      <w:numFmt w:val="bullet"/>
      <w:lvlText w:val=""/>
      <w:lvlJc w:val="left"/>
      <w:pPr>
        <w:tabs>
          <w:tab w:val="num" w:pos="3600"/>
        </w:tabs>
        <w:ind w:left="3600" w:hanging="360"/>
      </w:pPr>
      <w:rPr>
        <w:rFonts w:ascii="Symbol" w:hAnsi="Symbol" w:hint="default"/>
      </w:rPr>
    </w:lvl>
    <w:lvl w:ilvl="5" w:tplc="303A6B06" w:tentative="1">
      <w:start w:val="1"/>
      <w:numFmt w:val="bullet"/>
      <w:lvlText w:val=""/>
      <w:lvlJc w:val="left"/>
      <w:pPr>
        <w:tabs>
          <w:tab w:val="num" w:pos="4320"/>
        </w:tabs>
        <w:ind w:left="4320" w:hanging="360"/>
      </w:pPr>
      <w:rPr>
        <w:rFonts w:ascii="Symbol" w:hAnsi="Symbol" w:hint="default"/>
      </w:rPr>
    </w:lvl>
    <w:lvl w:ilvl="6" w:tplc="48BCB9AE" w:tentative="1">
      <w:start w:val="1"/>
      <w:numFmt w:val="bullet"/>
      <w:lvlText w:val=""/>
      <w:lvlJc w:val="left"/>
      <w:pPr>
        <w:tabs>
          <w:tab w:val="num" w:pos="5040"/>
        </w:tabs>
        <w:ind w:left="5040" w:hanging="360"/>
      </w:pPr>
      <w:rPr>
        <w:rFonts w:ascii="Symbol" w:hAnsi="Symbol" w:hint="default"/>
      </w:rPr>
    </w:lvl>
    <w:lvl w:ilvl="7" w:tplc="D70A2870" w:tentative="1">
      <w:start w:val="1"/>
      <w:numFmt w:val="bullet"/>
      <w:lvlText w:val=""/>
      <w:lvlJc w:val="left"/>
      <w:pPr>
        <w:tabs>
          <w:tab w:val="num" w:pos="5760"/>
        </w:tabs>
        <w:ind w:left="5760" w:hanging="360"/>
      </w:pPr>
      <w:rPr>
        <w:rFonts w:ascii="Symbol" w:hAnsi="Symbol" w:hint="default"/>
      </w:rPr>
    </w:lvl>
    <w:lvl w:ilvl="8" w:tplc="A468A6B8" w:tentative="1">
      <w:start w:val="1"/>
      <w:numFmt w:val="bullet"/>
      <w:lvlText w:val=""/>
      <w:lvlJc w:val="left"/>
      <w:pPr>
        <w:tabs>
          <w:tab w:val="num" w:pos="6480"/>
        </w:tabs>
        <w:ind w:left="6480" w:hanging="360"/>
      </w:pPr>
      <w:rPr>
        <w:rFonts w:ascii="Symbol" w:hAnsi="Symbol" w:hint="default"/>
      </w:rPr>
    </w:lvl>
  </w:abstractNum>
  <w:abstractNum w:abstractNumId="98" w15:restartNumberingAfterBreak="0">
    <w:nsid w:val="37020905"/>
    <w:multiLevelType w:val="hybridMultilevel"/>
    <w:tmpl w:val="15B4EBD2"/>
    <w:lvl w:ilvl="0" w:tplc="E6D4EA88">
      <w:start w:val="1"/>
      <w:numFmt w:val="decimal"/>
      <w:lvlText w:val="%1."/>
      <w:lvlJc w:val="left"/>
      <w:pPr>
        <w:ind w:left="360" w:hanging="360"/>
      </w:pPr>
      <w:rPr>
        <w:rFonts w:ascii="Arial" w:hAnsi="Arial" w:cs="Arial" w:hint="default"/>
        <w:b w:val="0"/>
        <w:bCs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9" w15:restartNumberingAfterBreak="0">
    <w:nsid w:val="3731102D"/>
    <w:multiLevelType w:val="hybridMultilevel"/>
    <w:tmpl w:val="95CAD8B2"/>
    <w:lvl w:ilvl="0" w:tplc="08D2AB58">
      <w:start w:val="1"/>
      <w:numFmt w:val="bullet"/>
      <w:lvlText w:val="&gt;"/>
      <w:lvlJc w:val="left"/>
      <w:pPr>
        <w:ind w:left="720" w:hanging="360"/>
      </w:pPr>
      <w:rPr>
        <w:rFonts w:ascii="HelveticaNeueLT Std Lt" w:hAnsi="HelveticaNeueLT Std Lt"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7DD6398"/>
    <w:multiLevelType w:val="hybridMultilevel"/>
    <w:tmpl w:val="0FE87A82"/>
    <w:lvl w:ilvl="0" w:tplc="08D2AB58">
      <w:start w:val="1"/>
      <w:numFmt w:val="bullet"/>
      <w:lvlText w:val="&gt;"/>
      <w:lvlJc w:val="left"/>
      <w:pPr>
        <w:ind w:left="928" w:hanging="360"/>
      </w:pPr>
      <w:rPr>
        <w:rFonts w:ascii="HelveticaNeueLT Std Lt" w:hAnsi="HelveticaNeueLT Std Lt" w:hint="default"/>
        <w:sz w:val="2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101" w15:restartNumberingAfterBreak="0">
    <w:nsid w:val="38A41992"/>
    <w:multiLevelType w:val="hybridMultilevel"/>
    <w:tmpl w:val="593A8AAA"/>
    <w:lvl w:ilvl="0" w:tplc="26F264B2">
      <w:start w:val="1"/>
      <w:numFmt w:val="bullet"/>
      <w:lvlText w:val=""/>
      <w:lvlPicBulletId w:val="0"/>
      <w:lvlJc w:val="left"/>
      <w:pPr>
        <w:tabs>
          <w:tab w:val="num" w:pos="720"/>
        </w:tabs>
        <w:ind w:left="720" w:hanging="360"/>
      </w:pPr>
      <w:rPr>
        <w:rFonts w:ascii="Symbol" w:hAnsi="Symbol" w:hint="default"/>
      </w:rPr>
    </w:lvl>
    <w:lvl w:ilvl="1" w:tplc="5F3E55FA" w:tentative="1">
      <w:start w:val="1"/>
      <w:numFmt w:val="bullet"/>
      <w:lvlText w:val=""/>
      <w:lvlJc w:val="left"/>
      <w:pPr>
        <w:tabs>
          <w:tab w:val="num" w:pos="1440"/>
        </w:tabs>
        <w:ind w:left="1440" w:hanging="360"/>
      </w:pPr>
      <w:rPr>
        <w:rFonts w:ascii="Symbol" w:hAnsi="Symbol" w:hint="default"/>
      </w:rPr>
    </w:lvl>
    <w:lvl w:ilvl="2" w:tplc="B48CF6F0" w:tentative="1">
      <w:start w:val="1"/>
      <w:numFmt w:val="bullet"/>
      <w:lvlText w:val=""/>
      <w:lvlJc w:val="left"/>
      <w:pPr>
        <w:tabs>
          <w:tab w:val="num" w:pos="2160"/>
        </w:tabs>
        <w:ind w:left="2160" w:hanging="360"/>
      </w:pPr>
      <w:rPr>
        <w:rFonts w:ascii="Symbol" w:hAnsi="Symbol" w:hint="default"/>
      </w:rPr>
    </w:lvl>
    <w:lvl w:ilvl="3" w:tplc="21E0EC36" w:tentative="1">
      <w:start w:val="1"/>
      <w:numFmt w:val="bullet"/>
      <w:lvlText w:val=""/>
      <w:lvlJc w:val="left"/>
      <w:pPr>
        <w:tabs>
          <w:tab w:val="num" w:pos="2880"/>
        </w:tabs>
        <w:ind w:left="2880" w:hanging="360"/>
      </w:pPr>
      <w:rPr>
        <w:rFonts w:ascii="Symbol" w:hAnsi="Symbol" w:hint="default"/>
      </w:rPr>
    </w:lvl>
    <w:lvl w:ilvl="4" w:tplc="92A40348" w:tentative="1">
      <w:start w:val="1"/>
      <w:numFmt w:val="bullet"/>
      <w:lvlText w:val=""/>
      <w:lvlJc w:val="left"/>
      <w:pPr>
        <w:tabs>
          <w:tab w:val="num" w:pos="3600"/>
        </w:tabs>
        <w:ind w:left="3600" w:hanging="360"/>
      </w:pPr>
      <w:rPr>
        <w:rFonts w:ascii="Symbol" w:hAnsi="Symbol" w:hint="default"/>
      </w:rPr>
    </w:lvl>
    <w:lvl w:ilvl="5" w:tplc="5A48E17A" w:tentative="1">
      <w:start w:val="1"/>
      <w:numFmt w:val="bullet"/>
      <w:lvlText w:val=""/>
      <w:lvlJc w:val="left"/>
      <w:pPr>
        <w:tabs>
          <w:tab w:val="num" w:pos="4320"/>
        </w:tabs>
        <w:ind w:left="4320" w:hanging="360"/>
      </w:pPr>
      <w:rPr>
        <w:rFonts w:ascii="Symbol" w:hAnsi="Symbol" w:hint="default"/>
      </w:rPr>
    </w:lvl>
    <w:lvl w:ilvl="6" w:tplc="CA3E44C2" w:tentative="1">
      <w:start w:val="1"/>
      <w:numFmt w:val="bullet"/>
      <w:lvlText w:val=""/>
      <w:lvlJc w:val="left"/>
      <w:pPr>
        <w:tabs>
          <w:tab w:val="num" w:pos="5040"/>
        </w:tabs>
        <w:ind w:left="5040" w:hanging="360"/>
      </w:pPr>
      <w:rPr>
        <w:rFonts w:ascii="Symbol" w:hAnsi="Symbol" w:hint="default"/>
      </w:rPr>
    </w:lvl>
    <w:lvl w:ilvl="7" w:tplc="5688F148" w:tentative="1">
      <w:start w:val="1"/>
      <w:numFmt w:val="bullet"/>
      <w:lvlText w:val=""/>
      <w:lvlJc w:val="left"/>
      <w:pPr>
        <w:tabs>
          <w:tab w:val="num" w:pos="5760"/>
        </w:tabs>
        <w:ind w:left="5760" w:hanging="360"/>
      </w:pPr>
      <w:rPr>
        <w:rFonts w:ascii="Symbol" w:hAnsi="Symbol" w:hint="default"/>
      </w:rPr>
    </w:lvl>
    <w:lvl w:ilvl="8" w:tplc="008EBF56" w:tentative="1">
      <w:start w:val="1"/>
      <w:numFmt w:val="bullet"/>
      <w:lvlText w:val=""/>
      <w:lvlJc w:val="left"/>
      <w:pPr>
        <w:tabs>
          <w:tab w:val="num" w:pos="6480"/>
        </w:tabs>
        <w:ind w:left="6480" w:hanging="360"/>
      </w:pPr>
      <w:rPr>
        <w:rFonts w:ascii="Symbol" w:hAnsi="Symbol" w:hint="default"/>
      </w:rPr>
    </w:lvl>
  </w:abstractNum>
  <w:abstractNum w:abstractNumId="102" w15:restartNumberingAfterBreak="0">
    <w:nsid w:val="38F55BFD"/>
    <w:multiLevelType w:val="hybridMultilevel"/>
    <w:tmpl w:val="8A7C5670"/>
    <w:lvl w:ilvl="0" w:tplc="69DA2B86">
      <w:start w:val="1"/>
      <w:numFmt w:val="bullet"/>
      <w:lvlText w:val=""/>
      <w:lvlPicBulletId w:val="1"/>
      <w:lvlJc w:val="left"/>
      <w:pPr>
        <w:tabs>
          <w:tab w:val="num" w:pos="720"/>
        </w:tabs>
        <w:ind w:left="720" w:hanging="360"/>
      </w:pPr>
      <w:rPr>
        <w:rFonts w:ascii="Symbol" w:hAnsi="Symbol" w:hint="default"/>
      </w:rPr>
    </w:lvl>
    <w:lvl w:ilvl="1" w:tplc="0EF2A5CE" w:tentative="1">
      <w:start w:val="1"/>
      <w:numFmt w:val="bullet"/>
      <w:lvlText w:val=""/>
      <w:lvlJc w:val="left"/>
      <w:pPr>
        <w:tabs>
          <w:tab w:val="num" w:pos="1440"/>
        </w:tabs>
        <w:ind w:left="1440" w:hanging="360"/>
      </w:pPr>
      <w:rPr>
        <w:rFonts w:ascii="Symbol" w:hAnsi="Symbol" w:hint="default"/>
      </w:rPr>
    </w:lvl>
    <w:lvl w:ilvl="2" w:tplc="7DD6E996" w:tentative="1">
      <w:start w:val="1"/>
      <w:numFmt w:val="bullet"/>
      <w:lvlText w:val=""/>
      <w:lvlJc w:val="left"/>
      <w:pPr>
        <w:tabs>
          <w:tab w:val="num" w:pos="2160"/>
        </w:tabs>
        <w:ind w:left="2160" w:hanging="360"/>
      </w:pPr>
      <w:rPr>
        <w:rFonts w:ascii="Symbol" w:hAnsi="Symbol" w:hint="default"/>
      </w:rPr>
    </w:lvl>
    <w:lvl w:ilvl="3" w:tplc="B46E5EFA" w:tentative="1">
      <w:start w:val="1"/>
      <w:numFmt w:val="bullet"/>
      <w:lvlText w:val=""/>
      <w:lvlJc w:val="left"/>
      <w:pPr>
        <w:tabs>
          <w:tab w:val="num" w:pos="2880"/>
        </w:tabs>
        <w:ind w:left="2880" w:hanging="360"/>
      </w:pPr>
      <w:rPr>
        <w:rFonts w:ascii="Symbol" w:hAnsi="Symbol" w:hint="default"/>
      </w:rPr>
    </w:lvl>
    <w:lvl w:ilvl="4" w:tplc="02282EC4" w:tentative="1">
      <w:start w:val="1"/>
      <w:numFmt w:val="bullet"/>
      <w:lvlText w:val=""/>
      <w:lvlJc w:val="left"/>
      <w:pPr>
        <w:tabs>
          <w:tab w:val="num" w:pos="3600"/>
        </w:tabs>
        <w:ind w:left="3600" w:hanging="360"/>
      </w:pPr>
      <w:rPr>
        <w:rFonts w:ascii="Symbol" w:hAnsi="Symbol" w:hint="default"/>
      </w:rPr>
    </w:lvl>
    <w:lvl w:ilvl="5" w:tplc="6C185224" w:tentative="1">
      <w:start w:val="1"/>
      <w:numFmt w:val="bullet"/>
      <w:lvlText w:val=""/>
      <w:lvlJc w:val="left"/>
      <w:pPr>
        <w:tabs>
          <w:tab w:val="num" w:pos="4320"/>
        </w:tabs>
        <w:ind w:left="4320" w:hanging="360"/>
      </w:pPr>
      <w:rPr>
        <w:rFonts w:ascii="Symbol" w:hAnsi="Symbol" w:hint="default"/>
      </w:rPr>
    </w:lvl>
    <w:lvl w:ilvl="6" w:tplc="85DCD1CC" w:tentative="1">
      <w:start w:val="1"/>
      <w:numFmt w:val="bullet"/>
      <w:lvlText w:val=""/>
      <w:lvlJc w:val="left"/>
      <w:pPr>
        <w:tabs>
          <w:tab w:val="num" w:pos="5040"/>
        </w:tabs>
        <w:ind w:left="5040" w:hanging="360"/>
      </w:pPr>
      <w:rPr>
        <w:rFonts w:ascii="Symbol" w:hAnsi="Symbol" w:hint="default"/>
      </w:rPr>
    </w:lvl>
    <w:lvl w:ilvl="7" w:tplc="2B26C376" w:tentative="1">
      <w:start w:val="1"/>
      <w:numFmt w:val="bullet"/>
      <w:lvlText w:val=""/>
      <w:lvlJc w:val="left"/>
      <w:pPr>
        <w:tabs>
          <w:tab w:val="num" w:pos="5760"/>
        </w:tabs>
        <w:ind w:left="5760" w:hanging="360"/>
      </w:pPr>
      <w:rPr>
        <w:rFonts w:ascii="Symbol" w:hAnsi="Symbol" w:hint="default"/>
      </w:rPr>
    </w:lvl>
    <w:lvl w:ilvl="8" w:tplc="08B67350" w:tentative="1">
      <w:start w:val="1"/>
      <w:numFmt w:val="bullet"/>
      <w:lvlText w:val=""/>
      <w:lvlJc w:val="left"/>
      <w:pPr>
        <w:tabs>
          <w:tab w:val="num" w:pos="6480"/>
        </w:tabs>
        <w:ind w:left="6480" w:hanging="360"/>
      </w:pPr>
      <w:rPr>
        <w:rFonts w:ascii="Symbol" w:hAnsi="Symbol" w:hint="default"/>
      </w:rPr>
    </w:lvl>
  </w:abstractNum>
  <w:abstractNum w:abstractNumId="103" w15:restartNumberingAfterBreak="0">
    <w:nsid w:val="390251C4"/>
    <w:multiLevelType w:val="hybridMultilevel"/>
    <w:tmpl w:val="4096073C"/>
    <w:lvl w:ilvl="0" w:tplc="EE724686">
      <w:start w:val="1"/>
      <w:numFmt w:val="bullet"/>
      <w:lvlText w:val=""/>
      <w:lvlPicBulletId w:val="1"/>
      <w:lvlJc w:val="left"/>
      <w:pPr>
        <w:tabs>
          <w:tab w:val="num" w:pos="720"/>
        </w:tabs>
        <w:ind w:left="720" w:hanging="360"/>
      </w:pPr>
      <w:rPr>
        <w:rFonts w:ascii="Symbol" w:hAnsi="Symbol" w:hint="default"/>
      </w:rPr>
    </w:lvl>
    <w:lvl w:ilvl="1" w:tplc="DC509B4E" w:tentative="1">
      <w:start w:val="1"/>
      <w:numFmt w:val="bullet"/>
      <w:lvlText w:val=""/>
      <w:lvlJc w:val="left"/>
      <w:pPr>
        <w:tabs>
          <w:tab w:val="num" w:pos="1440"/>
        </w:tabs>
        <w:ind w:left="1440" w:hanging="360"/>
      </w:pPr>
      <w:rPr>
        <w:rFonts w:ascii="Symbol" w:hAnsi="Symbol" w:hint="default"/>
      </w:rPr>
    </w:lvl>
    <w:lvl w:ilvl="2" w:tplc="81A6634A" w:tentative="1">
      <w:start w:val="1"/>
      <w:numFmt w:val="bullet"/>
      <w:lvlText w:val=""/>
      <w:lvlJc w:val="left"/>
      <w:pPr>
        <w:tabs>
          <w:tab w:val="num" w:pos="2160"/>
        </w:tabs>
        <w:ind w:left="2160" w:hanging="360"/>
      </w:pPr>
      <w:rPr>
        <w:rFonts w:ascii="Symbol" w:hAnsi="Symbol" w:hint="default"/>
      </w:rPr>
    </w:lvl>
    <w:lvl w:ilvl="3" w:tplc="6B3C5618" w:tentative="1">
      <w:start w:val="1"/>
      <w:numFmt w:val="bullet"/>
      <w:lvlText w:val=""/>
      <w:lvlJc w:val="left"/>
      <w:pPr>
        <w:tabs>
          <w:tab w:val="num" w:pos="2880"/>
        </w:tabs>
        <w:ind w:left="2880" w:hanging="360"/>
      </w:pPr>
      <w:rPr>
        <w:rFonts w:ascii="Symbol" w:hAnsi="Symbol" w:hint="default"/>
      </w:rPr>
    </w:lvl>
    <w:lvl w:ilvl="4" w:tplc="55C254A4" w:tentative="1">
      <w:start w:val="1"/>
      <w:numFmt w:val="bullet"/>
      <w:lvlText w:val=""/>
      <w:lvlJc w:val="left"/>
      <w:pPr>
        <w:tabs>
          <w:tab w:val="num" w:pos="3600"/>
        </w:tabs>
        <w:ind w:left="3600" w:hanging="360"/>
      </w:pPr>
      <w:rPr>
        <w:rFonts w:ascii="Symbol" w:hAnsi="Symbol" w:hint="default"/>
      </w:rPr>
    </w:lvl>
    <w:lvl w:ilvl="5" w:tplc="875A1E04" w:tentative="1">
      <w:start w:val="1"/>
      <w:numFmt w:val="bullet"/>
      <w:lvlText w:val=""/>
      <w:lvlJc w:val="left"/>
      <w:pPr>
        <w:tabs>
          <w:tab w:val="num" w:pos="4320"/>
        </w:tabs>
        <w:ind w:left="4320" w:hanging="360"/>
      </w:pPr>
      <w:rPr>
        <w:rFonts w:ascii="Symbol" w:hAnsi="Symbol" w:hint="default"/>
      </w:rPr>
    </w:lvl>
    <w:lvl w:ilvl="6" w:tplc="FAAAD450" w:tentative="1">
      <w:start w:val="1"/>
      <w:numFmt w:val="bullet"/>
      <w:lvlText w:val=""/>
      <w:lvlJc w:val="left"/>
      <w:pPr>
        <w:tabs>
          <w:tab w:val="num" w:pos="5040"/>
        </w:tabs>
        <w:ind w:left="5040" w:hanging="360"/>
      </w:pPr>
      <w:rPr>
        <w:rFonts w:ascii="Symbol" w:hAnsi="Symbol" w:hint="default"/>
      </w:rPr>
    </w:lvl>
    <w:lvl w:ilvl="7" w:tplc="8BD014CE" w:tentative="1">
      <w:start w:val="1"/>
      <w:numFmt w:val="bullet"/>
      <w:lvlText w:val=""/>
      <w:lvlJc w:val="left"/>
      <w:pPr>
        <w:tabs>
          <w:tab w:val="num" w:pos="5760"/>
        </w:tabs>
        <w:ind w:left="5760" w:hanging="360"/>
      </w:pPr>
      <w:rPr>
        <w:rFonts w:ascii="Symbol" w:hAnsi="Symbol" w:hint="default"/>
      </w:rPr>
    </w:lvl>
    <w:lvl w:ilvl="8" w:tplc="6E784B0A" w:tentative="1">
      <w:start w:val="1"/>
      <w:numFmt w:val="bullet"/>
      <w:lvlText w:val=""/>
      <w:lvlJc w:val="left"/>
      <w:pPr>
        <w:tabs>
          <w:tab w:val="num" w:pos="6480"/>
        </w:tabs>
        <w:ind w:left="6480" w:hanging="360"/>
      </w:pPr>
      <w:rPr>
        <w:rFonts w:ascii="Symbol" w:hAnsi="Symbol" w:hint="default"/>
      </w:rPr>
    </w:lvl>
  </w:abstractNum>
  <w:abstractNum w:abstractNumId="104" w15:restartNumberingAfterBreak="0">
    <w:nsid w:val="39955711"/>
    <w:multiLevelType w:val="hybridMultilevel"/>
    <w:tmpl w:val="F2CC05CC"/>
    <w:lvl w:ilvl="0" w:tplc="DE3AD130">
      <w:start w:val="1"/>
      <w:numFmt w:val="bullet"/>
      <w:lvlText w:val=""/>
      <w:lvlPicBulletId w:val="1"/>
      <w:lvlJc w:val="left"/>
      <w:pPr>
        <w:tabs>
          <w:tab w:val="num" w:pos="720"/>
        </w:tabs>
        <w:ind w:left="720" w:hanging="360"/>
      </w:pPr>
      <w:rPr>
        <w:rFonts w:ascii="Symbol" w:hAnsi="Symbol" w:hint="default"/>
      </w:rPr>
    </w:lvl>
    <w:lvl w:ilvl="1" w:tplc="BF2ED716" w:tentative="1">
      <w:start w:val="1"/>
      <w:numFmt w:val="bullet"/>
      <w:lvlText w:val=""/>
      <w:lvlJc w:val="left"/>
      <w:pPr>
        <w:tabs>
          <w:tab w:val="num" w:pos="1440"/>
        </w:tabs>
        <w:ind w:left="1440" w:hanging="360"/>
      </w:pPr>
      <w:rPr>
        <w:rFonts w:ascii="Symbol" w:hAnsi="Symbol" w:hint="default"/>
      </w:rPr>
    </w:lvl>
    <w:lvl w:ilvl="2" w:tplc="24C4BB82" w:tentative="1">
      <w:start w:val="1"/>
      <w:numFmt w:val="bullet"/>
      <w:lvlText w:val=""/>
      <w:lvlJc w:val="left"/>
      <w:pPr>
        <w:tabs>
          <w:tab w:val="num" w:pos="2160"/>
        </w:tabs>
        <w:ind w:left="2160" w:hanging="360"/>
      </w:pPr>
      <w:rPr>
        <w:rFonts w:ascii="Symbol" w:hAnsi="Symbol" w:hint="default"/>
      </w:rPr>
    </w:lvl>
    <w:lvl w:ilvl="3" w:tplc="0582D064" w:tentative="1">
      <w:start w:val="1"/>
      <w:numFmt w:val="bullet"/>
      <w:lvlText w:val=""/>
      <w:lvlJc w:val="left"/>
      <w:pPr>
        <w:tabs>
          <w:tab w:val="num" w:pos="2880"/>
        </w:tabs>
        <w:ind w:left="2880" w:hanging="360"/>
      </w:pPr>
      <w:rPr>
        <w:rFonts w:ascii="Symbol" w:hAnsi="Symbol" w:hint="default"/>
      </w:rPr>
    </w:lvl>
    <w:lvl w:ilvl="4" w:tplc="2B40C178" w:tentative="1">
      <w:start w:val="1"/>
      <w:numFmt w:val="bullet"/>
      <w:lvlText w:val=""/>
      <w:lvlJc w:val="left"/>
      <w:pPr>
        <w:tabs>
          <w:tab w:val="num" w:pos="3600"/>
        </w:tabs>
        <w:ind w:left="3600" w:hanging="360"/>
      </w:pPr>
      <w:rPr>
        <w:rFonts w:ascii="Symbol" w:hAnsi="Symbol" w:hint="default"/>
      </w:rPr>
    </w:lvl>
    <w:lvl w:ilvl="5" w:tplc="D3B2EBB8" w:tentative="1">
      <w:start w:val="1"/>
      <w:numFmt w:val="bullet"/>
      <w:lvlText w:val=""/>
      <w:lvlJc w:val="left"/>
      <w:pPr>
        <w:tabs>
          <w:tab w:val="num" w:pos="4320"/>
        </w:tabs>
        <w:ind w:left="4320" w:hanging="360"/>
      </w:pPr>
      <w:rPr>
        <w:rFonts w:ascii="Symbol" w:hAnsi="Symbol" w:hint="default"/>
      </w:rPr>
    </w:lvl>
    <w:lvl w:ilvl="6" w:tplc="A000C9C6" w:tentative="1">
      <w:start w:val="1"/>
      <w:numFmt w:val="bullet"/>
      <w:lvlText w:val=""/>
      <w:lvlJc w:val="left"/>
      <w:pPr>
        <w:tabs>
          <w:tab w:val="num" w:pos="5040"/>
        </w:tabs>
        <w:ind w:left="5040" w:hanging="360"/>
      </w:pPr>
      <w:rPr>
        <w:rFonts w:ascii="Symbol" w:hAnsi="Symbol" w:hint="default"/>
      </w:rPr>
    </w:lvl>
    <w:lvl w:ilvl="7" w:tplc="2B62BD5C" w:tentative="1">
      <w:start w:val="1"/>
      <w:numFmt w:val="bullet"/>
      <w:lvlText w:val=""/>
      <w:lvlJc w:val="left"/>
      <w:pPr>
        <w:tabs>
          <w:tab w:val="num" w:pos="5760"/>
        </w:tabs>
        <w:ind w:left="5760" w:hanging="360"/>
      </w:pPr>
      <w:rPr>
        <w:rFonts w:ascii="Symbol" w:hAnsi="Symbol" w:hint="default"/>
      </w:rPr>
    </w:lvl>
    <w:lvl w:ilvl="8" w:tplc="F3B88342" w:tentative="1">
      <w:start w:val="1"/>
      <w:numFmt w:val="bullet"/>
      <w:lvlText w:val=""/>
      <w:lvlJc w:val="left"/>
      <w:pPr>
        <w:tabs>
          <w:tab w:val="num" w:pos="6480"/>
        </w:tabs>
        <w:ind w:left="6480" w:hanging="360"/>
      </w:pPr>
      <w:rPr>
        <w:rFonts w:ascii="Symbol" w:hAnsi="Symbol" w:hint="default"/>
      </w:rPr>
    </w:lvl>
  </w:abstractNum>
  <w:abstractNum w:abstractNumId="105" w15:restartNumberingAfterBreak="0">
    <w:nsid w:val="3AF800D4"/>
    <w:multiLevelType w:val="hybridMultilevel"/>
    <w:tmpl w:val="C8FACD32"/>
    <w:lvl w:ilvl="0" w:tplc="76900CFA">
      <w:start w:val="1"/>
      <w:numFmt w:val="bullet"/>
      <w:lvlText w:val=""/>
      <w:lvlPicBulletId w:val="1"/>
      <w:lvlJc w:val="left"/>
      <w:pPr>
        <w:tabs>
          <w:tab w:val="num" w:pos="720"/>
        </w:tabs>
        <w:ind w:left="720" w:hanging="360"/>
      </w:pPr>
      <w:rPr>
        <w:rFonts w:ascii="Symbol" w:hAnsi="Symbol" w:hint="default"/>
      </w:rPr>
    </w:lvl>
    <w:lvl w:ilvl="1" w:tplc="3414534E" w:tentative="1">
      <w:start w:val="1"/>
      <w:numFmt w:val="bullet"/>
      <w:lvlText w:val=""/>
      <w:lvlJc w:val="left"/>
      <w:pPr>
        <w:tabs>
          <w:tab w:val="num" w:pos="1440"/>
        </w:tabs>
        <w:ind w:left="1440" w:hanging="360"/>
      </w:pPr>
      <w:rPr>
        <w:rFonts w:ascii="Symbol" w:hAnsi="Symbol" w:hint="default"/>
      </w:rPr>
    </w:lvl>
    <w:lvl w:ilvl="2" w:tplc="6688CC0A" w:tentative="1">
      <w:start w:val="1"/>
      <w:numFmt w:val="bullet"/>
      <w:lvlText w:val=""/>
      <w:lvlJc w:val="left"/>
      <w:pPr>
        <w:tabs>
          <w:tab w:val="num" w:pos="2160"/>
        </w:tabs>
        <w:ind w:left="2160" w:hanging="360"/>
      </w:pPr>
      <w:rPr>
        <w:rFonts w:ascii="Symbol" w:hAnsi="Symbol" w:hint="default"/>
      </w:rPr>
    </w:lvl>
    <w:lvl w:ilvl="3" w:tplc="44749CA8" w:tentative="1">
      <w:start w:val="1"/>
      <w:numFmt w:val="bullet"/>
      <w:lvlText w:val=""/>
      <w:lvlJc w:val="left"/>
      <w:pPr>
        <w:tabs>
          <w:tab w:val="num" w:pos="2880"/>
        </w:tabs>
        <w:ind w:left="2880" w:hanging="360"/>
      </w:pPr>
      <w:rPr>
        <w:rFonts w:ascii="Symbol" w:hAnsi="Symbol" w:hint="default"/>
      </w:rPr>
    </w:lvl>
    <w:lvl w:ilvl="4" w:tplc="5ED0AFFC" w:tentative="1">
      <w:start w:val="1"/>
      <w:numFmt w:val="bullet"/>
      <w:lvlText w:val=""/>
      <w:lvlJc w:val="left"/>
      <w:pPr>
        <w:tabs>
          <w:tab w:val="num" w:pos="3600"/>
        </w:tabs>
        <w:ind w:left="3600" w:hanging="360"/>
      </w:pPr>
      <w:rPr>
        <w:rFonts w:ascii="Symbol" w:hAnsi="Symbol" w:hint="default"/>
      </w:rPr>
    </w:lvl>
    <w:lvl w:ilvl="5" w:tplc="C87268F4" w:tentative="1">
      <w:start w:val="1"/>
      <w:numFmt w:val="bullet"/>
      <w:lvlText w:val=""/>
      <w:lvlJc w:val="left"/>
      <w:pPr>
        <w:tabs>
          <w:tab w:val="num" w:pos="4320"/>
        </w:tabs>
        <w:ind w:left="4320" w:hanging="360"/>
      </w:pPr>
      <w:rPr>
        <w:rFonts w:ascii="Symbol" w:hAnsi="Symbol" w:hint="default"/>
      </w:rPr>
    </w:lvl>
    <w:lvl w:ilvl="6" w:tplc="B17A41EE" w:tentative="1">
      <w:start w:val="1"/>
      <w:numFmt w:val="bullet"/>
      <w:lvlText w:val=""/>
      <w:lvlJc w:val="left"/>
      <w:pPr>
        <w:tabs>
          <w:tab w:val="num" w:pos="5040"/>
        </w:tabs>
        <w:ind w:left="5040" w:hanging="360"/>
      </w:pPr>
      <w:rPr>
        <w:rFonts w:ascii="Symbol" w:hAnsi="Symbol" w:hint="default"/>
      </w:rPr>
    </w:lvl>
    <w:lvl w:ilvl="7" w:tplc="D772E0B6" w:tentative="1">
      <w:start w:val="1"/>
      <w:numFmt w:val="bullet"/>
      <w:lvlText w:val=""/>
      <w:lvlJc w:val="left"/>
      <w:pPr>
        <w:tabs>
          <w:tab w:val="num" w:pos="5760"/>
        </w:tabs>
        <w:ind w:left="5760" w:hanging="360"/>
      </w:pPr>
      <w:rPr>
        <w:rFonts w:ascii="Symbol" w:hAnsi="Symbol" w:hint="default"/>
      </w:rPr>
    </w:lvl>
    <w:lvl w:ilvl="8" w:tplc="2BD62C32" w:tentative="1">
      <w:start w:val="1"/>
      <w:numFmt w:val="bullet"/>
      <w:lvlText w:val=""/>
      <w:lvlJc w:val="left"/>
      <w:pPr>
        <w:tabs>
          <w:tab w:val="num" w:pos="6480"/>
        </w:tabs>
        <w:ind w:left="6480" w:hanging="360"/>
      </w:pPr>
      <w:rPr>
        <w:rFonts w:ascii="Symbol" w:hAnsi="Symbol" w:hint="default"/>
      </w:rPr>
    </w:lvl>
  </w:abstractNum>
  <w:abstractNum w:abstractNumId="106" w15:restartNumberingAfterBreak="0">
    <w:nsid w:val="3B3F2119"/>
    <w:multiLevelType w:val="hybridMultilevel"/>
    <w:tmpl w:val="D3AACBB6"/>
    <w:lvl w:ilvl="0" w:tplc="9C9CB2C6">
      <w:start w:val="1"/>
      <w:numFmt w:val="bullet"/>
      <w:lvlText w:val=""/>
      <w:lvlPicBulletId w:val="1"/>
      <w:lvlJc w:val="left"/>
      <w:pPr>
        <w:tabs>
          <w:tab w:val="num" w:pos="720"/>
        </w:tabs>
        <w:ind w:left="720" w:hanging="360"/>
      </w:pPr>
      <w:rPr>
        <w:rFonts w:ascii="Symbol" w:hAnsi="Symbol" w:hint="default"/>
      </w:rPr>
    </w:lvl>
    <w:lvl w:ilvl="1" w:tplc="E8E89AF6" w:tentative="1">
      <w:start w:val="1"/>
      <w:numFmt w:val="bullet"/>
      <w:lvlText w:val=""/>
      <w:lvlJc w:val="left"/>
      <w:pPr>
        <w:tabs>
          <w:tab w:val="num" w:pos="1440"/>
        </w:tabs>
        <w:ind w:left="1440" w:hanging="360"/>
      </w:pPr>
      <w:rPr>
        <w:rFonts w:ascii="Symbol" w:hAnsi="Symbol" w:hint="default"/>
      </w:rPr>
    </w:lvl>
    <w:lvl w:ilvl="2" w:tplc="5AD87530" w:tentative="1">
      <w:start w:val="1"/>
      <w:numFmt w:val="bullet"/>
      <w:lvlText w:val=""/>
      <w:lvlJc w:val="left"/>
      <w:pPr>
        <w:tabs>
          <w:tab w:val="num" w:pos="2160"/>
        </w:tabs>
        <w:ind w:left="2160" w:hanging="360"/>
      </w:pPr>
      <w:rPr>
        <w:rFonts w:ascii="Symbol" w:hAnsi="Symbol" w:hint="default"/>
      </w:rPr>
    </w:lvl>
    <w:lvl w:ilvl="3" w:tplc="196E0A1C" w:tentative="1">
      <w:start w:val="1"/>
      <w:numFmt w:val="bullet"/>
      <w:lvlText w:val=""/>
      <w:lvlJc w:val="left"/>
      <w:pPr>
        <w:tabs>
          <w:tab w:val="num" w:pos="2880"/>
        </w:tabs>
        <w:ind w:left="2880" w:hanging="360"/>
      </w:pPr>
      <w:rPr>
        <w:rFonts w:ascii="Symbol" w:hAnsi="Symbol" w:hint="default"/>
      </w:rPr>
    </w:lvl>
    <w:lvl w:ilvl="4" w:tplc="23469EF8" w:tentative="1">
      <w:start w:val="1"/>
      <w:numFmt w:val="bullet"/>
      <w:lvlText w:val=""/>
      <w:lvlJc w:val="left"/>
      <w:pPr>
        <w:tabs>
          <w:tab w:val="num" w:pos="3600"/>
        </w:tabs>
        <w:ind w:left="3600" w:hanging="360"/>
      </w:pPr>
      <w:rPr>
        <w:rFonts w:ascii="Symbol" w:hAnsi="Symbol" w:hint="default"/>
      </w:rPr>
    </w:lvl>
    <w:lvl w:ilvl="5" w:tplc="3920051E" w:tentative="1">
      <w:start w:val="1"/>
      <w:numFmt w:val="bullet"/>
      <w:lvlText w:val=""/>
      <w:lvlJc w:val="left"/>
      <w:pPr>
        <w:tabs>
          <w:tab w:val="num" w:pos="4320"/>
        </w:tabs>
        <w:ind w:left="4320" w:hanging="360"/>
      </w:pPr>
      <w:rPr>
        <w:rFonts w:ascii="Symbol" w:hAnsi="Symbol" w:hint="default"/>
      </w:rPr>
    </w:lvl>
    <w:lvl w:ilvl="6" w:tplc="BE2C3AAA" w:tentative="1">
      <w:start w:val="1"/>
      <w:numFmt w:val="bullet"/>
      <w:lvlText w:val=""/>
      <w:lvlJc w:val="left"/>
      <w:pPr>
        <w:tabs>
          <w:tab w:val="num" w:pos="5040"/>
        </w:tabs>
        <w:ind w:left="5040" w:hanging="360"/>
      </w:pPr>
      <w:rPr>
        <w:rFonts w:ascii="Symbol" w:hAnsi="Symbol" w:hint="default"/>
      </w:rPr>
    </w:lvl>
    <w:lvl w:ilvl="7" w:tplc="1A00E3A8" w:tentative="1">
      <w:start w:val="1"/>
      <w:numFmt w:val="bullet"/>
      <w:lvlText w:val=""/>
      <w:lvlJc w:val="left"/>
      <w:pPr>
        <w:tabs>
          <w:tab w:val="num" w:pos="5760"/>
        </w:tabs>
        <w:ind w:left="5760" w:hanging="360"/>
      </w:pPr>
      <w:rPr>
        <w:rFonts w:ascii="Symbol" w:hAnsi="Symbol" w:hint="default"/>
      </w:rPr>
    </w:lvl>
    <w:lvl w:ilvl="8" w:tplc="5E008CBE" w:tentative="1">
      <w:start w:val="1"/>
      <w:numFmt w:val="bullet"/>
      <w:lvlText w:val=""/>
      <w:lvlJc w:val="left"/>
      <w:pPr>
        <w:tabs>
          <w:tab w:val="num" w:pos="6480"/>
        </w:tabs>
        <w:ind w:left="6480" w:hanging="360"/>
      </w:pPr>
      <w:rPr>
        <w:rFonts w:ascii="Symbol" w:hAnsi="Symbol" w:hint="default"/>
      </w:rPr>
    </w:lvl>
  </w:abstractNum>
  <w:abstractNum w:abstractNumId="107" w15:restartNumberingAfterBreak="0">
    <w:nsid w:val="3BEE669C"/>
    <w:multiLevelType w:val="hybridMultilevel"/>
    <w:tmpl w:val="5B32F1F8"/>
    <w:lvl w:ilvl="0" w:tplc="4520569A">
      <w:start w:val="1"/>
      <w:numFmt w:val="bullet"/>
      <w:lvlText w:val=""/>
      <w:lvlPicBulletId w:val="0"/>
      <w:lvlJc w:val="left"/>
      <w:pPr>
        <w:tabs>
          <w:tab w:val="num" w:pos="720"/>
        </w:tabs>
        <w:ind w:left="720" w:hanging="360"/>
      </w:pPr>
      <w:rPr>
        <w:rFonts w:ascii="Symbol" w:hAnsi="Symbol" w:hint="default"/>
      </w:rPr>
    </w:lvl>
    <w:lvl w:ilvl="1" w:tplc="CBD437FC" w:tentative="1">
      <w:start w:val="1"/>
      <w:numFmt w:val="bullet"/>
      <w:lvlText w:val=""/>
      <w:lvlJc w:val="left"/>
      <w:pPr>
        <w:tabs>
          <w:tab w:val="num" w:pos="1440"/>
        </w:tabs>
        <w:ind w:left="1440" w:hanging="360"/>
      </w:pPr>
      <w:rPr>
        <w:rFonts w:ascii="Symbol" w:hAnsi="Symbol" w:hint="default"/>
      </w:rPr>
    </w:lvl>
    <w:lvl w:ilvl="2" w:tplc="2820BEFC" w:tentative="1">
      <w:start w:val="1"/>
      <w:numFmt w:val="bullet"/>
      <w:lvlText w:val=""/>
      <w:lvlJc w:val="left"/>
      <w:pPr>
        <w:tabs>
          <w:tab w:val="num" w:pos="2160"/>
        </w:tabs>
        <w:ind w:left="2160" w:hanging="360"/>
      </w:pPr>
      <w:rPr>
        <w:rFonts w:ascii="Symbol" w:hAnsi="Symbol" w:hint="default"/>
      </w:rPr>
    </w:lvl>
    <w:lvl w:ilvl="3" w:tplc="5C360056" w:tentative="1">
      <w:start w:val="1"/>
      <w:numFmt w:val="bullet"/>
      <w:lvlText w:val=""/>
      <w:lvlJc w:val="left"/>
      <w:pPr>
        <w:tabs>
          <w:tab w:val="num" w:pos="2880"/>
        </w:tabs>
        <w:ind w:left="2880" w:hanging="360"/>
      </w:pPr>
      <w:rPr>
        <w:rFonts w:ascii="Symbol" w:hAnsi="Symbol" w:hint="default"/>
      </w:rPr>
    </w:lvl>
    <w:lvl w:ilvl="4" w:tplc="440E338C" w:tentative="1">
      <w:start w:val="1"/>
      <w:numFmt w:val="bullet"/>
      <w:lvlText w:val=""/>
      <w:lvlJc w:val="left"/>
      <w:pPr>
        <w:tabs>
          <w:tab w:val="num" w:pos="3600"/>
        </w:tabs>
        <w:ind w:left="3600" w:hanging="360"/>
      </w:pPr>
      <w:rPr>
        <w:rFonts w:ascii="Symbol" w:hAnsi="Symbol" w:hint="default"/>
      </w:rPr>
    </w:lvl>
    <w:lvl w:ilvl="5" w:tplc="D5629ACA" w:tentative="1">
      <w:start w:val="1"/>
      <w:numFmt w:val="bullet"/>
      <w:lvlText w:val=""/>
      <w:lvlJc w:val="left"/>
      <w:pPr>
        <w:tabs>
          <w:tab w:val="num" w:pos="4320"/>
        </w:tabs>
        <w:ind w:left="4320" w:hanging="360"/>
      </w:pPr>
      <w:rPr>
        <w:rFonts w:ascii="Symbol" w:hAnsi="Symbol" w:hint="default"/>
      </w:rPr>
    </w:lvl>
    <w:lvl w:ilvl="6" w:tplc="CD362C1E" w:tentative="1">
      <w:start w:val="1"/>
      <w:numFmt w:val="bullet"/>
      <w:lvlText w:val=""/>
      <w:lvlJc w:val="left"/>
      <w:pPr>
        <w:tabs>
          <w:tab w:val="num" w:pos="5040"/>
        </w:tabs>
        <w:ind w:left="5040" w:hanging="360"/>
      </w:pPr>
      <w:rPr>
        <w:rFonts w:ascii="Symbol" w:hAnsi="Symbol" w:hint="default"/>
      </w:rPr>
    </w:lvl>
    <w:lvl w:ilvl="7" w:tplc="04546A6E" w:tentative="1">
      <w:start w:val="1"/>
      <w:numFmt w:val="bullet"/>
      <w:lvlText w:val=""/>
      <w:lvlJc w:val="left"/>
      <w:pPr>
        <w:tabs>
          <w:tab w:val="num" w:pos="5760"/>
        </w:tabs>
        <w:ind w:left="5760" w:hanging="360"/>
      </w:pPr>
      <w:rPr>
        <w:rFonts w:ascii="Symbol" w:hAnsi="Symbol" w:hint="default"/>
      </w:rPr>
    </w:lvl>
    <w:lvl w:ilvl="8" w:tplc="9A2E5C7E" w:tentative="1">
      <w:start w:val="1"/>
      <w:numFmt w:val="bullet"/>
      <w:lvlText w:val=""/>
      <w:lvlJc w:val="left"/>
      <w:pPr>
        <w:tabs>
          <w:tab w:val="num" w:pos="6480"/>
        </w:tabs>
        <w:ind w:left="6480" w:hanging="360"/>
      </w:pPr>
      <w:rPr>
        <w:rFonts w:ascii="Symbol" w:hAnsi="Symbol" w:hint="default"/>
      </w:rPr>
    </w:lvl>
  </w:abstractNum>
  <w:abstractNum w:abstractNumId="108" w15:restartNumberingAfterBreak="0">
    <w:nsid w:val="3CF71AA1"/>
    <w:multiLevelType w:val="hybridMultilevel"/>
    <w:tmpl w:val="A40280BC"/>
    <w:lvl w:ilvl="0" w:tplc="473648DC">
      <w:start w:val="1"/>
      <w:numFmt w:val="bullet"/>
      <w:lvlText w:val=""/>
      <w:lvlPicBulletId w:val="0"/>
      <w:lvlJc w:val="left"/>
      <w:pPr>
        <w:tabs>
          <w:tab w:val="num" w:pos="720"/>
        </w:tabs>
        <w:ind w:left="720" w:hanging="360"/>
      </w:pPr>
      <w:rPr>
        <w:rFonts w:ascii="Symbol" w:hAnsi="Symbol" w:hint="default"/>
      </w:rPr>
    </w:lvl>
    <w:lvl w:ilvl="1" w:tplc="6BFC31B0" w:tentative="1">
      <w:start w:val="1"/>
      <w:numFmt w:val="bullet"/>
      <w:lvlText w:val=""/>
      <w:lvlJc w:val="left"/>
      <w:pPr>
        <w:tabs>
          <w:tab w:val="num" w:pos="1440"/>
        </w:tabs>
        <w:ind w:left="1440" w:hanging="360"/>
      </w:pPr>
      <w:rPr>
        <w:rFonts w:ascii="Symbol" w:hAnsi="Symbol" w:hint="default"/>
      </w:rPr>
    </w:lvl>
    <w:lvl w:ilvl="2" w:tplc="9012767C" w:tentative="1">
      <w:start w:val="1"/>
      <w:numFmt w:val="bullet"/>
      <w:lvlText w:val=""/>
      <w:lvlJc w:val="left"/>
      <w:pPr>
        <w:tabs>
          <w:tab w:val="num" w:pos="2160"/>
        </w:tabs>
        <w:ind w:left="2160" w:hanging="360"/>
      </w:pPr>
      <w:rPr>
        <w:rFonts w:ascii="Symbol" w:hAnsi="Symbol" w:hint="default"/>
      </w:rPr>
    </w:lvl>
    <w:lvl w:ilvl="3" w:tplc="FC5882DA" w:tentative="1">
      <w:start w:val="1"/>
      <w:numFmt w:val="bullet"/>
      <w:lvlText w:val=""/>
      <w:lvlJc w:val="left"/>
      <w:pPr>
        <w:tabs>
          <w:tab w:val="num" w:pos="2880"/>
        </w:tabs>
        <w:ind w:left="2880" w:hanging="360"/>
      </w:pPr>
      <w:rPr>
        <w:rFonts w:ascii="Symbol" w:hAnsi="Symbol" w:hint="default"/>
      </w:rPr>
    </w:lvl>
    <w:lvl w:ilvl="4" w:tplc="8CF87874" w:tentative="1">
      <w:start w:val="1"/>
      <w:numFmt w:val="bullet"/>
      <w:lvlText w:val=""/>
      <w:lvlJc w:val="left"/>
      <w:pPr>
        <w:tabs>
          <w:tab w:val="num" w:pos="3600"/>
        </w:tabs>
        <w:ind w:left="3600" w:hanging="360"/>
      </w:pPr>
      <w:rPr>
        <w:rFonts w:ascii="Symbol" w:hAnsi="Symbol" w:hint="default"/>
      </w:rPr>
    </w:lvl>
    <w:lvl w:ilvl="5" w:tplc="7EE802D8" w:tentative="1">
      <w:start w:val="1"/>
      <w:numFmt w:val="bullet"/>
      <w:lvlText w:val=""/>
      <w:lvlJc w:val="left"/>
      <w:pPr>
        <w:tabs>
          <w:tab w:val="num" w:pos="4320"/>
        </w:tabs>
        <w:ind w:left="4320" w:hanging="360"/>
      </w:pPr>
      <w:rPr>
        <w:rFonts w:ascii="Symbol" w:hAnsi="Symbol" w:hint="default"/>
      </w:rPr>
    </w:lvl>
    <w:lvl w:ilvl="6" w:tplc="8D8A928A" w:tentative="1">
      <w:start w:val="1"/>
      <w:numFmt w:val="bullet"/>
      <w:lvlText w:val=""/>
      <w:lvlJc w:val="left"/>
      <w:pPr>
        <w:tabs>
          <w:tab w:val="num" w:pos="5040"/>
        </w:tabs>
        <w:ind w:left="5040" w:hanging="360"/>
      </w:pPr>
      <w:rPr>
        <w:rFonts w:ascii="Symbol" w:hAnsi="Symbol" w:hint="default"/>
      </w:rPr>
    </w:lvl>
    <w:lvl w:ilvl="7" w:tplc="3740E0EE" w:tentative="1">
      <w:start w:val="1"/>
      <w:numFmt w:val="bullet"/>
      <w:lvlText w:val=""/>
      <w:lvlJc w:val="left"/>
      <w:pPr>
        <w:tabs>
          <w:tab w:val="num" w:pos="5760"/>
        </w:tabs>
        <w:ind w:left="5760" w:hanging="360"/>
      </w:pPr>
      <w:rPr>
        <w:rFonts w:ascii="Symbol" w:hAnsi="Symbol" w:hint="default"/>
      </w:rPr>
    </w:lvl>
    <w:lvl w:ilvl="8" w:tplc="8FC8761A" w:tentative="1">
      <w:start w:val="1"/>
      <w:numFmt w:val="bullet"/>
      <w:lvlText w:val=""/>
      <w:lvlJc w:val="left"/>
      <w:pPr>
        <w:tabs>
          <w:tab w:val="num" w:pos="6480"/>
        </w:tabs>
        <w:ind w:left="6480" w:hanging="360"/>
      </w:pPr>
      <w:rPr>
        <w:rFonts w:ascii="Symbol" w:hAnsi="Symbol" w:hint="default"/>
      </w:rPr>
    </w:lvl>
  </w:abstractNum>
  <w:abstractNum w:abstractNumId="109" w15:restartNumberingAfterBreak="0">
    <w:nsid w:val="3E550F12"/>
    <w:multiLevelType w:val="hybridMultilevel"/>
    <w:tmpl w:val="C002C394"/>
    <w:lvl w:ilvl="0" w:tplc="A548430C">
      <w:start w:val="1"/>
      <w:numFmt w:val="bullet"/>
      <w:lvlText w:val=""/>
      <w:lvlPicBulletId w:val="1"/>
      <w:lvlJc w:val="left"/>
      <w:pPr>
        <w:tabs>
          <w:tab w:val="num" w:pos="720"/>
        </w:tabs>
        <w:ind w:left="720" w:hanging="360"/>
      </w:pPr>
      <w:rPr>
        <w:rFonts w:ascii="Symbol" w:hAnsi="Symbol" w:hint="default"/>
      </w:rPr>
    </w:lvl>
    <w:lvl w:ilvl="1" w:tplc="9BE04A2C" w:tentative="1">
      <w:start w:val="1"/>
      <w:numFmt w:val="bullet"/>
      <w:lvlText w:val=""/>
      <w:lvlJc w:val="left"/>
      <w:pPr>
        <w:tabs>
          <w:tab w:val="num" w:pos="1440"/>
        </w:tabs>
        <w:ind w:left="1440" w:hanging="360"/>
      </w:pPr>
      <w:rPr>
        <w:rFonts w:ascii="Symbol" w:hAnsi="Symbol" w:hint="default"/>
      </w:rPr>
    </w:lvl>
    <w:lvl w:ilvl="2" w:tplc="CDE6AF4A" w:tentative="1">
      <w:start w:val="1"/>
      <w:numFmt w:val="bullet"/>
      <w:lvlText w:val=""/>
      <w:lvlJc w:val="left"/>
      <w:pPr>
        <w:tabs>
          <w:tab w:val="num" w:pos="2160"/>
        </w:tabs>
        <w:ind w:left="2160" w:hanging="360"/>
      </w:pPr>
      <w:rPr>
        <w:rFonts w:ascii="Symbol" w:hAnsi="Symbol" w:hint="default"/>
      </w:rPr>
    </w:lvl>
    <w:lvl w:ilvl="3" w:tplc="544AFC46" w:tentative="1">
      <w:start w:val="1"/>
      <w:numFmt w:val="bullet"/>
      <w:lvlText w:val=""/>
      <w:lvlJc w:val="left"/>
      <w:pPr>
        <w:tabs>
          <w:tab w:val="num" w:pos="2880"/>
        </w:tabs>
        <w:ind w:left="2880" w:hanging="360"/>
      </w:pPr>
      <w:rPr>
        <w:rFonts w:ascii="Symbol" w:hAnsi="Symbol" w:hint="default"/>
      </w:rPr>
    </w:lvl>
    <w:lvl w:ilvl="4" w:tplc="CF1E2C7C" w:tentative="1">
      <w:start w:val="1"/>
      <w:numFmt w:val="bullet"/>
      <w:lvlText w:val=""/>
      <w:lvlJc w:val="left"/>
      <w:pPr>
        <w:tabs>
          <w:tab w:val="num" w:pos="3600"/>
        </w:tabs>
        <w:ind w:left="3600" w:hanging="360"/>
      </w:pPr>
      <w:rPr>
        <w:rFonts w:ascii="Symbol" w:hAnsi="Symbol" w:hint="default"/>
      </w:rPr>
    </w:lvl>
    <w:lvl w:ilvl="5" w:tplc="0A9A3A56" w:tentative="1">
      <w:start w:val="1"/>
      <w:numFmt w:val="bullet"/>
      <w:lvlText w:val=""/>
      <w:lvlJc w:val="left"/>
      <w:pPr>
        <w:tabs>
          <w:tab w:val="num" w:pos="4320"/>
        </w:tabs>
        <w:ind w:left="4320" w:hanging="360"/>
      </w:pPr>
      <w:rPr>
        <w:rFonts w:ascii="Symbol" w:hAnsi="Symbol" w:hint="default"/>
      </w:rPr>
    </w:lvl>
    <w:lvl w:ilvl="6" w:tplc="3D3A4A96" w:tentative="1">
      <w:start w:val="1"/>
      <w:numFmt w:val="bullet"/>
      <w:lvlText w:val=""/>
      <w:lvlJc w:val="left"/>
      <w:pPr>
        <w:tabs>
          <w:tab w:val="num" w:pos="5040"/>
        </w:tabs>
        <w:ind w:left="5040" w:hanging="360"/>
      </w:pPr>
      <w:rPr>
        <w:rFonts w:ascii="Symbol" w:hAnsi="Symbol" w:hint="default"/>
      </w:rPr>
    </w:lvl>
    <w:lvl w:ilvl="7" w:tplc="D55E1456" w:tentative="1">
      <w:start w:val="1"/>
      <w:numFmt w:val="bullet"/>
      <w:lvlText w:val=""/>
      <w:lvlJc w:val="left"/>
      <w:pPr>
        <w:tabs>
          <w:tab w:val="num" w:pos="5760"/>
        </w:tabs>
        <w:ind w:left="5760" w:hanging="360"/>
      </w:pPr>
      <w:rPr>
        <w:rFonts w:ascii="Symbol" w:hAnsi="Symbol" w:hint="default"/>
      </w:rPr>
    </w:lvl>
    <w:lvl w:ilvl="8" w:tplc="7730DDDA" w:tentative="1">
      <w:start w:val="1"/>
      <w:numFmt w:val="bullet"/>
      <w:lvlText w:val=""/>
      <w:lvlJc w:val="left"/>
      <w:pPr>
        <w:tabs>
          <w:tab w:val="num" w:pos="6480"/>
        </w:tabs>
        <w:ind w:left="6480" w:hanging="360"/>
      </w:pPr>
      <w:rPr>
        <w:rFonts w:ascii="Symbol" w:hAnsi="Symbol" w:hint="default"/>
      </w:rPr>
    </w:lvl>
  </w:abstractNum>
  <w:abstractNum w:abstractNumId="110" w15:restartNumberingAfterBreak="0">
    <w:nsid w:val="3EC5446E"/>
    <w:multiLevelType w:val="hybridMultilevel"/>
    <w:tmpl w:val="D5A6FE70"/>
    <w:lvl w:ilvl="0" w:tplc="BD2E0AF0">
      <w:start w:val="1"/>
      <w:numFmt w:val="bullet"/>
      <w:lvlText w:val=""/>
      <w:lvlPicBulletId w:val="0"/>
      <w:lvlJc w:val="left"/>
      <w:pPr>
        <w:tabs>
          <w:tab w:val="num" w:pos="720"/>
        </w:tabs>
        <w:ind w:left="720" w:hanging="360"/>
      </w:pPr>
      <w:rPr>
        <w:rFonts w:ascii="Symbol" w:hAnsi="Symbol" w:hint="default"/>
      </w:rPr>
    </w:lvl>
    <w:lvl w:ilvl="1" w:tplc="EFE86080" w:tentative="1">
      <w:start w:val="1"/>
      <w:numFmt w:val="bullet"/>
      <w:lvlText w:val=""/>
      <w:lvlJc w:val="left"/>
      <w:pPr>
        <w:tabs>
          <w:tab w:val="num" w:pos="1440"/>
        </w:tabs>
        <w:ind w:left="1440" w:hanging="360"/>
      </w:pPr>
      <w:rPr>
        <w:rFonts w:ascii="Symbol" w:hAnsi="Symbol" w:hint="default"/>
      </w:rPr>
    </w:lvl>
    <w:lvl w:ilvl="2" w:tplc="63204244" w:tentative="1">
      <w:start w:val="1"/>
      <w:numFmt w:val="bullet"/>
      <w:lvlText w:val=""/>
      <w:lvlJc w:val="left"/>
      <w:pPr>
        <w:tabs>
          <w:tab w:val="num" w:pos="2160"/>
        </w:tabs>
        <w:ind w:left="2160" w:hanging="360"/>
      </w:pPr>
      <w:rPr>
        <w:rFonts w:ascii="Symbol" w:hAnsi="Symbol" w:hint="default"/>
      </w:rPr>
    </w:lvl>
    <w:lvl w:ilvl="3" w:tplc="C04CA9EE" w:tentative="1">
      <w:start w:val="1"/>
      <w:numFmt w:val="bullet"/>
      <w:lvlText w:val=""/>
      <w:lvlJc w:val="left"/>
      <w:pPr>
        <w:tabs>
          <w:tab w:val="num" w:pos="2880"/>
        </w:tabs>
        <w:ind w:left="2880" w:hanging="360"/>
      </w:pPr>
      <w:rPr>
        <w:rFonts w:ascii="Symbol" w:hAnsi="Symbol" w:hint="default"/>
      </w:rPr>
    </w:lvl>
    <w:lvl w:ilvl="4" w:tplc="B622EDC2" w:tentative="1">
      <w:start w:val="1"/>
      <w:numFmt w:val="bullet"/>
      <w:lvlText w:val=""/>
      <w:lvlJc w:val="left"/>
      <w:pPr>
        <w:tabs>
          <w:tab w:val="num" w:pos="3600"/>
        </w:tabs>
        <w:ind w:left="3600" w:hanging="360"/>
      </w:pPr>
      <w:rPr>
        <w:rFonts w:ascii="Symbol" w:hAnsi="Symbol" w:hint="default"/>
      </w:rPr>
    </w:lvl>
    <w:lvl w:ilvl="5" w:tplc="B50076A8" w:tentative="1">
      <w:start w:val="1"/>
      <w:numFmt w:val="bullet"/>
      <w:lvlText w:val=""/>
      <w:lvlJc w:val="left"/>
      <w:pPr>
        <w:tabs>
          <w:tab w:val="num" w:pos="4320"/>
        </w:tabs>
        <w:ind w:left="4320" w:hanging="360"/>
      </w:pPr>
      <w:rPr>
        <w:rFonts w:ascii="Symbol" w:hAnsi="Symbol" w:hint="default"/>
      </w:rPr>
    </w:lvl>
    <w:lvl w:ilvl="6" w:tplc="6C8811BA" w:tentative="1">
      <w:start w:val="1"/>
      <w:numFmt w:val="bullet"/>
      <w:lvlText w:val=""/>
      <w:lvlJc w:val="left"/>
      <w:pPr>
        <w:tabs>
          <w:tab w:val="num" w:pos="5040"/>
        </w:tabs>
        <w:ind w:left="5040" w:hanging="360"/>
      </w:pPr>
      <w:rPr>
        <w:rFonts w:ascii="Symbol" w:hAnsi="Symbol" w:hint="default"/>
      </w:rPr>
    </w:lvl>
    <w:lvl w:ilvl="7" w:tplc="63FA06A6" w:tentative="1">
      <w:start w:val="1"/>
      <w:numFmt w:val="bullet"/>
      <w:lvlText w:val=""/>
      <w:lvlJc w:val="left"/>
      <w:pPr>
        <w:tabs>
          <w:tab w:val="num" w:pos="5760"/>
        </w:tabs>
        <w:ind w:left="5760" w:hanging="360"/>
      </w:pPr>
      <w:rPr>
        <w:rFonts w:ascii="Symbol" w:hAnsi="Symbol" w:hint="default"/>
      </w:rPr>
    </w:lvl>
    <w:lvl w:ilvl="8" w:tplc="5F2C7FB8" w:tentative="1">
      <w:start w:val="1"/>
      <w:numFmt w:val="bullet"/>
      <w:lvlText w:val=""/>
      <w:lvlJc w:val="left"/>
      <w:pPr>
        <w:tabs>
          <w:tab w:val="num" w:pos="6480"/>
        </w:tabs>
        <w:ind w:left="6480" w:hanging="360"/>
      </w:pPr>
      <w:rPr>
        <w:rFonts w:ascii="Symbol" w:hAnsi="Symbol" w:hint="default"/>
      </w:rPr>
    </w:lvl>
  </w:abstractNum>
  <w:abstractNum w:abstractNumId="111" w15:restartNumberingAfterBreak="0">
    <w:nsid w:val="3FA8491F"/>
    <w:multiLevelType w:val="hybridMultilevel"/>
    <w:tmpl w:val="B9DEF47C"/>
    <w:lvl w:ilvl="0" w:tplc="FCE8DC14">
      <w:start w:val="1"/>
      <w:numFmt w:val="bullet"/>
      <w:lvlText w:val=""/>
      <w:lvlPicBulletId w:val="0"/>
      <w:lvlJc w:val="left"/>
      <w:pPr>
        <w:tabs>
          <w:tab w:val="num" w:pos="720"/>
        </w:tabs>
        <w:ind w:left="720" w:hanging="360"/>
      </w:pPr>
      <w:rPr>
        <w:rFonts w:ascii="Symbol" w:hAnsi="Symbol" w:hint="default"/>
      </w:rPr>
    </w:lvl>
    <w:lvl w:ilvl="1" w:tplc="77B83BCA" w:tentative="1">
      <w:start w:val="1"/>
      <w:numFmt w:val="bullet"/>
      <w:lvlText w:val=""/>
      <w:lvlJc w:val="left"/>
      <w:pPr>
        <w:tabs>
          <w:tab w:val="num" w:pos="1440"/>
        </w:tabs>
        <w:ind w:left="1440" w:hanging="360"/>
      </w:pPr>
      <w:rPr>
        <w:rFonts w:ascii="Symbol" w:hAnsi="Symbol" w:hint="default"/>
      </w:rPr>
    </w:lvl>
    <w:lvl w:ilvl="2" w:tplc="31E0E844" w:tentative="1">
      <w:start w:val="1"/>
      <w:numFmt w:val="bullet"/>
      <w:lvlText w:val=""/>
      <w:lvlJc w:val="left"/>
      <w:pPr>
        <w:tabs>
          <w:tab w:val="num" w:pos="2160"/>
        </w:tabs>
        <w:ind w:left="2160" w:hanging="360"/>
      </w:pPr>
      <w:rPr>
        <w:rFonts w:ascii="Symbol" w:hAnsi="Symbol" w:hint="default"/>
      </w:rPr>
    </w:lvl>
    <w:lvl w:ilvl="3" w:tplc="31D05DEA" w:tentative="1">
      <w:start w:val="1"/>
      <w:numFmt w:val="bullet"/>
      <w:lvlText w:val=""/>
      <w:lvlJc w:val="left"/>
      <w:pPr>
        <w:tabs>
          <w:tab w:val="num" w:pos="2880"/>
        </w:tabs>
        <w:ind w:left="2880" w:hanging="360"/>
      </w:pPr>
      <w:rPr>
        <w:rFonts w:ascii="Symbol" w:hAnsi="Symbol" w:hint="default"/>
      </w:rPr>
    </w:lvl>
    <w:lvl w:ilvl="4" w:tplc="6CE4D316" w:tentative="1">
      <w:start w:val="1"/>
      <w:numFmt w:val="bullet"/>
      <w:lvlText w:val=""/>
      <w:lvlJc w:val="left"/>
      <w:pPr>
        <w:tabs>
          <w:tab w:val="num" w:pos="3600"/>
        </w:tabs>
        <w:ind w:left="3600" w:hanging="360"/>
      </w:pPr>
      <w:rPr>
        <w:rFonts w:ascii="Symbol" w:hAnsi="Symbol" w:hint="default"/>
      </w:rPr>
    </w:lvl>
    <w:lvl w:ilvl="5" w:tplc="7D6AC414" w:tentative="1">
      <w:start w:val="1"/>
      <w:numFmt w:val="bullet"/>
      <w:lvlText w:val=""/>
      <w:lvlJc w:val="left"/>
      <w:pPr>
        <w:tabs>
          <w:tab w:val="num" w:pos="4320"/>
        </w:tabs>
        <w:ind w:left="4320" w:hanging="360"/>
      </w:pPr>
      <w:rPr>
        <w:rFonts w:ascii="Symbol" w:hAnsi="Symbol" w:hint="default"/>
      </w:rPr>
    </w:lvl>
    <w:lvl w:ilvl="6" w:tplc="A8AAFE7E" w:tentative="1">
      <w:start w:val="1"/>
      <w:numFmt w:val="bullet"/>
      <w:lvlText w:val=""/>
      <w:lvlJc w:val="left"/>
      <w:pPr>
        <w:tabs>
          <w:tab w:val="num" w:pos="5040"/>
        </w:tabs>
        <w:ind w:left="5040" w:hanging="360"/>
      </w:pPr>
      <w:rPr>
        <w:rFonts w:ascii="Symbol" w:hAnsi="Symbol" w:hint="default"/>
      </w:rPr>
    </w:lvl>
    <w:lvl w:ilvl="7" w:tplc="B4EE9F26" w:tentative="1">
      <w:start w:val="1"/>
      <w:numFmt w:val="bullet"/>
      <w:lvlText w:val=""/>
      <w:lvlJc w:val="left"/>
      <w:pPr>
        <w:tabs>
          <w:tab w:val="num" w:pos="5760"/>
        </w:tabs>
        <w:ind w:left="5760" w:hanging="360"/>
      </w:pPr>
      <w:rPr>
        <w:rFonts w:ascii="Symbol" w:hAnsi="Symbol" w:hint="default"/>
      </w:rPr>
    </w:lvl>
    <w:lvl w:ilvl="8" w:tplc="DF64A9C2" w:tentative="1">
      <w:start w:val="1"/>
      <w:numFmt w:val="bullet"/>
      <w:lvlText w:val=""/>
      <w:lvlJc w:val="left"/>
      <w:pPr>
        <w:tabs>
          <w:tab w:val="num" w:pos="6480"/>
        </w:tabs>
        <w:ind w:left="6480" w:hanging="360"/>
      </w:pPr>
      <w:rPr>
        <w:rFonts w:ascii="Symbol" w:hAnsi="Symbol" w:hint="default"/>
      </w:rPr>
    </w:lvl>
  </w:abstractNum>
  <w:abstractNum w:abstractNumId="112" w15:restartNumberingAfterBreak="0">
    <w:nsid w:val="401E0F29"/>
    <w:multiLevelType w:val="hybridMultilevel"/>
    <w:tmpl w:val="700262EE"/>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13" w15:restartNumberingAfterBreak="0">
    <w:nsid w:val="40CD36C9"/>
    <w:multiLevelType w:val="hybridMultilevel"/>
    <w:tmpl w:val="917AA308"/>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4" w15:restartNumberingAfterBreak="0">
    <w:nsid w:val="414422AC"/>
    <w:multiLevelType w:val="hybridMultilevel"/>
    <w:tmpl w:val="98B01C98"/>
    <w:lvl w:ilvl="0" w:tplc="44EEC084">
      <w:start w:val="1"/>
      <w:numFmt w:val="bullet"/>
      <w:lvlText w:val="&gt;"/>
      <w:lvlJc w:val="left"/>
      <w:pPr>
        <w:ind w:left="360" w:hanging="360"/>
      </w:pPr>
      <w:rPr>
        <w:rFonts w:ascii="HelveticaNeueLT Std" w:hAnsi="HelveticaNeueLT Std"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5" w15:restartNumberingAfterBreak="0">
    <w:nsid w:val="41680419"/>
    <w:multiLevelType w:val="hybridMultilevel"/>
    <w:tmpl w:val="76F2A8B2"/>
    <w:lvl w:ilvl="0" w:tplc="B3463CB6">
      <w:start w:val="2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6" w15:restartNumberingAfterBreak="0">
    <w:nsid w:val="41E70333"/>
    <w:multiLevelType w:val="hybridMultilevel"/>
    <w:tmpl w:val="E13A221E"/>
    <w:lvl w:ilvl="0" w:tplc="1A3020EC">
      <w:start w:val="1"/>
      <w:numFmt w:val="bullet"/>
      <w:lvlText w:val=""/>
      <w:lvlPicBulletId w:val="1"/>
      <w:lvlJc w:val="left"/>
      <w:pPr>
        <w:tabs>
          <w:tab w:val="num" w:pos="720"/>
        </w:tabs>
        <w:ind w:left="720" w:hanging="360"/>
      </w:pPr>
      <w:rPr>
        <w:rFonts w:ascii="Symbol" w:hAnsi="Symbol" w:hint="default"/>
      </w:rPr>
    </w:lvl>
    <w:lvl w:ilvl="1" w:tplc="777AF68E" w:tentative="1">
      <w:start w:val="1"/>
      <w:numFmt w:val="bullet"/>
      <w:lvlText w:val=""/>
      <w:lvlJc w:val="left"/>
      <w:pPr>
        <w:tabs>
          <w:tab w:val="num" w:pos="1440"/>
        </w:tabs>
        <w:ind w:left="1440" w:hanging="360"/>
      </w:pPr>
      <w:rPr>
        <w:rFonts w:ascii="Symbol" w:hAnsi="Symbol" w:hint="default"/>
      </w:rPr>
    </w:lvl>
    <w:lvl w:ilvl="2" w:tplc="67520C24" w:tentative="1">
      <w:start w:val="1"/>
      <w:numFmt w:val="bullet"/>
      <w:lvlText w:val=""/>
      <w:lvlJc w:val="left"/>
      <w:pPr>
        <w:tabs>
          <w:tab w:val="num" w:pos="2160"/>
        </w:tabs>
        <w:ind w:left="2160" w:hanging="360"/>
      </w:pPr>
      <w:rPr>
        <w:rFonts w:ascii="Symbol" w:hAnsi="Symbol" w:hint="default"/>
      </w:rPr>
    </w:lvl>
    <w:lvl w:ilvl="3" w:tplc="02C203D4" w:tentative="1">
      <w:start w:val="1"/>
      <w:numFmt w:val="bullet"/>
      <w:lvlText w:val=""/>
      <w:lvlJc w:val="left"/>
      <w:pPr>
        <w:tabs>
          <w:tab w:val="num" w:pos="2880"/>
        </w:tabs>
        <w:ind w:left="2880" w:hanging="360"/>
      </w:pPr>
      <w:rPr>
        <w:rFonts w:ascii="Symbol" w:hAnsi="Symbol" w:hint="default"/>
      </w:rPr>
    </w:lvl>
    <w:lvl w:ilvl="4" w:tplc="4E50A3F8" w:tentative="1">
      <w:start w:val="1"/>
      <w:numFmt w:val="bullet"/>
      <w:lvlText w:val=""/>
      <w:lvlJc w:val="left"/>
      <w:pPr>
        <w:tabs>
          <w:tab w:val="num" w:pos="3600"/>
        </w:tabs>
        <w:ind w:left="3600" w:hanging="360"/>
      </w:pPr>
      <w:rPr>
        <w:rFonts w:ascii="Symbol" w:hAnsi="Symbol" w:hint="default"/>
      </w:rPr>
    </w:lvl>
    <w:lvl w:ilvl="5" w:tplc="EE548E36" w:tentative="1">
      <w:start w:val="1"/>
      <w:numFmt w:val="bullet"/>
      <w:lvlText w:val=""/>
      <w:lvlJc w:val="left"/>
      <w:pPr>
        <w:tabs>
          <w:tab w:val="num" w:pos="4320"/>
        </w:tabs>
        <w:ind w:left="4320" w:hanging="360"/>
      </w:pPr>
      <w:rPr>
        <w:rFonts w:ascii="Symbol" w:hAnsi="Symbol" w:hint="default"/>
      </w:rPr>
    </w:lvl>
    <w:lvl w:ilvl="6" w:tplc="2C88E95C" w:tentative="1">
      <w:start w:val="1"/>
      <w:numFmt w:val="bullet"/>
      <w:lvlText w:val=""/>
      <w:lvlJc w:val="left"/>
      <w:pPr>
        <w:tabs>
          <w:tab w:val="num" w:pos="5040"/>
        </w:tabs>
        <w:ind w:left="5040" w:hanging="360"/>
      </w:pPr>
      <w:rPr>
        <w:rFonts w:ascii="Symbol" w:hAnsi="Symbol" w:hint="default"/>
      </w:rPr>
    </w:lvl>
    <w:lvl w:ilvl="7" w:tplc="10529120" w:tentative="1">
      <w:start w:val="1"/>
      <w:numFmt w:val="bullet"/>
      <w:lvlText w:val=""/>
      <w:lvlJc w:val="left"/>
      <w:pPr>
        <w:tabs>
          <w:tab w:val="num" w:pos="5760"/>
        </w:tabs>
        <w:ind w:left="5760" w:hanging="360"/>
      </w:pPr>
      <w:rPr>
        <w:rFonts w:ascii="Symbol" w:hAnsi="Symbol" w:hint="default"/>
      </w:rPr>
    </w:lvl>
    <w:lvl w:ilvl="8" w:tplc="DDB064F2" w:tentative="1">
      <w:start w:val="1"/>
      <w:numFmt w:val="bullet"/>
      <w:lvlText w:val=""/>
      <w:lvlJc w:val="left"/>
      <w:pPr>
        <w:tabs>
          <w:tab w:val="num" w:pos="6480"/>
        </w:tabs>
        <w:ind w:left="6480" w:hanging="360"/>
      </w:pPr>
      <w:rPr>
        <w:rFonts w:ascii="Symbol" w:hAnsi="Symbol" w:hint="default"/>
      </w:rPr>
    </w:lvl>
  </w:abstractNum>
  <w:abstractNum w:abstractNumId="117" w15:restartNumberingAfterBreak="0">
    <w:nsid w:val="427E1B66"/>
    <w:multiLevelType w:val="hybridMultilevel"/>
    <w:tmpl w:val="B246DCB0"/>
    <w:lvl w:ilvl="0" w:tplc="E89ADF34">
      <w:start w:val="1"/>
      <w:numFmt w:val="bullet"/>
      <w:lvlText w:val=""/>
      <w:lvlPicBulletId w:val="0"/>
      <w:lvlJc w:val="left"/>
      <w:pPr>
        <w:tabs>
          <w:tab w:val="num" w:pos="720"/>
        </w:tabs>
        <w:ind w:left="720" w:hanging="360"/>
      </w:pPr>
      <w:rPr>
        <w:rFonts w:ascii="Symbol" w:hAnsi="Symbol" w:hint="default"/>
      </w:rPr>
    </w:lvl>
    <w:lvl w:ilvl="1" w:tplc="8182F6A4" w:tentative="1">
      <w:start w:val="1"/>
      <w:numFmt w:val="bullet"/>
      <w:lvlText w:val=""/>
      <w:lvlJc w:val="left"/>
      <w:pPr>
        <w:tabs>
          <w:tab w:val="num" w:pos="1440"/>
        </w:tabs>
        <w:ind w:left="1440" w:hanging="360"/>
      </w:pPr>
      <w:rPr>
        <w:rFonts w:ascii="Symbol" w:hAnsi="Symbol" w:hint="default"/>
      </w:rPr>
    </w:lvl>
    <w:lvl w:ilvl="2" w:tplc="950EC966" w:tentative="1">
      <w:start w:val="1"/>
      <w:numFmt w:val="bullet"/>
      <w:lvlText w:val=""/>
      <w:lvlJc w:val="left"/>
      <w:pPr>
        <w:tabs>
          <w:tab w:val="num" w:pos="2160"/>
        </w:tabs>
        <w:ind w:left="2160" w:hanging="360"/>
      </w:pPr>
      <w:rPr>
        <w:rFonts w:ascii="Symbol" w:hAnsi="Symbol" w:hint="default"/>
      </w:rPr>
    </w:lvl>
    <w:lvl w:ilvl="3" w:tplc="C14E5792" w:tentative="1">
      <w:start w:val="1"/>
      <w:numFmt w:val="bullet"/>
      <w:lvlText w:val=""/>
      <w:lvlJc w:val="left"/>
      <w:pPr>
        <w:tabs>
          <w:tab w:val="num" w:pos="2880"/>
        </w:tabs>
        <w:ind w:left="2880" w:hanging="360"/>
      </w:pPr>
      <w:rPr>
        <w:rFonts w:ascii="Symbol" w:hAnsi="Symbol" w:hint="default"/>
      </w:rPr>
    </w:lvl>
    <w:lvl w:ilvl="4" w:tplc="FD4E3D04" w:tentative="1">
      <w:start w:val="1"/>
      <w:numFmt w:val="bullet"/>
      <w:lvlText w:val=""/>
      <w:lvlJc w:val="left"/>
      <w:pPr>
        <w:tabs>
          <w:tab w:val="num" w:pos="3600"/>
        </w:tabs>
        <w:ind w:left="3600" w:hanging="360"/>
      </w:pPr>
      <w:rPr>
        <w:rFonts w:ascii="Symbol" w:hAnsi="Symbol" w:hint="default"/>
      </w:rPr>
    </w:lvl>
    <w:lvl w:ilvl="5" w:tplc="2FEE44A8" w:tentative="1">
      <w:start w:val="1"/>
      <w:numFmt w:val="bullet"/>
      <w:lvlText w:val=""/>
      <w:lvlJc w:val="left"/>
      <w:pPr>
        <w:tabs>
          <w:tab w:val="num" w:pos="4320"/>
        </w:tabs>
        <w:ind w:left="4320" w:hanging="360"/>
      </w:pPr>
      <w:rPr>
        <w:rFonts w:ascii="Symbol" w:hAnsi="Symbol" w:hint="default"/>
      </w:rPr>
    </w:lvl>
    <w:lvl w:ilvl="6" w:tplc="5EC4F84A" w:tentative="1">
      <w:start w:val="1"/>
      <w:numFmt w:val="bullet"/>
      <w:lvlText w:val=""/>
      <w:lvlJc w:val="left"/>
      <w:pPr>
        <w:tabs>
          <w:tab w:val="num" w:pos="5040"/>
        </w:tabs>
        <w:ind w:left="5040" w:hanging="360"/>
      </w:pPr>
      <w:rPr>
        <w:rFonts w:ascii="Symbol" w:hAnsi="Symbol" w:hint="default"/>
      </w:rPr>
    </w:lvl>
    <w:lvl w:ilvl="7" w:tplc="CBC4CBB0" w:tentative="1">
      <w:start w:val="1"/>
      <w:numFmt w:val="bullet"/>
      <w:lvlText w:val=""/>
      <w:lvlJc w:val="left"/>
      <w:pPr>
        <w:tabs>
          <w:tab w:val="num" w:pos="5760"/>
        </w:tabs>
        <w:ind w:left="5760" w:hanging="360"/>
      </w:pPr>
      <w:rPr>
        <w:rFonts w:ascii="Symbol" w:hAnsi="Symbol" w:hint="default"/>
      </w:rPr>
    </w:lvl>
    <w:lvl w:ilvl="8" w:tplc="B3A2FAE4" w:tentative="1">
      <w:start w:val="1"/>
      <w:numFmt w:val="bullet"/>
      <w:lvlText w:val=""/>
      <w:lvlJc w:val="left"/>
      <w:pPr>
        <w:tabs>
          <w:tab w:val="num" w:pos="6480"/>
        </w:tabs>
        <w:ind w:left="6480" w:hanging="360"/>
      </w:pPr>
      <w:rPr>
        <w:rFonts w:ascii="Symbol" w:hAnsi="Symbol" w:hint="default"/>
      </w:rPr>
    </w:lvl>
  </w:abstractNum>
  <w:abstractNum w:abstractNumId="118" w15:restartNumberingAfterBreak="0">
    <w:nsid w:val="42D056CD"/>
    <w:multiLevelType w:val="hybridMultilevel"/>
    <w:tmpl w:val="365E40A0"/>
    <w:lvl w:ilvl="0" w:tplc="CB1C8CB0">
      <w:start w:val="1"/>
      <w:numFmt w:val="bullet"/>
      <w:lvlText w:val="&gt;"/>
      <w:lvlJc w:val="left"/>
      <w:pPr>
        <w:tabs>
          <w:tab w:val="num" w:pos="644"/>
        </w:tabs>
        <w:ind w:left="644" w:hanging="360"/>
      </w:pPr>
      <w:rPr>
        <w:rFonts w:ascii="Arial" w:hAnsi="Arial" w:cs="Times New Roman" w:hint="default"/>
      </w:rPr>
    </w:lvl>
    <w:lvl w:ilvl="1" w:tplc="C8C0F1DE">
      <w:start w:val="124"/>
      <w:numFmt w:val="bullet"/>
      <w:lvlText w:val="&gt;"/>
      <w:lvlJc w:val="left"/>
      <w:pPr>
        <w:tabs>
          <w:tab w:val="num" w:pos="1364"/>
        </w:tabs>
        <w:ind w:left="1364" w:hanging="360"/>
      </w:pPr>
      <w:rPr>
        <w:rFonts w:ascii="Arial" w:hAnsi="Arial" w:cs="Times New Roman" w:hint="default"/>
      </w:rPr>
    </w:lvl>
    <w:lvl w:ilvl="2" w:tplc="60CCFA52">
      <w:start w:val="1"/>
      <w:numFmt w:val="bullet"/>
      <w:lvlText w:val="&gt;"/>
      <w:lvlJc w:val="left"/>
      <w:pPr>
        <w:tabs>
          <w:tab w:val="num" w:pos="2084"/>
        </w:tabs>
        <w:ind w:left="2084" w:hanging="360"/>
      </w:pPr>
      <w:rPr>
        <w:rFonts w:ascii="Arial" w:hAnsi="Arial" w:cs="Times New Roman" w:hint="default"/>
      </w:rPr>
    </w:lvl>
    <w:lvl w:ilvl="3" w:tplc="D7D6CD62">
      <w:start w:val="124"/>
      <w:numFmt w:val="bullet"/>
      <w:lvlText w:val="&gt;"/>
      <w:lvlJc w:val="left"/>
      <w:pPr>
        <w:tabs>
          <w:tab w:val="num" w:pos="2804"/>
        </w:tabs>
        <w:ind w:left="2804" w:hanging="360"/>
      </w:pPr>
      <w:rPr>
        <w:rFonts w:ascii="Arial" w:hAnsi="Arial" w:cs="Times New Roman" w:hint="default"/>
      </w:rPr>
    </w:lvl>
    <w:lvl w:ilvl="4" w:tplc="DD6E8A12">
      <w:start w:val="124"/>
      <w:numFmt w:val="bullet"/>
      <w:lvlText w:val="&gt;"/>
      <w:lvlJc w:val="left"/>
      <w:pPr>
        <w:tabs>
          <w:tab w:val="num" w:pos="3524"/>
        </w:tabs>
        <w:ind w:left="3524" w:hanging="360"/>
      </w:pPr>
      <w:rPr>
        <w:rFonts w:ascii="Arial" w:hAnsi="Arial" w:cs="Times New Roman" w:hint="default"/>
      </w:rPr>
    </w:lvl>
    <w:lvl w:ilvl="5" w:tplc="595477D8">
      <w:start w:val="1"/>
      <w:numFmt w:val="bullet"/>
      <w:lvlText w:val="&gt;"/>
      <w:lvlJc w:val="left"/>
      <w:pPr>
        <w:tabs>
          <w:tab w:val="num" w:pos="4244"/>
        </w:tabs>
        <w:ind w:left="4244" w:hanging="360"/>
      </w:pPr>
      <w:rPr>
        <w:rFonts w:ascii="Arial" w:hAnsi="Arial" w:cs="Times New Roman" w:hint="default"/>
      </w:rPr>
    </w:lvl>
    <w:lvl w:ilvl="6" w:tplc="18524E36">
      <w:start w:val="1"/>
      <w:numFmt w:val="bullet"/>
      <w:lvlText w:val="&gt;"/>
      <w:lvlJc w:val="left"/>
      <w:pPr>
        <w:tabs>
          <w:tab w:val="num" w:pos="4964"/>
        </w:tabs>
        <w:ind w:left="4964" w:hanging="360"/>
      </w:pPr>
      <w:rPr>
        <w:rFonts w:ascii="Arial" w:hAnsi="Arial" w:cs="Times New Roman" w:hint="default"/>
      </w:rPr>
    </w:lvl>
    <w:lvl w:ilvl="7" w:tplc="E82A51DE">
      <w:start w:val="1"/>
      <w:numFmt w:val="bullet"/>
      <w:lvlText w:val="&gt;"/>
      <w:lvlJc w:val="left"/>
      <w:pPr>
        <w:tabs>
          <w:tab w:val="num" w:pos="5684"/>
        </w:tabs>
        <w:ind w:left="5684" w:hanging="360"/>
      </w:pPr>
      <w:rPr>
        <w:rFonts w:ascii="Arial" w:hAnsi="Arial" w:cs="Times New Roman" w:hint="default"/>
      </w:rPr>
    </w:lvl>
    <w:lvl w:ilvl="8" w:tplc="3BE8B854">
      <w:start w:val="1"/>
      <w:numFmt w:val="bullet"/>
      <w:lvlText w:val="&gt;"/>
      <w:lvlJc w:val="left"/>
      <w:pPr>
        <w:tabs>
          <w:tab w:val="num" w:pos="6404"/>
        </w:tabs>
        <w:ind w:left="6404" w:hanging="360"/>
      </w:pPr>
      <w:rPr>
        <w:rFonts w:ascii="Arial" w:hAnsi="Arial" w:cs="Times New Roman" w:hint="default"/>
      </w:rPr>
    </w:lvl>
  </w:abstractNum>
  <w:abstractNum w:abstractNumId="119" w15:restartNumberingAfterBreak="0">
    <w:nsid w:val="44651863"/>
    <w:multiLevelType w:val="hybridMultilevel"/>
    <w:tmpl w:val="73B2FCE8"/>
    <w:lvl w:ilvl="0" w:tplc="FD92578E">
      <w:start w:val="1"/>
      <w:numFmt w:val="bullet"/>
      <w:lvlText w:val=""/>
      <w:lvlPicBulletId w:val="1"/>
      <w:lvlJc w:val="left"/>
      <w:pPr>
        <w:tabs>
          <w:tab w:val="num" w:pos="720"/>
        </w:tabs>
        <w:ind w:left="720" w:hanging="360"/>
      </w:pPr>
      <w:rPr>
        <w:rFonts w:ascii="Symbol" w:hAnsi="Symbol" w:hint="default"/>
      </w:rPr>
    </w:lvl>
    <w:lvl w:ilvl="1" w:tplc="5136153E" w:tentative="1">
      <w:start w:val="1"/>
      <w:numFmt w:val="bullet"/>
      <w:lvlText w:val=""/>
      <w:lvlJc w:val="left"/>
      <w:pPr>
        <w:tabs>
          <w:tab w:val="num" w:pos="1440"/>
        </w:tabs>
        <w:ind w:left="1440" w:hanging="360"/>
      </w:pPr>
      <w:rPr>
        <w:rFonts w:ascii="Symbol" w:hAnsi="Symbol" w:hint="default"/>
      </w:rPr>
    </w:lvl>
    <w:lvl w:ilvl="2" w:tplc="4802E5A2" w:tentative="1">
      <w:start w:val="1"/>
      <w:numFmt w:val="bullet"/>
      <w:lvlText w:val=""/>
      <w:lvlJc w:val="left"/>
      <w:pPr>
        <w:tabs>
          <w:tab w:val="num" w:pos="2160"/>
        </w:tabs>
        <w:ind w:left="2160" w:hanging="360"/>
      </w:pPr>
      <w:rPr>
        <w:rFonts w:ascii="Symbol" w:hAnsi="Symbol" w:hint="default"/>
      </w:rPr>
    </w:lvl>
    <w:lvl w:ilvl="3" w:tplc="324872B2" w:tentative="1">
      <w:start w:val="1"/>
      <w:numFmt w:val="bullet"/>
      <w:lvlText w:val=""/>
      <w:lvlJc w:val="left"/>
      <w:pPr>
        <w:tabs>
          <w:tab w:val="num" w:pos="2880"/>
        </w:tabs>
        <w:ind w:left="2880" w:hanging="360"/>
      </w:pPr>
      <w:rPr>
        <w:rFonts w:ascii="Symbol" w:hAnsi="Symbol" w:hint="default"/>
      </w:rPr>
    </w:lvl>
    <w:lvl w:ilvl="4" w:tplc="9F3AE9C8" w:tentative="1">
      <w:start w:val="1"/>
      <w:numFmt w:val="bullet"/>
      <w:lvlText w:val=""/>
      <w:lvlJc w:val="left"/>
      <w:pPr>
        <w:tabs>
          <w:tab w:val="num" w:pos="3600"/>
        </w:tabs>
        <w:ind w:left="3600" w:hanging="360"/>
      </w:pPr>
      <w:rPr>
        <w:rFonts w:ascii="Symbol" w:hAnsi="Symbol" w:hint="default"/>
      </w:rPr>
    </w:lvl>
    <w:lvl w:ilvl="5" w:tplc="412ED276" w:tentative="1">
      <w:start w:val="1"/>
      <w:numFmt w:val="bullet"/>
      <w:lvlText w:val=""/>
      <w:lvlJc w:val="left"/>
      <w:pPr>
        <w:tabs>
          <w:tab w:val="num" w:pos="4320"/>
        </w:tabs>
        <w:ind w:left="4320" w:hanging="360"/>
      </w:pPr>
      <w:rPr>
        <w:rFonts w:ascii="Symbol" w:hAnsi="Symbol" w:hint="default"/>
      </w:rPr>
    </w:lvl>
    <w:lvl w:ilvl="6" w:tplc="A98C07E8" w:tentative="1">
      <w:start w:val="1"/>
      <w:numFmt w:val="bullet"/>
      <w:lvlText w:val=""/>
      <w:lvlJc w:val="left"/>
      <w:pPr>
        <w:tabs>
          <w:tab w:val="num" w:pos="5040"/>
        </w:tabs>
        <w:ind w:left="5040" w:hanging="360"/>
      </w:pPr>
      <w:rPr>
        <w:rFonts w:ascii="Symbol" w:hAnsi="Symbol" w:hint="default"/>
      </w:rPr>
    </w:lvl>
    <w:lvl w:ilvl="7" w:tplc="C35E8908" w:tentative="1">
      <w:start w:val="1"/>
      <w:numFmt w:val="bullet"/>
      <w:lvlText w:val=""/>
      <w:lvlJc w:val="left"/>
      <w:pPr>
        <w:tabs>
          <w:tab w:val="num" w:pos="5760"/>
        </w:tabs>
        <w:ind w:left="5760" w:hanging="360"/>
      </w:pPr>
      <w:rPr>
        <w:rFonts w:ascii="Symbol" w:hAnsi="Symbol" w:hint="default"/>
      </w:rPr>
    </w:lvl>
    <w:lvl w:ilvl="8" w:tplc="5FFA674A" w:tentative="1">
      <w:start w:val="1"/>
      <w:numFmt w:val="bullet"/>
      <w:lvlText w:val=""/>
      <w:lvlJc w:val="left"/>
      <w:pPr>
        <w:tabs>
          <w:tab w:val="num" w:pos="6480"/>
        </w:tabs>
        <w:ind w:left="6480" w:hanging="360"/>
      </w:pPr>
      <w:rPr>
        <w:rFonts w:ascii="Symbol" w:hAnsi="Symbol" w:hint="default"/>
      </w:rPr>
    </w:lvl>
  </w:abstractNum>
  <w:abstractNum w:abstractNumId="120" w15:restartNumberingAfterBreak="0">
    <w:nsid w:val="448446BB"/>
    <w:multiLevelType w:val="hybridMultilevel"/>
    <w:tmpl w:val="7B2CC474"/>
    <w:lvl w:ilvl="0" w:tplc="498878BA">
      <w:start w:val="1"/>
      <w:numFmt w:val="bullet"/>
      <w:lvlText w:val=""/>
      <w:lvlPicBulletId w:val="1"/>
      <w:lvlJc w:val="left"/>
      <w:pPr>
        <w:tabs>
          <w:tab w:val="num" w:pos="720"/>
        </w:tabs>
        <w:ind w:left="720" w:hanging="360"/>
      </w:pPr>
      <w:rPr>
        <w:rFonts w:ascii="Symbol" w:hAnsi="Symbol" w:hint="default"/>
      </w:rPr>
    </w:lvl>
    <w:lvl w:ilvl="1" w:tplc="0DACFCE4" w:tentative="1">
      <w:start w:val="1"/>
      <w:numFmt w:val="bullet"/>
      <w:lvlText w:val=""/>
      <w:lvlJc w:val="left"/>
      <w:pPr>
        <w:tabs>
          <w:tab w:val="num" w:pos="1440"/>
        </w:tabs>
        <w:ind w:left="1440" w:hanging="360"/>
      </w:pPr>
      <w:rPr>
        <w:rFonts w:ascii="Symbol" w:hAnsi="Symbol" w:hint="default"/>
      </w:rPr>
    </w:lvl>
    <w:lvl w:ilvl="2" w:tplc="4B28D05E" w:tentative="1">
      <w:start w:val="1"/>
      <w:numFmt w:val="bullet"/>
      <w:lvlText w:val=""/>
      <w:lvlJc w:val="left"/>
      <w:pPr>
        <w:tabs>
          <w:tab w:val="num" w:pos="2160"/>
        </w:tabs>
        <w:ind w:left="2160" w:hanging="360"/>
      </w:pPr>
      <w:rPr>
        <w:rFonts w:ascii="Symbol" w:hAnsi="Symbol" w:hint="default"/>
      </w:rPr>
    </w:lvl>
    <w:lvl w:ilvl="3" w:tplc="3FCA7634" w:tentative="1">
      <w:start w:val="1"/>
      <w:numFmt w:val="bullet"/>
      <w:lvlText w:val=""/>
      <w:lvlJc w:val="left"/>
      <w:pPr>
        <w:tabs>
          <w:tab w:val="num" w:pos="2880"/>
        </w:tabs>
        <w:ind w:left="2880" w:hanging="360"/>
      </w:pPr>
      <w:rPr>
        <w:rFonts w:ascii="Symbol" w:hAnsi="Symbol" w:hint="default"/>
      </w:rPr>
    </w:lvl>
    <w:lvl w:ilvl="4" w:tplc="4290EADA" w:tentative="1">
      <w:start w:val="1"/>
      <w:numFmt w:val="bullet"/>
      <w:lvlText w:val=""/>
      <w:lvlJc w:val="left"/>
      <w:pPr>
        <w:tabs>
          <w:tab w:val="num" w:pos="3600"/>
        </w:tabs>
        <w:ind w:left="3600" w:hanging="360"/>
      </w:pPr>
      <w:rPr>
        <w:rFonts w:ascii="Symbol" w:hAnsi="Symbol" w:hint="default"/>
      </w:rPr>
    </w:lvl>
    <w:lvl w:ilvl="5" w:tplc="6E5E6F50" w:tentative="1">
      <w:start w:val="1"/>
      <w:numFmt w:val="bullet"/>
      <w:lvlText w:val=""/>
      <w:lvlJc w:val="left"/>
      <w:pPr>
        <w:tabs>
          <w:tab w:val="num" w:pos="4320"/>
        </w:tabs>
        <w:ind w:left="4320" w:hanging="360"/>
      </w:pPr>
      <w:rPr>
        <w:rFonts w:ascii="Symbol" w:hAnsi="Symbol" w:hint="default"/>
      </w:rPr>
    </w:lvl>
    <w:lvl w:ilvl="6" w:tplc="C2280C66" w:tentative="1">
      <w:start w:val="1"/>
      <w:numFmt w:val="bullet"/>
      <w:lvlText w:val=""/>
      <w:lvlJc w:val="left"/>
      <w:pPr>
        <w:tabs>
          <w:tab w:val="num" w:pos="5040"/>
        </w:tabs>
        <w:ind w:left="5040" w:hanging="360"/>
      </w:pPr>
      <w:rPr>
        <w:rFonts w:ascii="Symbol" w:hAnsi="Symbol" w:hint="default"/>
      </w:rPr>
    </w:lvl>
    <w:lvl w:ilvl="7" w:tplc="11AAEF54" w:tentative="1">
      <w:start w:val="1"/>
      <w:numFmt w:val="bullet"/>
      <w:lvlText w:val=""/>
      <w:lvlJc w:val="left"/>
      <w:pPr>
        <w:tabs>
          <w:tab w:val="num" w:pos="5760"/>
        </w:tabs>
        <w:ind w:left="5760" w:hanging="360"/>
      </w:pPr>
      <w:rPr>
        <w:rFonts w:ascii="Symbol" w:hAnsi="Symbol" w:hint="default"/>
      </w:rPr>
    </w:lvl>
    <w:lvl w:ilvl="8" w:tplc="29F02556" w:tentative="1">
      <w:start w:val="1"/>
      <w:numFmt w:val="bullet"/>
      <w:lvlText w:val=""/>
      <w:lvlJc w:val="left"/>
      <w:pPr>
        <w:tabs>
          <w:tab w:val="num" w:pos="6480"/>
        </w:tabs>
        <w:ind w:left="6480" w:hanging="360"/>
      </w:pPr>
      <w:rPr>
        <w:rFonts w:ascii="Symbol" w:hAnsi="Symbol" w:hint="default"/>
      </w:rPr>
    </w:lvl>
  </w:abstractNum>
  <w:abstractNum w:abstractNumId="121" w15:restartNumberingAfterBreak="0">
    <w:nsid w:val="44A5262F"/>
    <w:multiLevelType w:val="hybridMultilevel"/>
    <w:tmpl w:val="2C96ECD8"/>
    <w:lvl w:ilvl="0" w:tplc="08D2AB58">
      <w:start w:val="1"/>
      <w:numFmt w:val="bullet"/>
      <w:lvlText w:val="&gt;"/>
      <w:lvlJc w:val="left"/>
      <w:pPr>
        <w:ind w:left="2279" w:hanging="360"/>
      </w:pPr>
      <w:rPr>
        <w:rFonts w:ascii="HelveticaNeueLT Std Lt" w:hAnsi="HelveticaNeueLT Std Lt" w:hint="default"/>
        <w:sz w:val="20"/>
      </w:rPr>
    </w:lvl>
    <w:lvl w:ilvl="1" w:tplc="0C090003" w:tentative="1">
      <w:start w:val="1"/>
      <w:numFmt w:val="bullet"/>
      <w:lvlText w:val="o"/>
      <w:lvlJc w:val="left"/>
      <w:pPr>
        <w:ind w:left="2999" w:hanging="360"/>
      </w:pPr>
      <w:rPr>
        <w:rFonts w:ascii="Courier New" w:hAnsi="Courier New" w:cs="Courier New" w:hint="default"/>
      </w:rPr>
    </w:lvl>
    <w:lvl w:ilvl="2" w:tplc="0C090005" w:tentative="1">
      <w:start w:val="1"/>
      <w:numFmt w:val="bullet"/>
      <w:lvlText w:val=""/>
      <w:lvlJc w:val="left"/>
      <w:pPr>
        <w:ind w:left="3719" w:hanging="360"/>
      </w:pPr>
      <w:rPr>
        <w:rFonts w:ascii="Wingdings" w:hAnsi="Wingdings" w:hint="default"/>
      </w:rPr>
    </w:lvl>
    <w:lvl w:ilvl="3" w:tplc="0C090001" w:tentative="1">
      <w:start w:val="1"/>
      <w:numFmt w:val="bullet"/>
      <w:lvlText w:val=""/>
      <w:lvlJc w:val="left"/>
      <w:pPr>
        <w:ind w:left="4439" w:hanging="360"/>
      </w:pPr>
      <w:rPr>
        <w:rFonts w:ascii="Symbol" w:hAnsi="Symbol" w:hint="default"/>
      </w:rPr>
    </w:lvl>
    <w:lvl w:ilvl="4" w:tplc="0C090003" w:tentative="1">
      <w:start w:val="1"/>
      <w:numFmt w:val="bullet"/>
      <w:lvlText w:val="o"/>
      <w:lvlJc w:val="left"/>
      <w:pPr>
        <w:ind w:left="5159" w:hanging="360"/>
      </w:pPr>
      <w:rPr>
        <w:rFonts w:ascii="Courier New" w:hAnsi="Courier New" w:cs="Courier New" w:hint="default"/>
      </w:rPr>
    </w:lvl>
    <w:lvl w:ilvl="5" w:tplc="0C090005" w:tentative="1">
      <w:start w:val="1"/>
      <w:numFmt w:val="bullet"/>
      <w:lvlText w:val=""/>
      <w:lvlJc w:val="left"/>
      <w:pPr>
        <w:ind w:left="5879" w:hanging="360"/>
      </w:pPr>
      <w:rPr>
        <w:rFonts w:ascii="Wingdings" w:hAnsi="Wingdings" w:hint="default"/>
      </w:rPr>
    </w:lvl>
    <w:lvl w:ilvl="6" w:tplc="0C090001" w:tentative="1">
      <w:start w:val="1"/>
      <w:numFmt w:val="bullet"/>
      <w:lvlText w:val=""/>
      <w:lvlJc w:val="left"/>
      <w:pPr>
        <w:ind w:left="6599" w:hanging="360"/>
      </w:pPr>
      <w:rPr>
        <w:rFonts w:ascii="Symbol" w:hAnsi="Symbol" w:hint="default"/>
      </w:rPr>
    </w:lvl>
    <w:lvl w:ilvl="7" w:tplc="0C090003" w:tentative="1">
      <w:start w:val="1"/>
      <w:numFmt w:val="bullet"/>
      <w:lvlText w:val="o"/>
      <w:lvlJc w:val="left"/>
      <w:pPr>
        <w:ind w:left="7319" w:hanging="360"/>
      </w:pPr>
      <w:rPr>
        <w:rFonts w:ascii="Courier New" w:hAnsi="Courier New" w:cs="Courier New" w:hint="default"/>
      </w:rPr>
    </w:lvl>
    <w:lvl w:ilvl="8" w:tplc="0C090005" w:tentative="1">
      <w:start w:val="1"/>
      <w:numFmt w:val="bullet"/>
      <w:lvlText w:val=""/>
      <w:lvlJc w:val="left"/>
      <w:pPr>
        <w:ind w:left="8039" w:hanging="360"/>
      </w:pPr>
      <w:rPr>
        <w:rFonts w:ascii="Wingdings" w:hAnsi="Wingdings" w:hint="default"/>
      </w:rPr>
    </w:lvl>
  </w:abstractNum>
  <w:abstractNum w:abstractNumId="122" w15:restartNumberingAfterBreak="0">
    <w:nsid w:val="44A53387"/>
    <w:multiLevelType w:val="hybridMultilevel"/>
    <w:tmpl w:val="7960C05C"/>
    <w:lvl w:ilvl="0" w:tplc="A4EA357E">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57B4CDB"/>
    <w:multiLevelType w:val="hybridMultilevel"/>
    <w:tmpl w:val="71DC702E"/>
    <w:lvl w:ilvl="0" w:tplc="15FE0DB2">
      <w:start w:val="1"/>
      <w:numFmt w:val="bullet"/>
      <w:lvlText w:val=""/>
      <w:lvlPicBulletId w:val="0"/>
      <w:lvlJc w:val="left"/>
      <w:pPr>
        <w:tabs>
          <w:tab w:val="num" w:pos="720"/>
        </w:tabs>
        <w:ind w:left="720" w:hanging="360"/>
      </w:pPr>
      <w:rPr>
        <w:rFonts w:ascii="Symbol" w:hAnsi="Symbol" w:hint="default"/>
      </w:rPr>
    </w:lvl>
    <w:lvl w:ilvl="1" w:tplc="B85E6E14" w:tentative="1">
      <w:start w:val="1"/>
      <w:numFmt w:val="bullet"/>
      <w:lvlText w:val=""/>
      <w:lvlJc w:val="left"/>
      <w:pPr>
        <w:tabs>
          <w:tab w:val="num" w:pos="1440"/>
        </w:tabs>
        <w:ind w:left="1440" w:hanging="360"/>
      </w:pPr>
      <w:rPr>
        <w:rFonts w:ascii="Symbol" w:hAnsi="Symbol" w:hint="default"/>
      </w:rPr>
    </w:lvl>
    <w:lvl w:ilvl="2" w:tplc="61B244F8" w:tentative="1">
      <w:start w:val="1"/>
      <w:numFmt w:val="bullet"/>
      <w:lvlText w:val=""/>
      <w:lvlJc w:val="left"/>
      <w:pPr>
        <w:tabs>
          <w:tab w:val="num" w:pos="2160"/>
        </w:tabs>
        <w:ind w:left="2160" w:hanging="360"/>
      </w:pPr>
      <w:rPr>
        <w:rFonts w:ascii="Symbol" w:hAnsi="Symbol" w:hint="default"/>
      </w:rPr>
    </w:lvl>
    <w:lvl w:ilvl="3" w:tplc="40A69D38" w:tentative="1">
      <w:start w:val="1"/>
      <w:numFmt w:val="bullet"/>
      <w:lvlText w:val=""/>
      <w:lvlJc w:val="left"/>
      <w:pPr>
        <w:tabs>
          <w:tab w:val="num" w:pos="2880"/>
        </w:tabs>
        <w:ind w:left="2880" w:hanging="360"/>
      </w:pPr>
      <w:rPr>
        <w:rFonts w:ascii="Symbol" w:hAnsi="Symbol" w:hint="default"/>
      </w:rPr>
    </w:lvl>
    <w:lvl w:ilvl="4" w:tplc="01EC0914" w:tentative="1">
      <w:start w:val="1"/>
      <w:numFmt w:val="bullet"/>
      <w:lvlText w:val=""/>
      <w:lvlJc w:val="left"/>
      <w:pPr>
        <w:tabs>
          <w:tab w:val="num" w:pos="3600"/>
        </w:tabs>
        <w:ind w:left="3600" w:hanging="360"/>
      </w:pPr>
      <w:rPr>
        <w:rFonts w:ascii="Symbol" w:hAnsi="Symbol" w:hint="default"/>
      </w:rPr>
    </w:lvl>
    <w:lvl w:ilvl="5" w:tplc="9F46C4B6" w:tentative="1">
      <w:start w:val="1"/>
      <w:numFmt w:val="bullet"/>
      <w:lvlText w:val=""/>
      <w:lvlJc w:val="left"/>
      <w:pPr>
        <w:tabs>
          <w:tab w:val="num" w:pos="4320"/>
        </w:tabs>
        <w:ind w:left="4320" w:hanging="360"/>
      </w:pPr>
      <w:rPr>
        <w:rFonts w:ascii="Symbol" w:hAnsi="Symbol" w:hint="default"/>
      </w:rPr>
    </w:lvl>
    <w:lvl w:ilvl="6" w:tplc="F6F4B426" w:tentative="1">
      <w:start w:val="1"/>
      <w:numFmt w:val="bullet"/>
      <w:lvlText w:val=""/>
      <w:lvlJc w:val="left"/>
      <w:pPr>
        <w:tabs>
          <w:tab w:val="num" w:pos="5040"/>
        </w:tabs>
        <w:ind w:left="5040" w:hanging="360"/>
      </w:pPr>
      <w:rPr>
        <w:rFonts w:ascii="Symbol" w:hAnsi="Symbol" w:hint="default"/>
      </w:rPr>
    </w:lvl>
    <w:lvl w:ilvl="7" w:tplc="8D20AFC8" w:tentative="1">
      <w:start w:val="1"/>
      <w:numFmt w:val="bullet"/>
      <w:lvlText w:val=""/>
      <w:lvlJc w:val="left"/>
      <w:pPr>
        <w:tabs>
          <w:tab w:val="num" w:pos="5760"/>
        </w:tabs>
        <w:ind w:left="5760" w:hanging="360"/>
      </w:pPr>
      <w:rPr>
        <w:rFonts w:ascii="Symbol" w:hAnsi="Symbol" w:hint="default"/>
      </w:rPr>
    </w:lvl>
    <w:lvl w:ilvl="8" w:tplc="3E165CB8" w:tentative="1">
      <w:start w:val="1"/>
      <w:numFmt w:val="bullet"/>
      <w:lvlText w:val=""/>
      <w:lvlJc w:val="left"/>
      <w:pPr>
        <w:tabs>
          <w:tab w:val="num" w:pos="6480"/>
        </w:tabs>
        <w:ind w:left="6480" w:hanging="360"/>
      </w:pPr>
      <w:rPr>
        <w:rFonts w:ascii="Symbol" w:hAnsi="Symbol" w:hint="default"/>
      </w:rPr>
    </w:lvl>
  </w:abstractNum>
  <w:abstractNum w:abstractNumId="124" w15:restartNumberingAfterBreak="0">
    <w:nsid w:val="46043BFA"/>
    <w:multiLevelType w:val="hybridMultilevel"/>
    <w:tmpl w:val="2AFC7C70"/>
    <w:lvl w:ilvl="0" w:tplc="612C60A8">
      <w:start w:val="1"/>
      <w:numFmt w:val="bullet"/>
      <w:lvlText w:val=""/>
      <w:lvlPicBulletId w:val="0"/>
      <w:lvlJc w:val="left"/>
      <w:pPr>
        <w:tabs>
          <w:tab w:val="num" w:pos="720"/>
        </w:tabs>
        <w:ind w:left="720" w:hanging="360"/>
      </w:pPr>
      <w:rPr>
        <w:rFonts w:ascii="Symbol" w:hAnsi="Symbol" w:hint="default"/>
      </w:rPr>
    </w:lvl>
    <w:lvl w:ilvl="1" w:tplc="71C037D6" w:tentative="1">
      <w:start w:val="1"/>
      <w:numFmt w:val="bullet"/>
      <w:lvlText w:val=""/>
      <w:lvlJc w:val="left"/>
      <w:pPr>
        <w:tabs>
          <w:tab w:val="num" w:pos="1440"/>
        </w:tabs>
        <w:ind w:left="1440" w:hanging="360"/>
      </w:pPr>
      <w:rPr>
        <w:rFonts w:ascii="Symbol" w:hAnsi="Symbol" w:hint="default"/>
      </w:rPr>
    </w:lvl>
    <w:lvl w:ilvl="2" w:tplc="6C686168" w:tentative="1">
      <w:start w:val="1"/>
      <w:numFmt w:val="bullet"/>
      <w:lvlText w:val=""/>
      <w:lvlJc w:val="left"/>
      <w:pPr>
        <w:tabs>
          <w:tab w:val="num" w:pos="2160"/>
        </w:tabs>
        <w:ind w:left="2160" w:hanging="360"/>
      </w:pPr>
      <w:rPr>
        <w:rFonts w:ascii="Symbol" w:hAnsi="Symbol" w:hint="default"/>
      </w:rPr>
    </w:lvl>
    <w:lvl w:ilvl="3" w:tplc="59BAB688" w:tentative="1">
      <w:start w:val="1"/>
      <w:numFmt w:val="bullet"/>
      <w:lvlText w:val=""/>
      <w:lvlJc w:val="left"/>
      <w:pPr>
        <w:tabs>
          <w:tab w:val="num" w:pos="2880"/>
        </w:tabs>
        <w:ind w:left="2880" w:hanging="360"/>
      </w:pPr>
      <w:rPr>
        <w:rFonts w:ascii="Symbol" w:hAnsi="Symbol" w:hint="default"/>
      </w:rPr>
    </w:lvl>
    <w:lvl w:ilvl="4" w:tplc="F3640D94" w:tentative="1">
      <w:start w:val="1"/>
      <w:numFmt w:val="bullet"/>
      <w:lvlText w:val=""/>
      <w:lvlJc w:val="left"/>
      <w:pPr>
        <w:tabs>
          <w:tab w:val="num" w:pos="3600"/>
        </w:tabs>
        <w:ind w:left="3600" w:hanging="360"/>
      </w:pPr>
      <w:rPr>
        <w:rFonts w:ascii="Symbol" w:hAnsi="Symbol" w:hint="default"/>
      </w:rPr>
    </w:lvl>
    <w:lvl w:ilvl="5" w:tplc="638A1C5A" w:tentative="1">
      <w:start w:val="1"/>
      <w:numFmt w:val="bullet"/>
      <w:lvlText w:val=""/>
      <w:lvlJc w:val="left"/>
      <w:pPr>
        <w:tabs>
          <w:tab w:val="num" w:pos="4320"/>
        </w:tabs>
        <w:ind w:left="4320" w:hanging="360"/>
      </w:pPr>
      <w:rPr>
        <w:rFonts w:ascii="Symbol" w:hAnsi="Symbol" w:hint="default"/>
      </w:rPr>
    </w:lvl>
    <w:lvl w:ilvl="6" w:tplc="1BBC66CA" w:tentative="1">
      <w:start w:val="1"/>
      <w:numFmt w:val="bullet"/>
      <w:lvlText w:val=""/>
      <w:lvlJc w:val="left"/>
      <w:pPr>
        <w:tabs>
          <w:tab w:val="num" w:pos="5040"/>
        </w:tabs>
        <w:ind w:left="5040" w:hanging="360"/>
      </w:pPr>
      <w:rPr>
        <w:rFonts w:ascii="Symbol" w:hAnsi="Symbol" w:hint="default"/>
      </w:rPr>
    </w:lvl>
    <w:lvl w:ilvl="7" w:tplc="F4C0F5FC" w:tentative="1">
      <w:start w:val="1"/>
      <w:numFmt w:val="bullet"/>
      <w:lvlText w:val=""/>
      <w:lvlJc w:val="left"/>
      <w:pPr>
        <w:tabs>
          <w:tab w:val="num" w:pos="5760"/>
        </w:tabs>
        <w:ind w:left="5760" w:hanging="360"/>
      </w:pPr>
      <w:rPr>
        <w:rFonts w:ascii="Symbol" w:hAnsi="Symbol" w:hint="default"/>
      </w:rPr>
    </w:lvl>
    <w:lvl w:ilvl="8" w:tplc="5B46E64E" w:tentative="1">
      <w:start w:val="1"/>
      <w:numFmt w:val="bullet"/>
      <w:lvlText w:val=""/>
      <w:lvlJc w:val="left"/>
      <w:pPr>
        <w:tabs>
          <w:tab w:val="num" w:pos="6480"/>
        </w:tabs>
        <w:ind w:left="6480" w:hanging="360"/>
      </w:pPr>
      <w:rPr>
        <w:rFonts w:ascii="Symbol" w:hAnsi="Symbol" w:hint="default"/>
      </w:rPr>
    </w:lvl>
  </w:abstractNum>
  <w:abstractNum w:abstractNumId="125" w15:restartNumberingAfterBreak="0">
    <w:nsid w:val="462F33EB"/>
    <w:multiLevelType w:val="hybridMultilevel"/>
    <w:tmpl w:val="00DE8C88"/>
    <w:lvl w:ilvl="0" w:tplc="9F6ED5AC">
      <w:start w:val="1"/>
      <w:numFmt w:val="bullet"/>
      <w:lvlText w:val=""/>
      <w:lvlPicBulletId w:val="0"/>
      <w:lvlJc w:val="left"/>
      <w:pPr>
        <w:tabs>
          <w:tab w:val="num" w:pos="720"/>
        </w:tabs>
        <w:ind w:left="720" w:hanging="360"/>
      </w:pPr>
      <w:rPr>
        <w:rFonts w:ascii="Symbol" w:hAnsi="Symbol" w:hint="default"/>
      </w:rPr>
    </w:lvl>
    <w:lvl w:ilvl="1" w:tplc="D58A88D8" w:tentative="1">
      <w:start w:val="1"/>
      <w:numFmt w:val="bullet"/>
      <w:lvlText w:val=""/>
      <w:lvlJc w:val="left"/>
      <w:pPr>
        <w:tabs>
          <w:tab w:val="num" w:pos="1440"/>
        </w:tabs>
        <w:ind w:left="1440" w:hanging="360"/>
      </w:pPr>
      <w:rPr>
        <w:rFonts w:ascii="Symbol" w:hAnsi="Symbol" w:hint="default"/>
      </w:rPr>
    </w:lvl>
    <w:lvl w:ilvl="2" w:tplc="42645502" w:tentative="1">
      <w:start w:val="1"/>
      <w:numFmt w:val="bullet"/>
      <w:lvlText w:val=""/>
      <w:lvlJc w:val="left"/>
      <w:pPr>
        <w:tabs>
          <w:tab w:val="num" w:pos="2160"/>
        </w:tabs>
        <w:ind w:left="2160" w:hanging="360"/>
      </w:pPr>
      <w:rPr>
        <w:rFonts w:ascii="Symbol" w:hAnsi="Symbol" w:hint="default"/>
      </w:rPr>
    </w:lvl>
    <w:lvl w:ilvl="3" w:tplc="C22C9850" w:tentative="1">
      <w:start w:val="1"/>
      <w:numFmt w:val="bullet"/>
      <w:lvlText w:val=""/>
      <w:lvlJc w:val="left"/>
      <w:pPr>
        <w:tabs>
          <w:tab w:val="num" w:pos="2880"/>
        </w:tabs>
        <w:ind w:left="2880" w:hanging="360"/>
      </w:pPr>
      <w:rPr>
        <w:rFonts w:ascii="Symbol" w:hAnsi="Symbol" w:hint="default"/>
      </w:rPr>
    </w:lvl>
    <w:lvl w:ilvl="4" w:tplc="C658C298" w:tentative="1">
      <w:start w:val="1"/>
      <w:numFmt w:val="bullet"/>
      <w:lvlText w:val=""/>
      <w:lvlJc w:val="left"/>
      <w:pPr>
        <w:tabs>
          <w:tab w:val="num" w:pos="3600"/>
        </w:tabs>
        <w:ind w:left="3600" w:hanging="360"/>
      </w:pPr>
      <w:rPr>
        <w:rFonts w:ascii="Symbol" w:hAnsi="Symbol" w:hint="default"/>
      </w:rPr>
    </w:lvl>
    <w:lvl w:ilvl="5" w:tplc="D9E84B3A" w:tentative="1">
      <w:start w:val="1"/>
      <w:numFmt w:val="bullet"/>
      <w:lvlText w:val=""/>
      <w:lvlJc w:val="left"/>
      <w:pPr>
        <w:tabs>
          <w:tab w:val="num" w:pos="4320"/>
        </w:tabs>
        <w:ind w:left="4320" w:hanging="360"/>
      </w:pPr>
      <w:rPr>
        <w:rFonts w:ascii="Symbol" w:hAnsi="Symbol" w:hint="default"/>
      </w:rPr>
    </w:lvl>
    <w:lvl w:ilvl="6" w:tplc="4BEACC0A" w:tentative="1">
      <w:start w:val="1"/>
      <w:numFmt w:val="bullet"/>
      <w:lvlText w:val=""/>
      <w:lvlJc w:val="left"/>
      <w:pPr>
        <w:tabs>
          <w:tab w:val="num" w:pos="5040"/>
        </w:tabs>
        <w:ind w:left="5040" w:hanging="360"/>
      </w:pPr>
      <w:rPr>
        <w:rFonts w:ascii="Symbol" w:hAnsi="Symbol" w:hint="default"/>
      </w:rPr>
    </w:lvl>
    <w:lvl w:ilvl="7" w:tplc="321CED3C" w:tentative="1">
      <w:start w:val="1"/>
      <w:numFmt w:val="bullet"/>
      <w:lvlText w:val=""/>
      <w:lvlJc w:val="left"/>
      <w:pPr>
        <w:tabs>
          <w:tab w:val="num" w:pos="5760"/>
        </w:tabs>
        <w:ind w:left="5760" w:hanging="360"/>
      </w:pPr>
      <w:rPr>
        <w:rFonts w:ascii="Symbol" w:hAnsi="Symbol" w:hint="default"/>
      </w:rPr>
    </w:lvl>
    <w:lvl w:ilvl="8" w:tplc="94E22CFA" w:tentative="1">
      <w:start w:val="1"/>
      <w:numFmt w:val="bullet"/>
      <w:lvlText w:val=""/>
      <w:lvlJc w:val="left"/>
      <w:pPr>
        <w:tabs>
          <w:tab w:val="num" w:pos="6480"/>
        </w:tabs>
        <w:ind w:left="6480" w:hanging="360"/>
      </w:pPr>
      <w:rPr>
        <w:rFonts w:ascii="Symbol" w:hAnsi="Symbol" w:hint="default"/>
      </w:rPr>
    </w:lvl>
  </w:abstractNum>
  <w:abstractNum w:abstractNumId="126" w15:restartNumberingAfterBreak="0">
    <w:nsid w:val="4750135E"/>
    <w:multiLevelType w:val="hybridMultilevel"/>
    <w:tmpl w:val="457E65B8"/>
    <w:lvl w:ilvl="0" w:tplc="0C090001">
      <w:start w:val="1"/>
      <w:numFmt w:val="bullet"/>
      <w:lvlText w:val=""/>
      <w:lvlJc w:val="left"/>
      <w:pPr>
        <w:ind w:left="577" w:hanging="360"/>
      </w:pPr>
      <w:rPr>
        <w:rFonts w:ascii="Symbol" w:hAnsi="Symbol" w:hint="default"/>
      </w:rPr>
    </w:lvl>
    <w:lvl w:ilvl="1" w:tplc="44EEC084">
      <w:start w:val="1"/>
      <w:numFmt w:val="bullet"/>
      <w:lvlText w:val="&gt;"/>
      <w:lvlJc w:val="left"/>
      <w:pPr>
        <w:ind w:left="1297" w:hanging="360"/>
      </w:pPr>
      <w:rPr>
        <w:rFonts w:ascii="HelveticaNeueLT Std" w:hAnsi="HelveticaNeueLT Std" w:hint="default"/>
      </w:rPr>
    </w:lvl>
    <w:lvl w:ilvl="2" w:tplc="0C090005">
      <w:start w:val="1"/>
      <w:numFmt w:val="bullet"/>
      <w:lvlText w:val=""/>
      <w:lvlJc w:val="left"/>
      <w:pPr>
        <w:ind w:left="2017" w:hanging="360"/>
      </w:pPr>
      <w:rPr>
        <w:rFonts w:ascii="Wingdings" w:hAnsi="Wingdings" w:hint="default"/>
      </w:rPr>
    </w:lvl>
    <w:lvl w:ilvl="3" w:tplc="0C090001" w:tentative="1">
      <w:start w:val="1"/>
      <w:numFmt w:val="bullet"/>
      <w:lvlText w:val=""/>
      <w:lvlJc w:val="left"/>
      <w:pPr>
        <w:ind w:left="2737" w:hanging="360"/>
      </w:pPr>
      <w:rPr>
        <w:rFonts w:ascii="Symbol" w:hAnsi="Symbol" w:hint="default"/>
      </w:rPr>
    </w:lvl>
    <w:lvl w:ilvl="4" w:tplc="0C090003" w:tentative="1">
      <w:start w:val="1"/>
      <w:numFmt w:val="bullet"/>
      <w:lvlText w:val="o"/>
      <w:lvlJc w:val="left"/>
      <w:pPr>
        <w:ind w:left="3457" w:hanging="360"/>
      </w:pPr>
      <w:rPr>
        <w:rFonts w:ascii="Courier New" w:hAnsi="Courier New" w:cs="Courier New" w:hint="default"/>
      </w:rPr>
    </w:lvl>
    <w:lvl w:ilvl="5" w:tplc="0C090005" w:tentative="1">
      <w:start w:val="1"/>
      <w:numFmt w:val="bullet"/>
      <w:lvlText w:val=""/>
      <w:lvlJc w:val="left"/>
      <w:pPr>
        <w:ind w:left="4177" w:hanging="360"/>
      </w:pPr>
      <w:rPr>
        <w:rFonts w:ascii="Wingdings" w:hAnsi="Wingdings" w:hint="default"/>
      </w:rPr>
    </w:lvl>
    <w:lvl w:ilvl="6" w:tplc="0C090001" w:tentative="1">
      <w:start w:val="1"/>
      <w:numFmt w:val="bullet"/>
      <w:lvlText w:val=""/>
      <w:lvlJc w:val="left"/>
      <w:pPr>
        <w:ind w:left="4897" w:hanging="360"/>
      </w:pPr>
      <w:rPr>
        <w:rFonts w:ascii="Symbol" w:hAnsi="Symbol" w:hint="default"/>
      </w:rPr>
    </w:lvl>
    <w:lvl w:ilvl="7" w:tplc="0C090003" w:tentative="1">
      <w:start w:val="1"/>
      <w:numFmt w:val="bullet"/>
      <w:lvlText w:val="o"/>
      <w:lvlJc w:val="left"/>
      <w:pPr>
        <w:ind w:left="5617" w:hanging="360"/>
      </w:pPr>
      <w:rPr>
        <w:rFonts w:ascii="Courier New" w:hAnsi="Courier New" w:cs="Courier New" w:hint="default"/>
      </w:rPr>
    </w:lvl>
    <w:lvl w:ilvl="8" w:tplc="0C090005" w:tentative="1">
      <w:start w:val="1"/>
      <w:numFmt w:val="bullet"/>
      <w:lvlText w:val=""/>
      <w:lvlJc w:val="left"/>
      <w:pPr>
        <w:ind w:left="6337" w:hanging="360"/>
      </w:pPr>
      <w:rPr>
        <w:rFonts w:ascii="Wingdings" w:hAnsi="Wingdings" w:hint="default"/>
      </w:rPr>
    </w:lvl>
  </w:abstractNum>
  <w:abstractNum w:abstractNumId="127" w15:restartNumberingAfterBreak="0">
    <w:nsid w:val="47D441B5"/>
    <w:multiLevelType w:val="hybridMultilevel"/>
    <w:tmpl w:val="F6F81F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8" w15:restartNumberingAfterBreak="0">
    <w:nsid w:val="48C03B11"/>
    <w:multiLevelType w:val="hybridMultilevel"/>
    <w:tmpl w:val="552CDC46"/>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4978463F"/>
    <w:multiLevelType w:val="hybridMultilevel"/>
    <w:tmpl w:val="24CAB0AA"/>
    <w:lvl w:ilvl="0" w:tplc="F8D2479E">
      <w:start w:val="1"/>
      <w:numFmt w:val="bullet"/>
      <w:lvlText w:val=""/>
      <w:lvlPicBulletId w:val="1"/>
      <w:lvlJc w:val="left"/>
      <w:pPr>
        <w:tabs>
          <w:tab w:val="num" w:pos="720"/>
        </w:tabs>
        <w:ind w:left="720" w:hanging="360"/>
      </w:pPr>
      <w:rPr>
        <w:rFonts w:ascii="Symbol" w:hAnsi="Symbol" w:hint="default"/>
      </w:rPr>
    </w:lvl>
    <w:lvl w:ilvl="1" w:tplc="C54A53E8" w:tentative="1">
      <w:start w:val="1"/>
      <w:numFmt w:val="bullet"/>
      <w:lvlText w:val=""/>
      <w:lvlJc w:val="left"/>
      <w:pPr>
        <w:tabs>
          <w:tab w:val="num" w:pos="1440"/>
        </w:tabs>
        <w:ind w:left="1440" w:hanging="360"/>
      </w:pPr>
      <w:rPr>
        <w:rFonts w:ascii="Symbol" w:hAnsi="Symbol" w:hint="default"/>
      </w:rPr>
    </w:lvl>
    <w:lvl w:ilvl="2" w:tplc="7FE03280" w:tentative="1">
      <w:start w:val="1"/>
      <w:numFmt w:val="bullet"/>
      <w:lvlText w:val=""/>
      <w:lvlJc w:val="left"/>
      <w:pPr>
        <w:tabs>
          <w:tab w:val="num" w:pos="2160"/>
        </w:tabs>
        <w:ind w:left="2160" w:hanging="360"/>
      </w:pPr>
      <w:rPr>
        <w:rFonts w:ascii="Symbol" w:hAnsi="Symbol" w:hint="default"/>
      </w:rPr>
    </w:lvl>
    <w:lvl w:ilvl="3" w:tplc="CE369EEC" w:tentative="1">
      <w:start w:val="1"/>
      <w:numFmt w:val="bullet"/>
      <w:lvlText w:val=""/>
      <w:lvlJc w:val="left"/>
      <w:pPr>
        <w:tabs>
          <w:tab w:val="num" w:pos="2880"/>
        </w:tabs>
        <w:ind w:left="2880" w:hanging="360"/>
      </w:pPr>
      <w:rPr>
        <w:rFonts w:ascii="Symbol" w:hAnsi="Symbol" w:hint="default"/>
      </w:rPr>
    </w:lvl>
    <w:lvl w:ilvl="4" w:tplc="5C9AE1C2" w:tentative="1">
      <w:start w:val="1"/>
      <w:numFmt w:val="bullet"/>
      <w:lvlText w:val=""/>
      <w:lvlJc w:val="left"/>
      <w:pPr>
        <w:tabs>
          <w:tab w:val="num" w:pos="3600"/>
        </w:tabs>
        <w:ind w:left="3600" w:hanging="360"/>
      </w:pPr>
      <w:rPr>
        <w:rFonts w:ascii="Symbol" w:hAnsi="Symbol" w:hint="default"/>
      </w:rPr>
    </w:lvl>
    <w:lvl w:ilvl="5" w:tplc="933E4FBE" w:tentative="1">
      <w:start w:val="1"/>
      <w:numFmt w:val="bullet"/>
      <w:lvlText w:val=""/>
      <w:lvlJc w:val="left"/>
      <w:pPr>
        <w:tabs>
          <w:tab w:val="num" w:pos="4320"/>
        </w:tabs>
        <w:ind w:left="4320" w:hanging="360"/>
      </w:pPr>
      <w:rPr>
        <w:rFonts w:ascii="Symbol" w:hAnsi="Symbol" w:hint="default"/>
      </w:rPr>
    </w:lvl>
    <w:lvl w:ilvl="6" w:tplc="9F54FABC" w:tentative="1">
      <w:start w:val="1"/>
      <w:numFmt w:val="bullet"/>
      <w:lvlText w:val=""/>
      <w:lvlJc w:val="left"/>
      <w:pPr>
        <w:tabs>
          <w:tab w:val="num" w:pos="5040"/>
        </w:tabs>
        <w:ind w:left="5040" w:hanging="360"/>
      </w:pPr>
      <w:rPr>
        <w:rFonts w:ascii="Symbol" w:hAnsi="Symbol" w:hint="default"/>
      </w:rPr>
    </w:lvl>
    <w:lvl w:ilvl="7" w:tplc="C4AEF006" w:tentative="1">
      <w:start w:val="1"/>
      <w:numFmt w:val="bullet"/>
      <w:lvlText w:val=""/>
      <w:lvlJc w:val="left"/>
      <w:pPr>
        <w:tabs>
          <w:tab w:val="num" w:pos="5760"/>
        </w:tabs>
        <w:ind w:left="5760" w:hanging="360"/>
      </w:pPr>
      <w:rPr>
        <w:rFonts w:ascii="Symbol" w:hAnsi="Symbol" w:hint="default"/>
      </w:rPr>
    </w:lvl>
    <w:lvl w:ilvl="8" w:tplc="AA527836" w:tentative="1">
      <w:start w:val="1"/>
      <w:numFmt w:val="bullet"/>
      <w:lvlText w:val=""/>
      <w:lvlJc w:val="left"/>
      <w:pPr>
        <w:tabs>
          <w:tab w:val="num" w:pos="6480"/>
        </w:tabs>
        <w:ind w:left="6480" w:hanging="360"/>
      </w:pPr>
      <w:rPr>
        <w:rFonts w:ascii="Symbol" w:hAnsi="Symbol" w:hint="default"/>
      </w:rPr>
    </w:lvl>
  </w:abstractNum>
  <w:abstractNum w:abstractNumId="130" w15:restartNumberingAfterBreak="0">
    <w:nsid w:val="49870DDE"/>
    <w:multiLevelType w:val="hybridMultilevel"/>
    <w:tmpl w:val="86B083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1" w15:restartNumberingAfterBreak="0">
    <w:nsid w:val="49D11D7D"/>
    <w:multiLevelType w:val="hybridMultilevel"/>
    <w:tmpl w:val="DAEC4232"/>
    <w:lvl w:ilvl="0" w:tplc="08D2AB58">
      <w:start w:val="1"/>
      <w:numFmt w:val="bullet"/>
      <w:lvlText w:val="&gt;"/>
      <w:lvlJc w:val="left"/>
      <w:pPr>
        <w:ind w:left="1583" w:hanging="360"/>
      </w:pPr>
      <w:rPr>
        <w:rFonts w:ascii="HelveticaNeueLT Std Lt" w:hAnsi="HelveticaNeueLT Std Lt" w:hint="default"/>
        <w:sz w:val="20"/>
      </w:rPr>
    </w:lvl>
    <w:lvl w:ilvl="1" w:tplc="0C090003" w:tentative="1">
      <w:start w:val="1"/>
      <w:numFmt w:val="bullet"/>
      <w:lvlText w:val="o"/>
      <w:lvlJc w:val="left"/>
      <w:pPr>
        <w:ind w:left="2303" w:hanging="360"/>
      </w:pPr>
      <w:rPr>
        <w:rFonts w:ascii="Courier New" w:hAnsi="Courier New" w:cs="Courier New" w:hint="default"/>
      </w:rPr>
    </w:lvl>
    <w:lvl w:ilvl="2" w:tplc="0C090005" w:tentative="1">
      <w:start w:val="1"/>
      <w:numFmt w:val="bullet"/>
      <w:lvlText w:val=""/>
      <w:lvlJc w:val="left"/>
      <w:pPr>
        <w:ind w:left="3023" w:hanging="360"/>
      </w:pPr>
      <w:rPr>
        <w:rFonts w:ascii="Wingdings" w:hAnsi="Wingdings" w:hint="default"/>
      </w:rPr>
    </w:lvl>
    <w:lvl w:ilvl="3" w:tplc="0C090001" w:tentative="1">
      <w:start w:val="1"/>
      <w:numFmt w:val="bullet"/>
      <w:lvlText w:val=""/>
      <w:lvlJc w:val="left"/>
      <w:pPr>
        <w:ind w:left="3743" w:hanging="360"/>
      </w:pPr>
      <w:rPr>
        <w:rFonts w:ascii="Symbol" w:hAnsi="Symbol" w:hint="default"/>
      </w:rPr>
    </w:lvl>
    <w:lvl w:ilvl="4" w:tplc="0C090003" w:tentative="1">
      <w:start w:val="1"/>
      <w:numFmt w:val="bullet"/>
      <w:lvlText w:val="o"/>
      <w:lvlJc w:val="left"/>
      <w:pPr>
        <w:ind w:left="4463" w:hanging="360"/>
      </w:pPr>
      <w:rPr>
        <w:rFonts w:ascii="Courier New" w:hAnsi="Courier New" w:cs="Courier New" w:hint="default"/>
      </w:rPr>
    </w:lvl>
    <w:lvl w:ilvl="5" w:tplc="0C090005" w:tentative="1">
      <w:start w:val="1"/>
      <w:numFmt w:val="bullet"/>
      <w:lvlText w:val=""/>
      <w:lvlJc w:val="left"/>
      <w:pPr>
        <w:ind w:left="5183" w:hanging="360"/>
      </w:pPr>
      <w:rPr>
        <w:rFonts w:ascii="Wingdings" w:hAnsi="Wingdings" w:hint="default"/>
      </w:rPr>
    </w:lvl>
    <w:lvl w:ilvl="6" w:tplc="0C090001" w:tentative="1">
      <w:start w:val="1"/>
      <w:numFmt w:val="bullet"/>
      <w:lvlText w:val=""/>
      <w:lvlJc w:val="left"/>
      <w:pPr>
        <w:ind w:left="5903" w:hanging="360"/>
      </w:pPr>
      <w:rPr>
        <w:rFonts w:ascii="Symbol" w:hAnsi="Symbol" w:hint="default"/>
      </w:rPr>
    </w:lvl>
    <w:lvl w:ilvl="7" w:tplc="0C090003" w:tentative="1">
      <w:start w:val="1"/>
      <w:numFmt w:val="bullet"/>
      <w:lvlText w:val="o"/>
      <w:lvlJc w:val="left"/>
      <w:pPr>
        <w:ind w:left="6623" w:hanging="360"/>
      </w:pPr>
      <w:rPr>
        <w:rFonts w:ascii="Courier New" w:hAnsi="Courier New" w:cs="Courier New" w:hint="default"/>
      </w:rPr>
    </w:lvl>
    <w:lvl w:ilvl="8" w:tplc="0C090005" w:tentative="1">
      <w:start w:val="1"/>
      <w:numFmt w:val="bullet"/>
      <w:lvlText w:val=""/>
      <w:lvlJc w:val="left"/>
      <w:pPr>
        <w:ind w:left="7343" w:hanging="360"/>
      </w:pPr>
      <w:rPr>
        <w:rFonts w:ascii="Wingdings" w:hAnsi="Wingdings" w:hint="default"/>
      </w:rPr>
    </w:lvl>
  </w:abstractNum>
  <w:abstractNum w:abstractNumId="132" w15:restartNumberingAfterBreak="0">
    <w:nsid w:val="4B234F6C"/>
    <w:multiLevelType w:val="hybridMultilevel"/>
    <w:tmpl w:val="31B09C4C"/>
    <w:lvl w:ilvl="0" w:tplc="BCD4AFB8">
      <w:start w:val="1"/>
      <w:numFmt w:val="bullet"/>
      <w:lvlText w:val=""/>
      <w:lvlPicBulletId w:val="1"/>
      <w:lvlJc w:val="left"/>
      <w:pPr>
        <w:tabs>
          <w:tab w:val="num" w:pos="720"/>
        </w:tabs>
        <w:ind w:left="720" w:hanging="360"/>
      </w:pPr>
      <w:rPr>
        <w:rFonts w:ascii="Symbol" w:hAnsi="Symbol" w:hint="default"/>
      </w:rPr>
    </w:lvl>
    <w:lvl w:ilvl="1" w:tplc="9FC6DD78" w:tentative="1">
      <w:start w:val="1"/>
      <w:numFmt w:val="bullet"/>
      <w:lvlText w:val=""/>
      <w:lvlJc w:val="left"/>
      <w:pPr>
        <w:tabs>
          <w:tab w:val="num" w:pos="1440"/>
        </w:tabs>
        <w:ind w:left="1440" w:hanging="360"/>
      </w:pPr>
      <w:rPr>
        <w:rFonts w:ascii="Symbol" w:hAnsi="Symbol" w:hint="default"/>
      </w:rPr>
    </w:lvl>
    <w:lvl w:ilvl="2" w:tplc="BDF61D16" w:tentative="1">
      <w:start w:val="1"/>
      <w:numFmt w:val="bullet"/>
      <w:lvlText w:val=""/>
      <w:lvlJc w:val="left"/>
      <w:pPr>
        <w:tabs>
          <w:tab w:val="num" w:pos="2160"/>
        </w:tabs>
        <w:ind w:left="2160" w:hanging="360"/>
      </w:pPr>
      <w:rPr>
        <w:rFonts w:ascii="Symbol" w:hAnsi="Symbol" w:hint="default"/>
      </w:rPr>
    </w:lvl>
    <w:lvl w:ilvl="3" w:tplc="576667CE" w:tentative="1">
      <w:start w:val="1"/>
      <w:numFmt w:val="bullet"/>
      <w:lvlText w:val=""/>
      <w:lvlJc w:val="left"/>
      <w:pPr>
        <w:tabs>
          <w:tab w:val="num" w:pos="2880"/>
        </w:tabs>
        <w:ind w:left="2880" w:hanging="360"/>
      </w:pPr>
      <w:rPr>
        <w:rFonts w:ascii="Symbol" w:hAnsi="Symbol" w:hint="default"/>
      </w:rPr>
    </w:lvl>
    <w:lvl w:ilvl="4" w:tplc="DB98E346" w:tentative="1">
      <w:start w:val="1"/>
      <w:numFmt w:val="bullet"/>
      <w:lvlText w:val=""/>
      <w:lvlJc w:val="left"/>
      <w:pPr>
        <w:tabs>
          <w:tab w:val="num" w:pos="3600"/>
        </w:tabs>
        <w:ind w:left="3600" w:hanging="360"/>
      </w:pPr>
      <w:rPr>
        <w:rFonts w:ascii="Symbol" w:hAnsi="Symbol" w:hint="default"/>
      </w:rPr>
    </w:lvl>
    <w:lvl w:ilvl="5" w:tplc="831C6270" w:tentative="1">
      <w:start w:val="1"/>
      <w:numFmt w:val="bullet"/>
      <w:lvlText w:val=""/>
      <w:lvlJc w:val="left"/>
      <w:pPr>
        <w:tabs>
          <w:tab w:val="num" w:pos="4320"/>
        </w:tabs>
        <w:ind w:left="4320" w:hanging="360"/>
      </w:pPr>
      <w:rPr>
        <w:rFonts w:ascii="Symbol" w:hAnsi="Symbol" w:hint="default"/>
      </w:rPr>
    </w:lvl>
    <w:lvl w:ilvl="6" w:tplc="C2C8243E" w:tentative="1">
      <w:start w:val="1"/>
      <w:numFmt w:val="bullet"/>
      <w:lvlText w:val=""/>
      <w:lvlJc w:val="left"/>
      <w:pPr>
        <w:tabs>
          <w:tab w:val="num" w:pos="5040"/>
        </w:tabs>
        <w:ind w:left="5040" w:hanging="360"/>
      </w:pPr>
      <w:rPr>
        <w:rFonts w:ascii="Symbol" w:hAnsi="Symbol" w:hint="default"/>
      </w:rPr>
    </w:lvl>
    <w:lvl w:ilvl="7" w:tplc="A6AA40FC" w:tentative="1">
      <w:start w:val="1"/>
      <w:numFmt w:val="bullet"/>
      <w:lvlText w:val=""/>
      <w:lvlJc w:val="left"/>
      <w:pPr>
        <w:tabs>
          <w:tab w:val="num" w:pos="5760"/>
        </w:tabs>
        <w:ind w:left="5760" w:hanging="360"/>
      </w:pPr>
      <w:rPr>
        <w:rFonts w:ascii="Symbol" w:hAnsi="Symbol" w:hint="default"/>
      </w:rPr>
    </w:lvl>
    <w:lvl w:ilvl="8" w:tplc="92380D70" w:tentative="1">
      <w:start w:val="1"/>
      <w:numFmt w:val="bullet"/>
      <w:lvlText w:val=""/>
      <w:lvlJc w:val="left"/>
      <w:pPr>
        <w:tabs>
          <w:tab w:val="num" w:pos="6480"/>
        </w:tabs>
        <w:ind w:left="6480" w:hanging="360"/>
      </w:pPr>
      <w:rPr>
        <w:rFonts w:ascii="Symbol" w:hAnsi="Symbol" w:hint="default"/>
      </w:rPr>
    </w:lvl>
  </w:abstractNum>
  <w:abstractNum w:abstractNumId="133" w15:restartNumberingAfterBreak="0">
    <w:nsid w:val="4B4C6168"/>
    <w:multiLevelType w:val="hybridMultilevel"/>
    <w:tmpl w:val="247633D0"/>
    <w:lvl w:ilvl="0" w:tplc="32AC69CE">
      <w:start w:val="1"/>
      <w:numFmt w:val="bullet"/>
      <w:lvlText w:val=""/>
      <w:lvlPicBulletId w:val="1"/>
      <w:lvlJc w:val="left"/>
      <w:pPr>
        <w:tabs>
          <w:tab w:val="num" w:pos="720"/>
        </w:tabs>
        <w:ind w:left="720" w:hanging="360"/>
      </w:pPr>
      <w:rPr>
        <w:rFonts w:ascii="Symbol" w:hAnsi="Symbol" w:hint="default"/>
      </w:rPr>
    </w:lvl>
    <w:lvl w:ilvl="1" w:tplc="866C7756" w:tentative="1">
      <w:start w:val="1"/>
      <w:numFmt w:val="bullet"/>
      <w:lvlText w:val=""/>
      <w:lvlJc w:val="left"/>
      <w:pPr>
        <w:tabs>
          <w:tab w:val="num" w:pos="1440"/>
        </w:tabs>
        <w:ind w:left="1440" w:hanging="360"/>
      </w:pPr>
      <w:rPr>
        <w:rFonts w:ascii="Symbol" w:hAnsi="Symbol" w:hint="default"/>
      </w:rPr>
    </w:lvl>
    <w:lvl w:ilvl="2" w:tplc="9704F71C" w:tentative="1">
      <w:start w:val="1"/>
      <w:numFmt w:val="bullet"/>
      <w:lvlText w:val=""/>
      <w:lvlJc w:val="left"/>
      <w:pPr>
        <w:tabs>
          <w:tab w:val="num" w:pos="2160"/>
        </w:tabs>
        <w:ind w:left="2160" w:hanging="360"/>
      </w:pPr>
      <w:rPr>
        <w:rFonts w:ascii="Symbol" w:hAnsi="Symbol" w:hint="default"/>
      </w:rPr>
    </w:lvl>
    <w:lvl w:ilvl="3" w:tplc="6FBAC7C8" w:tentative="1">
      <w:start w:val="1"/>
      <w:numFmt w:val="bullet"/>
      <w:lvlText w:val=""/>
      <w:lvlJc w:val="left"/>
      <w:pPr>
        <w:tabs>
          <w:tab w:val="num" w:pos="2880"/>
        </w:tabs>
        <w:ind w:left="2880" w:hanging="360"/>
      </w:pPr>
      <w:rPr>
        <w:rFonts w:ascii="Symbol" w:hAnsi="Symbol" w:hint="default"/>
      </w:rPr>
    </w:lvl>
    <w:lvl w:ilvl="4" w:tplc="E3E2D4BA" w:tentative="1">
      <w:start w:val="1"/>
      <w:numFmt w:val="bullet"/>
      <w:lvlText w:val=""/>
      <w:lvlJc w:val="left"/>
      <w:pPr>
        <w:tabs>
          <w:tab w:val="num" w:pos="3600"/>
        </w:tabs>
        <w:ind w:left="3600" w:hanging="360"/>
      </w:pPr>
      <w:rPr>
        <w:rFonts w:ascii="Symbol" w:hAnsi="Symbol" w:hint="default"/>
      </w:rPr>
    </w:lvl>
    <w:lvl w:ilvl="5" w:tplc="9948ED84" w:tentative="1">
      <w:start w:val="1"/>
      <w:numFmt w:val="bullet"/>
      <w:lvlText w:val=""/>
      <w:lvlJc w:val="left"/>
      <w:pPr>
        <w:tabs>
          <w:tab w:val="num" w:pos="4320"/>
        </w:tabs>
        <w:ind w:left="4320" w:hanging="360"/>
      </w:pPr>
      <w:rPr>
        <w:rFonts w:ascii="Symbol" w:hAnsi="Symbol" w:hint="default"/>
      </w:rPr>
    </w:lvl>
    <w:lvl w:ilvl="6" w:tplc="87D0D6B2" w:tentative="1">
      <w:start w:val="1"/>
      <w:numFmt w:val="bullet"/>
      <w:lvlText w:val=""/>
      <w:lvlJc w:val="left"/>
      <w:pPr>
        <w:tabs>
          <w:tab w:val="num" w:pos="5040"/>
        </w:tabs>
        <w:ind w:left="5040" w:hanging="360"/>
      </w:pPr>
      <w:rPr>
        <w:rFonts w:ascii="Symbol" w:hAnsi="Symbol" w:hint="default"/>
      </w:rPr>
    </w:lvl>
    <w:lvl w:ilvl="7" w:tplc="E8AEF402" w:tentative="1">
      <w:start w:val="1"/>
      <w:numFmt w:val="bullet"/>
      <w:lvlText w:val=""/>
      <w:lvlJc w:val="left"/>
      <w:pPr>
        <w:tabs>
          <w:tab w:val="num" w:pos="5760"/>
        </w:tabs>
        <w:ind w:left="5760" w:hanging="360"/>
      </w:pPr>
      <w:rPr>
        <w:rFonts w:ascii="Symbol" w:hAnsi="Symbol" w:hint="default"/>
      </w:rPr>
    </w:lvl>
    <w:lvl w:ilvl="8" w:tplc="ABA43F1C" w:tentative="1">
      <w:start w:val="1"/>
      <w:numFmt w:val="bullet"/>
      <w:lvlText w:val=""/>
      <w:lvlJc w:val="left"/>
      <w:pPr>
        <w:tabs>
          <w:tab w:val="num" w:pos="6480"/>
        </w:tabs>
        <w:ind w:left="6480" w:hanging="360"/>
      </w:pPr>
      <w:rPr>
        <w:rFonts w:ascii="Symbol" w:hAnsi="Symbol" w:hint="default"/>
      </w:rPr>
    </w:lvl>
  </w:abstractNum>
  <w:abstractNum w:abstractNumId="134" w15:restartNumberingAfterBreak="0">
    <w:nsid w:val="4BD02AF8"/>
    <w:multiLevelType w:val="hybridMultilevel"/>
    <w:tmpl w:val="43C42348"/>
    <w:lvl w:ilvl="0" w:tplc="E2742A14">
      <w:start w:val="1"/>
      <w:numFmt w:val="bullet"/>
      <w:lvlText w:val=""/>
      <w:lvlPicBulletId w:val="1"/>
      <w:lvlJc w:val="left"/>
      <w:pPr>
        <w:tabs>
          <w:tab w:val="num" w:pos="720"/>
        </w:tabs>
        <w:ind w:left="720" w:hanging="360"/>
      </w:pPr>
      <w:rPr>
        <w:rFonts w:ascii="Symbol" w:hAnsi="Symbol" w:hint="default"/>
      </w:rPr>
    </w:lvl>
    <w:lvl w:ilvl="1" w:tplc="8B9E91B6" w:tentative="1">
      <w:start w:val="1"/>
      <w:numFmt w:val="bullet"/>
      <w:lvlText w:val=""/>
      <w:lvlJc w:val="left"/>
      <w:pPr>
        <w:tabs>
          <w:tab w:val="num" w:pos="1440"/>
        </w:tabs>
        <w:ind w:left="1440" w:hanging="360"/>
      </w:pPr>
      <w:rPr>
        <w:rFonts w:ascii="Symbol" w:hAnsi="Symbol" w:hint="default"/>
      </w:rPr>
    </w:lvl>
    <w:lvl w:ilvl="2" w:tplc="645C8A94" w:tentative="1">
      <w:start w:val="1"/>
      <w:numFmt w:val="bullet"/>
      <w:lvlText w:val=""/>
      <w:lvlJc w:val="left"/>
      <w:pPr>
        <w:tabs>
          <w:tab w:val="num" w:pos="2160"/>
        </w:tabs>
        <w:ind w:left="2160" w:hanging="360"/>
      </w:pPr>
      <w:rPr>
        <w:rFonts w:ascii="Symbol" w:hAnsi="Symbol" w:hint="default"/>
      </w:rPr>
    </w:lvl>
    <w:lvl w:ilvl="3" w:tplc="ECA4FF68" w:tentative="1">
      <w:start w:val="1"/>
      <w:numFmt w:val="bullet"/>
      <w:lvlText w:val=""/>
      <w:lvlJc w:val="left"/>
      <w:pPr>
        <w:tabs>
          <w:tab w:val="num" w:pos="2880"/>
        </w:tabs>
        <w:ind w:left="2880" w:hanging="360"/>
      </w:pPr>
      <w:rPr>
        <w:rFonts w:ascii="Symbol" w:hAnsi="Symbol" w:hint="default"/>
      </w:rPr>
    </w:lvl>
    <w:lvl w:ilvl="4" w:tplc="011CFC30" w:tentative="1">
      <w:start w:val="1"/>
      <w:numFmt w:val="bullet"/>
      <w:lvlText w:val=""/>
      <w:lvlJc w:val="left"/>
      <w:pPr>
        <w:tabs>
          <w:tab w:val="num" w:pos="3600"/>
        </w:tabs>
        <w:ind w:left="3600" w:hanging="360"/>
      </w:pPr>
      <w:rPr>
        <w:rFonts w:ascii="Symbol" w:hAnsi="Symbol" w:hint="default"/>
      </w:rPr>
    </w:lvl>
    <w:lvl w:ilvl="5" w:tplc="87181514" w:tentative="1">
      <w:start w:val="1"/>
      <w:numFmt w:val="bullet"/>
      <w:lvlText w:val=""/>
      <w:lvlJc w:val="left"/>
      <w:pPr>
        <w:tabs>
          <w:tab w:val="num" w:pos="4320"/>
        </w:tabs>
        <w:ind w:left="4320" w:hanging="360"/>
      </w:pPr>
      <w:rPr>
        <w:rFonts w:ascii="Symbol" w:hAnsi="Symbol" w:hint="default"/>
      </w:rPr>
    </w:lvl>
    <w:lvl w:ilvl="6" w:tplc="02946644" w:tentative="1">
      <w:start w:val="1"/>
      <w:numFmt w:val="bullet"/>
      <w:lvlText w:val=""/>
      <w:lvlJc w:val="left"/>
      <w:pPr>
        <w:tabs>
          <w:tab w:val="num" w:pos="5040"/>
        </w:tabs>
        <w:ind w:left="5040" w:hanging="360"/>
      </w:pPr>
      <w:rPr>
        <w:rFonts w:ascii="Symbol" w:hAnsi="Symbol" w:hint="default"/>
      </w:rPr>
    </w:lvl>
    <w:lvl w:ilvl="7" w:tplc="D0FCFBFE" w:tentative="1">
      <w:start w:val="1"/>
      <w:numFmt w:val="bullet"/>
      <w:lvlText w:val=""/>
      <w:lvlJc w:val="left"/>
      <w:pPr>
        <w:tabs>
          <w:tab w:val="num" w:pos="5760"/>
        </w:tabs>
        <w:ind w:left="5760" w:hanging="360"/>
      </w:pPr>
      <w:rPr>
        <w:rFonts w:ascii="Symbol" w:hAnsi="Symbol" w:hint="default"/>
      </w:rPr>
    </w:lvl>
    <w:lvl w:ilvl="8" w:tplc="E3FA8558" w:tentative="1">
      <w:start w:val="1"/>
      <w:numFmt w:val="bullet"/>
      <w:lvlText w:val=""/>
      <w:lvlJc w:val="left"/>
      <w:pPr>
        <w:tabs>
          <w:tab w:val="num" w:pos="6480"/>
        </w:tabs>
        <w:ind w:left="6480" w:hanging="360"/>
      </w:pPr>
      <w:rPr>
        <w:rFonts w:ascii="Symbol" w:hAnsi="Symbol" w:hint="default"/>
      </w:rPr>
    </w:lvl>
  </w:abstractNum>
  <w:abstractNum w:abstractNumId="135" w15:restartNumberingAfterBreak="0">
    <w:nsid w:val="4C18763C"/>
    <w:multiLevelType w:val="hybridMultilevel"/>
    <w:tmpl w:val="4482AB10"/>
    <w:lvl w:ilvl="0" w:tplc="0A466FE0">
      <w:start w:val="1"/>
      <w:numFmt w:val="bullet"/>
      <w:lvlText w:val=""/>
      <w:lvlPicBulletId w:val="1"/>
      <w:lvlJc w:val="left"/>
      <w:pPr>
        <w:tabs>
          <w:tab w:val="num" w:pos="720"/>
        </w:tabs>
        <w:ind w:left="720" w:hanging="360"/>
      </w:pPr>
      <w:rPr>
        <w:rFonts w:ascii="Symbol" w:hAnsi="Symbol" w:hint="default"/>
      </w:rPr>
    </w:lvl>
    <w:lvl w:ilvl="1" w:tplc="52D89B10" w:tentative="1">
      <w:start w:val="1"/>
      <w:numFmt w:val="bullet"/>
      <w:lvlText w:val=""/>
      <w:lvlJc w:val="left"/>
      <w:pPr>
        <w:tabs>
          <w:tab w:val="num" w:pos="1440"/>
        </w:tabs>
        <w:ind w:left="1440" w:hanging="360"/>
      </w:pPr>
      <w:rPr>
        <w:rFonts w:ascii="Symbol" w:hAnsi="Symbol" w:hint="default"/>
      </w:rPr>
    </w:lvl>
    <w:lvl w:ilvl="2" w:tplc="503CA018" w:tentative="1">
      <w:start w:val="1"/>
      <w:numFmt w:val="bullet"/>
      <w:lvlText w:val=""/>
      <w:lvlJc w:val="left"/>
      <w:pPr>
        <w:tabs>
          <w:tab w:val="num" w:pos="2160"/>
        </w:tabs>
        <w:ind w:left="2160" w:hanging="360"/>
      </w:pPr>
      <w:rPr>
        <w:rFonts w:ascii="Symbol" w:hAnsi="Symbol" w:hint="default"/>
      </w:rPr>
    </w:lvl>
    <w:lvl w:ilvl="3" w:tplc="3A0C36F8" w:tentative="1">
      <w:start w:val="1"/>
      <w:numFmt w:val="bullet"/>
      <w:lvlText w:val=""/>
      <w:lvlJc w:val="left"/>
      <w:pPr>
        <w:tabs>
          <w:tab w:val="num" w:pos="2880"/>
        </w:tabs>
        <w:ind w:left="2880" w:hanging="360"/>
      </w:pPr>
      <w:rPr>
        <w:rFonts w:ascii="Symbol" w:hAnsi="Symbol" w:hint="default"/>
      </w:rPr>
    </w:lvl>
    <w:lvl w:ilvl="4" w:tplc="3F9A86D0" w:tentative="1">
      <w:start w:val="1"/>
      <w:numFmt w:val="bullet"/>
      <w:lvlText w:val=""/>
      <w:lvlJc w:val="left"/>
      <w:pPr>
        <w:tabs>
          <w:tab w:val="num" w:pos="3600"/>
        </w:tabs>
        <w:ind w:left="3600" w:hanging="360"/>
      </w:pPr>
      <w:rPr>
        <w:rFonts w:ascii="Symbol" w:hAnsi="Symbol" w:hint="default"/>
      </w:rPr>
    </w:lvl>
    <w:lvl w:ilvl="5" w:tplc="577224CC" w:tentative="1">
      <w:start w:val="1"/>
      <w:numFmt w:val="bullet"/>
      <w:lvlText w:val=""/>
      <w:lvlJc w:val="left"/>
      <w:pPr>
        <w:tabs>
          <w:tab w:val="num" w:pos="4320"/>
        </w:tabs>
        <w:ind w:left="4320" w:hanging="360"/>
      </w:pPr>
      <w:rPr>
        <w:rFonts w:ascii="Symbol" w:hAnsi="Symbol" w:hint="default"/>
      </w:rPr>
    </w:lvl>
    <w:lvl w:ilvl="6" w:tplc="20A00518" w:tentative="1">
      <w:start w:val="1"/>
      <w:numFmt w:val="bullet"/>
      <w:lvlText w:val=""/>
      <w:lvlJc w:val="left"/>
      <w:pPr>
        <w:tabs>
          <w:tab w:val="num" w:pos="5040"/>
        </w:tabs>
        <w:ind w:left="5040" w:hanging="360"/>
      </w:pPr>
      <w:rPr>
        <w:rFonts w:ascii="Symbol" w:hAnsi="Symbol" w:hint="default"/>
      </w:rPr>
    </w:lvl>
    <w:lvl w:ilvl="7" w:tplc="D9EE2846" w:tentative="1">
      <w:start w:val="1"/>
      <w:numFmt w:val="bullet"/>
      <w:lvlText w:val=""/>
      <w:lvlJc w:val="left"/>
      <w:pPr>
        <w:tabs>
          <w:tab w:val="num" w:pos="5760"/>
        </w:tabs>
        <w:ind w:left="5760" w:hanging="360"/>
      </w:pPr>
      <w:rPr>
        <w:rFonts w:ascii="Symbol" w:hAnsi="Symbol" w:hint="default"/>
      </w:rPr>
    </w:lvl>
    <w:lvl w:ilvl="8" w:tplc="718EAD10" w:tentative="1">
      <w:start w:val="1"/>
      <w:numFmt w:val="bullet"/>
      <w:lvlText w:val=""/>
      <w:lvlJc w:val="left"/>
      <w:pPr>
        <w:tabs>
          <w:tab w:val="num" w:pos="6480"/>
        </w:tabs>
        <w:ind w:left="6480" w:hanging="360"/>
      </w:pPr>
      <w:rPr>
        <w:rFonts w:ascii="Symbol" w:hAnsi="Symbol" w:hint="default"/>
      </w:rPr>
    </w:lvl>
  </w:abstractNum>
  <w:abstractNum w:abstractNumId="136" w15:restartNumberingAfterBreak="0">
    <w:nsid w:val="4C743A43"/>
    <w:multiLevelType w:val="hybridMultilevel"/>
    <w:tmpl w:val="D21AC3B0"/>
    <w:lvl w:ilvl="0" w:tplc="C688E3F2">
      <w:start w:val="1"/>
      <w:numFmt w:val="bullet"/>
      <w:lvlText w:val=""/>
      <w:lvlPicBulletId w:val="0"/>
      <w:lvlJc w:val="left"/>
      <w:pPr>
        <w:tabs>
          <w:tab w:val="num" w:pos="720"/>
        </w:tabs>
        <w:ind w:left="720" w:hanging="360"/>
      </w:pPr>
      <w:rPr>
        <w:rFonts w:ascii="Symbol" w:hAnsi="Symbol" w:hint="default"/>
      </w:rPr>
    </w:lvl>
    <w:lvl w:ilvl="1" w:tplc="4E00A43E" w:tentative="1">
      <w:start w:val="1"/>
      <w:numFmt w:val="bullet"/>
      <w:lvlText w:val=""/>
      <w:lvlJc w:val="left"/>
      <w:pPr>
        <w:tabs>
          <w:tab w:val="num" w:pos="1440"/>
        </w:tabs>
        <w:ind w:left="1440" w:hanging="360"/>
      </w:pPr>
      <w:rPr>
        <w:rFonts w:ascii="Symbol" w:hAnsi="Symbol" w:hint="default"/>
      </w:rPr>
    </w:lvl>
    <w:lvl w:ilvl="2" w:tplc="632AB378" w:tentative="1">
      <w:start w:val="1"/>
      <w:numFmt w:val="bullet"/>
      <w:lvlText w:val=""/>
      <w:lvlJc w:val="left"/>
      <w:pPr>
        <w:tabs>
          <w:tab w:val="num" w:pos="2160"/>
        </w:tabs>
        <w:ind w:left="2160" w:hanging="360"/>
      </w:pPr>
      <w:rPr>
        <w:rFonts w:ascii="Symbol" w:hAnsi="Symbol" w:hint="default"/>
      </w:rPr>
    </w:lvl>
    <w:lvl w:ilvl="3" w:tplc="707C9FC2" w:tentative="1">
      <w:start w:val="1"/>
      <w:numFmt w:val="bullet"/>
      <w:lvlText w:val=""/>
      <w:lvlJc w:val="left"/>
      <w:pPr>
        <w:tabs>
          <w:tab w:val="num" w:pos="2880"/>
        </w:tabs>
        <w:ind w:left="2880" w:hanging="360"/>
      </w:pPr>
      <w:rPr>
        <w:rFonts w:ascii="Symbol" w:hAnsi="Symbol" w:hint="default"/>
      </w:rPr>
    </w:lvl>
    <w:lvl w:ilvl="4" w:tplc="5E901564" w:tentative="1">
      <w:start w:val="1"/>
      <w:numFmt w:val="bullet"/>
      <w:lvlText w:val=""/>
      <w:lvlJc w:val="left"/>
      <w:pPr>
        <w:tabs>
          <w:tab w:val="num" w:pos="3600"/>
        </w:tabs>
        <w:ind w:left="3600" w:hanging="360"/>
      </w:pPr>
      <w:rPr>
        <w:rFonts w:ascii="Symbol" w:hAnsi="Symbol" w:hint="default"/>
      </w:rPr>
    </w:lvl>
    <w:lvl w:ilvl="5" w:tplc="040CBA38" w:tentative="1">
      <w:start w:val="1"/>
      <w:numFmt w:val="bullet"/>
      <w:lvlText w:val=""/>
      <w:lvlJc w:val="left"/>
      <w:pPr>
        <w:tabs>
          <w:tab w:val="num" w:pos="4320"/>
        </w:tabs>
        <w:ind w:left="4320" w:hanging="360"/>
      </w:pPr>
      <w:rPr>
        <w:rFonts w:ascii="Symbol" w:hAnsi="Symbol" w:hint="default"/>
      </w:rPr>
    </w:lvl>
    <w:lvl w:ilvl="6" w:tplc="939AFC98" w:tentative="1">
      <w:start w:val="1"/>
      <w:numFmt w:val="bullet"/>
      <w:lvlText w:val=""/>
      <w:lvlJc w:val="left"/>
      <w:pPr>
        <w:tabs>
          <w:tab w:val="num" w:pos="5040"/>
        </w:tabs>
        <w:ind w:left="5040" w:hanging="360"/>
      </w:pPr>
      <w:rPr>
        <w:rFonts w:ascii="Symbol" w:hAnsi="Symbol" w:hint="default"/>
      </w:rPr>
    </w:lvl>
    <w:lvl w:ilvl="7" w:tplc="162C0160" w:tentative="1">
      <w:start w:val="1"/>
      <w:numFmt w:val="bullet"/>
      <w:lvlText w:val=""/>
      <w:lvlJc w:val="left"/>
      <w:pPr>
        <w:tabs>
          <w:tab w:val="num" w:pos="5760"/>
        </w:tabs>
        <w:ind w:left="5760" w:hanging="360"/>
      </w:pPr>
      <w:rPr>
        <w:rFonts w:ascii="Symbol" w:hAnsi="Symbol" w:hint="default"/>
      </w:rPr>
    </w:lvl>
    <w:lvl w:ilvl="8" w:tplc="04EC2F28" w:tentative="1">
      <w:start w:val="1"/>
      <w:numFmt w:val="bullet"/>
      <w:lvlText w:val=""/>
      <w:lvlJc w:val="left"/>
      <w:pPr>
        <w:tabs>
          <w:tab w:val="num" w:pos="6480"/>
        </w:tabs>
        <w:ind w:left="6480" w:hanging="360"/>
      </w:pPr>
      <w:rPr>
        <w:rFonts w:ascii="Symbol" w:hAnsi="Symbol" w:hint="default"/>
      </w:rPr>
    </w:lvl>
  </w:abstractNum>
  <w:abstractNum w:abstractNumId="137" w15:restartNumberingAfterBreak="0">
    <w:nsid w:val="4CAC1D44"/>
    <w:multiLevelType w:val="hybridMultilevel"/>
    <w:tmpl w:val="BD26F38E"/>
    <w:lvl w:ilvl="0" w:tplc="4A480F80">
      <w:start w:val="1"/>
      <w:numFmt w:val="bullet"/>
      <w:lvlText w:val=""/>
      <w:lvlPicBulletId w:val="1"/>
      <w:lvlJc w:val="left"/>
      <w:pPr>
        <w:tabs>
          <w:tab w:val="num" w:pos="720"/>
        </w:tabs>
        <w:ind w:left="720" w:hanging="360"/>
      </w:pPr>
      <w:rPr>
        <w:rFonts w:ascii="Symbol" w:hAnsi="Symbol" w:hint="default"/>
      </w:rPr>
    </w:lvl>
    <w:lvl w:ilvl="1" w:tplc="F0907246" w:tentative="1">
      <w:start w:val="1"/>
      <w:numFmt w:val="bullet"/>
      <w:lvlText w:val=""/>
      <w:lvlJc w:val="left"/>
      <w:pPr>
        <w:tabs>
          <w:tab w:val="num" w:pos="1440"/>
        </w:tabs>
        <w:ind w:left="1440" w:hanging="360"/>
      </w:pPr>
      <w:rPr>
        <w:rFonts w:ascii="Symbol" w:hAnsi="Symbol" w:hint="default"/>
      </w:rPr>
    </w:lvl>
    <w:lvl w:ilvl="2" w:tplc="5608D6B8" w:tentative="1">
      <w:start w:val="1"/>
      <w:numFmt w:val="bullet"/>
      <w:lvlText w:val=""/>
      <w:lvlJc w:val="left"/>
      <w:pPr>
        <w:tabs>
          <w:tab w:val="num" w:pos="2160"/>
        </w:tabs>
        <w:ind w:left="2160" w:hanging="360"/>
      </w:pPr>
      <w:rPr>
        <w:rFonts w:ascii="Symbol" w:hAnsi="Symbol" w:hint="default"/>
      </w:rPr>
    </w:lvl>
    <w:lvl w:ilvl="3" w:tplc="DE80867A" w:tentative="1">
      <w:start w:val="1"/>
      <w:numFmt w:val="bullet"/>
      <w:lvlText w:val=""/>
      <w:lvlJc w:val="left"/>
      <w:pPr>
        <w:tabs>
          <w:tab w:val="num" w:pos="2880"/>
        </w:tabs>
        <w:ind w:left="2880" w:hanging="360"/>
      </w:pPr>
      <w:rPr>
        <w:rFonts w:ascii="Symbol" w:hAnsi="Symbol" w:hint="default"/>
      </w:rPr>
    </w:lvl>
    <w:lvl w:ilvl="4" w:tplc="93C0BB9A" w:tentative="1">
      <w:start w:val="1"/>
      <w:numFmt w:val="bullet"/>
      <w:lvlText w:val=""/>
      <w:lvlJc w:val="left"/>
      <w:pPr>
        <w:tabs>
          <w:tab w:val="num" w:pos="3600"/>
        </w:tabs>
        <w:ind w:left="3600" w:hanging="360"/>
      </w:pPr>
      <w:rPr>
        <w:rFonts w:ascii="Symbol" w:hAnsi="Symbol" w:hint="default"/>
      </w:rPr>
    </w:lvl>
    <w:lvl w:ilvl="5" w:tplc="A0C8B620" w:tentative="1">
      <w:start w:val="1"/>
      <w:numFmt w:val="bullet"/>
      <w:lvlText w:val=""/>
      <w:lvlJc w:val="left"/>
      <w:pPr>
        <w:tabs>
          <w:tab w:val="num" w:pos="4320"/>
        </w:tabs>
        <w:ind w:left="4320" w:hanging="360"/>
      </w:pPr>
      <w:rPr>
        <w:rFonts w:ascii="Symbol" w:hAnsi="Symbol" w:hint="default"/>
      </w:rPr>
    </w:lvl>
    <w:lvl w:ilvl="6" w:tplc="6E1A77A0" w:tentative="1">
      <w:start w:val="1"/>
      <w:numFmt w:val="bullet"/>
      <w:lvlText w:val=""/>
      <w:lvlJc w:val="left"/>
      <w:pPr>
        <w:tabs>
          <w:tab w:val="num" w:pos="5040"/>
        </w:tabs>
        <w:ind w:left="5040" w:hanging="360"/>
      </w:pPr>
      <w:rPr>
        <w:rFonts w:ascii="Symbol" w:hAnsi="Symbol" w:hint="default"/>
      </w:rPr>
    </w:lvl>
    <w:lvl w:ilvl="7" w:tplc="D534C1CE" w:tentative="1">
      <w:start w:val="1"/>
      <w:numFmt w:val="bullet"/>
      <w:lvlText w:val=""/>
      <w:lvlJc w:val="left"/>
      <w:pPr>
        <w:tabs>
          <w:tab w:val="num" w:pos="5760"/>
        </w:tabs>
        <w:ind w:left="5760" w:hanging="360"/>
      </w:pPr>
      <w:rPr>
        <w:rFonts w:ascii="Symbol" w:hAnsi="Symbol" w:hint="default"/>
      </w:rPr>
    </w:lvl>
    <w:lvl w:ilvl="8" w:tplc="980A541A" w:tentative="1">
      <w:start w:val="1"/>
      <w:numFmt w:val="bullet"/>
      <w:lvlText w:val=""/>
      <w:lvlJc w:val="left"/>
      <w:pPr>
        <w:tabs>
          <w:tab w:val="num" w:pos="6480"/>
        </w:tabs>
        <w:ind w:left="6480" w:hanging="360"/>
      </w:pPr>
      <w:rPr>
        <w:rFonts w:ascii="Symbol" w:hAnsi="Symbol" w:hint="default"/>
      </w:rPr>
    </w:lvl>
  </w:abstractNum>
  <w:abstractNum w:abstractNumId="138" w15:restartNumberingAfterBreak="0">
    <w:nsid w:val="4CE36CE1"/>
    <w:multiLevelType w:val="hybridMultilevel"/>
    <w:tmpl w:val="E89EAA62"/>
    <w:lvl w:ilvl="0" w:tplc="3CD2D188">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4E3A484D"/>
    <w:multiLevelType w:val="hybridMultilevel"/>
    <w:tmpl w:val="FD0092D4"/>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4E3D4EC8"/>
    <w:multiLevelType w:val="hybridMultilevel"/>
    <w:tmpl w:val="3F6698FA"/>
    <w:lvl w:ilvl="0" w:tplc="5BA06FD0">
      <w:start w:val="1"/>
      <w:numFmt w:val="bullet"/>
      <w:lvlText w:val=""/>
      <w:lvlPicBulletId w:val="0"/>
      <w:lvlJc w:val="left"/>
      <w:pPr>
        <w:tabs>
          <w:tab w:val="num" w:pos="720"/>
        </w:tabs>
        <w:ind w:left="720" w:hanging="360"/>
      </w:pPr>
      <w:rPr>
        <w:rFonts w:ascii="Symbol" w:hAnsi="Symbol" w:hint="default"/>
      </w:rPr>
    </w:lvl>
    <w:lvl w:ilvl="1" w:tplc="1DEA1F26" w:tentative="1">
      <w:start w:val="1"/>
      <w:numFmt w:val="bullet"/>
      <w:lvlText w:val=""/>
      <w:lvlJc w:val="left"/>
      <w:pPr>
        <w:tabs>
          <w:tab w:val="num" w:pos="1440"/>
        </w:tabs>
        <w:ind w:left="1440" w:hanging="360"/>
      </w:pPr>
      <w:rPr>
        <w:rFonts w:ascii="Symbol" w:hAnsi="Symbol" w:hint="default"/>
      </w:rPr>
    </w:lvl>
    <w:lvl w:ilvl="2" w:tplc="5900E5B8" w:tentative="1">
      <w:start w:val="1"/>
      <w:numFmt w:val="bullet"/>
      <w:lvlText w:val=""/>
      <w:lvlJc w:val="left"/>
      <w:pPr>
        <w:tabs>
          <w:tab w:val="num" w:pos="2160"/>
        </w:tabs>
        <w:ind w:left="2160" w:hanging="360"/>
      </w:pPr>
      <w:rPr>
        <w:rFonts w:ascii="Symbol" w:hAnsi="Symbol" w:hint="default"/>
      </w:rPr>
    </w:lvl>
    <w:lvl w:ilvl="3" w:tplc="5FBE6BE8" w:tentative="1">
      <w:start w:val="1"/>
      <w:numFmt w:val="bullet"/>
      <w:lvlText w:val=""/>
      <w:lvlJc w:val="left"/>
      <w:pPr>
        <w:tabs>
          <w:tab w:val="num" w:pos="2880"/>
        </w:tabs>
        <w:ind w:left="2880" w:hanging="360"/>
      </w:pPr>
      <w:rPr>
        <w:rFonts w:ascii="Symbol" w:hAnsi="Symbol" w:hint="default"/>
      </w:rPr>
    </w:lvl>
    <w:lvl w:ilvl="4" w:tplc="FD5C4F7C" w:tentative="1">
      <w:start w:val="1"/>
      <w:numFmt w:val="bullet"/>
      <w:lvlText w:val=""/>
      <w:lvlJc w:val="left"/>
      <w:pPr>
        <w:tabs>
          <w:tab w:val="num" w:pos="3600"/>
        </w:tabs>
        <w:ind w:left="3600" w:hanging="360"/>
      </w:pPr>
      <w:rPr>
        <w:rFonts w:ascii="Symbol" w:hAnsi="Symbol" w:hint="default"/>
      </w:rPr>
    </w:lvl>
    <w:lvl w:ilvl="5" w:tplc="B4DCF126" w:tentative="1">
      <w:start w:val="1"/>
      <w:numFmt w:val="bullet"/>
      <w:lvlText w:val=""/>
      <w:lvlJc w:val="left"/>
      <w:pPr>
        <w:tabs>
          <w:tab w:val="num" w:pos="4320"/>
        </w:tabs>
        <w:ind w:left="4320" w:hanging="360"/>
      </w:pPr>
      <w:rPr>
        <w:rFonts w:ascii="Symbol" w:hAnsi="Symbol" w:hint="default"/>
      </w:rPr>
    </w:lvl>
    <w:lvl w:ilvl="6" w:tplc="EDF0968C" w:tentative="1">
      <w:start w:val="1"/>
      <w:numFmt w:val="bullet"/>
      <w:lvlText w:val=""/>
      <w:lvlJc w:val="left"/>
      <w:pPr>
        <w:tabs>
          <w:tab w:val="num" w:pos="5040"/>
        </w:tabs>
        <w:ind w:left="5040" w:hanging="360"/>
      </w:pPr>
      <w:rPr>
        <w:rFonts w:ascii="Symbol" w:hAnsi="Symbol" w:hint="default"/>
      </w:rPr>
    </w:lvl>
    <w:lvl w:ilvl="7" w:tplc="E3C0FB12" w:tentative="1">
      <w:start w:val="1"/>
      <w:numFmt w:val="bullet"/>
      <w:lvlText w:val=""/>
      <w:lvlJc w:val="left"/>
      <w:pPr>
        <w:tabs>
          <w:tab w:val="num" w:pos="5760"/>
        </w:tabs>
        <w:ind w:left="5760" w:hanging="360"/>
      </w:pPr>
      <w:rPr>
        <w:rFonts w:ascii="Symbol" w:hAnsi="Symbol" w:hint="default"/>
      </w:rPr>
    </w:lvl>
    <w:lvl w:ilvl="8" w:tplc="6436F326" w:tentative="1">
      <w:start w:val="1"/>
      <w:numFmt w:val="bullet"/>
      <w:lvlText w:val=""/>
      <w:lvlJc w:val="left"/>
      <w:pPr>
        <w:tabs>
          <w:tab w:val="num" w:pos="6480"/>
        </w:tabs>
        <w:ind w:left="6480" w:hanging="360"/>
      </w:pPr>
      <w:rPr>
        <w:rFonts w:ascii="Symbol" w:hAnsi="Symbol" w:hint="default"/>
      </w:rPr>
    </w:lvl>
  </w:abstractNum>
  <w:abstractNum w:abstractNumId="141" w15:restartNumberingAfterBreak="0">
    <w:nsid w:val="4F42593D"/>
    <w:multiLevelType w:val="hybridMultilevel"/>
    <w:tmpl w:val="664006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2" w15:restartNumberingAfterBreak="0">
    <w:nsid w:val="4FA41DD3"/>
    <w:multiLevelType w:val="hybridMultilevel"/>
    <w:tmpl w:val="D6DA212A"/>
    <w:lvl w:ilvl="0" w:tplc="968AB68A">
      <w:start w:val="1"/>
      <w:numFmt w:val="bullet"/>
      <w:lvlText w:val=""/>
      <w:lvlPicBulletId w:val="1"/>
      <w:lvlJc w:val="left"/>
      <w:pPr>
        <w:tabs>
          <w:tab w:val="num" w:pos="720"/>
        </w:tabs>
        <w:ind w:left="720" w:hanging="360"/>
      </w:pPr>
      <w:rPr>
        <w:rFonts w:ascii="Symbol" w:hAnsi="Symbol" w:hint="default"/>
      </w:rPr>
    </w:lvl>
    <w:lvl w:ilvl="1" w:tplc="762285D6" w:tentative="1">
      <w:start w:val="1"/>
      <w:numFmt w:val="bullet"/>
      <w:lvlText w:val=""/>
      <w:lvlJc w:val="left"/>
      <w:pPr>
        <w:tabs>
          <w:tab w:val="num" w:pos="1440"/>
        </w:tabs>
        <w:ind w:left="1440" w:hanging="360"/>
      </w:pPr>
      <w:rPr>
        <w:rFonts w:ascii="Symbol" w:hAnsi="Symbol" w:hint="default"/>
      </w:rPr>
    </w:lvl>
    <w:lvl w:ilvl="2" w:tplc="E29CFAE0" w:tentative="1">
      <w:start w:val="1"/>
      <w:numFmt w:val="bullet"/>
      <w:lvlText w:val=""/>
      <w:lvlJc w:val="left"/>
      <w:pPr>
        <w:tabs>
          <w:tab w:val="num" w:pos="2160"/>
        </w:tabs>
        <w:ind w:left="2160" w:hanging="360"/>
      </w:pPr>
      <w:rPr>
        <w:rFonts w:ascii="Symbol" w:hAnsi="Symbol" w:hint="default"/>
      </w:rPr>
    </w:lvl>
    <w:lvl w:ilvl="3" w:tplc="00E6B500" w:tentative="1">
      <w:start w:val="1"/>
      <w:numFmt w:val="bullet"/>
      <w:lvlText w:val=""/>
      <w:lvlJc w:val="left"/>
      <w:pPr>
        <w:tabs>
          <w:tab w:val="num" w:pos="2880"/>
        </w:tabs>
        <w:ind w:left="2880" w:hanging="360"/>
      </w:pPr>
      <w:rPr>
        <w:rFonts w:ascii="Symbol" w:hAnsi="Symbol" w:hint="default"/>
      </w:rPr>
    </w:lvl>
    <w:lvl w:ilvl="4" w:tplc="2E7CA23C" w:tentative="1">
      <w:start w:val="1"/>
      <w:numFmt w:val="bullet"/>
      <w:lvlText w:val=""/>
      <w:lvlJc w:val="left"/>
      <w:pPr>
        <w:tabs>
          <w:tab w:val="num" w:pos="3600"/>
        </w:tabs>
        <w:ind w:left="3600" w:hanging="360"/>
      </w:pPr>
      <w:rPr>
        <w:rFonts w:ascii="Symbol" w:hAnsi="Symbol" w:hint="default"/>
      </w:rPr>
    </w:lvl>
    <w:lvl w:ilvl="5" w:tplc="7DB615BC" w:tentative="1">
      <w:start w:val="1"/>
      <w:numFmt w:val="bullet"/>
      <w:lvlText w:val=""/>
      <w:lvlJc w:val="left"/>
      <w:pPr>
        <w:tabs>
          <w:tab w:val="num" w:pos="4320"/>
        </w:tabs>
        <w:ind w:left="4320" w:hanging="360"/>
      </w:pPr>
      <w:rPr>
        <w:rFonts w:ascii="Symbol" w:hAnsi="Symbol" w:hint="default"/>
      </w:rPr>
    </w:lvl>
    <w:lvl w:ilvl="6" w:tplc="1C729D5E" w:tentative="1">
      <w:start w:val="1"/>
      <w:numFmt w:val="bullet"/>
      <w:lvlText w:val=""/>
      <w:lvlJc w:val="left"/>
      <w:pPr>
        <w:tabs>
          <w:tab w:val="num" w:pos="5040"/>
        </w:tabs>
        <w:ind w:left="5040" w:hanging="360"/>
      </w:pPr>
      <w:rPr>
        <w:rFonts w:ascii="Symbol" w:hAnsi="Symbol" w:hint="default"/>
      </w:rPr>
    </w:lvl>
    <w:lvl w:ilvl="7" w:tplc="B2DC5944" w:tentative="1">
      <w:start w:val="1"/>
      <w:numFmt w:val="bullet"/>
      <w:lvlText w:val=""/>
      <w:lvlJc w:val="left"/>
      <w:pPr>
        <w:tabs>
          <w:tab w:val="num" w:pos="5760"/>
        </w:tabs>
        <w:ind w:left="5760" w:hanging="360"/>
      </w:pPr>
      <w:rPr>
        <w:rFonts w:ascii="Symbol" w:hAnsi="Symbol" w:hint="default"/>
      </w:rPr>
    </w:lvl>
    <w:lvl w:ilvl="8" w:tplc="E842EFCA" w:tentative="1">
      <w:start w:val="1"/>
      <w:numFmt w:val="bullet"/>
      <w:lvlText w:val=""/>
      <w:lvlJc w:val="left"/>
      <w:pPr>
        <w:tabs>
          <w:tab w:val="num" w:pos="6480"/>
        </w:tabs>
        <w:ind w:left="6480" w:hanging="360"/>
      </w:pPr>
      <w:rPr>
        <w:rFonts w:ascii="Symbol" w:hAnsi="Symbol" w:hint="default"/>
      </w:rPr>
    </w:lvl>
  </w:abstractNum>
  <w:abstractNum w:abstractNumId="143" w15:restartNumberingAfterBreak="0">
    <w:nsid w:val="50910883"/>
    <w:multiLevelType w:val="hybridMultilevel"/>
    <w:tmpl w:val="974237DA"/>
    <w:lvl w:ilvl="0" w:tplc="088648B8">
      <w:start w:val="1"/>
      <w:numFmt w:val="bullet"/>
      <w:lvlText w:val=""/>
      <w:lvlPicBulletId w:val="1"/>
      <w:lvlJc w:val="left"/>
      <w:pPr>
        <w:tabs>
          <w:tab w:val="num" w:pos="720"/>
        </w:tabs>
        <w:ind w:left="720" w:hanging="360"/>
      </w:pPr>
      <w:rPr>
        <w:rFonts w:ascii="Symbol" w:hAnsi="Symbol" w:hint="default"/>
      </w:rPr>
    </w:lvl>
    <w:lvl w:ilvl="1" w:tplc="21A633CE" w:tentative="1">
      <w:start w:val="1"/>
      <w:numFmt w:val="bullet"/>
      <w:lvlText w:val=""/>
      <w:lvlJc w:val="left"/>
      <w:pPr>
        <w:tabs>
          <w:tab w:val="num" w:pos="1440"/>
        </w:tabs>
        <w:ind w:left="1440" w:hanging="360"/>
      </w:pPr>
      <w:rPr>
        <w:rFonts w:ascii="Symbol" w:hAnsi="Symbol" w:hint="default"/>
      </w:rPr>
    </w:lvl>
    <w:lvl w:ilvl="2" w:tplc="F47A7C10" w:tentative="1">
      <w:start w:val="1"/>
      <w:numFmt w:val="bullet"/>
      <w:lvlText w:val=""/>
      <w:lvlJc w:val="left"/>
      <w:pPr>
        <w:tabs>
          <w:tab w:val="num" w:pos="2160"/>
        </w:tabs>
        <w:ind w:left="2160" w:hanging="360"/>
      </w:pPr>
      <w:rPr>
        <w:rFonts w:ascii="Symbol" w:hAnsi="Symbol" w:hint="default"/>
      </w:rPr>
    </w:lvl>
    <w:lvl w:ilvl="3" w:tplc="E2B4A71C" w:tentative="1">
      <w:start w:val="1"/>
      <w:numFmt w:val="bullet"/>
      <w:lvlText w:val=""/>
      <w:lvlJc w:val="left"/>
      <w:pPr>
        <w:tabs>
          <w:tab w:val="num" w:pos="2880"/>
        </w:tabs>
        <w:ind w:left="2880" w:hanging="360"/>
      </w:pPr>
      <w:rPr>
        <w:rFonts w:ascii="Symbol" w:hAnsi="Symbol" w:hint="default"/>
      </w:rPr>
    </w:lvl>
    <w:lvl w:ilvl="4" w:tplc="57B64504" w:tentative="1">
      <w:start w:val="1"/>
      <w:numFmt w:val="bullet"/>
      <w:lvlText w:val=""/>
      <w:lvlJc w:val="left"/>
      <w:pPr>
        <w:tabs>
          <w:tab w:val="num" w:pos="3600"/>
        </w:tabs>
        <w:ind w:left="3600" w:hanging="360"/>
      </w:pPr>
      <w:rPr>
        <w:rFonts w:ascii="Symbol" w:hAnsi="Symbol" w:hint="default"/>
      </w:rPr>
    </w:lvl>
    <w:lvl w:ilvl="5" w:tplc="22CEB8CE" w:tentative="1">
      <w:start w:val="1"/>
      <w:numFmt w:val="bullet"/>
      <w:lvlText w:val=""/>
      <w:lvlJc w:val="left"/>
      <w:pPr>
        <w:tabs>
          <w:tab w:val="num" w:pos="4320"/>
        </w:tabs>
        <w:ind w:left="4320" w:hanging="360"/>
      </w:pPr>
      <w:rPr>
        <w:rFonts w:ascii="Symbol" w:hAnsi="Symbol" w:hint="default"/>
      </w:rPr>
    </w:lvl>
    <w:lvl w:ilvl="6" w:tplc="4DAAD138" w:tentative="1">
      <w:start w:val="1"/>
      <w:numFmt w:val="bullet"/>
      <w:lvlText w:val=""/>
      <w:lvlJc w:val="left"/>
      <w:pPr>
        <w:tabs>
          <w:tab w:val="num" w:pos="5040"/>
        </w:tabs>
        <w:ind w:left="5040" w:hanging="360"/>
      </w:pPr>
      <w:rPr>
        <w:rFonts w:ascii="Symbol" w:hAnsi="Symbol" w:hint="default"/>
      </w:rPr>
    </w:lvl>
    <w:lvl w:ilvl="7" w:tplc="068EC958" w:tentative="1">
      <w:start w:val="1"/>
      <w:numFmt w:val="bullet"/>
      <w:lvlText w:val=""/>
      <w:lvlJc w:val="left"/>
      <w:pPr>
        <w:tabs>
          <w:tab w:val="num" w:pos="5760"/>
        </w:tabs>
        <w:ind w:left="5760" w:hanging="360"/>
      </w:pPr>
      <w:rPr>
        <w:rFonts w:ascii="Symbol" w:hAnsi="Symbol" w:hint="default"/>
      </w:rPr>
    </w:lvl>
    <w:lvl w:ilvl="8" w:tplc="CB1A49BA" w:tentative="1">
      <w:start w:val="1"/>
      <w:numFmt w:val="bullet"/>
      <w:lvlText w:val=""/>
      <w:lvlJc w:val="left"/>
      <w:pPr>
        <w:tabs>
          <w:tab w:val="num" w:pos="6480"/>
        </w:tabs>
        <w:ind w:left="6480" w:hanging="360"/>
      </w:pPr>
      <w:rPr>
        <w:rFonts w:ascii="Symbol" w:hAnsi="Symbol" w:hint="default"/>
      </w:rPr>
    </w:lvl>
  </w:abstractNum>
  <w:abstractNum w:abstractNumId="144" w15:restartNumberingAfterBreak="0">
    <w:nsid w:val="50AE5825"/>
    <w:multiLevelType w:val="hybridMultilevel"/>
    <w:tmpl w:val="B306974E"/>
    <w:lvl w:ilvl="0" w:tplc="3976DF80">
      <w:start w:val="1"/>
      <w:numFmt w:val="bullet"/>
      <w:lvlText w:val=""/>
      <w:lvlPicBulletId w:val="1"/>
      <w:lvlJc w:val="left"/>
      <w:pPr>
        <w:tabs>
          <w:tab w:val="num" w:pos="720"/>
        </w:tabs>
        <w:ind w:left="720" w:hanging="360"/>
      </w:pPr>
      <w:rPr>
        <w:rFonts w:ascii="Symbol" w:hAnsi="Symbol" w:hint="default"/>
      </w:rPr>
    </w:lvl>
    <w:lvl w:ilvl="1" w:tplc="B1103D74" w:tentative="1">
      <w:start w:val="1"/>
      <w:numFmt w:val="bullet"/>
      <w:lvlText w:val=""/>
      <w:lvlJc w:val="left"/>
      <w:pPr>
        <w:tabs>
          <w:tab w:val="num" w:pos="1440"/>
        </w:tabs>
        <w:ind w:left="1440" w:hanging="360"/>
      </w:pPr>
      <w:rPr>
        <w:rFonts w:ascii="Symbol" w:hAnsi="Symbol" w:hint="default"/>
      </w:rPr>
    </w:lvl>
    <w:lvl w:ilvl="2" w:tplc="D876B0FA" w:tentative="1">
      <w:start w:val="1"/>
      <w:numFmt w:val="bullet"/>
      <w:lvlText w:val=""/>
      <w:lvlJc w:val="left"/>
      <w:pPr>
        <w:tabs>
          <w:tab w:val="num" w:pos="2160"/>
        </w:tabs>
        <w:ind w:left="2160" w:hanging="360"/>
      </w:pPr>
      <w:rPr>
        <w:rFonts w:ascii="Symbol" w:hAnsi="Symbol" w:hint="default"/>
      </w:rPr>
    </w:lvl>
    <w:lvl w:ilvl="3" w:tplc="1E90EF40" w:tentative="1">
      <w:start w:val="1"/>
      <w:numFmt w:val="bullet"/>
      <w:lvlText w:val=""/>
      <w:lvlJc w:val="left"/>
      <w:pPr>
        <w:tabs>
          <w:tab w:val="num" w:pos="2880"/>
        </w:tabs>
        <w:ind w:left="2880" w:hanging="360"/>
      </w:pPr>
      <w:rPr>
        <w:rFonts w:ascii="Symbol" w:hAnsi="Symbol" w:hint="default"/>
      </w:rPr>
    </w:lvl>
    <w:lvl w:ilvl="4" w:tplc="02C8EFE8" w:tentative="1">
      <w:start w:val="1"/>
      <w:numFmt w:val="bullet"/>
      <w:lvlText w:val=""/>
      <w:lvlJc w:val="left"/>
      <w:pPr>
        <w:tabs>
          <w:tab w:val="num" w:pos="3600"/>
        </w:tabs>
        <w:ind w:left="3600" w:hanging="360"/>
      </w:pPr>
      <w:rPr>
        <w:rFonts w:ascii="Symbol" w:hAnsi="Symbol" w:hint="default"/>
      </w:rPr>
    </w:lvl>
    <w:lvl w:ilvl="5" w:tplc="4AFC287E" w:tentative="1">
      <w:start w:val="1"/>
      <w:numFmt w:val="bullet"/>
      <w:lvlText w:val=""/>
      <w:lvlJc w:val="left"/>
      <w:pPr>
        <w:tabs>
          <w:tab w:val="num" w:pos="4320"/>
        </w:tabs>
        <w:ind w:left="4320" w:hanging="360"/>
      </w:pPr>
      <w:rPr>
        <w:rFonts w:ascii="Symbol" w:hAnsi="Symbol" w:hint="default"/>
      </w:rPr>
    </w:lvl>
    <w:lvl w:ilvl="6" w:tplc="B1547FAA" w:tentative="1">
      <w:start w:val="1"/>
      <w:numFmt w:val="bullet"/>
      <w:lvlText w:val=""/>
      <w:lvlJc w:val="left"/>
      <w:pPr>
        <w:tabs>
          <w:tab w:val="num" w:pos="5040"/>
        </w:tabs>
        <w:ind w:left="5040" w:hanging="360"/>
      </w:pPr>
      <w:rPr>
        <w:rFonts w:ascii="Symbol" w:hAnsi="Symbol" w:hint="default"/>
      </w:rPr>
    </w:lvl>
    <w:lvl w:ilvl="7" w:tplc="24D8D41E" w:tentative="1">
      <w:start w:val="1"/>
      <w:numFmt w:val="bullet"/>
      <w:lvlText w:val=""/>
      <w:lvlJc w:val="left"/>
      <w:pPr>
        <w:tabs>
          <w:tab w:val="num" w:pos="5760"/>
        </w:tabs>
        <w:ind w:left="5760" w:hanging="360"/>
      </w:pPr>
      <w:rPr>
        <w:rFonts w:ascii="Symbol" w:hAnsi="Symbol" w:hint="default"/>
      </w:rPr>
    </w:lvl>
    <w:lvl w:ilvl="8" w:tplc="256C2134" w:tentative="1">
      <w:start w:val="1"/>
      <w:numFmt w:val="bullet"/>
      <w:lvlText w:val=""/>
      <w:lvlJc w:val="left"/>
      <w:pPr>
        <w:tabs>
          <w:tab w:val="num" w:pos="6480"/>
        </w:tabs>
        <w:ind w:left="6480" w:hanging="360"/>
      </w:pPr>
      <w:rPr>
        <w:rFonts w:ascii="Symbol" w:hAnsi="Symbol" w:hint="default"/>
      </w:rPr>
    </w:lvl>
  </w:abstractNum>
  <w:abstractNum w:abstractNumId="145" w15:restartNumberingAfterBreak="0">
    <w:nsid w:val="518B114C"/>
    <w:multiLevelType w:val="hybridMultilevel"/>
    <w:tmpl w:val="97A400C0"/>
    <w:lvl w:ilvl="0" w:tplc="1C3EDED2">
      <w:start w:val="1"/>
      <w:numFmt w:val="bullet"/>
      <w:lvlText w:val=""/>
      <w:lvlPicBulletId w:val="1"/>
      <w:lvlJc w:val="left"/>
      <w:pPr>
        <w:tabs>
          <w:tab w:val="num" w:pos="720"/>
        </w:tabs>
        <w:ind w:left="720" w:hanging="360"/>
      </w:pPr>
      <w:rPr>
        <w:rFonts w:ascii="Symbol" w:hAnsi="Symbol" w:hint="default"/>
      </w:rPr>
    </w:lvl>
    <w:lvl w:ilvl="1" w:tplc="B4D27A52" w:tentative="1">
      <w:start w:val="1"/>
      <w:numFmt w:val="bullet"/>
      <w:lvlText w:val=""/>
      <w:lvlJc w:val="left"/>
      <w:pPr>
        <w:tabs>
          <w:tab w:val="num" w:pos="1440"/>
        </w:tabs>
        <w:ind w:left="1440" w:hanging="360"/>
      </w:pPr>
      <w:rPr>
        <w:rFonts w:ascii="Symbol" w:hAnsi="Symbol" w:hint="default"/>
      </w:rPr>
    </w:lvl>
    <w:lvl w:ilvl="2" w:tplc="25F80F02" w:tentative="1">
      <w:start w:val="1"/>
      <w:numFmt w:val="bullet"/>
      <w:lvlText w:val=""/>
      <w:lvlJc w:val="left"/>
      <w:pPr>
        <w:tabs>
          <w:tab w:val="num" w:pos="2160"/>
        </w:tabs>
        <w:ind w:left="2160" w:hanging="360"/>
      </w:pPr>
      <w:rPr>
        <w:rFonts w:ascii="Symbol" w:hAnsi="Symbol" w:hint="default"/>
      </w:rPr>
    </w:lvl>
    <w:lvl w:ilvl="3" w:tplc="2A6E48CC" w:tentative="1">
      <w:start w:val="1"/>
      <w:numFmt w:val="bullet"/>
      <w:lvlText w:val=""/>
      <w:lvlJc w:val="left"/>
      <w:pPr>
        <w:tabs>
          <w:tab w:val="num" w:pos="2880"/>
        </w:tabs>
        <w:ind w:left="2880" w:hanging="360"/>
      </w:pPr>
      <w:rPr>
        <w:rFonts w:ascii="Symbol" w:hAnsi="Symbol" w:hint="default"/>
      </w:rPr>
    </w:lvl>
    <w:lvl w:ilvl="4" w:tplc="397EE55A" w:tentative="1">
      <w:start w:val="1"/>
      <w:numFmt w:val="bullet"/>
      <w:lvlText w:val=""/>
      <w:lvlJc w:val="left"/>
      <w:pPr>
        <w:tabs>
          <w:tab w:val="num" w:pos="3600"/>
        </w:tabs>
        <w:ind w:left="3600" w:hanging="360"/>
      </w:pPr>
      <w:rPr>
        <w:rFonts w:ascii="Symbol" w:hAnsi="Symbol" w:hint="default"/>
      </w:rPr>
    </w:lvl>
    <w:lvl w:ilvl="5" w:tplc="4B72D64C" w:tentative="1">
      <w:start w:val="1"/>
      <w:numFmt w:val="bullet"/>
      <w:lvlText w:val=""/>
      <w:lvlJc w:val="left"/>
      <w:pPr>
        <w:tabs>
          <w:tab w:val="num" w:pos="4320"/>
        </w:tabs>
        <w:ind w:left="4320" w:hanging="360"/>
      </w:pPr>
      <w:rPr>
        <w:rFonts w:ascii="Symbol" w:hAnsi="Symbol" w:hint="default"/>
      </w:rPr>
    </w:lvl>
    <w:lvl w:ilvl="6" w:tplc="A4ACC85A" w:tentative="1">
      <w:start w:val="1"/>
      <w:numFmt w:val="bullet"/>
      <w:lvlText w:val=""/>
      <w:lvlJc w:val="left"/>
      <w:pPr>
        <w:tabs>
          <w:tab w:val="num" w:pos="5040"/>
        </w:tabs>
        <w:ind w:left="5040" w:hanging="360"/>
      </w:pPr>
      <w:rPr>
        <w:rFonts w:ascii="Symbol" w:hAnsi="Symbol" w:hint="default"/>
      </w:rPr>
    </w:lvl>
    <w:lvl w:ilvl="7" w:tplc="B72A3FE6" w:tentative="1">
      <w:start w:val="1"/>
      <w:numFmt w:val="bullet"/>
      <w:lvlText w:val=""/>
      <w:lvlJc w:val="left"/>
      <w:pPr>
        <w:tabs>
          <w:tab w:val="num" w:pos="5760"/>
        </w:tabs>
        <w:ind w:left="5760" w:hanging="360"/>
      </w:pPr>
      <w:rPr>
        <w:rFonts w:ascii="Symbol" w:hAnsi="Symbol" w:hint="default"/>
      </w:rPr>
    </w:lvl>
    <w:lvl w:ilvl="8" w:tplc="CC2C4D64" w:tentative="1">
      <w:start w:val="1"/>
      <w:numFmt w:val="bullet"/>
      <w:lvlText w:val=""/>
      <w:lvlJc w:val="left"/>
      <w:pPr>
        <w:tabs>
          <w:tab w:val="num" w:pos="6480"/>
        </w:tabs>
        <w:ind w:left="6480" w:hanging="360"/>
      </w:pPr>
      <w:rPr>
        <w:rFonts w:ascii="Symbol" w:hAnsi="Symbol" w:hint="default"/>
      </w:rPr>
    </w:lvl>
  </w:abstractNum>
  <w:abstractNum w:abstractNumId="146" w15:restartNumberingAfterBreak="0">
    <w:nsid w:val="524E38F0"/>
    <w:multiLevelType w:val="hybridMultilevel"/>
    <w:tmpl w:val="70A04D4C"/>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7" w15:restartNumberingAfterBreak="0">
    <w:nsid w:val="52B812D2"/>
    <w:multiLevelType w:val="hybridMultilevel"/>
    <w:tmpl w:val="52946A6E"/>
    <w:lvl w:ilvl="0" w:tplc="0C090001">
      <w:start w:val="1"/>
      <w:numFmt w:val="bullet"/>
      <w:lvlText w:val=""/>
      <w:lvlJc w:val="left"/>
      <w:pPr>
        <w:ind w:left="577" w:hanging="360"/>
      </w:pPr>
      <w:rPr>
        <w:rFonts w:ascii="Symbol" w:hAnsi="Symbol" w:hint="default"/>
      </w:rPr>
    </w:lvl>
    <w:lvl w:ilvl="1" w:tplc="0C090003">
      <w:start w:val="1"/>
      <w:numFmt w:val="bullet"/>
      <w:lvlText w:val="o"/>
      <w:lvlJc w:val="left"/>
      <w:pPr>
        <w:ind w:left="1297" w:hanging="360"/>
      </w:pPr>
      <w:rPr>
        <w:rFonts w:ascii="Courier New" w:hAnsi="Courier New" w:cs="Courier New" w:hint="default"/>
      </w:rPr>
    </w:lvl>
    <w:lvl w:ilvl="2" w:tplc="0C090005">
      <w:start w:val="1"/>
      <w:numFmt w:val="bullet"/>
      <w:lvlText w:val=""/>
      <w:lvlJc w:val="left"/>
      <w:pPr>
        <w:ind w:left="2017" w:hanging="360"/>
      </w:pPr>
      <w:rPr>
        <w:rFonts w:ascii="Wingdings" w:hAnsi="Wingdings" w:hint="default"/>
      </w:rPr>
    </w:lvl>
    <w:lvl w:ilvl="3" w:tplc="0C090001" w:tentative="1">
      <w:start w:val="1"/>
      <w:numFmt w:val="bullet"/>
      <w:lvlText w:val=""/>
      <w:lvlJc w:val="left"/>
      <w:pPr>
        <w:ind w:left="2737" w:hanging="360"/>
      </w:pPr>
      <w:rPr>
        <w:rFonts w:ascii="Symbol" w:hAnsi="Symbol" w:hint="default"/>
      </w:rPr>
    </w:lvl>
    <w:lvl w:ilvl="4" w:tplc="0C090003" w:tentative="1">
      <w:start w:val="1"/>
      <w:numFmt w:val="bullet"/>
      <w:lvlText w:val="o"/>
      <w:lvlJc w:val="left"/>
      <w:pPr>
        <w:ind w:left="3457" w:hanging="360"/>
      </w:pPr>
      <w:rPr>
        <w:rFonts w:ascii="Courier New" w:hAnsi="Courier New" w:cs="Courier New" w:hint="default"/>
      </w:rPr>
    </w:lvl>
    <w:lvl w:ilvl="5" w:tplc="0C090005" w:tentative="1">
      <w:start w:val="1"/>
      <w:numFmt w:val="bullet"/>
      <w:lvlText w:val=""/>
      <w:lvlJc w:val="left"/>
      <w:pPr>
        <w:ind w:left="4177" w:hanging="360"/>
      </w:pPr>
      <w:rPr>
        <w:rFonts w:ascii="Wingdings" w:hAnsi="Wingdings" w:hint="default"/>
      </w:rPr>
    </w:lvl>
    <w:lvl w:ilvl="6" w:tplc="0C090001" w:tentative="1">
      <w:start w:val="1"/>
      <w:numFmt w:val="bullet"/>
      <w:lvlText w:val=""/>
      <w:lvlJc w:val="left"/>
      <w:pPr>
        <w:ind w:left="4897" w:hanging="360"/>
      </w:pPr>
      <w:rPr>
        <w:rFonts w:ascii="Symbol" w:hAnsi="Symbol" w:hint="default"/>
      </w:rPr>
    </w:lvl>
    <w:lvl w:ilvl="7" w:tplc="0C090003" w:tentative="1">
      <w:start w:val="1"/>
      <w:numFmt w:val="bullet"/>
      <w:lvlText w:val="o"/>
      <w:lvlJc w:val="left"/>
      <w:pPr>
        <w:ind w:left="5617" w:hanging="360"/>
      </w:pPr>
      <w:rPr>
        <w:rFonts w:ascii="Courier New" w:hAnsi="Courier New" w:cs="Courier New" w:hint="default"/>
      </w:rPr>
    </w:lvl>
    <w:lvl w:ilvl="8" w:tplc="0C090005" w:tentative="1">
      <w:start w:val="1"/>
      <w:numFmt w:val="bullet"/>
      <w:lvlText w:val=""/>
      <w:lvlJc w:val="left"/>
      <w:pPr>
        <w:ind w:left="6337" w:hanging="360"/>
      </w:pPr>
      <w:rPr>
        <w:rFonts w:ascii="Wingdings" w:hAnsi="Wingdings" w:hint="default"/>
      </w:rPr>
    </w:lvl>
  </w:abstractNum>
  <w:abstractNum w:abstractNumId="148" w15:restartNumberingAfterBreak="0">
    <w:nsid w:val="52D56CDF"/>
    <w:multiLevelType w:val="hybridMultilevel"/>
    <w:tmpl w:val="008C419C"/>
    <w:lvl w:ilvl="0" w:tplc="08D2AB58">
      <w:start w:val="1"/>
      <w:numFmt w:val="bullet"/>
      <w:lvlText w:val="&gt;"/>
      <w:lvlJc w:val="left"/>
      <w:pPr>
        <w:ind w:left="1211" w:hanging="360"/>
      </w:pPr>
      <w:rPr>
        <w:rFonts w:ascii="HelveticaNeueLT Std Lt" w:hAnsi="HelveticaNeueLT Std Lt" w:hint="default"/>
        <w:sz w:val="20"/>
      </w:rPr>
    </w:lvl>
    <w:lvl w:ilvl="1" w:tplc="0C090003">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149" w15:restartNumberingAfterBreak="0">
    <w:nsid w:val="53F650F1"/>
    <w:multiLevelType w:val="hybridMultilevel"/>
    <w:tmpl w:val="0A12CBDC"/>
    <w:lvl w:ilvl="0" w:tplc="08D2AB58">
      <w:start w:val="1"/>
      <w:numFmt w:val="bullet"/>
      <w:lvlText w:val="&gt;"/>
      <w:lvlJc w:val="left"/>
      <w:pPr>
        <w:ind w:left="644" w:hanging="360"/>
      </w:pPr>
      <w:rPr>
        <w:rFonts w:ascii="HelveticaNeueLT Std Lt" w:hAnsi="HelveticaNeueLT Std Lt" w:hint="default"/>
        <w:sz w:val="20"/>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50" w15:restartNumberingAfterBreak="0">
    <w:nsid w:val="55AA21F0"/>
    <w:multiLevelType w:val="hybridMultilevel"/>
    <w:tmpl w:val="6EC4DF9C"/>
    <w:lvl w:ilvl="0" w:tplc="F17CD896">
      <w:start w:val="1"/>
      <w:numFmt w:val="decimal"/>
      <w:pStyle w:val="ACMATableHeader"/>
      <w:lvlText w:val="Table %1:"/>
      <w:lvlJc w:val="left"/>
      <w:pPr>
        <w:tabs>
          <w:tab w:val="num" w:pos="964"/>
        </w:tabs>
        <w:ind w:left="964" w:hanging="964"/>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1" w15:restartNumberingAfterBreak="0">
    <w:nsid w:val="56647441"/>
    <w:multiLevelType w:val="hybridMultilevel"/>
    <w:tmpl w:val="870AE99E"/>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2" w15:restartNumberingAfterBreak="0">
    <w:nsid w:val="578671A8"/>
    <w:multiLevelType w:val="hybridMultilevel"/>
    <w:tmpl w:val="CC6A96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3" w15:restartNumberingAfterBreak="0">
    <w:nsid w:val="57B50135"/>
    <w:multiLevelType w:val="hybridMultilevel"/>
    <w:tmpl w:val="D7D0ECCC"/>
    <w:lvl w:ilvl="0" w:tplc="06D0C9EC">
      <w:start w:val="1"/>
      <w:numFmt w:val="bullet"/>
      <w:lvlText w:val=""/>
      <w:lvlPicBulletId w:val="0"/>
      <w:lvlJc w:val="left"/>
      <w:pPr>
        <w:tabs>
          <w:tab w:val="num" w:pos="720"/>
        </w:tabs>
        <w:ind w:left="720" w:hanging="360"/>
      </w:pPr>
      <w:rPr>
        <w:rFonts w:ascii="Symbol" w:hAnsi="Symbol" w:hint="default"/>
      </w:rPr>
    </w:lvl>
    <w:lvl w:ilvl="1" w:tplc="FF8AFE8C" w:tentative="1">
      <w:start w:val="1"/>
      <w:numFmt w:val="bullet"/>
      <w:lvlText w:val=""/>
      <w:lvlJc w:val="left"/>
      <w:pPr>
        <w:tabs>
          <w:tab w:val="num" w:pos="1440"/>
        </w:tabs>
        <w:ind w:left="1440" w:hanging="360"/>
      </w:pPr>
      <w:rPr>
        <w:rFonts w:ascii="Symbol" w:hAnsi="Symbol" w:hint="default"/>
      </w:rPr>
    </w:lvl>
    <w:lvl w:ilvl="2" w:tplc="F3300826" w:tentative="1">
      <w:start w:val="1"/>
      <w:numFmt w:val="bullet"/>
      <w:lvlText w:val=""/>
      <w:lvlJc w:val="left"/>
      <w:pPr>
        <w:tabs>
          <w:tab w:val="num" w:pos="2160"/>
        </w:tabs>
        <w:ind w:left="2160" w:hanging="360"/>
      </w:pPr>
      <w:rPr>
        <w:rFonts w:ascii="Symbol" w:hAnsi="Symbol" w:hint="default"/>
      </w:rPr>
    </w:lvl>
    <w:lvl w:ilvl="3" w:tplc="0CF461EC" w:tentative="1">
      <w:start w:val="1"/>
      <w:numFmt w:val="bullet"/>
      <w:lvlText w:val=""/>
      <w:lvlJc w:val="left"/>
      <w:pPr>
        <w:tabs>
          <w:tab w:val="num" w:pos="2880"/>
        </w:tabs>
        <w:ind w:left="2880" w:hanging="360"/>
      </w:pPr>
      <w:rPr>
        <w:rFonts w:ascii="Symbol" w:hAnsi="Symbol" w:hint="default"/>
      </w:rPr>
    </w:lvl>
    <w:lvl w:ilvl="4" w:tplc="F8463CCE" w:tentative="1">
      <w:start w:val="1"/>
      <w:numFmt w:val="bullet"/>
      <w:lvlText w:val=""/>
      <w:lvlJc w:val="left"/>
      <w:pPr>
        <w:tabs>
          <w:tab w:val="num" w:pos="3600"/>
        </w:tabs>
        <w:ind w:left="3600" w:hanging="360"/>
      </w:pPr>
      <w:rPr>
        <w:rFonts w:ascii="Symbol" w:hAnsi="Symbol" w:hint="default"/>
      </w:rPr>
    </w:lvl>
    <w:lvl w:ilvl="5" w:tplc="F35E0F5A" w:tentative="1">
      <w:start w:val="1"/>
      <w:numFmt w:val="bullet"/>
      <w:lvlText w:val=""/>
      <w:lvlJc w:val="left"/>
      <w:pPr>
        <w:tabs>
          <w:tab w:val="num" w:pos="4320"/>
        </w:tabs>
        <w:ind w:left="4320" w:hanging="360"/>
      </w:pPr>
      <w:rPr>
        <w:rFonts w:ascii="Symbol" w:hAnsi="Symbol" w:hint="default"/>
      </w:rPr>
    </w:lvl>
    <w:lvl w:ilvl="6" w:tplc="5B5A1608" w:tentative="1">
      <w:start w:val="1"/>
      <w:numFmt w:val="bullet"/>
      <w:lvlText w:val=""/>
      <w:lvlJc w:val="left"/>
      <w:pPr>
        <w:tabs>
          <w:tab w:val="num" w:pos="5040"/>
        </w:tabs>
        <w:ind w:left="5040" w:hanging="360"/>
      </w:pPr>
      <w:rPr>
        <w:rFonts w:ascii="Symbol" w:hAnsi="Symbol" w:hint="default"/>
      </w:rPr>
    </w:lvl>
    <w:lvl w:ilvl="7" w:tplc="B5421826" w:tentative="1">
      <w:start w:val="1"/>
      <w:numFmt w:val="bullet"/>
      <w:lvlText w:val=""/>
      <w:lvlJc w:val="left"/>
      <w:pPr>
        <w:tabs>
          <w:tab w:val="num" w:pos="5760"/>
        </w:tabs>
        <w:ind w:left="5760" w:hanging="360"/>
      </w:pPr>
      <w:rPr>
        <w:rFonts w:ascii="Symbol" w:hAnsi="Symbol" w:hint="default"/>
      </w:rPr>
    </w:lvl>
    <w:lvl w:ilvl="8" w:tplc="C01ECDD2" w:tentative="1">
      <w:start w:val="1"/>
      <w:numFmt w:val="bullet"/>
      <w:lvlText w:val=""/>
      <w:lvlJc w:val="left"/>
      <w:pPr>
        <w:tabs>
          <w:tab w:val="num" w:pos="6480"/>
        </w:tabs>
        <w:ind w:left="6480" w:hanging="360"/>
      </w:pPr>
      <w:rPr>
        <w:rFonts w:ascii="Symbol" w:hAnsi="Symbol" w:hint="default"/>
      </w:rPr>
    </w:lvl>
  </w:abstractNum>
  <w:abstractNum w:abstractNumId="154" w15:restartNumberingAfterBreak="0">
    <w:nsid w:val="57D8486C"/>
    <w:multiLevelType w:val="hybridMultilevel"/>
    <w:tmpl w:val="13FE5372"/>
    <w:lvl w:ilvl="0" w:tplc="B2F041CE">
      <w:start w:val="1"/>
      <w:numFmt w:val="bullet"/>
      <w:lvlText w:val=""/>
      <w:lvlPicBulletId w:val="1"/>
      <w:lvlJc w:val="left"/>
      <w:pPr>
        <w:tabs>
          <w:tab w:val="num" w:pos="720"/>
        </w:tabs>
        <w:ind w:left="720" w:hanging="360"/>
      </w:pPr>
      <w:rPr>
        <w:rFonts w:ascii="Symbol" w:hAnsi="Symbol" w:hint="default"/>
      </w:rPr>
    </w:lvl>
    <w:lvl w:ilvl="1" w:tplc="C7BE78DE" w:tentative="1">
      <w:start w:val="1"/>
      <w:numFmt w:val="bullet"/>
      <w:lvlText w:val=""/>
      <w:lvlJc w:val="left"/>
      <w:pPr>
        <w:tabs>
          <w:tab w:val="num" w:pos="1440"/>
        </w:tabs>
        <w:ind w:left="1440" w:hanging="360"/>
      </w:pPr>
      <w:rPr>
        <w:rFonts w:ascii="Symbol" w:hAnsi="Symbol" w:hint="default"/>
      </w:rPr>
    </w:lvl>
    <w:lvl w:ilvl="2" w:tplc="568CA9B2" w:tentative="1">
      <w:start w:val="1"/>
      <w:numFmt w:val="bullet"/>
      <w:lvlText w:val=""/>
      <w:lvlJc w:val="left"/>
      <w:pPr>
        <w:tabs>
          <w:tab w:val="num" w:pos="2160"/>
        </w:tabs>
        <w:ind w:left="2160" w:hanging="360"/>
      </w:pPr>
      <w:rPr>
        <w:rFonts w:ascii="Symbol" w:hAnsi="Symbol" w:hint="default"/>
      </w:rPr>
    </w:lvl>
    <w:lvl w:ilvl="3" w:tplc="A610204A" w:tentative="1">
      <w:start w:val="1"/>
      <w:numFmt w:val="bullet"/>
      <w:lvlText w:val=""/>
      <w:lvlJc w:val="left"/>
      <w:pPr>
        <w:tabs>
          <w:tab w:val="num" w:pos="2880"/>
        </w:tabs>
        <w:ind w:left="2880" w:hanging="360"/>
      </w:pPr>
      <w:rPr>
        <w:rFonts w:ascii="Symbol" w:hAnsi="Symbol" w:hint="default"/>
      </w:rPr>
    </w:lvl>
    <w:lvl w:ilvl="4" w:tplc="136ED802" w:tentative="1">
      <w:start w:val="1"/>
      <w:numFmt w:val="bullet"/>
      <w:lvlText w:val=""/>
      <w:lvlJc w:val="left"/>
      <w:pPr>
        <w:tabs>
          <w:tab w:val="num" w:pos="3600"/>
        </w:tabs>
        <w:ind w:left="3600" w:hanging="360"/>
      </w:pPr>
      <w:rPr>
        <w:rFonts w:ascii="Symbol" w:hAnsi="Symbol" w:hint="default"/>
      </w:rPr>
    </w:lvl>
    <w:lvl w:ilvl="5" w:tplc="56CC4F10" w:tentative="1">
      <w:start w:val="1"/>
      <w:numFmt w:val="bullet"/>
      <w:lvlText w:val=""/>
      <w:lvlJc w:val="left"/>
      <w:pPr>
        <w:tabs>
          <w:tab w:val="num" w:pos="4320"/>
        </w:tabs>
        <w:ind w:left="4320" w:hanging="360"/>
      </w:pPr>
      <w:rPr>
        <w:rFonts w:ascii="Symbol" w:hAnsi="Symbol" w:hint="default"/>
      </w:rPr>
    </w:lvl>
    <w:lvl w:ilvl="6" w:tplc="966C1134" w:tentative="1">
      <w:start w:val="1"/>
      <w:numFmt w:val="bullet"/>
      <w:lvlText w:val=""/>
      <w:lvlJc w:val="left"/>
      <w:pPr>
        <w:tabs>
          <w:tab w:val="num" w:pos="5040"/>
        </w:tabs>
        <w:ind w:left="5040" w:hanging="360"/>
      </w:pPr>
      <w:rPr>
        <w:rFonts w:ascii="Symbol" w:hAnsi="Symbol" w:hint="default"/>
      </w:rPr>
    </w:lvl>
    <w:lvl w:ilvl="7" w:tplc="61763F9E" w:tentative="1">
      <w:start w:val="1"/>
      <w:numFmt w:val="bullet"/>
      <w:lvlText w:val=""/>
      <w:lvlJc w:val="left"/>
      <w:pPr>
        <w:tabs>
          <w:tab w:val="num" w:pos="5760"/>
        </w:tabs>
        <w:ind w:left="5760" w:hanging="360"/>
      </w:pPr>
      <w:rPr>
        <w:rFonts w:ascii="Symbol" w:hAnsi="Symbol" w:hint="default"/>
      </w:rPr>
    </w:lvl>
    <w:lvl w:ilvl="8" w:tplc="106EBF3E" w:tentative="1">
      <w:start w:val="1"/>
      <w:numFmt w:val="bullet"/>
      <w:lvlText w:val=""/>
      <w:lvlJc w:val="left"/>
      <w:pPr>
        <w:tabs>
          <w:tab w:val="num" w:pos="6480"/>
        </w:tabs>
        <w:ind w:left="6480" w:hanging="360"/>
      </w:pPr>
      <w:rPr>
        <w:rFonts w:ascii="Symbol" w:hAnsi="Symbol" w:hint="default"/>
      </w:rPr>
    </w:lvl>
  </w:abstractNum>
  <w:abstractNum w:abstractNumId="155" w15:restartNumberingAfterBreak="0">
    <w:nsid w:val="58157623"/>
    <w:multiLevelType w:val="hybridMultilevel"/>
    <w:tmpl w:val="811C92C2"/>
    <w:lvl w:ilvl="0" w:tplc="8EE696D6">
      <w:start w:val="1"/>
      <w:numFmt w:val="decimal"/>
      <w:lvlText w:val="Table %1."/>
      <w:lvlJc w:val="left"/>
      <w:pPr>
        <w:ind w:left="720" w:hanging="360"/>
      </w:pPr>
      <w:rPr>
        <w:rFonts w:hint="default"/>
        <w:b/>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6" w15:restartNumberingAfterBreak="0">
    <w:nsid w:val="589D384C"/>
    <w:multiLevelType w:val="hybridMultilevel"/>
    <w:tmpl w:val="124C3FFC"/>
    <w:lvl w:ilvl="0" w:tplc="020A713E">
      <w:start w:val="1"/>
      <w:numFmt w:val="bullet"/>
      <w:lvlText w:val=""/>
      <w:lvlPicBulletId w:val="0"/>
      <w:lvlJc w:val="left"/>
      <w:pPr>
        <w:tabs>
          <w:tab w:val="num" w:pos="720"/>
        </w:tabs>
        <w:ind w:left="720" w:hanging="360"/>
      </w:pPr>
      <w:rPr>
        <w:rFonts w:ascii="Symbol" w:hAnsi="Symbol" w:hint="default"/>
      </w:rPr>
    </w:lvl>
    <w:lvl w:ilvl="1" w:tplc="C47EC968" w:tentative="1">
      <w:start w:val="1"/>
      <w:numFmt w:val="bullet"/>
      <w:lvlText w:val=""/>
      <w:lvlJc w:val="left"/>
      <w:pPr>
        <w:tabs>
          <w:tab w:val="num" w:pos="1440"/>
        </w:tabs>
        <w:ind w:left="1440" w:hanging="360"/>
      </w:pPr>
      <w:rPr>
        <w:rFonts w:ascii="Symbol" w:hAnsi="Symbol" w:hint="default"/>
      </w:rPr>
    </w:lvl>
    <w:lvl w:ilvl="2" w:tplc="50E492B8" w:tentative="1">
      <w:start w:val="1"/>
      <w:numFmt w:val="bullet"/>
      <w:lvlText w:val=""/>
      <w:lvlJc w:val="left"/>
      <w:pPr>
        <w:tabs>
          <w:tab w:val="num" w:pos="2160"/>
        </w:tabs>
        <w:ind w:left="2160" w:hanging="360"/>
      </w:pPr>
      <w:rPr>
        <w:rFonts w:ascii="Symbol" w:hAnsi="Symbol" w:hint="default"/>
      </w:rPr>
    </w:lvl>
    <w:lvl w:ilvl="3" w:tplc="2312D004" w:tentative="1">
      <w:start w:val="1"/>
      <w:numFmt w:val="bullet"/>
      <w:lvlText w:val=""/>
      <w:lvlJc w:val="left"/>
      <w:pPr>
        <w:tabs>
          <w:tab w:val="num" w:pos="2880"/>
        </w:tabs>
        <w:ind w:left="2880" w:hanging="360"/>
      </w:pPr>
      <w:rPr>
        <w:rFonts w:ascii="Symbol" w:hAnsi="Symbol" w:hint="default"/>
      </w:rPr>
    </w:lvl>
    <w:lvl w:ilvl="4" w:tplc="B34CE324" w:tentative="1">
      <w:start w:val="1"/>
      <w:numFmt w:val="bullet"/>
      <w:lvlText w:val=""/>
      <w:lvlJc w:val="left"/>
      <w:pPr>
        <w:tabs>
          <w:tab w:val="num" w:pos="3600"/>
        </w:tabs>
        <w:ind w:left="3600" w:hanging="360"/>
      </w:pPr>
      <w:rPr>
        <w:rFonts w:ascii="Symbol" w:hAnsi="Symbol" w:hint="default"/>
      </w:rPr>
    </w:lvl>
    <w:lvl w:ilvl="5" w:tplc="75E2BA28" w:tentative="1">
      <w:start w:val="1"/>
      <w:numFmt w:val="bullet"/>
      <w:lvlText w:val=""/>
      <w:lvlJc w:val="left"/>
      <w:pPr>
        <w:tabs>
          <w:tab w:val="num" w:pos="4320"/>
        </w:tabs>
        <w:ind w:left="4320" w:hanging="360"/>
      </w:pPr>
      <w:rPr>
        <w:rFonts w:ascii="Symbol" w:hAnsi="Symbol" w:hint="default"/>
      </w:rPr>
    </w:lvl>
    <w:lvl w:ilvl="6" w:tplc="3A08CC3E" w:tentative="1">
      <w:start w:val="1"/>
      <w:numFmt w:val="bullet"/>
      <w:lvlText w:val=""/>
      <w:lvlJc w:val="left"/>
      <w:pPr>
        <w:tabs>
          <w:tab w:val="num" w:pos="5040"/>
        </w:tabs>
        <w:ind w:left="5040" w:hanging="360"/>
      </w:pPr>
      <w:rPr>
        <w:rFonts w:ascii="Symbol" w:hAnsi="Symbol" w:hint="default"/>
      </w:rPr>
    </w:lvl>
    <w:lvl w:ilvl="7" w:tplc="219E04B2" w:tentative="1">
      <w:start w:val="1"/>
      <w:numFmt w:val="bullet"/>
      <w:lvlText w:val=""/>
      <w:lvlJc w:val="left"/>
      <w:pPr>
        <w:tabs>
          <w:tab w:val="num" w:pos="5760"/>
        </w:tabs>
        <w:ind w:left="5760" w:hanging="360"/>
      </w:pPr>
      <w:rPr>
        <w:rFonts w:ascii="Symbol" w:hAnsi="Symbol" w:hint="default"/>
      </w:rPr>
    </w:lvl>
    <w:lvl w:ilvl="8" w:tplc="815E58AC" w:tentative="1">
      <w:start w:val="1"/>
      <w:numFmt w:val="bullet"/>
      <w:lvlText w:val=""/>
      <w:lvlJc w:val="left"/>
      <w:pPr>
        <w:tabs>
          <w:tab w:val="num" w:pos="6480"/>
        </w:tabs>
        <w:ind w:left="6480" w:hanging="360"/>
      </w:pPr>
      <w:rPr>
        <w:rFonts w:ascii="Symbol" w:hAnsi="Symbol" w:hint="default"/>
      </w:rPr>
    </w:lvl>
  </w:abstractNum>
  <w:abstractNum w:abstractNumId="157" w15:restartNumberingAfterBreak="0">
    <w:nsid w:val="58A90DBB"/>
    <w:multiLevelType w:val="hybridMultilevel"/>
    <w:tmpl w:val="ED1CF3C4"/>
    <w:lvl w:ilvl="0" w:tplc="3ADC5518">
      <w:start w:val="1"/>
      <w:numFmt w:val="bullet"/>
      <w:lvlText w:val=""/>
      <w:lvlPicBulletId w:val="0"/>
      <w:lvlJc w:val="left"/>
      <w:pPr>
        <w:tabs>
          <w:tab w:val="num" w:pos="720"/>
        </w:tabs>
        <w:ind w:left="720" w:hanging="360"/>
      </w:pPr>
      <w:rPr>
        <w:rFonts w:ascii="Symbol" w:hAnsi="Symbol" w:hint="default"/>
      </w:rPr>
    </w:lvl>
    <w:lvl w:ilvl="1" w:tplc="0968512E" w:tentative="1">
      <w:start w:val="1"/>
      <w:numFmt w:val="bullet"/>
      <w:lvlText w:val=""/>
      <w:lvlJc w:val="left"/>
      <w:pPr>
        <w:tabs>
          <w:tab w:val="num" w:pos="1440"/>
        </w:tabs>
        <w:ind w:left="1440" w:hanging="360"/>
      </w:pPr>
      <w:rPr>
        <w:rFonts w:ascii="Symbol" w:hAnsi="Symbol" w:hint="default"/>
      </w:rPr>
    </w:lvl>
    <w:lvl w:ilvl="2" w:tplc="D89A0390" w:tentative="1">
      <w:start w:val="1"/>
      <w:numFmt w:val="bullet"/>
      <w:lvlText w:val=""/>
      <w:lvlJc w:val="left"/>
      <w:pPr>
        <w:tabs>
          <w:tab w:val="num" w:pos="2160"/>
        </w:tabs>
        <w:ind w:left="2160" w:hanging="360"/>
      </w:pPr>
      <w:rPr>
        <w:rFonts w:ascii="Symbol" w:hAnsi="Symbol" w:hint="default"/>
      </w:rPr>
    </w:lvl>
    <w:lvl w:ilvl="3" w:tplc="F4505CBE" w:tentative="1">
      <w:start w:val="1"/>
      <w:numFmt w:val="bullet"/>
      <w:lvlText w:val=""/>
      <w:lvlJc w:val="left"/>
      <w:pPr>
        <w:tabs>
          <w:tab w:val="num" w:pos="2880"/>
        </w:tabs>
        <w:ind w:left="2880" w:hanging="360"/>
      </w:pPr>
      <w:rPr>
        <w:rFonts w:ascii="Symbol" w:hAnsi="Symbol" w:hint="default"/>
      </w:rPr>
    </w:lvl>
    <w:lvl w:ilvl="4" w:tplc="4EEE5102" w:tentative="1">
      <w:start w:val="1"/>
      <w:numFmt w:val="bullet"/>
      <w:lvlText w:val=""/>
      <w:lvlJc w:val="left"/>
      <w:pPr>
        <w:tabs>
          <w:tab w:val="num" w:pos="3600"/>
        </w:tabs>
        <w:ind w:left="3600" w:hanging="360"/>
      </w:pPr>
      <w:rPr>
        <w:rFonts w:ascii="Symbol" w:hAnsi="Symbol" w:hint="default"/>
      </w:rPr>
    </w:lvl>
    <w:lvl w:ilvl="5" w:tplc="11D0B36C" w:tentative="1">
      <w:start w:val="1"/>
      <w:numFmt w:val="bullet"/>
      <w:lvlText w:val=""/>
      <w:lvlJc w:val="left"/>
      <w:pPr>
        <w:tabs>
          <w:tab w:val="num" w:pos="4320"/>
        </w:tabs>
        <w:ind w:left="4320" w:hanging="360"/>
      </w:pPr>
      <w:rPr>
        <w:rFonts w:ascii="Symbol" w:hAnsi="Symbol" w:hint="default"/>
      </w:rPr>
    </w:lvl>
    <w:lvl w:ilvl="6" w:tplc="B5B2F2BE" w:tentative="1">
      <w:start w:val="1"/>
      <w:numFmt w:val="bullet"/>
      <w:lvlText w:val=""/>
      <w:lvlJc w:val="left"/>
      <w:pPr>
        <w:tabs>
          <w:tab w:val="num" w:pos="5040"/>
        </w:tabs>
        <w:ind w:left="5040" w:hanging="360"/>
      </w:pPr>
      <w:rPr>
        <w:rFonts w:ascii="Symbol" w:hAnsi="Symbol" w:hint="default"/>
      </w:rPr>
    </w:lvl>
    <w:lvl w:ilvl="7" w:tplc="1EA02196" w:tentative="1">
      <w:start w:val="1"/>
      <w:numFmt w:val="bullet"/>
      <w:lvlText w:val=""/>
      <w:lvlJc w:val="left"/>
      <w:pPr>
        <w:tabs>
          <w:tab w:val="num" w:pos="5760"/>
        </w:tabs>
        <w:ind w:left="5760" w:hanging="360"/>
      </w:pPr>
      <w:rPr>
        <w:rFonts w:ascii="Symbol" w:hAnsi="Symbol" w:hint="default"/>
      </w:rPr>
    </w:lvl>
    <w:lvl w:ilvl="8" w:tplc="C492D14A" w:tentative="1">
      <w:start w:val="1"/>
      <w:numFmt w:val="bullet"/>
      <w:lvlText w:val=""/>
      <w:lvlJc w:val="left"/>
      <w:pPr>
        <w:tabs>
          <w:tab w:val="num" w:pos="6480"/>
        </w:tabs>
        <w:ind w:left="6480" w:hanging="360"/>
      </w:pPr>
      <w:rPr>
        <w:rFonts w:ascii="Symbol" w:hAnsi="Symbol" w:hint="default"/>
      </w:rPr>
    </w:lvl>
  </w:abstractNum>
  <w:abstractNum w:abstractNumId="158" w15:restartNumberingAfterBreak="0">
    <w:nsid w:val="58CE1432"/>
    <w:multiLevelType w:val="hybridMultilevel"/>
    <w:tmpl w:val="074A1894"/>
    <w:lvl w:ilvl="0" w:tplc="3440E3FC">
      <w:start w:val="1"/>
      <w:numFmt w:val="bullet"/>
      <w:lvlText w:val=""/>
      <w:lvlPicBulletId w:val="1"/>
      <w:lvlJc w:val="left"/>
      <w:pPr>
        <w:tabs>
          <w:tab w:val="num" w:pos="720"/>
        </w:tabs>
        <w:ind w:left="720" w:hanging="360"/>
      </w:pPr>
      <w:rPr>
        <w:rFonts w:ascii="Symbol" w:hAnsi="Symbol" w:hint="default"/>
      </w:rPr>
    </w:lvl>
    <w:lvl w:ilvl="1" w:tplc="B51C6480" w:tentative="1">
      <w:start w:val="1"/>
      <w:numFmt w:val="bullet"/>
      <w:lvlText w:val=""/>
      <w:lvlJc w:val="left"/>
      <w:pPr>
        <w:tabs>
          <w:tab w:val="num" w:pos="1440"/>
        </w:tabs>
        <w:ind w:left="1440" w:hanging="360"/>
      </w:pPr>
      <w:rPr>
        <w:rFonts w:ascii="Symbol" w:hAnsi="Symbol" w:hint="default"/>
      </w:rPr>
    </w:lvl>
    <w:lvl w:ilvl="2" w:tplc="22C2EBC8" w:tentative="1">
      <w:start w:val="1"/>
      <w:numFmt w:val="bullet"/>
      <w:lvlText w:val=""/>
      <w:lvlJc w:val="left"/>
      <w:pPr>
        <w:tabs>
          <w:tab w:val="num" w:pos="2160"/>
        </w:tabs>
        <w:ind w:left="2160" w:hanging="360"/>
      </w:pPr>
      <w:rPr>
        <w:rFonts w:ascii="Symbol" w:hAnsi="Symbol" w:hint="default"/>
      </w:rPr>
    </w:lvl>
    <w:lvl w:ilvl="3" w:tplc="EEEEAB00" w:tentative="1">
      <w:start w:val="1"/>
      <w:numFmt w:val="bullet"/>
      <w:lvlText w:val=""/>
      <w:lvlJc w:val="left"/>
      <w:pPr>
        <w:tabs>
          <w:tab w:val="num" w:pos="2880"/>
        </w:tabs>
        <w:ind w:left="2880" w:hanging="360"/>
      </w:pPr>
      <w:rPr>
        <w:rFonts w:ascii="Symbol" w:hAnsi="Symbol" w:hint="default"/>
      </w:rPr>
    </w:lvl>
    <w:lvl w:ilvl="4" w:tplc="D45678E8" w:tentative="1">
      <w:start w:val="1"/>
      <w:numFmt w:val="bullet"/>
      <w:lvlText w:val=""/>
      <w:lvlJc w:val="left"/>
      <w:pPr>
        <w:tabs>
          <w:tab w:val="num" w:pos="3600"/>
        </w:tabs>
        <w:ind w:left="3600" w:hanging="360"/>
      </w:pPr>
      <w:rPr>
        <w:rFonts w:ascii="Symbol" w:hAnsi="Symbol" w:hint="default"/>
      </w:rPr>
    </w:lvl>
    <w:lvl w:ilvl="5" w:tplc="B83A1CDE" w:tentative="1">
      <w:start w:val="1"/>
      <w:numFmt w:val="bullet"/>
      <w:lvlText w:val=""/>
      <w:lvlJc w:val="left"/>
      <w:pPr>
        <w:tabs>
          <w:tab w:val="num" w:pos="4320"/>
        </w:tabs>
        <w:ind w:left="4320" w:hanging="360"/>
      </w:pPr>
      <w:rPr>
        <w:rFonts w:ascii="Symbol" w:hAnsi="Symbol" w:hint="default"/>
      </w:rPr>
    </w:lvl>
    <w:lvl w:ilvl="6" w:tplc="F60CEDC6" w:tentative="1">
      <w:start w:val="1"/>
      <w:numFmt w:val="bullet"/>
      <w:lvlText w:val=""/>
      <w:lvlJc w:val="left"/>
      <w:pPr>
        <w:tabs>
          <w:tab w:val="num" w:pos="5040"/>
        </w:tabs>
        <w:ind w:left="5040" w:hanging="360"/>
      </w:pPr>
      <w:rPr>
        <w:rFonts w:ascii="Symbol" w:hAnsi="Symbol" w:hint="default"/>
      </w:rPr>
    </w:lvl>
    <w:lvl w:ilvl="7" w:tplc="745A0CF4" w:tentative="1">
      <w:start w:val="1"/>
      <w:numFmt w:val="bullet"/>
      <w:lvlText w:val=""/>
      <w:lvlJc w:val="left"/>
      <w:pPr>
        <w:tabs>
          <w:tab w:val="num" w:pos="5760"/>
        </w:tabs>
        <w:ind w:left="5760" w:hanging="360"/>
      </w:pPr>
      <w:rPr>
        <w:rFonts w:ascii="Symbol" w:hAnsi="Symbol" w:hint="default"/>
      </w:rPr>
    </w:lvl>
    <w:lvl w:ilvl="8" w:tplc="68D4E49C" w:tentative="1">
      <w:start w:val="1"/>
      <w:numFmt w:val="bullet"/>
      <w:lvlText w:val=""/>
      <w:lvlJc w:val="left"/>
      <w:pPr>
        <w:tabs>
          <w:tab w:val="num" w:pos="6480"/>
        </w:tabs>
        <w:ind w:left="6480" w:hanging="360"/>
      </w:pPr>
      <w:rPr>
        <w:rFonts w:ascii="Symbol" w:hAnsi="Symbol" w:hint="default"/>
      </w:rPr>
    </w:lvl>
  </w:abstractNum>
  <w:abstractNum w:abstractNumId="159" w15:restartNumberingAfterBreak="0">
    <w:nsid w:val="58EA4E26"/>
    <w:multiLevelType w:val="hybridMultilevel"/>
    <w:tmpl w:val="B1DA945E"/>
    <w:lvl w:ilvl="0" w:tplc="8098ED12">
      <w:start w:val="1"/>
      <w:numFmt w:val="bullet"/>
      <w:lvlText w:val=""/>
      <w:lvlPicBulletId w:val="1"/>
      <w:lvlJc w:val="left"/>
      <w:pPr>
        <w:tabs>
          <w:tab w:val="num" w:pos="720"/>
        </w:tabs>
        <w:ind w:left="720" w:hanging="360"/>
      </w:pPr>
      <w:rPr>
        <w:rFonts w:ascii="Symbol" w:hAnsi="Symbol" w:hint="default"/>
      </w:rPr>
    </w:lvl>
    <w:lvl w:ilvl="1" w:tplc="6DE8D002" w:tentative="1">
      <w:start w:val="1"/>
      <w:numFmt w:val="bullet"/>
      <w:lvlText w:val=""/>
      <w:lvlJc w:val="left"/>
      <w:pPr>
        <w:tabs>
          <w:tab w:val="num" w:pos="1440"/>
        </w:tabs>
        <w:ind w:left="1440" w:hanging="360"/>
      </w:pPr>
      <w:rPr>
        <w:rFonts w:ascii="Symbol" w:hAnsi="Symbol" w:hint="default"/>
      </w:rPr>
    </w:lvl>
    <w:lvl w:ilvl="2" w:tplc="751883E0" w:tentative="1">
      <w:start w:val="1"/>
      <w:numFmt w:val="bullet"/>
      <w:lvlText w:val=""/>
      <w:lvlJc w:val="left"/>
      <w:pPr>
        <w:tabs>
          <w:tab w:val="num" w:pos="2160"/>
        </w:tabs>
        <w:ind w:left="2160" w:hanging="360"/>
      </w:pPr>
      <w:rPr>
        <w:rFonts w:ascii="Symbol" w:hAnsi="Symbol" w:hint="default"/>
      </w:rPr>
    </w:lvl>
    <w:lvl w:ilvl="3" w:tplc="D15EAA22" w:tentative="1">
      <w:start w:val="1"/>
      <w:numFmt w:val="bullet"/>
      <w:lvlText w:val=""/>
      <w:lvlJc w:val="left"/>
      <w:pPr>
        <w:tabs>
          <w:tab w:val="num" w:pos="2880"/>
        </w:tabs>
        <w:ind w:left="2880" w:hanging="360"/>
      </w:pPr>
      <w:rPr>
        <w:rFonts w:ascii="Symbol" w:hAnsi="Symbol" w:hint="default"/>
      </w:rPr>
    </w:lvl>
    <w:lvl w:ilvl="4" w:tplc="5A34DCFC" w:tentative="1">
      <w:start w:val="1"/>
      <w:numFmt w:val="bullet"/>
      <w:lvlText w:val=""/>
      <w:lvlJc w:val="left"/>
      <w:pPr>
        <w:tabs>
          <w:tab w:val="num" w:pos="3600"/>
        </w:tabs>
        <w:ind w:left="3600" w:hanging="360"/>
      </w:pPr>
      <w:rPr>
        <w:rFonts w:ascii="Symbol" w:hAnsi="Symbol" w:hint="default"/>
      </w:rPr>
    </w:lvl>
    <w:lvl w:ilvl="5" w:tplc="50D802AA" w:tentative="1">
      <w:start w:val="1"/>
      <w:numFmt w:val="bullet"/>
      <w:lvlText w:val=""/>
      <w:lvlJc w:val="left"/>
      <w:pPr>
        <w:tabs>
          <w:tab w:val="num" w:pos="4320"/>
        </w:tabs>
        <w:ind w:left="4320" w:hanging="360"/>
      </w:pPr>
      <w:rPr>
        <w:rFonts w:ascii="Symbol" w:hAnsi="Symbol" w:hint="default"/>
      </w:rPr>
    </w:lvl>
    <w:lvl w:ilvl="6" w:tplc="B5C257AA" w:tentative="1">
      <w:start w:val="1"/>
      <w:numFmt w:val="bullet"/>
      <w:lvlText w:val=""/>
      <w:lvlJc w:val="left"/>
      <w:pPr>
        <w:tabs>
          <w:tab w:val="num" w:pos="5040"/>
        </w:tabs>
        <w:ind w:left="5040" w:hanging="360"/>
      </w:pPr>
      <w:rPr>
        <w:rFonts w:ascii="Symbol" w:hAnsi="Symbol" w:hint="default"/>
      </w:rPr>
    </w:lvl>
    <w:lvl w:ilvl="7" w:tplc="6C5CA19C" w:tentative="1">
      <w:start w:val="1"/>
      <w:numFmt w:val="bullet"/>
      <w:lvlText w:val=""/>
      <w:lvlJc w:val="left"/>
      <w:pPr>
        <w:tabs>
          <w:tab w:val="num" w:pos="5760"/>
        </w:tabs>
        <w:ind w:left="5760" w:hanging="360"/>
      </w:pPr>
      <w:rPr>
        <w:rFonts w:ascii="Symbol" w:hAnsi="Symbol" w:hint="default"/>
      </w:rPr>
    </w:lvl>
    <w:lvl w:ilvl="8" w:tplc="86B8DC4C" w:tentative="1">
      <w:start w:val="1"/>
      <w:numFmt w:val="bullet"/>
      <w:lvlText w:val=""/>
      <w:lvlJc w:val="left"/>
      <w:pPr>
        <w:tabs>
          <w:tab w:val="num" w:pos="6480"/>
        </w:tabs>
        <w:ind w:left="6480" w:hanging="360"/>
      </w:pPr>
      <w:rPr>
        <w:rFonts w:ascii="Symbol" w:hAnsi="Symbol" w:hint="default"/>
      </w:rPr>
    </w:lvl>
  </w:abstractNum>
  <w:abstractNum w:abstractNumId="160" w15:restartNumberingAfterBreak="0">
    <w:nsid w:val="59C764BC"/>
    <w:multiLevelType w:val="hybridMultilevel"/>
    <w:tmpl w:val="90128A4E"/>
    <w:lvl w:ilvl="0" w:tplc="397CAAC2">
      <w:start w:val="1"/>
      <w:numFmt w:val="bullet"/>
      <w:lvlText w:val=""/>
      <w:lvlPicBulletId w:val="1"/>
      <w:lvlJc w:val="left"/>
      <w:pPr>
        <w:tabs>
          <w:tab w:val="num" w:pos="720"/>
        </w:tabs>
        <w:ind w:left="720" w:hanging="360"/>
      </w:pPr>
      <w:rPr>
        <w:rFonts w:ascii="Symbol" w:hAnsi="Symbol" w:hint="default"/>
      </w:rPr>
    </w:lvl>
    <w:lvl w:ilvl="1" w:tplc="4C38912C" w:tentative="1">
      <w:start w:val="1"/>
      <w:numFmt w:val="bullet"/>
      <w:lvlText w:val=""/>
      <w:lvlJc w:val="left"/>
      <w:pPr>
        <w:tabs>
          <w:tab w:val="num" w:pos="1440"/>
        </w:tabs>
        <w:ind w:left="1440" w:hanging="360"/>
      </w:pPr>
      <w:rPr>
        <w:rFonts w:ascii="Symbol" w:hAnsi="Symbol" w:hint="default"/>
      </w:rPr>
    </w:lvl>
    <w:lvl w:ilvl="2" w:tplc="EEDC0F6A" w:tentative="1">
      <w:start w:val="1"/>
      <w:numFmt w:val="bullet"/>
      <w:lvlText w:val=""/>
      <w:lvlJc w:val="left"/>
      <w:pPr>
        <w:tabs>
          <w:tab w:val="num" w:pos="2160"/>
        </w:tabs>
        <w:ind w:left="2160" w:hanging="360"/>
      </w:pPr>
      <w:rPr>
        <w:rFonts w:ascii="Symbol" w:hAnsi="Symbol" w:hint="default"/>
      </w:rPr>
    </w:lvl>
    <w:lvl w:ilvl="3" w:tplc="98D6C598" w:tentative="1">
      <w:start w:val="1"/>
      <w:numFmt w:val="bullet"/>
      <w:lvlText w:val=""/>
      <w:lvlJc w:val="left"/>
      <w:pPr>
        <w:tabs>
          <w:tab w:val="num" w:pos="2880"/>
        </w:tabs>
        <w:ind w:left="2880" w:hanging="360"/>
      </w:pPr>
      <w:rPr>
        <w:rFonts w:ascii="Symbol" w:hAnsi="Symbol" w:hint="default"/>
      </w:rPr>
    </w:lvl>
    <w:lvl w:ilvl="4" w:tplc="D5F22328" w:tentative="1">
      <w:start w:val="1"/>
      <w:numFmt w:val="bullet"/>
      <w:lvlText w:val=""/>
      <w:lvlJc w:val="left"/>
      <w:pPr>
        <w:tabs>
          <w:tab w:val="num" w:pos="3600"/>
        </w:tabs>
        <w:ind w:left="3600" w:hanging="360"/>
      </w:pPr>
      <w:rPr>
        <w:rFonts w:ascii="Symbol" w:hAnsi="Symbol" w:hint="default"/>
      </w:rPr>
    </w:lvl>
    <w:lvl w:ilvl="5" w:tplc="2A2662BC" w:tentative="1">
      <w:start w:val="1"/>
      <w:numFmt w:val="bullet"/>
      <w:lvlText w:val=""/>
      <w:lvlJc w:val="left"/>
      <w:pPr>
        <w:tabs>
          <w:tab w:val="num" w:pos="4320"/>
        </w:tabs>
        <w:ind w:left="4320" w:hanging="360"/>
      </w:pPr>
      <w:rPr>
        <w:rFonts w:ascii="Symbol" w:hAnsi="Symbol" w:hint="default"/>
      </w:rPr>
    </w:lvl>
    <w:lvl w:ilvl="6" w:tplc="1C9E18F2" w:tentative="1">
      <w:start w:val="1"/>
      <w:numFmt w:val="bullet"/>
      <w:lvlText w:val=""/>
      <w:lvlJc w:val="left"/>
      <w:pPr>
        <w:tabs>
          <w:tab w:val="num" w:pos="5040"/>
        </w:tabs>
        <w:ind w:left="5040" w:hanging="360"/>
      </w:pPr>
      <w:rPr>
        <w:rFonts w:ascii="Symbol" w:hAnsi="Symbol" w:hint="default"/>
      </w:rPr>
    </w:lvl>
    <w:lvl w:ilvl="7" w:tplc="638C5976" w:tentative="1">
      <w:start w:val="1"/>
      <w:numFmt w:val="bullet"/>
      <w:lvlText w:val=""/>
      <w:lvlJc w:val="left"/>
      <w:pPr>
        <w:tabs>
          <w:tab w:val="num" w:pos="5760"/>
        </w:tabs>
        <w:ind w:left="5760" w:hanging="360"/>
      </w:pPr>
      <w:rPr>
        <w:rFonts w:ascii="Symbol" w:hAnsi="Symbol" w:hint="default"/>
      </w:rPr>
    </w:lvl>
    <w:lvl w:ilvl="8" w:tplc="6ED2FC0A" w:tentative="1">
      <w:start w:val="1"/>
      <w:numFmt w:val="bullet"/>
      <w:lvlText w:val=""/>
      <w:lvlJc w:val="left"/>
      <w:pPr>
        <w:tabs>
          <w:tab w:val="num" w:pos="6480"/>
        </w:tabs>
        <w:ind w:left="6480" w:hanging="360"/>
      </w:pPr>
      <w:rPr>
        <w:rFonts w:ascii="Symbol" w:hAnsi="Symbol" w:hint="default"/>
      </w:rPr>
    </w:lvl>
  </w:abstractNum>
  <w:abstractNum w:abstractNumId="161" w15:restartNumberingAfterBreak="0">
    <w:nsid w:val="5B230A0E"/>
    <w:multiLevelType w:val="hybridMultilevel"/>
    <w:tmpl w:val="F5C0853C"/>
    <w:lvl w:ilvl="0" w:tplc="CC8A3DB4">
      <w:start w:val="1"/>
      <w:numFmt w:val="bullet"/>
      <w:lvlText w:val=""/>
      <w:lvlPicBulletId w:val="1"/>
      <w:lvlJc w:val="left"/>
      <w:pPr>
        <w:tabs>
          <w:tab w:val="num" w:pos="720"/>
        </w:tabs>
        <w:ind w:left="720" w:hanging="360"/>
      </w:pPr>
      <w:rPr>
        <w:rFonts w:ascii="Symbol" w:hAnsi="Symbol" w:hint="default"/>
      </w:rPr>
    </w:lvl>
    <w:lvl w:ilvl="1" w:tplc="99EEA63E" w:tentative="1">
      <w:start w:val="1"/>
      <w:numFmt w:val="bullet"/>
      <w:lvlText w:val=""/>
      <w:lvlJc w:val="left"/>
      <w:pPr>
        <w:tabs>
          <w:tab w:val="num" w:pos="1440"/>
        </w:tabs>
        <w:ind w:left="1440" w:hanging="360"/>
      </w:pPr>
      <w:rPr>
        <w:rFonts w:ascii="Symbol" w:hAnsi="Symbol" w:hint="default"/>
      </w:rPr>
    </w:lvl>
    <w:lvl w:ilvl="2" w:tplc="34BA477A" w:tentative="1">
      <w:start w:val="1"/>
      <w:numFmt w:val="bullet"/>
      <w:lvlText w:val=""/>
      <w:lvlJc w:val="left"/>
      <w:pPr>
        <w:tabs>
          <w:tab w:val="num" w:pos="2160"/>
        </w:tabs>
        <w:ind w:left="2160" w:hanging="360"/>
      </w:pPr>
      <w:rPr>
        <w:rFonts w:ascii="Symbol" w:hAnsi="Symbol" w:hint="default"/>
      </w:rPr>
    </w:lvl>
    <w:lvl w:ilvl="3" w:tplc="62B8AE3A" w:tentative="1">
      <w:start w:val="1"/>
      <w:numFmt w:val="bullet"/>
      <w:lvlText w:val=""/>
      <w:lvlJc w:val="left"/>
      <w:pPr>
        <w:tabs>
          <w:tab w:val="num" w:pos="2880"/>
        </w:tabs>
        <w:ind w:left="2880" w:hanging="360"/>
      </w:pPr>
      <w:rPr>
        <w:rFonts w:ascii="Symbol" w:hAnsi="Symbol" w:hint="default"/>
      </w:rPr>
    </w:lvl>
    <w:lvl w:ilvl="4" w:tplc="884C6C1E" w:tentative="1">
      <w:start w:val="1"/>
      <w:numFmt w:val="bullet"/>
      <w:lvlText w:val=""/>
      <w:lvlJc w:val="left"/>
      <w:pPr>
        <w:tabs>
          <w:tab w:val="num" w:pos="3600"/>
        </w:tabs>
        <w:ind w:left="3600" w:hanging="360"/>
      </w:pPr>
      <w:rPr>
        <w:rFonts w:ascii="Symbol" w:hAnsi="Symbol" w:hint="default"/>
      </w:rPr>
    </w:lvl>
    <w:lvl w:ilvl="5" w:tplc="5A34F182" w:tentative="1">
      <w:start w:val="1"/>
      <w:numFmt w:val="bullet"/>
      <w:lvlText w:val=""/>
      <w:lvlJc w:val="left"/>
      <w:pPr>
        <w:tabs>
          <w:tab w:val="num" w:pos="4320"/>
        </w:tabs>
        <w:ind w:left="4320" w:hanging="360"/>
      </w:pPr>
      <w:rPr>
        <w:rFonts w:ascii="Symbol" w:hAnsi="Symbol" w:hint="default"/>
      </w:rPr>
    </w:lvl>
    <w:lvl w:ilvl="6" w:tplc="C1021D26" w:tentative="1">
      <w:start w:val="1"/>
      <w:numFmt w:val="bullet"/>
      <w:lvlText w:val=""/>
      <w:lvlJc w:val="left"/>
      <w:pPr>
        <w:tabs>
          <w:tab w:val="num" w:pos="5040"/>
        </w:tabs>
        <w:ind w:left="5040" w:hanging="360"/>
      </w:pPr>
      <w:rPr>
        <w:rFonts w:ascii="Symbol" w:hAnsi="Symbol" w:hint="default"/>
      </w:rPr>
    </w:lvl>
    <w:lvl w:ilvl="7" w:tplc="9CA85712" w:tentative="1">
      <w:start w:val="1"/>
      <w:numFmt w:val="bullet"/>
      <w:lvlText w:val=""/>
      <w:lvlJc w:val="left"/>
      <w:pPr>
        <w:tabs>
          <w:tab w:val="num" w:pos="5760"/>
        </w:tabs>
        <w:ind w:left="5760" w:hanging="360"/>
      </w:pPr>
      <w:rPr>
        <w:rFonts w:ascii="Symbol" w:hAnsi="Symbol" w:hint="default"/>
      </w:rPr>
    </w:lvl>
    <w:lvl w:ilvl="8" w:tplc="D3DC4F42" w:tentative="1">
      <w:start w:val="1"/>
      <w:numFmt w:val="bullet"/>
      <w:lvlText w:val=""/>
      <w:lvlJc w:val="left"/>
      <w:pPr>
        <w:tabs>
          <w:tab w:val="num" w:pos="6480"/>
        </w:tabs>
        <w:ind w:left="6480" w:hanging="360"/>
      </w:pPr>
      <w:rPr>
        <w:rFonts w:ascii="Symbol" w:hAnsi="Symbol" w:hint="default"/>
      </w:rPr>
    </w:lvl>
  </w:abstractNum>
  <w:abstractNum w:abstractNumId="162" w15:restartNumberingAfterBreak="0">
    <w:nsid w:val="5C44724B"/>
    <w:multiLevelType w:val="hybridMultilevel"/>
    <w:tmpl w:val="CF5CB2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3" w15:restartNumberingAfterBreak="0">
    <w:nsid w:val="5C5576C5"/>
    <w:multiLevelType w:val="hybridMultilevel"/>
    <w:tmpl w:val="550ACB2C"/>
    <w:lvl w:ilvl="0" w:tplc="D7A8F566">
      <w:start w:val="1"/>
      <w:numFmt w:val="bullet"/>
      <w:lvlText w:val=""/>
      <w:lvlPicBulletId w:val="0"/>
      <w:lvlJc w:val="left"/>
      <w:pPr>
        <w:tabs>
          <w:tab w:val="num" w:pos="720"/>
        </w:tabs>
        <w:ind w:left="720" w:hanging="360"/>
      </w:pPr>
      <w:rPr>
        <w:rFonts w:ascii="Symbol" w:hAnsi="Symbol" w:hint="default"/>
      </w:rPr>
    </w:lvl>
    <w:lvl w:ilvl="1" w:tplc="EDD22F16" w:tentative="1">
      <w:start w:val="1"/>
      <w:numFmt w:val="bullet"/>
      <w:lvlText w:val=""/>
      <w:lvlJc w:val="left"/>
      <w:pPr>
        <w:tabs>
          <w:tab w:val="num" w:pos="1440"/>
        </w:tabs>
        <w:ind w:left="1440" w:hanging="360"/>
      </w:pPr>
      <w:rPr>
        <w:rFonts w:ascii="Symbol" w:hAnsi="Symbol" w:hint="default"/>
      </w:rPr>
    </w:lvl>
    <w:lvl w:ilvl="2" w:tplc="A70E5FB2" w:tentative="1">
      <w:start w:val="1"/>
      <w:numFmt w:val="bullet"/>
      <w:lvlText w:val=""/>
      <w:lvlJc w:val="left"/>
      <w:pPr>
        <w:tabs>
          <w:tab w:val="num" w:pos="2160"/>
        </w:tabs>
        <w:ind w:left="2160" w:hanging="360"/>
      </w:pPr>
      <w:rPr>
        <w:rFonts w:ascii="Symbol" w:hAnsi="Symbol" w:hint="default"/>
      </w:rPr>
    </w:lvl>
    <w:lvl w:ilvl="3" w:tplc="B3B6ECDE" w:tentative="1">
      <w:start w:val="1"/>
      <w:numFmt w:val="bullet"/>
      <w:lvlText w:val=""/>
      <w:lvlJc w:val="left"/>
      <w:pPr>
        <w:tabs>
          <w:tab w:val="num" w:pos="2880"/>
        </w:tabs>
        <w:ind w:left="2880" w:hanging="360"/>
      </w:pPr>
      <w:rPr>
        <w:rFonts w:ascii="Symbol" w:hAnsi="Symbol" w:hint="default"/>
      </w:rPr>
    </w:lvl>
    <w:lvl w:ilvl="4" w:tplc="A85A3186" w:tentative="1">
      <w:start w:val="1"/>
      <w:numFmt w:val="bullet"/>
      <w:lvlText w:val=""/>
      <w:lvlJc w:val="left"/>
      <w:pPr>
        <w:tabs>
          <w:tab w:val="num" w:pos="3600"/>
        </w:tabs>
        <w:ind w:left="3600" w:hanging="360"/>
      </w:pPr>
      <w:rPr>
        <w:rFonts w:ascii="Symbol" w:hAnsi="Symbol" w:hint="default"/>
      </w:rPr>
    </w:lvl>
    <w:lvl w:ilvl="5" w:tplc="3DB6D014" w:tentative="1">
      <w:start w:val="1"/>
      <w:numFmt w:val="bullet"/>
      <w:lvlText w:val=""/>
      <w:lvlJc w:val="left"/>
      <w:pPr>
        <w:tabs>
          <w:tab w:val="num" w:pos="4320"/>
        </w:tabs>
        <w:ind w:left="4320" w:hanging="360"/>
      </w:pPr>
      <w:rPr>
        <w:rFonts w:ascii="Symbol" w:hAnsi="Symbol" w:hint="default"/>
      </w:rPr>
    </w:lvl>
    <w:lvl w:ilvl="6" w:tplc="2A5A43E0" w:tentative="1">
      <w:start w:val="1"/>
      <w:numFmt w:val="bullet"/>
      <w:lvlText w:val=""/>
      <w:lvlJc w:val="left"/>
      <w:pPr>
        <w:tabs>
          <w:tab w:val="num" w:pos="5040"/>
        </w:tabs>
        <w:ind w:left="5040" w:hanging="360"/>
      </w:pPr>
      <w:rPr>
        <w:rFonts w:ascii="Symbol" w:hAnsi="Symbol" w:hint="default"/>
      </w:rPr>
    </w:lvl>
    <w:lvl w:ilvl="7" w:tplc="57829D48" w:tentative="1">
      <w:start w:val="1"/>
      <w:numFmt w:val="bullet"/>
      <w:lvlText w:val=""/>
      <w:lvlJc w:val="left"/>
      <w:pPr>
        <w:tabs>
          <w:tab w:val="num" w:pos="5760"/>
        </w:tabs>
        <w:ind w:left="5760" w:hanging="360"/>
      </w:pPr>
      <w:rPr>
        <w:rFonts w:ascii="Symbol" w:hAnsi="Symbol" w:hint="default"/>
      </w:rPr>
    </w:lvl>
    <w:lvl w:ilvl="8" w:tplc="4E5E0592" w:tentative="1">
      <w:start w:val="1"/>
      <w:numFmt w:val="bullet"/>
      <w:lvlText w:val=""/>
      <w:lvlJc w:val="left"/>
      <w:pPr>
        <w:tabs>
          <w:tab w:val="num" w:pos="6480"/>
        </w:tabs>
        <w:ind w:left="6480" w:hanging="360"/>
      </w:pPr>
      <w:rPr>
        <w:rFonts w:ascii="Symbol" w:hAnsi="Symbol" w:hint="default"/>
      </w:rPr>
    </w:lvl>
  </w:abstractNum>
  <w:abstractNum w:abstractNumId="164" w15:restartNumberingAfterBreak="0">
    <w:nsid w:val="5D5D7685"/>
    <w:multiLevelType w:val="hybridMultilevel"/>
    <w:tmpl w:val="488A4690"/>
    <w:lvl w:ilvl="0" w:tplc="80026084">
      <w:start w:val="1"/>
      <w:numFmt w:val="bullet"/>
      <w:lvlText w:val=""/>
      <w:lvlPicBulletId w:val="1"/>
      <w:lvlJc w:val="left"/>
      <w:pPr>
        <w:tabs>
          <w:tab w:val="num" w:pos="720"/>
        </w:tabs>
        <w:ind w:left="720" w:hanging="360"/>
      </w:pPr>
      <w:rPr>
        <w:rFonts w:ascii="Symbol" w:hAnsi="Symbol" w:hint="default"/>
      </w:rPr>
    </w:lvl>
    <w:lvl w:ilvl="1" w:tplc="0CCA0B52" w:tentative="1">
      <w:start w:val="1"/>
      <w:numFmt w:val="bullet"/>
      <w:lvlText w:val=""/>
      <w:lvlJc w:val="left"/>
      <w:pPr>
        <w:tabs>
          <w:tab w:val="num" w:pos="1440"/>
        </w:tabs>
        <w:ind w:left="1440" w:hanging="360"/>
      </w:pPr>
      <w:rPr>
        <w:rFonts w:ascii="Symbol" w:hAnsi="Symbol" w:hint="default"/>
      </w:rPr>
    </w:lvl>
    <w:lvl w:ilvl="2" w:tplc="9EF0D952" w:tentative="1">
      <w:start w:val="1"/>
      <w:numFmt w:val="bullet"/>
      <w:lvlText w:val=""/>
      <w:lvlJc w:val="left"/>
      <w:pPr>
        <w:tabs>
          <w:tab w:val="num" w:pos="2160"/>
        </w:tabs>
        <w:ind w:left="2160" w:hanging="360"/>
      </w:pPr>
      <w:rPr>
        <w:rFonts w:ascii="Symbol" w:hAnsi="Symbol" w:hint="default"/>
      </w:rPr>
    </w:lvl>
    <w:lvl w:ilvl="3" w:tplc="D1E61F46" w:tentative="1">
      <w:start w:val="1"/>
      <w:numFmt w:val="bullet"/>
      <w:lvlText w:val=""/>
      <w:lvlJc w:val="left"/>
      <w:pPr>
        <w:tabs>
          <w:tab w:val="num" w:pos="2880"/>
        </w:tabs>
        <w:ind w:left="2880" w:hanging="360"/>
      </w:pPr>
      <w:rPr>
        <w:rFonts w:ascii="Symbol" w:hAnsi="Symbol" w:hint="default"/>
      </w:rPr>
    </w:lvl>
    <w:lvl w:ilvl="4" w:tplc="11A67B96" w:tentative="1">
      <w:start w:val="1"/>
      <w:numFmt w:val="bullet"/>
      <w:lvlText w:val=""/>
      <w:lvlJc w:val="left"/>
      <w:pPr>
        <w:tabs>
          <w:tab w:val="num" w:pos="3600"/>
        </w:tabs>
        <w:ind w:left="3600" w:hanging="360"/>
      </w:pPr>
      <w:rPr>
        <w:rFonts w:ascii="Symbol" w:hAnsi="Symbol" w:hint="default"/>
      </w:rPr>
    </w:lvl>
    <w:lvl w:ilvl="5" w:tplc="89588E20" w:tentative="1">
      <w:start w:val="1"/>
      <w:numFmt w:val="bullet"/>
      <w:lvlText w:val=""/>
      <w:lvlJc w:val="left"/>
      <w:pPr>
        <w:tabs>
          <w:tab w:val="num" w:pos="4320"/>
        </w:tabs>
        <w:ind w:left="4320" w:hanging="360"/>
      </w:pPr>
      <w:rPr>
        <w:rFonts w:ascii="Symbol" w:hAnsi="Symbol" w:hint="default"/>
      </w:rPr>
    </w:lvl>
    <w:lvl w:ilvl="6" w:tplc="0DEA04AE" w:tentative="1">
      <w:start w:val="1"/>
      <w:numFmt w:val="bullet"/>
      <w:lvlText w:val=""/>
      <w:lvlJc w:val="left"/>
      <w:pPr>
        <w:tabs>
          <w:tab w:val="num" w:pos="5040"/>
        </w:tabs>
        <w:ind w:left="5040" w:hanging="360"/>
      </w:pPr>
      <w:rPr>
        <w:rFonts w:ascii="Symbol" w:hAnsi="Symbol" w:hint="default"/>
      </w:rPr>
    </w:lvl>
    <w:lvl w:ilvl="7" w:tplc="D2A0D472" w:tentative="1">
      <w:start w:val="1"/>
      <w:numFmt w:val="bullet"/>
      <w:lvlText w:val=""/>
      <w:lvlJc w:val="left"/>
      <w:pPr>
        <w:tabs>
          <w:tab w:val="num" w:pos="5760"/>
        </w:tabs>
        <w:ind w:left="5760" w:hanging="360"/>
      </w:pPr>
      <w:rPr>
        <w:rFonts w:ascii="Symbol" w:hAnsi="Symbol" w:hint="default"/>
      </w:rPr>
    </w:lvl>
    <w:lvl w:ilvl="8" w:tplc="BE38E6E6" w:tentative="1">
      <w:start w:val="1"/>
      <w:numFmt w:val="bullet"/>
      <w:lvlText w:val=""/>
      <w:lvlJc w:val="left"/>
      <w:pPr>
        <w:tabs>
          <w:tab w:val="num" w:pos="6480"/>
        </w:tabs>
        <w:ind w:left="6480" w:hanging="360"/>
      </w:pPr>
      <w:rPr>
        <w:rFonts w:ascii="Symbol" w:hAnsi="Symbol" w:hint="default"/>
      </w:rPr>
    </w:lvl>
  </w:abstractNum>
  <w:abstractNum w:abstractNumId="165" w15:restartNumberingAfterBreak="0">
    <w:nsid w:val="5DA00D8E"/>
    <w:multiLevelType w:val="hybridMultilevel"/>
    <w:tmpl w:val="783063A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6" w15:restartNumberingAfterBreak="0">
    <w:nsid w:val="5E48489E"/>
    <w:multiLevelType w:val="hybridMultilevel"/>
    <w:tmpl w:val="811C92C2"/>
    <w:lvl w:ilvl="0" w:tplc="8EE696D6">
      <w:start w:val="1"/>
      <w:numFmt w:val="decimal"/>
      <w:lvlText w:val="Table %1."/>
      <w:lvlJc w:val="left"/>
      <w:pPr>
        <w:ind w:left="720" w:hanging="360"/>
      </w:pPr>
      <w:rPr>
        <w:rFonts w:hint="default"/>
        <w:b/>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603F170F"/>
    <w:multiLevelType w:val="hybridMultilevel"/>
    <w:tmpl w:val="8BDCDBEA"/>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8" w15:restartNumberingAfterBreak="0">
    <w:nsid w:val="60974EF3"/>
    <w:multiLevelType w:val="hybridMultilevel"/>
    <w:tmpl w:val="0C3CB4DE"/>
    <w:lvl w:ilvl="0" w:tplc="16A2CD1A">
      <w:start w:val="1"/>
      <w:numFmt w:val="bullet"/>
      <w:lvlText w:val=""/>
      <w:lvlPicBulletId w:val="1"/>
      <w:lvlJc w:val="left"/>
      <w:pPr>
        <w:tabs>
          <w:tab w:val="num" w:pos="720"/>
        </w:tabs>
        <w:ind w:left="720" w:hanging="360"/>
      </w:pPr>
      <w:rPr>
        <w:rFonts w:ascii="Symbol" w:hAnsi="Symbol" w:hint="default"/>
      </w:rPr>
    </w:lvl>
    <w:lvl w:ilvl="1" w:tplc="DEFCEA40" w:tentative="1">
      <w:start w:val="1"/>
      <w:numFmt w:val="bullet"/>
      <w:lvlText w:val=""/>
      <w:lvlJc w:val="left"/>
      <w:pPr>
        <w:tabs>
          <w:tab w:val="num" w:pos="1440"/>
        </w:tabs>
        <w:ind w:left="1440" w:hanging="360"/>
      </w:pPr>
      <w:rPr>
        <w:rFonts w:ascii="Symbol" w:hAnsi="Symbol" w:hint="default"/>
      </w:rPr>
    </w:lvl>
    <w:lvl w:ilvl="2" w:tplc="4E06B438" w:tentative="1">
      <w:start w:val="1"/>
      <w:numFmt w:val="bullet"/>
      <w:lvlText w:val=""/>
      <w:lvlJc w:val="left"/>
      <w:pPr>
        <w:tabs>
          <w:tab w:val="num" w:pos="2160"/>
        </w:tabs>
        <w:ind w:left="2160" w:hanging="360"/>
      </w:pPr>
      <w:rPr>
        <w:rFonts w:ascii="Symbol" w:hAnsi="Symbol" w:hint="default"/>
      </w:rPr>
    </w:lvl>
    <w:lvl w:ilvl="3" w:tplc="65608EC8" w:tentative="1">
      <w:start w:val="1"/>
      <w:numFmt w:val="bullet"/>
      <w:lvlText w:val=""/>
      <w:lvlJc w:val="left"/>
      <w:pPr>
        <w:tabs>
          <w:tab w:val="num" w:pos="2880"/>
        </w:tabs>
        <w:ind w:left="2880" w:hanging="360"/>
      </w:pPr>
      <w:rPr>
        <w:rFonts w:ascii="Symbol" w:hAnsi="Symbol" w:hint="default"/>
      </w:rPr>
    </w:lvl>
    <w:lvl w:ilvl="4" w:tplc="FA96E72C" w:tentative="1">
      <w:start w:val="1"/>
      <w:numFmt w:val="bullet"/>
      <w:lvlText w:val=""/>
      <w:lvlJc w:val="left"/>
      <w:pPr>
        <w:tabs>
          <w:tab w:val="num" w:pos="3600"/>
        </w:tabs>
        <w:ind w:left="3600" w:hanging="360"/>
      </w:pPr>
      <w:rPr>
        <w:rFonts w:ascii="Symbol" w:hAnsi="Symbol" w:hint="default"/>
      </w:rPr>
    </w:lvl>
    <w:lvl w:ilvl="5" w:tplc="352C50E8" w:tentative="1">
      <w:start w:val="1"/>
      <w:numFmt w:val="bullet"/>
      <w:lvlText w:val=""/>
      <w:lvlJc w:val="left"/>
      <w:pPr>
        <w:tabs>
          <w:tab w:val="num" w:pos="4320"/>
        </w:tabs>
        <w:ind w:left="4320" w:hanging="360"/>
      </w:pPr>
      <w:rPr>
        <w:rFonts w:ascii="Symbol" w:hAnsi="Symbol" w:hint="default"/>
      </w:rPr>
    </w:lvl>
    <w:lvl w:ilvl="6" w:tplc="6284C796" w:tentative="1">
      <w:start w:val="1"/>
      <w:numFmt w:val="bullet"/>
      <w:lvlText w:val=""/>
      <w:lvlJc w:val="left"/>
      <w:pPr>
        <w:tabs>
          <w:tab w:val="num" w:pos="5040"/>
        </w:tabs>
        <w:ind w:left="5040" w:hanging="360"/>
      </w:pPr>
      <w:rPr>
        <w:rFonts w:ascii="Symbol" w:hAnsi="Symbol" w:hint="default"/>
      </w:rPr>
    </w:lvl>
    <w:lvl w:ilvl="7" w:tplc="7F30D330" w:tentative="1">
      <w:start w:val="1"/>
      <w:numFmt w:val="bullet"/>
      <w:lvlText w:val=""/>
      <w:lvlJc w:val="left"/>
      <w:pPr>
        <w:tabs>
          <w:tab w:val="num" w:pos="5760"/>
        </w:tabs>
        <w:ind w:left="5760" w:hanging="360"/>
      </w:pPr>
      <w:rPr>
        <w:rFonts w:ascii="Symbol" w:hAnsi="Symbol" w:hint="default"/>
      </w:rPr>
    </w:lvl>
    <w:lvl w:ilvl="8" w:tplc="69B6C9FC" w:tentative="1">
      <w:start w:val="1"/>
      <w:numFmt w:val="bullet"/>
      <w:lvlText w:val=""/>
      <w:lvlJc w:val="left"/>
      <w:pPr>
        <w:tabs>
          <w:tab w:val="num" w:pos="6480"/>
        </w:tabs>
        <w:ind w:left="6480" w:hanging="360"/>
      </w:pPr>
      <w:rPr>
        <w:rFonts w:ascii="Symbol" w:hAnsi="Symbol" w:hint="default"/>
      </w:rPr>
    </w:lvl>
  </w:abstractNum>
  <w:abstractNum w:abstractNumId="169" w15:restartNumberingAfterBreak="0">
    <w:nsid w:val="60E5059D"/>
    <w:multiLevelType w:val="hybridMultilevel"/>
    <w:tmpl w:val="2F2E7C9E"/>
    <w:lvl w:ilvl="0" w:tplc="2C04FC66">
      <w:start w:val="1"/>
      <w:numFmt w:val="bullet"/>
      <w:lvlText w:val=""/>
      <w:lvlPicBulletId w:val="1"/>
      <w:lvlJc w:val="left"/>
      <w:pPr>
        <w:tabs>
          <w:tab w:val="num" w:pos="720"/>
        </w:tabs>
        <w:ind w:left="720" w:hanging="360"/>
      </w:pPr>
      <w:rPr>
        <w:rFonts w:ascii="Symbol" w:hAnsi="Symbol" w:hint="default"/>
      </w:rPr>
    </w:lvl>
    <w:lvl w:ilvl="1" w:tplc="5DF4E266" w:tentative="1">
      <w:start w:val="1"/>
      <w:numFmt w:val="bullet"/>
      <w:lvlText w:val=""/>
      <w:lvlJc w:val="left"/>
      <w:pPr>
        <w:tabs>
          <w:tab w:val="num" w:pos="1440"/>
        </w:tabs>
        <w:ind w:left="1440" w:hanging="360"/>
      </w:pPr>
      <w:rPr>
        <w:rFonts w:ascii="Symbol" w:hAnsi="Symbol" w:hint="default"/>
      </w:rPr>
    </w:lvl>
    <w:lvl w:ilvl="2" w:tplc="0E88F5C4" w:tentative="1">
      <w:start w:val="1"/>
      <w:numFmt w:val="bullet"/>
      <w:lvlText w:val=""/>
      <w:lvlJc w:val="left"/>
      <w:pPr>
        <w:tabs>
          <w:tab w:val="num" w:pos="2160"/>
        </w:tabs>
        <w:ind w:left="2160" w:hanging="360"/>
      </w:pPr>
      <w:rPr>
        <w:rFonts w:ascii="Symbol" w:hAnsi="Symbol" w:hint="default"/>
      </w:rPr>
    </w:lvl>
    <w:lvl w:ilvl="3" w:tplc="F6E8B522" w:tentative="1">
      <w:start w:val="1"/>
      <w:numFmt w:val="bullet"/>
      <w:lvlText w:val=""/>
      <w:lvlJc w:val="left"/>
      <w:pPr>
        <w:tabs>
          <w:tab w:val="num" w:pos="2880"/>
        </w:tabs>
        <w:ind w:left="2880" w:hanging="360"/>
      </w:pPr>
      <w:rPr>
        <w:rFonts w:ascii="Symbol" w:hAnsi="Symbol" w:hint="default"/>
      </w:rPr>
    </w:lvl>
    <w:lvl w:ilvl="4" w:tplc="46AED27E" w:tentative="1">
      <w:start w:val="1"/>
      <w:numFmt w:val="bullet"/>
      <w:lvlText w:val=""/>
      <w:lvlJc w:val="left"/>
      <w:pPr>
        <w:tabs>
          <w:tab w:val="num" w:pos="3600"/>
        </w:tabs>
        <w:ind w:left="3600" w:hanging="360"/>
      </w:pPr>
      <w:rPr>
        <w:rFonts w:ascii="Symbol" w:hAnsi="Symbol" w:hint="default"/>
      </w:rPr>
    </w:lvl>
    <w:lvl w:ilvl="5" w:tplc="D0609D26" w:tentative="1">
      <w:start w:val="1"/>
      <w:numFmt w:val="bullet"/>
      <w:lvlText w:val=""/>
      <w:lvlJc w:val="left"/>
      <w:pPr>
        <w:tabs>
          <w:tab w:val="num" w:pos="4320"/>
        </w:tabs>
        <w:ind w:left="4320" w:hanging="360"/>
      </w:pPr>
      <w:rPr>
        <w:rFonts w:ascii="Symbol" w:hAnsi="Symbol" w:hint="default"/>
      </w:rPr>
    </w:lvl>
    <w:lvl w:ilvl="6" w:tplc="2C1C92BC" w:tentative="1">
      <w:start w:val="1"/>
      <w:numFmt w:val="bullet"/>
      <w:lvlText w:val=""/>
      <w:lvlJc w:val="left"/>
      <w:pPr>
        <w:tabs>
          <w:tab w:val="num" w:pos="5040"/>
        </w:tabs>
        <w:ind w:left="5040" w:hanging="360"/>
      </w:pPr>
      <w:rPr>
        <w:rFonts w:ascii="Symbol" w:hAnsi="Symbol" w:hint="default"/>
      </w:rPr>
    </w:lvl>
    <w:lvl w:ilvl="7" w:tplc="B734CD60" w:tentative="1">
      <w:start w:val="1"/>
      <w:numFmt w:val="bullet"/>
      <w:lvlText w:val=""/>
      <w:lvlJc w:val="left"/>
      <w:pPr>
        <w:tabs>
          <w:tab w:val="num" w:pos="5760"/>
        </w:tabs>
        <w:ind w:left="5760" w:hanging="360"/>
      </w:pPr>
      <w:rPr>
        <w:rFonts w:ascii="Symbol" w:hAnsi="Symbol" w:hint="default"/>
      </w:rPr>
    </w:lvl>
    <w:lvl w:ilvl="8" w:tplc="686C94E6" w:tentative="1">
      <w:start w:val="1"/>
      <w:numFmt w:val="bullet"/>
      <w:lvlText w:val=""/>
      <w:lvlJc w:val="left"/>
      <w:pPr>
        <w:tabs>
          <w:tab w:val="num" w:pos="6480"/>
        </w:tabs>
        <w:ind w:left="6480" w:hanging="360"/>
      </w:pPr>
      <w:rPr>
        <w:rFonts w:ascii="Symbol" w:hAnsi="Symbol" w:hint="default"/>
      </w:rPr>
    </w:lvl>
  </w:abstractNum>
  <w:abstractNum w:abstractNumId="170" w15:restartNumberingAfterBreak="0">
    <w:nsid w:val="61670402"/>
    <w:multiLevelType w:val="hybridMultilevel"/>
    <w:tmpl w:val="A07079B2"/>
    <w:lvl w:ilvl="0" w:tplc="9990A2B0">
      <w:start w:val="1"/>
      <w:numFmt w:val="decimal"/>
      <w:lvlText w:val="%1."/>
      <w:lvlJc w:val="left"/>
      <w:pPr>
        <w:ind w:left="2771" w:hanging="360"/>
      </w:pPr>
      <w:rPr>
        <w:rFonts w:ascii="Arial" w:hAnsi="Arial" w:cs="Arial" w:hint="default"/>
        <w:b w:val="0"/>
        <w:bCs/>
        <w:sz w:val="22"/>
        <w:szCs w:val="22"/>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1" w15:restartNumberingAfterBreak="0">
    <w:nsid w:val="625F3496"/>
    <w:multiLevelType w:val="multilevel"/>
    <w:tmpl w:val="4A143F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2" w15:restartNumberingAfterBreak="0">
    <w:nsid w:val="62616F16"/>
    <w:multiLevelType w:val="hybridMultilevel"/>
    <w:tmpl w:val="BBFC5AB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3" w15:restartNumberingAfterBreak="0">
    <w:nsid w:val="62F94169"/>
    <w:multiLevelType w:val="hybridMultilevel"/>
    <w:tmpl w:val="34CAACA8"/>
    <w:lvl w:ilvl="0" w:tplc="08D2AB58">
      <w:start w:val="1"/>
      <w:numFmt w:val="bullet"/>
      <w:lvlText w:val="&gt;"/>
      <w:lvlJc w:val="left"/>
      <w:pPr>
        <w:ind w:left="1004" w:hanging="360"/>
      </w:pPr>
      <w:rPr>
        <w:rFonts w:ascii="HelveticaNeueLT Std Lt" w:hAnsi="HelveticaNeueLT Std Lt" w:hint="default"/>
        <w:sz w:val="20"/>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74" w15:restartNumberingAfterBreak="0">
    <w:nsid w:val="63284871"/>
    <w:multiLevelType w:val="hybridMultilevel"/>
    <w:tmpl w:val="D422C484"/>
    <w:lvl w:ilvl="0" w:tplc="7BDAF3B8">
      <w:start w:val="1"/>
      <w:numFmt w:val="bullet"/>
      <w:lvlText w:val=""/>
      <w:lvlPicBulletId w:val="1"/>
      <w:lvlJc w:val="left"/>
      <w:pPr>
        <w:tabs>
          <w:tab w:val="num" w:pos="720"/>
        </w:tabs>
        <w:ind w:left="720" w:hanging="360"/>
      </w:pPr>
      <w:rPr>
        <w:rFonts w:ascii="Symbol" w:hAnsi="Symbol" w:hint="default"/>
      </w:rPr>
    </w:lvl>
    <w:lvl w:ilvl="1" w:tplc="8C901334" w:tentative="1">
      <w:start w:val="1"/>
      <w:numFmt w:val="bullet"/>
      <w:lvlText w:val=""/>
      <w:lvlJc w:val="left"/>
      <w:pPr>
        <w:tabs>
          <w:tab w:val="num" w:pos="1440"/>
        </w:tabs>
        <w:ind w:left="1440" w:hanging="360"/>
      </w:pPr>
      <w:rPr>
        <w:rFonts w:ascii="Symbol" w:hAnsi="Symbol" w:hint="default"/>
      </w:rPr>
    </w:lvl>
    <w:lvl w:ilvl="2" w:tplc="134EEC66" w:tentative="1">
      <w:start w:val="1"/>
      <w:numFmt w:val="bullet"/>
      <w:lvlText w:val=""/>
      <w:lvlJc w:val="left"/>
      <w:pPr>
        <w:tabs>
          <w:tab w:val="num" w:pos="2160"/>
        </w:tabs>
        <w:ind w:left="2160" w:hanging="360"/>
      </w:pPr>
      <w:rPr>
        <w:rFonts w:ascii="Symbol" w:hAnsi="Symbol" w:hint="default"/>
      </w:rPr>
    </w:lvl>
    <w:lvl w:ilvl="3" w:tplc="CADCF0BC" w:tentative="1">
      <w:start w:val="1"/>
      <w:numFmt w:val="bullet"/>
      <w:lvlText w:val=""/>
      <w:lvlJc w:val="left"/>
      <w:pPr>
        <w:tabs>
          <w:tab w:val="num" w:pos="2880"/>
        </w:tabs>
        <w:ind w:left="2880" w:hanging="360"/>
      </w:pPr>
      <w:rPr>
        <w:rFonts w:ascii="Symbol" w:hAnsi="Symbol" w:hint="default"/>
      </w:rPr>
    </w:lvl>
    <w:lvl w:ilvl="4" w:tplc="E72AC182" w:tentative="1">
      <w:start w:val="1"/>
      <w:numFmt w:val="bullet"/>
      <w:lvlText w:val=""/>
      <w:lvlJc w:val="left"/>
      <w:pPr>
        <w:tabs>
          <w:tab w:val="num" w:pos="3600"/>
        </w:tabs>
        <w:ind w:left="3600" w:hanging="360"/>
      </w:pPr>
      <w:rPr>
        <w:rFonts w:ascii="Symbol" w:hAnsi="Symbol" w:hint="default"/>
      </w:rPr>
    </w:lvl>
    <w:lvl w:ilvl="5" w:tplc="09B00D46" w:tentative="1">
      <w:start w:val="1"/>
      <w:numFmt w:val="bullet"/>
      <w:lvlText w:val=""/>
      <w:lvlJc w:val="left"/>
      <w:pPr>
        <w:tabs>
          <w:tab w:val="num" w:pos="4320"/>
        </w:tabs>
        <w:ind w:left="4320" w:hanging="360"/>
      </w:pPr>
      <w:rPr>
        <w:rFonts w:ascii="Symbol" w:hAnsi="Symbol" w:hint="default"/>
      </w:rPr>
    </w:lvl>
    <w:lvl w:ilvl="6" w:tplc="AF4C8006" w:tentative="1">
      <w:start w:val="1"/>
      <w:numFmt w:val="bullet"/>
      <w:lvlText w:val=""/>
      <w:lvlJc w:val="left"/>
      <w:pPr>
        <w:tabs>
          <w:tab w:val="num" w:pos="5040"/>
        </w:tabs>
        <w:ind w:left="5040" w:hanging="360"/>
      </w:pPr>
      <w:rPr>
        <w:rFonts w:ascii="Symbol" w:hAnsi="Symbol" w:hint="default"/>
      </w:rPr>
    </w:lvl>
    <w:lvl w:ilvl="7" w:tplc="CCD0E7AE" w:tentative="1">
      <w:start w:val="1"/>
      <w:numFmt w:val="bullet"/>
      <w:lvlText w:val=""/>
      <w:lvlJc w:val="left"/>
      <w:pPr>
        <w:tabs>
          <w:tab w:val="num" w:pos="5760"/>
        </w:tabs>
        <w:ind w:left="5760" w:hanging="360"/>
      </w:pPr>
      <w:rPr>
        <w:rFonts w:ascii="Symbol" w:hAnsi="Symbol" w:hint="default"/>
      </w:rPr>
    </w:lvl>
    <w:lvl w:ilvl="8" w:tplc="9B7EBFE2" w:tentative="1">
      <w:start w:val="1"/>
      <w:numFmt w:val="bullet"/>
      <w:lvlText w:val=""/>
      <w:lvlJc w:val="left"/>
      <w:pPr>
        <w:tabs>
          <w:tab w:val="num" w:pos="6480"/>
        </w:tabs>
        <w:ind w:left="6480" w:hanging="360"/>
      </w:pPr>
      <w:rPr>
        <w:rFonts w:ascii="Symbol" w:hAnsi="Symbol" w:hint="default"/>
      </w:rPr>
    </w:lvl>
  </w:abstractNum>
  <w:abstractNum w:abstractNumId="175" w15:restartNumberingAfterBreak="0">
    <w:nsid w:val="63AA41DB"/>
    <w:multiLevelType w:val="hybridMultilevel"/>
    <w:tmpl w:val="A4085218"/>
    <w:lvl w:ilvl="0" w:tplc="DE3062E0">
      <w:start w:val="1"/>
      <w:numFmt w:val="decimal"/>
      <w:lvlText w:val="%1."/>
      <w:lvlJc w:val="left"/>
      <w:pPr>
        <w:ind w:left="360" w:hanging="360"/>
      </w:pPr>
      <w:rPr>
        <w:rFonts w:eastAsia="Times New Roman" w:hint="default"/>
        <w:b w:val="0"/>
      </w:rPr>
    </w:lvl>
    <w:lvl w:ilvl="1" w:tplc="0C090019">
      <w:start w:val="1"/>
      <w:numFmt w:val="lowerLetter"/>
      <w:lvlText w:val="%2."/>
      <w:lvlJc w:val="left"/>
      <w:pPr>
        <w:ind w:left="-3314" w:hanging="360"/>
      </w:pPr>
    </w:lvl>
    <w:lvl w:ilvl="2" w:tplc="0C09001B">
      <w:start w:val="1"/>
      <w:numFmt w:val="lowerRoman"/>
      <w:lvlText w:val="%3."/>
      <w:lvlJc w:val="right"/>
      <w:pPr>
        <w:ind w:left="-2594" w:hanging="180"/>
      </w:pPr>
    </w:lvl>
    <w:lvl w:ilvl="3" w:tplc="0C09000F">
      <w:start w:val="1"/>
      <w:numFmt w:val="decimal"/>
      <w:lvlText w:val="%4."/>
      <w:lvlJc w:val="left"/>
      <w:pPr>
        <w:ind w:left="-1874" w:hanging="360"/>
      </w:pPr>
    </w:lvl>
    <w:lvl w:ilvl="4" w:tplc="0C090019">
      <w:start w:val="1"/>
      <w:numFmt w:val="lowerLetter"/>
      <w:lvlText w:val="%5."/>
      <w:lvlJc w:val="left"/>
      <w:pPr>
        <w:ind w:left="-1154" w:hanging="360"/>
      </w:pPr>
    </w:lvl>
    <w:lvl w:ilvl="5" w:tplc="0C09001B">
      <w:start w:val="1"/>
      <w:numFmt w:val="lowerRoman"/>
      <w:lvlText w:val="%6."/>
      <w:lvlJc w:val="right"/>
      <w:pPr>
        <w:ind w:left="-434" w:hanging="180"/>
      </w:pPr>
    </w:lvl>
    <w:lvl w:ilvl="6" w:tplc="6FE4F18C">
      <w:start w:val="2"/>
      <w:numFmt w:val="decimal"/>
      <w:lvlText w:val="%7."/>
      <w:lvlJc w:val="left"/>
      <w:pPr>
        <w:ind w:left="286" w:hanging="360"/>
      </w:pPr>
      <w:rPr>
        <w:rFonts w:hint="default"/>
      </w:rPr>
    </w:lvl>
    <w:lvl w:ilvl="7" w:tplc="0C090019">
      <w:start w:val="1"/>
      <w:numFmt w:val="lowerLetter"/>
      <w:lvlText w:val="%8."/>
      <w:lvlJc w:val="left"/>
      <w:pPr>
        <w:ind w:left="1006" w:hanging="360"/>
      </w:pPr>
    </w:lvl>
    <w:lvl w:ilvl="8" w:tplc="0C09001B" w:tentative="1">
      <w:start w:val="1"/>
      <w:numFmt w:val="lowerRoman"/>
      <w:lvlText w:val="%9."/>
      <w:lvlJc w:val="right"/>
      <w:pPr>
        <w:ind w:left="1726" w:hanging="180"/>
      </w:pPr>
    </w:lvl>
  </w:abstractNum>
  <w:abstractNum w:abstractNumId="17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7" w15:restartNumberingAfterBreak="0">
    <w:nsid w:val="64027B94"/>
    <w:multiLevelType w:val="hybridMultilevel"/>
    <w:tmpl w:val="78364460"/>
    <w:lvl w:ilvl="0" w:tplc="A3F0D726">
      <w:start w:val="1"/>
      <w:numFmt w:val="bullet"/>
      <w:lvlText w:val=""/>
      <w:lvlPicBulletId w:val="1"/>
      <w:lvlJc w:val="left"/>
      <w:pPr>
        <w:tabs>
          <w:tab w:val="num" w:pos="720"/>
        </w:tabs>
        <w:ind w:left="720" w:hanging="360"/>
      </w:pPr>
      <w:rPr>
        <w:rFonts w:ascii="Symbol" w:hAnsi="Symbol" w:hint="default"/>
      </w:rPr>
    </w:lvl>
    <w:lvl w:ilvl="1" w:tplc="7DA81A42" w:tentative="1">
      <w:start w:val="1"/>
      <w:numFmt w:val="bullet"/>
      <w:lvlText w:val=""/>
      <w:lvlJc w:val="left"/>
      <w:pPr>
        <w:tabs>
          <w:tab w:val="num" w:pos="1440"/>
        </w:tabs>
        <w:ind w:left="1440" w:hanging="360"/>
      </w:pPr>
      <w:rPr>
        <w:rFonts w:ascii="Symbol" w:hAnsi="Symbol" w:hint="default"/>
      </w:rPr>
    </w:lvl>
    <w:lvl w:ilvl="2" w:tplc="AA24CEF8" w:tentative="1">
      <w:start w:val="1"/>
      <w:numFmt w:val="bullet"/>
      <w:lvlText w:val=""/>
      <w:lvlJc w:val="left"/>
      <w:pPr>
        <w:tabs>
          <w:tab w:val="num" w:pos="2160"/>
        </w:tabs>
        <w:ind w:left="2160" w:hanging="360"/>
      </w:pPr>
      <w:rPr>
        <w:rFonts w:ascii="Symbol" w:hAnsi="Symbol" w:hint="default"/>
      </w:rPr>
    </w:lvl>
    <w:lvl w:ilvl="3" w:tplc="ACF494CA" w:tentative="1">
      <w:start w:val="1"/>
      <w:numFmt w:val="bullet"/>
      <w:lvlText w:val=""/>
      <w:lvlJc w:val="left"/>
      <w:pPr>
        <w:tabs>
          <w:tab w:val="num" w:pos="2880"/>
        </w:tabs>
        <w:ind w:left="2880" w:hanging="360"/>
      </w:pPr>
      <w:rPr>
        <w:rFonts w:ascii="Symbol" w:hAnsi="Symbol" w:hint="default"/>
      </w:rPr>
    </w:lvl>
    <w:lvl w:ilvl="4" w:tplc="7BE20484" w:tentative="1">
      <w:start w:val="1"/>
      <w:numFmt w:val="bullet"/>
      <w:lvlText w:val=""/>
      <w:lvlJc w:val="left"/>
      <w:pPr>
        <w:tabs>
          <w:tab w:val="num" w:pos="3600"/>
        </w:tabs>
        <w:ind w:left="3600" w:hanging="360"/>
      </w:pPr>
      <w:rPr>
        <w:rFonts w:ascii="Symbol" w:hAnsi="Symbol" w:hint="default"/>
      </w:rPr>
    </w:lvl>
    <w:lvl w:ilvl="5" w:tplc="79A2B4CE" w:tentative="1">
      <w:start w:val="1"/>
      <w:numFmt w:val="bullet"/>
      <w:lvlText w:val=""/>
      <w:lvlJc w:val="left"/>
      <w:pPr>
        <w:tabs>
          <w:tab w:val="num" w:pos="4320"/>
        </w:tabs>
        <w:ind w:left="4320" w:hanging="360"/>
      </w:pPr>
      <w:rPr>
        <w:rFonts w:ascii="Symbol" w:hAnsi="Symbol" w:hint="default"/>
      </w:rPr>
    </w:lvl>
    <w:lvl w:ilvl="6" w:tplc="DA3E32E2" w:tentative="1">
      <w:start w:val="1"/>
      <w:numFmt w:val="bullet"/>
      <w:lvlText w:val=""/>
      <w:lvlJc w:val="left"/>
      <w:pPr>
        <w:tabs>
          <w:tab w:val="num" w:pos="5040"/>
        </w:tabs>
        <w:ind w:left="5040" w:hanging="360"/>
      </w:pPr>
      <w:rPr>
        <w:rFonts w:ascii="Symbol" w:hAnsi="Symbol" w:hint="default"/>
      </w:rPr>
    </w:lvl>
    <w:lvl w:ilvl="7" w:tplc="4E00D64E" w:tentative="1">
      <w:start w:val="1"/>
      <w:numFmt w:val="bullet"/>
      <w:lvlText w:val=""/>
      <w:lvlJc w:val="left"/>
      <w:pPr>
        <w:tabs>
          <w:tab w:val="num" w:pos="5760"/>
        </w:tabs>
        <w:ind w:left="5760" w:hanging="360"/>
      </w:pPr>
      <w:rPr>
        <w:rFonts w:ascii="Symbol" w:hAnsi="Symbol" w:hint="default"/>
      </w:rPr>
    </w:lvl>
    <w:lvl w:ilvl="8" w:tplc="160E813C" w:tentative="1">
      <w:start w:val="1"/>
      <w:numFmt w:val="bullet"/>
      <w:lvlText w:val=""/>
      <w:lvlJc w:val="left"/>
      <w:pPr>
        <w:tabs>
          <w:tab w:val="num" w:pos="6480"/>
        </w:tabs>
        <w:ind w:left="6480" w:hanging="360"/>
      </w:pPr>
      <w:rPr>
        <w:rFonts w:ascii="Symbol" w:hAnsi="Symbol" w:hint="default"/>
      </w:rPr>
    </w:lvl>
  </w:abstractNum>
  <w:abstractNum w:abstractNumId="178" w15:restartNumberingAfterBreak="0">
    <w:nsid w:val="641A0F1F"/>
    <w:multiLevelType w:val="hybridMultilevel"/>
    <w:tmpl w:val="9BEC337A"/>
    <w:lvl w:ilvl="0" w:tplc="ABB0ED9C">
      <w:start w:val="1"/>
      <w:numFmt w:val="bullet"/>
      <w:lvlText w:val="&gt;"/>
      <w:lvlJc w:val="left"/>
      <w:pPr>
        <w:ind w:left="720" w:hanging="360"/>
      </w:pPr>
      <w:rPr>
        <w:rFonts w:ascii="Arial" w:hAnsi="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64AA1E32"/>
    <w:multiLevelType w:val="hybridMultilevel"/>
    <w:tmpl w:val="276CDE04"/>
    <w:lvl w:ilvl="0" w:tplc="F76C896E">
      <w:start w:val="1"/>
      <w:numFmt w:val="bullet"/>
      <w:lvlText w:val=""/>
      <w:lvlPicBulletId w:val="1"/>
      <w:lvlJc w:val="left"/>
      <w:pPr>
        <w:tabs>
          <w:tab w:val="num" w:pos="720"/>
        </w:tabs>
        <w:ind w:left="720" w:hanging="360"/>
      </w:pPr>
      <w:rPr>
        <w:rFonts w:ascii="Symbol" w:hAnsi="Symbol" w:hint="default"/>
      </w:rPr>
    </w:lvl>
    <w:lvl w:ilvl="1" w:tplc="BC602F00" w:tentative="1">
      <w:start w:val="1"/>
      <w:numFmt w:val="bullet"/>
      <w:lvlText w:val=""/>
      <w:lvlJc w:val="left"/>
      <w:pPr>
        <w:tabs>
          <w:tab w:val="num" w:pos="1440"/>
        </w:tabs>
        <w:ind w:left="1440" w:hanging="360"/>
      </w:pPr>
      <w:rPr>
        <w:rFonts w:ascii="Symbol" w:hAnsi="Symbol" w:hint="default"/>
      </w:rPr>
    </w:lvl>
    <w:lvl w:ilvl="2" w:tplc="691A9D8C" w:tentative="1">
      <w:start w:val="1"/>
      <w:numFmt w:val="bullet"/>
      <w:lvlText w:val=""/>
      <w:lvlJc w:val="left"/>
      <w:pPr>
        <w:tabs>
          <w:tab w:val="num" w:pos="2160"/>
        </w:tabs>
        <w:ind w:left="2160" w:hanging="360"/>
      </w:pPr>
      <w:rPr>
        <w:rFonts w:ascii="Symbol" w:hAnsi="Symbol" w:hint="default"/>
      </w:rPr>
    </w:lvl>
    <w:lvl w:ilvl="3" w:tplc="8DE0682E" w:tentative="1">
      <w:start w:val="1"/>
      <w:numFmt w:val="bullet"/>
      <w:lvlText w:val=""/>
      <w:lvlJc w:val="left"/>
      <w:pPr>
        <w:tabs>
          <w:tab w:val="num" w:pos="2880"/>
        </w:tabs>
        <w:ind w:left="2880" w:hanging="360"/>
      </w:pPr>
      <w:rPr>
        <w:rFonts w:ascii="Symbol" w:hAnsi="Symbol" w:hint="default"/>
      </w:rPr>
    </w:lvl>
    <w:lvl w:ilvl="4" w:tplc="4B78BF12" w:tentative="1">
      <w:start w:val="1"/>
      <w:numFmt w:val="bullet"/>
      <w:lvlText w:val=""/>
      <w:lvlJc w:val="left"/>
      <w:pPr>
        <w:tabs>
          <w:tab w:val="num" w:pos="3600"/>
        </w:tabs>
        <w:ind w:left="3600" w:hanging="360"/>
      </w:pPr>
      <w:rPr>
        <w:rFonts w:ascii="Symbol" w:hAnsi="Symbol" w:hint="default"/>
      </w:rPr>
    </w:lvl>
    <w:lvl w:ilvl="5" w:tplc="A5202F52" w:tentative="1">
      <w:start w:val="1"/>
      <w:numFmt w:val="bullet"/>
      <w:lvlText w:val=""/>
      <w:lvlJc w:val="left"/>
      <w:pPr>
        <w:tabs>
          <w:tab w:val="num" w:pos="4320"/>
        </w:tabs>
        <w:ind w:left="4320" w:hanging="360"/>
      </w:pPr>
      <w:rPr>
        <w:rFonts w:ascii="Symbol" w:hAnsi="Symbol" w:hint="default"/>
      </w:rPr>
    </w:lvl>
    <w:lvl w:ilvl="6" w:tplc="A22E6D92" w:tentative="1">
      <w:start w:val="1"/>
      <w:numFmt w:val="bullet"/>
      <w:lvlText w:val=""/>
      <w:lvlJc w:val="left"/>
      <w:pPr>
        <w:tabs>
          <w:tab w:val="num" w:pos="5040"/>
        </w:tabs>
        <w:ind w:left="5040" w:hanging="360"/>
      </w:pPr>
      <w:rPr>
        <w:rFonts w:ascii="Symbol" w:hAnsi="Symbol" w:hint="default"/>
      </w:rPr>
    </w:lvl>
    <w:lvl w:ilvl="7" w:tplc="1982E59E" w:tentative="1">
      <w:start w:val="1"/>
      <w:numFmt w:val="bullet"/>
      <w:lvlText w:val=""/>
      <w:lvlJc w:val="left"/>
      <w:pPr>
        <w:tabs>
          <w:tab w:val="num" w:pos="5760"/>
        </w:tabs>
        <w:ind w:left="5760" w:hanging="360"/>
      </w:pPr>
      <w:rPr>
        <w:rFonts w:ascii="Symbol" w:hAnsi="Symbol" w:hint="default"/>
      </w:rPr>
    </w:lvl>
    <w:lvl w:ilvl="8" w:tplc="80ACD81E" w:tentative="1">
      <w:start w:val="1"/>
      <w:numFmt w:val="bullet"/>
      <w:lvlText w:val=""/>
      <w:lvlJc w:val="left"/>
      <w:pPr>
        <w:tabs>
          <w:tab w:val="num" w:pos="6480"/>
        </w:tabs>
        <w:ind w:left="6480" w:hanging="360"/>
      </w:pPr>
      <w:rPr>
        <w:rFonts w:ascii="Symbol" w:hAnsi="Symbol" w:hint="default"/>
      </w:rPr>
    </w:lvl>
  </w:abstractNum>
  <w:abstractNum w:abstractNumId="180" w15:restartNumberingAfterBreak="0">
    <w:nsid w:val="64E868CE"/>
    <w:multiLevelType w:val="hybridMultilevel"/>
    <w:tmpl w:val="FC52923A"/>
    <w:lvl w:ilvl="0" w:tplc="462ED28E">
      <w:start w:val="1"/>
      <w:numFmt w:val="bullet"/>
      <w:lvlText w:val=""/>
      <w:lvlPicBulletId w:val="1"/>
      <w:lvlJc w:val="left"/>
      <w:pPr>
        <w:tabs>
          <w:tab w:val="num" w:pos="720"/>
        </w:tabs>
        <w:ind w:left="720" w:hanging="360"/>
      </w:pPr>
      <w:rPr>
        <w:rFonts w:ascii="Symbol" w:hAnsi="Symbol" w:hint="default"/>
      </w:rPr>
    </w:lvl>
    <w:lvl w:ilvl="1" w:tplc="462ED36A" w:tentative="1">
      <w:start w:val="1"/>
      <w:numFmt w:val="bullet"/>
      <w:lvlText w:val=""/>
      <w:lvlJc w:val="left"/>
      <w:pPr>
        <w:tabs>
          <w:tab w:val="num" w:pos="1440"/>
        </w:tabs>
        <w:ind w:left="1440" w:hanging="360"/>
      </w:pPr>
      <w:rPr>
        <w:rFonts w:ascii="Symbol" w:hAnsi="Symbol" w:hint="default"/>
      </w:rPr>
    </w:lvl>
    <w:lvl w:ilvl="2" w:tplc="26C0E7A4" w:tentative="1">
      <w:start w:val="1"/>
      <w:numFmt w:val="bullet"/>
      <w:lvlText w:val=""/>
      <w:lvlJc w:val="left"/>
      <w:pPr>
        <w:tabs>
          <w:tab w:val="num" w:pos="2160"/>
        </w:tabs>
        <w:ind w:left="2160" w:hanging="360"/>
      </w:pPr>
      <w:rPr>
        <w:rFonts w:ascii="Symbol" w:hAnsi="Symbol" w:hint="default"/>
      </w:rPr>
    </w:lvl>
    <w:lvl w:ilvl="3" w:tplc="0942A170" w:tentative="1">
      <w:start w:val="1"/>
      <w:numFmt w:val="bullet"/>
      <w:lvlText w:val=""/>
      <w:lvlJc w:val="left"/>
      <w:pPr>
        <w:tabs>
          <w:tab w:val="num" w:pos="2880"/>
        </w:tabs>
        <w:ind w:left="2880" w:hanging="360"/>
      </w:pPr>
      <w:rPr>
        <w:rFonts w:ascii="Symbol" w:hAnsi="Symbol" w:hint="default"/>
      </w:rPr>
    </w:lvl>
    <w:lvl w:ilvl="4" w:tplc="C81EC014" w:tentative="1">
      <w:start w:val="1"/>
      <w:numFmt w:val="bullet"/>
      <w:lvlText w:val=""/>
      <w:lvlJc w:val="left"/>
      <w:pPr>
        <w:tabs>
          <w:tab w:val="num" w:pos="3600"/>
        </w:tabs>
        <w:ind w:left="3600" w:hanging="360"/>
      </w:pPr>
      <w:rPr>
        <w:rFonts w:ascii="Symbol" w:hAnsi="Symbol" w:hint="default"/>
      </w:rPr>
    </w:lvl>
    <w:lvl w:ilvl="5" w:tplc="44C0D68C" w:tentative="1">
      <w:start w:val="1"/>
      <w:numFmt w:val="bullet"/>
      <w:lvlText w:val=""/>
      <w:lvlJc w:val="left"/>
      <w:pPr>
        <w:tabs>
          <w:tab w:val="num" w:pos="4320"/>
        </w:tabs>
        <w:ind w:left="4320" w:hanging="360"/>
      </w:pPr>
      <w:rPr>
        <w:rFonts w:ascii="Symbol" w:hAnsi="Symbol" w:hint="default"/>
      </w:rPr>
    </w:lvl>
    <w:lvl w:ilvl="6" w:tplc="5112A644" w:tentative="1">
      <w:start w:val="1"/>
      <w:numFmt w:val="bullet"/>
      <w:lvlText w:val=""/>
      <w:lvlJc w:val="left"/>
      <w:pPr>
        <w:tabs>
          <w:tab w:val="num" w:pos="5040"/>
        </w:tabs>
        <w:ind w:left="5040" w:hanging="360"/>
      </w:pPr>
      <w:rPr>
        <w:rFonts w:ascii="Symbol" w:hAnsi="Symbol" w:hint="default"/>
      </w:rPr>
    </w:lvl>
    <w:lvl w:ilvl="7" w:tplc="F7F65AE4" w:tentative="1">
      <w:start w:val="1"/>
      <w:numFmt w:val="bullet"/>
      <w:lvlText w:val=""/>
      <w:lvlJc w:val="left"/>
      <w:pPr>
        <w:tabs>
          <w:tab w:val="num" w:pos="5760"/>
        </w:tabs>
        <w:ind w:left="5760" w:hanging="360"/>
      </w:pPr>
      <w:rPr>
        <w:rFonts w:ascii="Symbol" w:hAnsi="Symbol" w:hint="default"/>
      </w:rPr>
    </w:lvl>
    <w:lvl w:ilvl="8" w:tplc="336633A4" w:tentative="1">
      <w:start w:val="1"/>
      <w:numFmt w:val="bullet"/>
      <w:lvlText w:val=""/>
      <w:lvlJc w:val="left"/>
      <w:pPr>
        <w:tabs>
          <w:tab w:val="num" w:pos="6480"/>
        </w:tabs>
        <w:ind w:left="6480" w:hanging="360"/>
      </w:pPr>
      <w:rPr>
        <w:rFonts w:ascii="Symbol" w:hAnsi="Symbol" w:hint="default"/>
      </w:rPr>
    </w:lvl>
  </w:abstractNum>
  <w:abstractNum w:abstractNumId="181" w15:restartNumberingAfterBreak="0">
    <w:nsid w:val="65071478"/>
    <w:multiLevelType w:val="hybridMultilevel"/>
    <w:tmpl w:val="16D2B96E"/>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2" w15:restartNumberingAfterBreak="0">
    <w:nsid w:val="6538506B"/>
    <w:multiLevelType w:val="hybridMultilevel"/>
    <w:tmpl w:val="BB10D06C"/>
    <w:lvl w:ilvl="0" w:tplc="7B5CFE80">
      <w:start w:val="1"/>
      <w:numFmt w:val="bullet"/>
      <w:lvlText w:val=""/>
      <w:lvlPicBulletId w:val="1"/>
      <w:lvlJc w:val="left"/>
      <w:pPr>
        <w:tabs>
          <w:tab w:val="num" w:pos="720"/>
        </w:tabs>
        <w:ind w:left="720" w:hanging="360"/>
      </w:pPr>
      <w:rPr>
        <w:rFonts w:ascii="Symbol" w:hAnsi="Symbol" w:hint="default"/>
      </w:rPr>
    </w:lvl>
    <w:lvl w:ilvl="1" w:tplc="0012EC8E" w:tentative="1">
      <w:start w:val="1"/>
      <w:numFmt w:val="bullet"/>
      <w:lvlText w:val=""/>
      <w:lvlJc w:val="left"/>
      <w:pPr>
        <w:tabs>
          <w:tab w:val="num" w:pos="1440"/>
        </w:tabs>
        <w:ind w:left="1440" w:hanging="360"/>
      </w:pPr>
      <w:rPr>
        <w:rFonts w:ascii="Symbol" w:hAnsi="Symbol" w:hint="default"/>
      </w:rPr>
    </w:lvl>
    <w:lvl w:ilvl="2" w:tplc="B7361A74" w:tentative="1">
      <w:start w:val="1"/>
      <w:numFmt w:val="bullet"/>
      <w:lvlText w:val=""/>
      <w:lvlJc w:val="left"/>
      <w:pPr>
        <w:tabs>
          <w:tab w:val="num" w:pos="2160"/>
        </w:tabs>
        <w:ind w:left="2160" w:hanging="360"/>
      </w:pPr>
      <w:rPr>
        <w:rFonts w:ascii="Symbol" w:hAnsi="Symbol" w:hint="default"/>
      </w:rPr>
    </w:lvl>
    <w:lvl w:ilvl="3" w:tplc="4E3CADFA" w:tentative="1">
      <w:start w:val="1"/>
      <w:numFmt w:val="bullet"/>
      <w:lvlText w:val=""/>
      <w:lvlJc w:val="left"/>
      <w:pPr>
        <w:tabs>
          <w:tab w:val="num" w:pos="2880"/>
        </w:tabs>
        <w:ind w:left="2880" w:hanging="360"/>
      </w:pPr>
      <w:rPr>
        <w:rFonts w:ascii="Symbol" w:hAnsi="Symbol" w:hint="default"/>
      </w:rPr>
    </w:lvl>
    <w:lvl w:ilvl="4" w:tplc="C6483C66" w:tentative="1">
      <w:start w:val="1"/>
      <w:numFmt w:val="bullet"/>
      <w:lvlText w:val=""/>
      <w:lvlJc w:val="left"/>
      <w:pPr>
        <w:tabs>
          <w:tab w:val="num" w:pos="3600"/>
        </w:tabs>
        <w:ind w:left="3600" w:hanging="360"/>
      </w:pPr>
      <w:rPr>
        <w:rFonts w:ascii="Symbol" w:hAnsi="Symbol" w:hint="default"/>
      </w:rPr>
    </w:lvl>
    <w:lvl w:ilvl="5" w:tplc="A98E4908" w:tentative="1">
      <w:start w:val="1"/>
      <w:numFmt w:val="bullet"/>
      <w:lvlText w:val=""/>
      <w:lvlJc w:val="left"/>
      <w:pPr>
        <w:tabs>
          <w:tab w:val="num" w:pos="4320"/>
        </w:tabs>
        <w:ind w:left="4320" w:hanging="360"/>
      </w:pPr>
      <w:rPr>
        <w:rFonts w:ascii="Symbol" w:hAnsi="Symbol" w:hint="default"/>
      </w:rPr>
    </w:lvl>
    <w:lvl w:ilvl="6" w:tplc="39828328" w:tentative="1">
      <w:start w:val="1"/>
      <w:numFmt w:val="bullet"/>
      <w:lvlText w:val=""/>
      <w:lvlJc w:val="left"/>
      <w:pPr>
        <w:tabs>
          <w:tab w:val="num" w:pos="5040"/>
        </w:tabs>
        <w:ind w:left="5040" w:hanging="360"/>
      </w:pPr>
      <w:rPr>
        <w:rFonts w:ascii="Symbol" w:hAnsi="Symbol" w:hint="default"/>
      </w:rPr>
    </w:lvl>
    <w:lvl w:ilvl="7" w:tplc="F766A9D0" w:tentative="1">
      <w:start w:val="1"/>
      <w:numFmt w:val="bullet"/>
      <w:lvlText w:val=""/>
      <w:lvlJc w:val="left"/>
      <w:pPr>
        <w:tabs>
          <w:tab w:val="num" w:pos="5760"/>
        </w:tabs>
        <w:ind w:left="5760" w:hanging="360"/>
      </w:pPr>
      <w:rPr>
        <w:rFonts w:ascii="Symbol" w:hAnsi="Symbol" w:hint="default"/>
      </w:rPr>
    </w:lvl>
    <w:lvl w:ilvl="8" w:tplc="35EC0968" w:tentative="1">
      <w:start w:val="1"/>
      <w:numFmt w:val="bullet"/>
      <w:lvlText w:val=""/>
      <w:lvlJc w:val="left"/>
      <w:pPr>
        <w:tabs>
          <w:tab w:val="num" w:pos="6480"/>
        </w:tabs>
        <w:ind w:left="6480" w:hanging="360"/>
      </w:pPr>
      <w:rPr>
        <w:rFonts w:ascii="Symbol" w:hAnsi="Symbol" w:hint="default"/>
      </w:rPr>
    </w:lvl>
  </w:abstractNum>
  <w:abstractNum w:abstractNumId="183" w15:restartNumberingAfterBreak="0">
    <w:nsid w:val="667D248B"/>
    <w:multiLevelType w:val="hybridMultilevel"/>
    <w:tmpl w:val="25B871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66D13201"/>
    <w:multiLevelType w:val="multilevel"/>
    <w:tmpl w:val="005C2C3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5" w15:restartNumberingAfterBreak="0">
    <w:nsid w:val="67271270"/>
    <w:multiLevelType w:val="hybridMultilevel"/>
    <w:tmpl w:val="1E82E400"/>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682657A2"/>
    <w:multiLevelType w:val="hybridMultilevel"/>
    <w:tmpl w:val="4ABA3CE8"/>
    <w:lvl w:ilvl="0" w:tplc="055CDDFE">
      <w:start w:val="1"/>
      <w:numFmt w:val="bullet"/>
      <w:lvlText w:val=""/>
      <w:lvlPicBulletId w:val="0"/>
      <w:lvlJc w:val="left"/>
      <w:pPr>
        <w:tabs>
          <w:tab w:val="num" w:pos="720"/>
        </w:tabs>
        <w:ind w:left="720" w:hanging="360"/>
      </w:pPr>
      <w:rPr>
        <w:rFonts w:ascii="Symbol" w:hAnsi="Symbol" w:hint="default"/>
      </w:rPr>
    </w:lvl>
    <w:lvl w:ilvl="1" w:tplc="FD949AF2" w:tentative="1">
      <w:start w:val="1"/>
      <w:numFmt w:val="bullet"/>
      <w:lvlText w:val=""/>
      <w:lvlJc w:val="left"/>
      <w:pPr>
        <w:tabs>
          <w:tab w:val="num" w:pos="1440"/>
        </w:tabs>
        <w:ind w:left="1440" w:hanging="360"/>
      </w:pPr>
      <w:rPr>
        <w:rFonts w:ascii="Symbol" w:hAnsi="Symbol" w:hint="default"/>
      </w:rPr>
    </w:lvl>
    <w:lvl w:ilvl="2" w:tplc="C6A8D59C" w:tentative="1">
      <w:start w:val="1"/>
      <w:numFmt w:val="bullet"/>
      <w:lvlText w:val=""/>
      <w:lvlJc w:val="left"/>
      <w:pPr>
        <w:tabs>
          <w:tab w:val="num" w:pos="2160"/>
        </w:tabs>
        <w:ind w:left="2160" w:hanging="360"/>
      </w:pPr>
      <w:rPr>
        <w:rFonts w:ascii="Symbol" w:hAnsi="Symbol" w:hint="default"/>
      </w:rPr>
    </w:lvl>
    <w:lvl w:ilvl="3" w:tplc="3BAC7F5E" w:tentative="1">
      <w:start w:val="1"/>
      <w:numFmt w:val="bullet"/>
      <w:lvlText w:val=""/>
      <w:lvlJc w:val="left"/>
      <w:pPr>
        <w:tabs>
          <w:tab w:val="num" w:pos="2880"/>
        </w:tabs>
        <w:ind w:left="2880" w:hanging="360"/>
      </w:pPr>
      <w:rPr>
        <w:rFonts w:ascii="Symbol" w:hAnsi="Symbol" w:hint="default"/>
      </w:rPr>
    </w:lvl>
    <w:lvl w:ilvl="4" w:tplc="98E4E242" w:tentative="1">
      <w:start w:val="1"/>
      <w:numFmt w:val="bullet"/>
      <w:lvlText w:val=""/>
      <w:lvlJc w:val="left"/>
      <w:pPr>
        <w:tabs>
          <w:tab w:val="num" w:pos="3600"/>
        </w:tabs>
        <w:ind w:left="3600" w:hanging="360"/>
      </w:pPr>
      <w:rPr>
        <w:rFonts w:ascii="Symbol" w:hAnsi="Symbol" w:hint="default"/>
      </w:rPr>
    </w:lvl>
    <w:lvl w:ilvl="5" w:tplc="A9B29664" w:tentative="1">
      <w:start w:val="1"/>
      <w:numFmt w:val="bullet"/>
      <w:lvlText w:val=""/>
      <w:lvlJc w:val="left"/>
      <w:pPr>
        <w:tabs>
          <w:tab w:val="num" w:pos="4320"/>
        </w:tabs>
        <w:ind w:left="4320" w:hanging="360"/>
      </w:pPr>
      <w:rPr>
        <w:rFonts w:ascii="Symbol" w:hAnsi="Symbol" w:hint="default"/>
      </w:rPr>
    </w:lvl>
    <w:lvl w:ilvl="6" w:tplc="F25EB9A2" w:tentative="1">
      <w:start w:val="1"/>
      <w:numFmt w:val="bullet"/>
      <w:lvlText w:val=""/>
      <w:lvlJc w:val="left"/>
      <w:pPr>
        <w:tabs>
          <w:tab w:val="num" w:pos="5040"/>
        </w:tabs>
        <w:ind w:left="5040" w:hanging="360"/>
      </w:pPr>
      <w:rPr>
        <w:rFonts w:ascii="Symbol" w:hAnsi="Symbol" w:hint="default"/>
      </w:rPr>
    </w:lvl>
    <w:lvl w:ilvl="7" w:tplc="F59886BC" w:tentative="1">
      <w:start w:val="1"/>
      <w:numFmt w:val="bullet"/>
      <w:lvlText w:val=""/>
      <w:lvlJc w:val="left"/>
      <w:pPr>
        <w:tabs>
          <w:tab w:val="num" w:pos="5760"/>
        </w:tabs>
        <w:ind w:left="5760" w:hanging="360"/>
      </w:pPr>
      <w:rPr>
        <w:rFonts w:ascii="Symbol" w:hAnsi="Symbol" w:hint="default"/>
      </w:rPr>
    </w:lvl>
    <w:lvl w:ilvl="8" w:tplc="66D4512C" w:tentative="1">
      <w:start w:val="1"/>
      <w:numFmt w:val="bullet"/>
      <w:lvlText w:val=""/>
      <w:lvlJc w:val="left"/>
      <w:pPr>
        <w:tabs>
          <w:tab w:val="num" w:pos="6480"/>
        </w:tabs>
        <w:ind w:left="6480" w:hanging="360"/>
      </w:pPr>
      <w:rPr>
        <w:rFonts w:ascii="Symbol" w:hAnsi="Symbol" w:hint="default"/>
      </w:rPr>
    </w:lvl>
  </w:abstractNum>
  <w:abstractNum w:abstractNumId="187" w15:restartNumberingAfterBreak="0">
    <w:nsid w:val="68BE0D26"/>
    <w:multiLevelType w:val="hybridMultilevel"/>
    <w:tmpl w:val="44443A5E"/>
    <w:lvl w:ilvl="0" w:tplc="9B72D15E">
      <w:start w:val="1"/>
      <w:numFmt w:val="bullet"/>
      <w:lvlText w:val=""/>
      <w:lvlPicBulletId w:val="1"/>
      <w:lvlJc w:val="left"/>
      <w:pPr>
        <w:tabs>
          <w:tab w:val="num" w:pos="720"/>
        </w:tabs>
        <w:ind w:left="720" w:hanging="360"/>
      </w:pPr>
      <w:rPr>
        <w:rFonts w:ascii="Symbol" w:hAnsi="Symbol" w:hint="default"/>
      </w:rPr>
    </w:lvl>
    <w:lvl w:ilvl="1" w:tplc="C1FEDC16" w:tentative="1">
      <w:start w:val="1"/>
      <w:numFmt w:val="bullet"/>
      <w:lvlText w:val=""/>
      <w:lvlJc w:val="left"/>
      <w:pPr>
        <w:tabs>
          <w:tab w:val="num" w:pos="1440"/>
        </w:tabs>
        <w:ind w:left="1440" w:hanging="360"/>
      </w:pPr>
      <w:rPr>
        <w:rFonts w:ascii="Symbol" w:hAnsi="Symbol" w:hint="default"/>
      </w:rPr>
    </w:lvl>
    <w:lvl w:ilvl="2" w:tplc="EEB074DC" w:tentative="1">
      <w:start w:val="1"/>
      <w:numFmt w:val="bullet"/>
      <w:lvlText w:val=""/>
      <w:lvlJc w:val="left"/>
      <w:pPr>
        <w:tabs>
          <w:tab w:val="num" w:pos="2160"/>
        </w:tabs>
        <w:ind w:left="2160" w:hanging="360"/>
      </w:pPr>
      <w:rPr>
        <w:rFonts w:ascii="Symbol" w:hAnsi="Symbol" w:hint="default"/>
      </w:rPr>
    </w:lvl>
    <w:lvl w:ilvl="3" w:tplc="9E8CCD9E" w:tentative="1">
      <w:start w:val="1"/>
      <w:numFmt w:val="bullet"/>
      <w:lvlText w:val=""/>
      <w:lvlJc w:val="left"/>
      <w:pPr>
        <w:tabs>
          <w:tab w:val="num" w:pos="2880"/>
        </w:tabs>
        <w:ind w:left="2880" w:hanging="360"/>
      </w:pPr>
      <w:rPr>
        <w:rFonts w:ascii="Symbol" w:hAnsi="Symbol" w:hint="default"/>
      </w:rPr>
    </w:lvl>
    <w:lvl w:ilvl="4" w:tplc="BD18C4A8" w:tentative="1">
      <w:start w:val="1"/>
      <w:numFmt w:val="bullet"/>
      <w:lvlText w:val=""/>
      <w:lvlJc w:val="left"/>
      <w:pPr>
        <w:tabs>
          <w:tab w:val="num" w:pos="3600"/>
        </w:tabs>
        <w:ind w:left="3600" w:hanging="360"/>
      </w:pPr>
      <w:rPr>
        <w:rFonts w:ascii="Symbol" w:hAnsi="Symbol" w:hint="default"/>
      </w:rPr>
    </w:lvl>
    <w:lvl w:ilvl="5" w:tplc="04B4BF08" w:tentative="1">
      <w:start w:val="1"/>
      <w:numFmt w:val="bullet"/>
      <w:lvlText w:val=""/>
      <w:lvlJc w:val="left"/>
      <w:pPr>
        <w:tabs>
          <w:tab w:val="num" w:pos="4320"/>
        </w:tabs>
        <w:ind w:left="4320" w:hanging="360"/>
      </w:pPr>
      <w:rPr>
        <w:rFonts w:ascii="Symbol" w:hAnsi="Symbol" w:hint="default"/>
      </w:rPr>
    </w:lvl>
    <w:lvl w:ilvl="6" w:tplc="381880CC" w:tentative="1">
      <w:start w:val="1"/>
      <w:numFmt w:val="bullet"/>
      <w:lvlText w:val=""/>
      <w:lvlJc w:val="left"/>
      <w:pPr>
        <w:tabs>
          <w:tab w:val="num" w:pos="5040"/>
        </w:tabs>
        <w:ind w:left="5040" w:hanging="360"/>
      </w:pPr>
      <w:rPr>
        <w:rFonts w:ascii="Symbol" w:hAnsi="Symbol" w:hint="default"/>
      </w:rPr>
    </w:lvl>
    <w:lvl w:ilvl="7" w:tplc="844E4B6E" w:tentative="1">
      <w:start w:val="1"/>
      <w:numFmt w:val="bullet"/>
      <w:lvlText w:val=""/>
      <w:lvlJc w:val="left"/>
      <w:pPr>
        <w:tabs>
          <w:tab w:val="num" w:pos="5760"/>
        </w:tabs>
        <w:ind w:left="5760" w:hanging="360"/>
      </w:pPr>
      <w:rPr>
        <w:rFonts w:ascii="Symbol" w:hAnsi="Symbol" w:hint="default"/>
      </w:rPr>
    </w:lvl>
    <w:lvl w:ilvl="8" w:tplc="318298A0" w:tentative="1">
      <w:start w:val="1"/>
      <w:numFmt w:val="bullet"/>
      <w:lvlText w:val=""/>
      <w:lvlJc w:val="left"/>
      <w:pPr>
        <w:tabs>
          <w:tab w:val="num" w:pos="6480"/>
        </w:tabs>
        <w:ind w:left="6480" w:hanging="360"/>
      </w:pPr>
      <w:rPr>
        <w:rFonts w:ascii="Symbol" w:hAnsi="Symbol" w:hint="default"/>
      </w:rPr>
    </w:lvl>
  </w:abstractNum>
  <w:abstractNum w:abstractNumId="188" w15:restartNumberingAfterBreak="0">
    <w:nsid w:val="69484F84"/>
    <w:multiLevelType w:val="hybridMultilevel"/>
    <w:tmpl w:val="8678523A"/>
    <w:lvl w:ilvl="0" w:tplc="E0165290">
      <w:start w:val="1"/>
      <w:numFmt w:val="bullet"/>
      <w:lvlText w:val=""/>
      <w:lvlPicBulletId w:val="1"/>
      <w:lvlJc w:val="left"/>
      <w:pPr>
        <w:tabs>
          <w:tab w:val="num" w:pos="720"/>
        </w:tabs>
        <w:ind w:left="720" w:hanging="360"/>
      </w:pPr>
      <w:rPr>
        <w:rFonts w:ascii="Symbol" w:hAnsi="Symbol" w:hint="default"/>
      </w:rPr>
    </w:lvl>
    <w:lvl w:ilvl="1" w:tplc="E940C110" w:tentative="1">
      <w:start w:val="1"/>
      <w:numFmt w:val="bullet"/>
      <w:lvlText w:val=""/>
      <w:lvlJc w:val="left"/>
      <w:pPr>
        <w:tabs>
          <w:tab w:val="num" w:pos="1440"/>
        </w:tabs>
        <w:ind w:left="1440" w:hanging="360"/>
      </w:pPr>
      <w:rPr>
        <w:rFonts w:ascii="Symbol" w:hAnsi="Symbol" w:hint="default"/>
      </w:rPr>
    </w:lvl>
    <w:lvl w:ilvl="2" w:tplc="2CAE6A32" w:tentative="1">
      <w:start w:val="1"/>
      <w:numFmt w:val="bullet"/>
      <w:lvlText w:val=""/>
      <w:lvlJc w:val="left"/>
      <w:pPr>
        <w:tabs>
          <w:tab w:val="num" w:pos="2160"/>
        </w:tabs>
        <w:ind w:left="2160" w:hanging="360"/>
      </w:pPr>
      <w:rPr>
        <w:rFonts w:ascii="Symbol" w:hAnsi="Symbol" w:hint="default"/>
      </w:rPr>
    </w:lvl>
    <w:lvl w:ilvl="3" w:tplc="81CAAE04" w:tentative="1">
      <w:start w:val="1"/>
      <w:numFmt w:val="bullet"/>
      <w:lvlText w:val=""/>
      <w:lvlJc w:val="left"/>
      <w:pPr>
        <w:tabs>
          <w:tab w:val="num" w:pos="2880"/>
        </w:tabs>
        <w:ind w:left="2880" w:hanging="360"/>
      </w:pPr>
      <w:rPr>
        <w:rFonts w:ascii="Symbol" w:hAnsi="Symbol" w:hint="default"/>
      </w:rPr>
    </w:lvl>
    <w:lvl w:ilvl="4" w:tplc="64D6CD86" w:tentative="1">
      <w:start w:val="1"/>
      <w:numFmt w:val="bullet"/>
      <w:lvlText w:val=""/>
      <w:lvlJc w:val="left"/>
      <w:pPr>
        <w:tabs>
          <w:tab w:val="num" w:pos="3600"/>
        </w:tabs>
        <w:ind w:left="3600" w:hanging="360"/>
      </w:pPr>
      <w:rPr>
        <w:rFonts w:ascii="Symbol" w:hAnsi="Symbol" w:hint="default"/>
      </w:rPr>
    </w:lvl>
    <w:lvl w:ilvl="5" w:tplc="4A8434A6" w:tentative="1">
      <w:start w:val="1"/>
      <w:numFmt w:val="bullet"/>
      <w:lvlText w:val=""/>
      <w:lvlJc w:val="left"/>
      <w:pPr>
        <w:tabs>
          <w:tab w:val="num" w:pos="4320"/>
        </w:tabs>
        <w:ind w:left="4320" w:hanging="360"/>
      </w:pPr>
      <w:rPr>
        <w:rFonts w:ascii="Symbol" w:hAnsi="Symbol" w:hint="default"/>
      </w:rPr>
    </w:lvl>
    <w:lvl w:ilvl="6" w:tplc="1C845B66" w:tentative="1">
      <w:start w:val="1"/>
      <w:numFmt w:val="bullet"/>
      <w:lvlText w:val=""/>
      <w:lvlJc w:val="left"/>
      <w:pPr>
        <w:tabs>
          <w:tab w:val="num" w:pos="5040"/>
        </w:tabs>
        <w:ind w:left="5040" w:hanging="360"/>
      </w:pPr>
      <w:rPr>
        <w:rFonts w:ascii="Symbol" w:hAnsi="Symbol" w:hint="default"/>
      </w:rPr>
    </w:lvl>
    <w:lvl w:ilvl="7" w:tplc="CC14C13E" w:tentative="1">
      <w:start w:val="1"/>
      <w:numFmt w:val="bullet"/>
      <w:lvlText w:val=""/>
      <w:lvlJc w:val="left"/>
      <w:pPr>
        <w:tabs>
          <w:tab w:val="num" w:pos="5760"/>
        </w:tabs>
        <w:ind w:left="5760" w:hanging="360"/>
      </w:pPr>
      <w:rPr>
        <w:rFonts w:ascii="Symbol" w:hAnsi="Symbol" w:hint="default"/>
      </w:rPr>
    </w:lvl>
    <w:lvl w:ilvl="8" w:tplc="18EC9594" w:tentative="1">
      <w:start w:val="1"/>
      <w:numFmt w:val="bullet"/>
      <w:lvlText w:val=""/>
      <w:lvlJc w:val="left"/>
      <w:pPr>
        <w:tabs>
          <w:tab w:val="num" w:pos="6480"/>
        </w:tabs>
        <w:ind w:left="6480" w:hanging="360"/>
      </w:pPr>
      <w:rPr>
        <w:rFonts w:ascii="Symbol" w:hAnsi="Symbol" w:hint="default"/>
      </w:rPr>
    </w:lvl>
  </w:abstractNum>
  <w:abstractNum w:abstractNumId="189" w15:restartNumberingAfterBreak="0">
    <w:nsid w:val="6A410329"/>
    <w:multiLevelType w:val="hybridMultilevel"/>
    <w:tmpl w:val="26A86292"/>
    <w:lvl w:ilvl="0" w:tplc="E578D830">
      <w:start w:val="2019"/>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0" w15:restartNumberingAfterBreak="0">
    <w:nsid w:val="6B393739"/>
    <w:multiLevelType w:val="hybridMultilevel"/>
    <w:tmpl w:val="7F92AA04"/>
    <w:lvl w:ilvl="0" w:tplc="DF7086B8">
      <w:start w:val="1"/>
      <w:numFmt w:val="bullet"/>
      <w:lvlText w:val=""/>
      <w:lvlPicBulletId w:val="1"/>
      <w:lvlJc w:val="left"/>
      <w:pPr>
        <w:tabs>
          <w:tab w:val="num" w:pos="720"/>
        </w:tabs>
        <w:ind w:left="720" w:hanging="360"/>
      </w:pPr>
      <w:rPr>
        <w:rFonts w:ascii="Symbol" w:hAnsi="Symbol" w:hint="default"/>
      </w:rPr>
    </w:lvl>
    <w:lvl w:ilvl="1" w:tplc="E446E4FA" w:tentative="1">
      <w:start w:val="1"/>
      <w:numFmt w:val="bullet"/>
      <w:lvlText w:val=""/>
      <w:lvlJc w:val="left"/>
      <w:pPr>
        <w:tabs>
          <w:tab w:val="num" w:pos="1440"/>
        </w:tabs>
        <w:ind w:left="1440" w:hanging="360"/>
      </w:pPr>
      <w:rPr>
        <w:rFonts w:ascii="Symbol" w:hAnsi="Symbol" w:hint="default"/>
      </w:rPr>
    </w:lvl>
    <w:lvl w:ilvl="2" w:tplc="C870F378" w:tentative="1">
      <w:start w:val="1"/>
      <w:numFmt w:val="bullet"/>
      <w:lvlText w:val=""/>
      <w:lvlJc w:val="left"/>
      <w:pPr>
        <w:tabs>
          <w:tab w:val="num" w:pos="2160"/>
        </w:tabs>
        <w:ind w:left="2160" w:hanging="360"/>
      </w:pPr>
      <w:rPr>
        <w:rFonts w:ascii="Symbol" w:hAnsi="Symbol" w:hint="default"/>
      </w:rPr>
    </w:lvl>
    <w:lvl w:ilvl="3" w:tplc="F5820B66" w:tentative="1">
      <w:start w:val="1"/>
      <w:numFmt w:val="bullet"/>
      <w:lvlText w:val=""/>
      <w:lvlJc w:val="left"/>
      <w:pPr>
        <w:tabs>
          <w:tab w:val="num" w:pos="2880"/>
        </w:tabs>
        <w:ind w:left="2880" w:hanging="360"/>
      </w:pPr>
      <w:rPr>
        <w:rFonts w:ascii="Symbol" w:hAnsi="Symbol" w:hint="default"/>
      </w:rPr>
    </w:lvl>
    <w:lvl w:ilvl="4" w:tplc="B66E0B7C" w:tentative="1">
      <w:start w:val="1"/>
      <w:numFmt w:val="bullet"/>
      <w:lvlText w:val=""/>
      <w:lvlJc w:val="left"/>
      <w:pPr>
        <w:tabs>
          <w:tab w:val="num" w:pos="3600"/>
        </w:tabs>
        <w:ind w:left="3600" w:hanging="360"/>
      </w:pPr>
      <w:rPr>
        <w:rFonts w:ascii="Symbol" w:hAnsi="Symbol" w:hint="default"/>
      </w:rPr>
    </w:lvl>
    <w:lvl w:ilvl="5" w:tplc="11A2E05E" w:tentative="1">
      <w:start w:val="1"/>
      <w:numFmt w:val="bullet"/>
      <w:lvlText w:val=""/>
      <w:lvlJc w:val="left"/>
      <w:pPr>
        <w:tabs>
          <w:tab w:val="num" w:pos="4320"/>
        </w:tabs>
        <w:ind w:left="4320" w:hanging="360"/>
      </w:pPr>
      <w:rPr>
        <w:rFonts w:ascii="Symbol" w:hAnsi="Symbol" w:hint="default"/>
      </w:rPr>
    </w:lvl>
    <w:lvl w:ilvl="6" w:tplc="0E923DEA" w:tentative="1">
      <w:start w:val="1"/>
      <w:numFmt w:val="bullet"/>
      <w:lvlText w:val=""/>
      <w:lvlJc w:val="left"/>
      <w:pPr>
        <w:tabs>
          <w:tab w:val="num" w:pos="5040"/>
        </w:tabs>
        <w:ind w:left="5040" w:hanging="360"/>
      </w:pPr>
      <w:rPr>
        <w:rFonts w:ascii="Symbol" w:hAnsi="Symbol" w:hint="default"/>
      </w:rPr>
    </w:lvl>
    <w:lvl w:ilvl="7" w:tplc="C352A5D4" w:tentative="1">
      <w:start w:val="1"/>
      <w:numFmt w:val="bullet"/>
      <w:lvlText w:val=""/>
      <w:lvlJc w:val="left"/>
      <w:pPr>
        <w:tabs>
          <w:tab w:val="num" w:pos="5760"/>
        </w:tabs>
        <w:ind w:left="5760" w:hanging="360"/>
      </w:pPr>
      <w:rPr>
        <w:rFonts w:ascii="Symbol" w:hAnsi="Symbol" w:hint="default"/>
      </w:rPr>
    </w:lvl>
    <w:lvl w:ilvl="8" w:tplc="30160F08" w:tentative="1">
      <w:start w:val="1"/>
      <w:numFmt w:val="bullet"/>
      <w:lvlText w:val=""/>
      <w:lvlJc w:val="left"/>
      <w:pPr>
        <w:tabs>
          <w:tab w:val="num" w:pos="6480"/>
        </w:tabs>
        <w:ind w:left="6480" w:hanging="360"/>
      </w:pPr>
      <w:rPr>
        <w:rFonts w:ascii="Symbol" w:hAnsi="Symbol" w:hint="default"/>
      </w:rPr>
    </w:lvl>
  </w:abstractNum>
  <w:abstractNum w:abstractNumId="191" w15:restartNumberingAfterBreak="0">
    <w:nsid w:val="6B421EA2"/>
    <w:multiLevelType w:val="hybridMultilevel"/>
    <w:tmpl w:val="A838F516"/>
    <w:lvl w:ilvl="0" w:tplc="0AC20602">
      <w:start w:val="1"/>
      <w:numFmt w:val="bullet"/>
      <w:lvlText w:val=""/>
      <w:lvlPicBulletId w:val="0"/>
      <w:lvlJc w:val="left"/>
      <w:pPr>
        <w:tabs>
          <w:tab w:val="num" w:pos="720"/>
        </w:tabs>
        <w:ind w:left="720" w:hanging="360"/>
      </w:pPr>
      <w:rPr>
        <w:rFonts w:ascii="Symbol" w:hAnsi="Symbol" w:hint="default"/>
      </w:rPr>
    </w:lvl>
    <w:lvl w:ilvl="1" w:tplc="DDE2DA38" w:tentative="1">
      <w:start w:val="1"/>
      <w:numFmt w:val="bullet"/>
      <w:lvlText w:val=""/>
      <w:lvlJc w:val="left"/>
      <w:pPr>
        <w:tabs>
          <w:tab w:val="num" w:pos="1440"/>
        </w:tabs>
        <w:ind w:left="1440" w:hanging="360"/>
      </w:pPr>
      <w:rPr>
        <w:rFonts w:ascii="Symbol" w:hAnsi="Symbol" w:hint="default"/>
      </w:rPr>
    </w:lvl>
    <w:lvl w:ilvl="2" w:tplc="480074D4" w:tentative="1">
      <w:start w:val="1"/>
      <w:numFmt w:val="bullet"/>
      <w:lvlText w:val=""/>
      <w:lvlJc w:val="left"/>
      <w:pPr>
        <w:tabs>
          <w:tab w:val="num" w:pos="2160"/>
        </w:tabs>
        <w:ind w:left="2160" w:hanging="360"/>
      </w:pPr>
      <w:rPr>
        <w:rFonts w:ascii="Symbol" w:hAnsi="Symbol" w:hint="default"/>
      </w:rPr>
    </w:lvl>
    <w:lvl w:ilvl="3" w:tplc="44664E4C" w:tentative="1">
      <w:start w:val="1"/>
      <w:numFmt w:val="bullet"/>
      <w:lvlText w:val=""/>
      <w:lvlJc w:val="left"/>
      <w:pPr>
        <w:tabs>
          <w:tab w:val="num" w:pos="2880"/>
        </w:tabs>
        <w:ind w:left="2880" w:hanging="360"/>
      </w:pPr>
      <w:rPr>
        <w:rFonts w:ascii="Symbol" w:hAnsi="Symbol" w:hint="default"/>
      </w:rPr>
    </w:lvl>
    <w:lvl w:ilvl="4" w:tplc="23B2C6B0" w:tentative="1">
      <w:start w:val="1"/>
      <w:numFmt w:val="bullet"/>
      <w:lvlText w:val=""/>
      <w:lvlJc w:val="left"/>
      <w:pPr>
        <w:tabs>
          <w:tab w:val="num" w:pos="3600"/>
        </w:tabs>
        <w:ind w:left="3600" w:hanging="360"/>
      </w:pPr>
      <w:rPr>
        <w:rFonts w:ascii="Symbol" w:hAnsi="Symbol" w:hint="default"/>
      </w:rPr>
    </w:lvl>
    <w:lvl w:ilvl="5" w:tplc="06CC056C" w:tentative="1">
      <w:start w:val="1"/>
      <w:numFmt w:val="bullet"/>
      <w:lvlText w:val=""/>
      <w:lvlJc w:val="left"/>
      <w:pPr>
        <w:tabs>
          <w:tab w:val="num" w:pos="4320"/>
        </w:tabs>
        <w:ind w:left="4320" w:hanging="360"/>
      </w:pPr>
      <w:rPr>
        <w:rFonts w:ascii="Symbol" w:hAnsi="Symbol" w:hint="default"/>
      </w:rPr>
    </w:lvl>
    <w:lvl w:ilvl="6" w:tplc="7C4C079C" w:tentative="1">
      <w:start w:val="1"/>
      <w:numFmt w:val="bullet"/>
      <w:lvlText w:val=""/>
      <w:lvlJc w:val="left"/>
      <w:pPr>
        <w:tabs>
          <w:tab w:val="num" w:pos="5040"/>
        </w:tabs>
        <w:ind w:left="5040" w:hanging="360"/>
      </w:pPr>
      <w:rPr>
        <w:rFonts w:ascii="Symbol" w:hAnsi="Symbol" w:hint="default"/>
      </w:rPr>
    </w:lvl>
    <w:lvl w:ilvl="7" w:tplc="47F03D18" w:tentative="1">
      <w:start w:val="1"/>
      <w:numFmt w:val="bullet"/>
      <w:lvlText w:val=""/>
      <w:lvlJc w:val="left"/>
      <w:pPr>
        <w:tabs>
          <w:tab w:val="num" w:pos="5760"/>
        </w:tabs>
        <w:ind w:left="5760" w:hanging="360"/>
      </w:pPr>
      <w:rPr>
        <w:rFonts w:ascii="Symbol" w:hAnsi="Symbol" w:hint="default"/>
      </w:rPr>
    </w:lvl>
    <w:lvl w:ilvl="8" w:tplc="10FAA980" w:tentative="1">
      <w:start w:val="1"/>
      <w:numFmt w:val="bullet"/>
      <w:lvlText w:val=""/>
      <w:lvlJc w:val="left"/>
      <w:pPr>
        <w:tabs>
          <w:tab w:val="num" w:pos="6480"/>
        </w:tabs>
        <w:ind w:left="6480" w:hanging="360"/>
      </w:pPr>
      <w:rPr>
        <w:rFonts w:ascii="Symbol" w:hAnsi="Symbol" w:hint="default"/>
      </w:rPr>
    </w:lvl>
  </w:abstractNum>
  <w:abstractNum w:abstractNumId="192" w15:restartNumberingAfterBreak="0">
    <w:nsid w:val="6B7C4288"/>
    <w:multiLevelType w:val="hybridMultilevel"/>
    <w:tmpl w:val="5DC6EF9A"/>
    <w:lvl w:ilvl="0" w:tplc="AA589B04">
      <w:start w:val="1"/>
      <w:numFmt w:val="bullet"/>
      <w:lvlText w:val=""/>
      <w:lvlPicBulletId w:val="0"/>
      <w:lvlJc w:val="left"/>
      <w:pPr>
        <w:tabs>
          <w:tab w:val="num" w:pos="720"/>
        </w:tabs>
        <w:ind w:left="720" w:hanging="360"/>
      </w:pPr>
      <w:rPr>
        <w:rFonts w:ascii="Symbol" w:hAnsi="Symbol" w:hint="default"/>
      </w:rPr>
    </w:lvl>
    <w:lvl w:ilvl="1" w:tplc="65980A0C" w:tentative="1">
      <w:start w:val="1"/>
      <w:numFmt w:val="bullet"/>
      <w:lvlText w:val=""/>
      <w:lvlJc w:val="left"/>
      <w:pPr>
        <w:tabs>
          <w:tab w:val="num" w:pos="1440"/>
        </w:tabs>
        <w:ind w:left="1440" w:hanging="360"/>
      </w:pPr>
      <w:rPr>
        <w:rFonts w:ascii="Symbol" w:hAnsi="Symbol" w:hint="default"/>
      </w:rPr>
    </w:lvl>
    <w:lvl w:ilvl="2" w:tplc="C6E60924" w:tentative="1">
      <w:start w:val="1"/>
      <w:numFmt w:val="bullet"/>
      <w:lvlText w:val=""/>
      <w:lvlJc w:val="left"/>
      <w:pPr>
        <w:tabs>
          <w:tab w:val="num" w:pos="2160"/>
        </w:tabs>
        <w:ind w:left="2160" w:hanging="360"/>
      </w:pPr>
      <w:rPr>
        <w:rFonts w:ascii="Symbol" w:hAnsi="Symbol" w:hint="default"/>
      </w:rPr>
    </w:lvl>
    <w:lvl w:ilvl="3" w:tplc="E6E46AB4" w:tentative="1">
      <w:start w:val="1"/>
      <w:numFmt w:val="bullet"/>
      <w:lvlText w:val=""/>
      <w:lvlJc w:val="left"/>
      <w:pPr>
        <w:tabs>
          <w:tab w:val="num" w:pos="2880"/>
        </w:tabs>
        <w:ind w:left="2880" w:hanging="360"/>
      </w:pPr>
      <w:rPr>
        <w:rFonts w:ascii="Symbol" w:hAnsi="Symbol" w:hint="default"/>
      </w:rPr>
    </w:lvl>
    <w:lvl w:ilvl="4" w:tplc="03D8EA3A" w:tentative="1">
      <w:start w:val="1"/>
      <w:numFmt w:val="bullet"/>
      <w:lvlText w:val=""/>
      <w:lvlJc w:val="left"/>
      <w:pPr>
        <w:tabs>
          <w:tab w:val="num" w:pos="3600"/>
        </w:tabs>
        <w:ind w:left="3600" w:hanging="360"/>
      </w:pPr>
      <w:rPr>
        <w:rFonts w:ascii="Symbol" w:hAnsi="Symbol" w:hint="default"/>
      </w:rPr>
    </w:lvl>
    <w:lvl w:ilvl="5" w:tplc="34DE8924" w:tentative="1">
      <w:start w:val="1"/>
      <w:numFmt w:val="bullet"/>
      <w:lvlText w:val=""/>
      <w:lvlJc w:val="left"/>
      <w:pPr>
        <w:tabs>
          <w:tab w:val="num" w:pos="4320"/>
        </w:tabs>
        <w:ind w:left="4320" w:hanging="360"/>
      </w:pPr>
      <w:rPr>
        <w:rFonts w:ascii="Symbol" w:hAnsi="Symbol" w:hint="default"/>
      </w:rPr>
    </w:lvl>
    <w:lvl w:ilvl="6" w:tplc="9FE244D8" w:tentative="1">
      <w:start w:val="1"/>
      <w:numFmt w:val="bullet"/>
      <w:lvlText w:val=""/>
      <w:lvlJc w:val="left"/>
      <w:pPr>
        <w:tabs>
          <w:tab w:val="num" w:pos="5040"/>
        </w:tabs>
        <w:ind w:left="5040" w:hanging="360"/>
      </w:pPr>
      <w:rPr>
        <w:rFonts w:ascii="Symbol" w:hAnsi="Symbol" w:hint="default"/>
      </w:rPr>
    </w:lvl>
    <w:lvl w:ilvl="7" w:tplc="6F5A6F0E" w:tentative="1">
      <w:start w:val="1"/>
      <w:numFmt w:val="bullet"/>
      <w:lvlText w:val=""/>
      <w:lvlJc w:val="left"/>
      <w:pPr>
        <w:tabs>
          <w:tab w:val="num" w:pos="5760"/>
        </w:tabs>
        <w:ind w:left="5760" w:hanging="360"/>
      </w:pPr>
      <w:rPr>
        <w:rFonts w:ascii="Symbol" w:hAnsi="Symbol" w:hint="default"/>
      </w:rPr>
    </w:lvl>
    <w:lvl w:ilvl="8" w:tplc="04544600" w:tentative="1">
      <w:start w:val="1"/>
      <w:numFmt w:val="bullet"/>
      <w:lvlText w:val=""/>
      <w:lvlJc w:val="left"/>
      <w:pPr>
        <w:tabs>
          <w:tab w:val="num" w:pos="6480"/>
        </w:tabs>
        <w:ind w:left="6480" w:hanging="360"/>
      </w:pPr>
      <w:rPr>
        <w:rFonts w:ascii="Symbol" w:hAnsi="Symbol" w:hint="default"/>
      </w:rPr>
    </w:lvl>
  </w:abstractNum>
  <w:abstractNum w:abstractNumId="193" w15:restartNumberingAfterBreak="0">
    <w:nsid w:val="6BC0799E"/>
    <w:multiLevelType w:val="hybridMultilevel"/>
    <w:tmpl w:val="DB62E6B2"/>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94" w15:restartNumberingAfterBreak="0">
    <w:nsid w:val="6D285801"/>
    <w:multiLevelType w:val="hybridMultilevel"/>
    <w:tmpl w:val="B7B4F964"/>
    <w:lvl w:ilvl="0" w:tplc="3E0A63DC">
      <w:start w:val="1"/>
      <w:numFmt w:val="bullet"/>
      <w:lvlText w:val=""/>
      <w:lvlPicBulletId w:val="1"/>
      <w:lvlJc w:val="left"/>
      <w:pPr>
        <w:tabs>
          <w:tab w:val="num" w:pos="720"/>
        </w:tabs>
        <w:ind w:left="720" w:hanging="360"/>
      </w:pPr>
      <w:rPr>
        <w:rFonts w:ascii="Symbol" w:hAnsi="Symbol" w:hint="default"/>
      </w:rPr>
    </w:lvl>
    <w:lvl w:ilvl="1" w:tplc="82D45E98" w:tentative="1">
      <w:start w:val="1"/>
      <w:numFmt w:val="bullet"/>
      <w:lvlText w:val=""/>
      <w:lvlJc w:val="left"/>
      <w:pPr>
        <w:tabs>
          <w:tab w:val="num" w:pos="1440"/>
        </w:tabs>
        <w:ind w:left="1440" w:hanging="360"/>
      </w:pPr>
      <w:rPr>
        <w:rFonts w:ascii="Symbol" w:hAnsi="Symbol" w:hint="default"/>
      </w:rPr>
    </w:lvl>
    <w:lvl w:ilvl="2" w:tplc="7242D2EE" w:tentative="1">
      <w:start w:val="1"/>
      <w:numFmt w:val="bullet"/>
      <w:lvlText w:val=""/>
      <w:lvlJc w:val="left"/>
      <w:pPr>
        <w:tabs>
          <w:tab w:val="num" w:pos="2160"/>
        </w:tabs>
        <w:ind w:left="2160" w:hanging="360"/>
      </w:pPr>
      <w:rPr>
        <w:rFonts w:ascii="Symbol" w:hAnsi="Symbol" w:hint="default"/>
      </w:rPr>
    </w:lvl>
    <w:lvl w:ilvl="3" w:tplc="9E3256F0" w:tentative="1">
      <w:start w:val="1"/>
      <w:numFmt w:val="bullet"/>
      <w:lvlText w:val=""/>
      <w:lvlJc w:val="left"/>
      <w:pPr>
        <w:tabs>
          <w:tab w:val="num" w:pos="2880"/>
        </w:tabs>
        <w:ind w:left="2880" w:hanging="360"/>
      </w:pPr>
      <w:rPr>
        <w:rFonts w:ascii="Symbol" w:hAnsi="Symbol" w:hint="default"/>
      </w:rPr>
    </w:lvl>
    <w:lvl w:ilvl="4" w:tplc="9E664F4A" w:tentative="1">
      <w:start w:val="1"/>
      <w:numFmt w:val="bullet"/>
      <w:lvlText w:val=""/>
      <w:lvlJc w:val="left"/>
      <w:pPr>
        <w:tabs>
          <w:tab w:val="num" w:pos="3600"/>
        </w:tabs>
        <w:ind w:left="3600" w:hanging="360"/>
      </w:pPr>
      <w:rPr>
        <w:rFonts w:ascii="Symbol" w:hAnsi="Symbol" w:hint="default"/>
      </w:rPr>
    </w:lvl>
    <w:lvl w:ilvl="5" w:tplc="1DD28794" w:tentative="1">
      <w:start w:val="1"/>
      <w:numFmt w:val="bullet"/>
      <w:lvlText w:val=""/>
      <w:lvlJc w:val="left"/>
      <w:pPr>
        <w:tabs>
          <w:tab w:val="num" w:pos="4320"/>
        </w:tabs>
        <w:ind w:left="4320" w:hanging="360"/>
      </w:pPr>
      <w:rPr>
        <w:rFonts w:ascii="Symbol" w:hAnsi="Symbol" w:hint="default"/>
      </w:rPr>
    </w:lvl>
    <w:lvl w:ilvl="6" w:tplc="9D7E8FF4" w:tentative="1">
      <w:start w:val="1"/>
      <w:numFmt w:val="bullet"/>
      <w:lvlText w:val=""/>
      <w:lvlJc w:val="left"/>
      <w:pPr>
        <w:tabs>
          <w:tab w:val="num" w:pos="5040"/>
        </w:tabs>
        <w:ind w:left="5040" w:hanging="360"/>
      </w:pPr>
      <w:rPr>
        <w:rFonts w:ascii="Symbol" w:hAnsi="Symbol" w:hint="default"/>
      </w:rPr>
    </w:lvl>
    <w:lvl w:ilvl="7" w:tplc="2CBCB0D6" w:tentative="1">
      <w:start w:val="1"/>
      <w:numFmt w:val="bullet"/>
      <w:lvlText w:val=""/>
      <w:lvlJc w:val="left"/>
      <w:pPr>
        <w:tabs>
          <w:tab w:val="num" w:pos="5760"/>
        </w:tabs>
        <w:ind w:left="5760" w:hanging="360"/>
      </w:pPr>
      <w:rPr>
        <w:rFonts w:ascii="Symbol" w:hAnsi="Symbol" w:hint="default"/>
      </w:rPr>
    </w:lvl>
    <w:lvl w:ilvl="8" w:tplc="6E2E4596" w:tentative="1">
      <w:start w:val="1"/>
      <w:numFmt w:val="bullet"/>
      <w:lvlText w:val=""/>
      <w:lvlJc w:val="left"/>
      <w:pPr>
        <w:tabs>
          <w:tab w:val="num" w:pos="6480"/>
        </w:tabs>
        <w:ind w:left="6480" w:hanging="360"/>
      </w:pPr>
      <w:rPr>
        <w:rFonts w:ascii="Symbol" w:hAnsi="Symbol" w:hint="default"/>
      </w:rPr>
    </w:lvl>
  </w:abstractNum>
  <w:abstractNum w:abstractNumId="19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6" w15:restartNumberingAfterBreak="0">
    <w:nsid w:val="6DEE10FC"/>
    <w:multiLevelType w:val="hybridMultilevel"/>
    <w:tmpl w:val="6F245794"/>
    <w:lvl w:ilvl="0" w:tplc="426C8AB4">
      <w:start w:val="1"/>
      <w:numFmt w:val="bullet"/>
      <w:lvlText w:val=""/>
      <w:lvlPicBulletId w:val="0"/>
      <w:lvlJc w:val="left"/>
      <w:pPr>
        <w:tabs>
          <w:tab w:val="num" w:pos="720"/>
        </w:tabs>
        <w:ind w:left="720" w:hanging="360"/>
      </w:pPr>
      <w:rPr>
        <w:rFonts w:ascii="Symbol" w:hAnsi="Symbol" w:hint="default"/>
      </w:rPr>
    </w:lvl>
    <w:lvl w:ilvl="1" w:tplc="9ACE80CE" w:tentative="1">
      <w:start w:val="1"/>
      <w:numFmt w:val="bullet"/>
      <w:lvlText w:val=""/>
      <w:lvlJc w:val="left"/>
      <w:pPr>
        <w:tabs>
          <w:tab w:val="num" w:pos="1440"/>
        </w:tabs>
        <w:ind w:left="1440" w:hanging="360"/>
      </w:pPr>
      <w:rPr>
        <w:rFonts w:ascii="Symbol" w:hAnsi="Symbol" w:hint="default"/>
      </w:rPr>
    </w:lvl>
    <w:lvl w:ilvl="2" w:tplc="D88ADC0C" w:tentative="1">
      <w:start w:val="1"/>
      <w:numFmt w:val="bullet"/>
      <w:lvlText w:val=""/>
      <w:lvlJc w:val="left"/>
      <w:pPr>
        <w:tabs>
          <w:tab w:val="num" w:pos="2160"/>
        </w:tabs>
        <w:ind w:left="2160" w:hanging="360"/>
      </w:pPr>
      <w:rPr>
        <w:rFonts w:ascii="Symbol" w:hAnsi="Symbol" w:hint="default"/>
      </w:rPr>
    </w:lvl>
    <w:lvl w:ilvl="3" w:tplc="4A8896F4" w:tentative="1">
      <w:start w:val="1"/>
      <w:numFmt w:val="bullet"/>
      <w:lvlText w:val=""/>
      <w:lvlJc w:val="left"/>
      <w:pPr>
        <w:tabs>
          <w:tab w:val="num" w:pos="2880"/>
        </w:tabs>
        <w:ind w:left="2880" w:hanging="360"/>
      </w:pPr>
      <w:rPr>
        <w:rFonts w:ascii="Symbol" w:hAnsi="Symbol" w:hint="default"/>
      </w:rPr>
    </w:lvl>
    <w:lvl w:ilvl="4" w:tplc="98D0E22C" w:tentative="1">
      <w:start w:val="1"/>
      <w:numFmt w:val="bullet"/>
      <w:lvlText w:val=""/>
      <w:lvlJc w:val="left"/>
      <w:pPr>
        <w:tabs>
          <w:tab w:val="num" w:pos="3600"/>
        </w:tabs>
        <w:ind w:left="3600" w:hanging="360"/>
      </w:pPr>
      <w:rPr>
        <w:rFonts w:ascii="Symbol" w:hAnsi="Symbol" w:hint="default"/>
      </w:rPr>
    </w:lvl>
    <w:lvl w:ilvl="5" w:tplc="6848163C" w:tentative="1">
      <w:start w:val="1"/>
      <w:numFmt w:val="bullet"/>
      <w:lvlText w:val=""/>
      <w:lvlJc w:val="left"/>
      <w:pPr>
        <w:tabs>
          <w:tab w:val="num" w:pos="4320"/>
        </w:tabs>
        <w:ind w:left="4320" w:hanging="360"/>
      </w:pPr>
      <w:rPr>
        <w:rFonts w:ascii="Symbol" w:hAnsi="Symbol" w:hint="default"/>
      </w:rPr>
    </w:lvl>
    <w:lvl w:ilvl="6" w:tplc="7524645C" w:tentative="1">
      <w:start w:val="1"/>
      <w:numFmt w:val="bullet"/>
      <w:lvlText w:val=""/>
      <w:lvlJc w:val="left"/>
      <w:pPr>
        <w:tabs>
          <w:tab w:val="num" w:pos="5040"/>
        </w:tabs>
        <w:ind w:left="5040" w:hanging="360"/>
      </w:pPr>
      <w:rPr>
        <w:rFonts w:ascii="Symbol" w:hAnsi="Symbol" w:hint="default"/>
      </w:rPr>
    </w:lvl>
    <w:lvl w:ilvl="7" w:tplc="9E1E7822" w:tentative="1">
      <w:start w:val="1"/>
      <w:numFmt w:val="bullet"/>
      <w:lvlText w:val=""/>
      <w:lvlJc w:val="left"/>
      <w:pPr>
        <w:tabs>
          <w:tab w:val="num" w:pos="5760"/>
        </w:tabs>
        <w:ind w:left="5760" w:hanging="360"/>
      </w:pPr>
      <w:rPr>
        <w:rFonts w:ascii="Symbol" w:hAnsi="Symbol" w:hint="default"/>
      </w:rPr>
    </w:lvl>
    <w:lvl w:ilvl="8" w:tplc="3A08AC4C" w:tentative="1">
      <w:start w:val="1"/>
      <w:numFmt w:val="bullet"/>
      <w:lvlText w:val=""/>
      <w:lvlJc w:val="left"/>
      <w:pPr>
        <w:tabs>
          <w:tab w:val="num" w:pos="6480"/>
        </w:tabs>
        <w:ind w:left="6480" w:hanging="360"/>
      </w:pPr>
      <w:rPr>
        <w:rFonts w:ascii="Symbol" w:hAnsi="Symbol" w:hint="default"/>
      </w:rPr>
    </w:lvl>
  </w:abstractNum>
  <w:abstractNum w:abstractNumId="197" w15:restartNumberingAfterBreak="0">
    <w:nsid w:val="6E475D7B"/>
    <w:multiLevelType w:val="hybridMultilevel"/>
    <w:tmpl w:val="FC143ED6"/>
    <w:lvl w:ilvl="0" w:tplc="ED02EC92">
      <w:start w:val="1"/>
      <w:numFmt w:val="bullet"/>
      <w:lvlText w:val=""/>
      <w:lvlPicBulletId w:val="0"/>
      <w:lvlJc w:val="left"/>
      <w:pPr>
        <w:tabs>
          <w:tab w:val="num" w:pos="720"/>
        </w:tabs>
        <w:ind w:left="720" w:hanging="360"/>
      </w:pPr>
      <w:rPr>
        <w:rFonts w:ascii="Symbol" w:hAnsi="Symbol" w:hint="default"/>
      </w:rPr>
    </w:lvl>
    <w:lvl w:ilvl="1" w:tplc="36F6CAE2" w:tentative="1">
      <w:start w:val="1"/>
      <w:numFmt w:val="bullet"/>
      <w:lvlText w:val=""/>
      <w:lvlJc w:val="left"/>
      <w:pPr>
        <w:tabs>
          <w:tab w:val="num" w:pos="1440"/>
        </w:tabs>
        <w:ind w:left="1440" w:hanging="360"/>
      </w:pPr>
      <w:rPr>
        <w:rFonts w:ascii="Symbol" w:hAnsi="Symbol" w:hint="default"/>
      </w:rPr>
    </w:lvl>
    <w:lvl w:ilvl="2" w:tplc="C2DADFB0" w:tentative="1">
      <w:start w:val="1"/>
      <w:numFmt w:val="bullet"/>
      <w:lvlText w:val=""/>
      <w:lvlJc w:val="left"/>
      <w:pPr>
        <w:tabs>
          <w:tab w:val="num" w:pos="2160"/>
        </w:tabs>
        <w:ind w:left="2160" w:hanging="360"/>
      </w:pPr>
      <w:rPr>
        <w:rFonts w:ascii="Symbol" w:hAnsi="Symbol" w:hint="default"/>
      </w:rPr>
    </w:lvl>
    <w:lvl w:ilvl="3" w:tplc="E74022BE" w:tentative="1">
      <w:start w:val="1"/>
      <w:numFmt w:val="bullet"/>
      <w:lvlText w:val=""/>
      <w:lvlJc w:val="left"/>
      <w:pPr>
        <w:tabs>
          <w:tab w:val="num" w:pos="2880"/>
        </w:tabs>
        <w:ind w:left="2880" w:hanging="360"/>
      </w:pPr>
      <w:rPr>
        <w:rFonts w:ascii="Symbol" w:hAnsi="Symbol" w:hint="default"/>
      </w:rPr>
    </w:lvl>
    <w:lvl w:ilvl="4" w:tplc="150CDC48" w:tentative="1">
      <w:start w:val="1"/>
      <w:numFmt w:val="bullet"/>
      <w:lvlText w:val=""/>
      <w:lvlJc w:val="left"/>
      <w:pPr>
        <w:tabs>
          <w:tab w:val="num" w:pos="3600"/>
        </w:tabs>
        <w:ind w:left="3600" w:hanging="360"/>
      </w:pPr>
      <w:rPr>
        <w:rFonts w:ascii="Symbol" w:hAnsi="Symbol" w:hint="default"/>
      </w:rPr>
    </w:lvl>
    <w:lvl w:ilvl="5" w:tplc="365849AC" w:tentative="1">
      <w:start w:val="1"/>
      <w:numFmt w:val="bullet"/>
      <w:lvlText w:val=""/>
      <w:lvlJc w:val="left"/>
      <w:pPr>
        <w:tabs>
          <w:tab w:val="num" w:pos="4320"/>
        </w:tabs>
        <w:ind w:left="4320" w:hanging="360"/>
      </w:pPr>
      <w:rPr>
        <w:rFonts w:ascii="Symbol" w:hAnsi="Symbol" w:hint="default"/>
      </w:rPr>
    </w:lvl>
    <w:lvl w:ilvl="6" w:tplc="B60A36BE" w:tentative="1">
      <w:start w:val="1"/>
      <w:numFmt w:val="bullet"/>
      <w:lvlText w:val=""/>
      <w:lvlJc w:val="left"/>
      <w:pPr>
        <w:tabs>
          <w:tab w:val="num" w:pos="5040"/>
        </w:tabs>
        <w:ind w:left="5040" w:hanging="360"/>
      </w:pPr>
      <w:rPr>
        <w:rFonts w:ascii="Symbol" w:hAnsi="Symbol" w:hint="default"/>
      </w:rPr>
    </w:lvl>
    <w:lvl w:ilvl="7" w:tplc="6DF6EC90" w:tentative="1">
      <w:start w:val="1"/>
      <w:numFmt w:val="bullet"/>
      <w:lvlText w:val=""/>
      <w:lvlJc w:val="left"/>
      <w:pPr>
        <w:tabs>
          <w:tab w:val="num" w:pos="5760"/>
        </w:tabs>
        <w:ind w:left="5760" w:hanging="360"/>
      </w:pPr>
      <w:rPr>
        <w:rFonts w:ascii="Symbol" w:hAnsi="Symbol" w:hint="default"/>
      </w:rPr>
    </w:lvl>
    <w:lvl w:ilvl="8" w:tplc="CE589686" w:tentative="1">
      <w:start w:val="1"/>
      <w:numFmt w:val="bullet"/>
      <w:lvlText w:val=""/>
      <w:lvlJc w:val="left"/>
      <w:pPr>
        <w:tabs>
          <w:tab w:val="num" w:pos="6480"/>
        </w:tabs>
        <w:ind w:left="6480" w:hanging="360"/>
      </w:pPr>
      <w:rPr>
        <w:rFonts w:ascii="Symbol" w:hAnsi="Symbol" w:hint="default"/>
      </w:rPr>
    </w:lvl>
  </w:abstractNum>
  <w:abstractNum w:abstractNumId="198" w15:restartNumberingAfterBreak="0">
    <w:nsid w:val="6E701039"/>
    <w:multiLevelType w:val="hybridMultilevel"/>
    <w:tmpl w:val="1D92B77E"/>
    <w:lvl w:ilvl="0" w:tplc="E9FADA58">
      <w:start w:val="1"/>
      <w:numFmt w:val="bullet"/>
      <w:lvlText w:val=""/>
      <w:lvlPicBulletId w:val="0"/>
      <w:lvlJc w:val="left"/>
      <w:pPr>
        <w:tabs>
          <w:tab w:val="num" w:pos="720"/>
        </w:tabs>
        <w:ind w:left="720" w:hanging="360"/>
      </w:pPr>
      <w:rPr>
        <w:rFonts w:ascii="Symbol" w:hAnsi="Symbol" w:hint="default"/>
      </w:rPr>
    </w:lvl>
    <w:lvl w:ilvl="1" w:tplc="185A7FA6" w:tentative="1">
      <w:start w:val="1"/>
      <w:numFmt w:val="bullet"/>
      <w:lvlText w:val=""/>
      <w:lvlJc w:val="left"/>
      <w:pPr>
        <w:tabs>
          <w:tab w:val="num" w:pos="1440"/>
        </w:tabs>
        <w:ind w:left="1440" w:hanging="360"/>
      </w:pPr>
      <w:rPr>
        <w:rFonts w:ascii="Symbol" w:hAnsi="Symbol" w:hint="default"/>
      </w:rPr>
    </w:lvl>
    <w:lvl w:ilvl="2" w:tplc="9D346500" w:tentative="1">
      <w:start w:val="1"/>
      <w:numFmt w:val="bullet"/>
      <w:lvlText w:val=""/>
      <w:lvlJc w:val="left"/>
      <w:pPr>
        <w:tabs>
          <w:tab w:val="num" w:pos="2160"/>
        </w:tabs>
        <w:ind w:left="2160" w:hanging="360"/>
      </w:pPr>
      <w:rPr>
        <w:rFonts w:ascii="Symbol" w:hAnsi="Symbol" w:hint="default"/>
      </w:rPr>
    </w:lvl>
    <w:lvl w:ilvl="3" w:tplc="26804AF0" w:tentative="1">
      <w:start w:val="1"/>
      <w:numFmt w:val="bullet"/>
      <w:lvlText w:val=""/>
      <w:lvlJc w:val="left"/>
      <w:pPr>
        <w:tabs>
          <w:tab w:val="num" w:pos="2880"/>
        </w:tabs>
        <w:ind w:left="2880" w:hanging="360"/>
      </w:pPr>
      <w:rPr>
        <w:rFonts w:ascii="Symbol" w:hAnsi="Symbol" w:hint="default"/>
      </w:rPr>
    </w:lvl>
    <w:lvl w:ilvl="4" w:tplc="34C2432C" w:tentative="1">
      <w:start w:val="1"/>
      <w:numFmt w:val="bullet"/>
      <w:lvlText w:val=""/>
      <w:lvlJc w:val="left"/>
      <w:pPr>
        <w:tabs>
          <w:tab w:val="num" w:pos="3600"/>
        </w:tabs>
        <w:ind w:left="3600" w:hanging="360"/>
      </w:pPr>
      <w:rPr>
        <w:rFonts w:ascii="Symbol" w:hAnsi="Symbol" w:hint="default"/>
      </w:rPr>
    </w:lvl>
    <w:lvl w:ilvl="5" w:tplc="66C06E22" w:tentative="1">
      <w:start w:val="1"/>
      <w:numFmt w:val="bullet"/>
      <w:lvlText w:val=""/>
      <w:lvlJc w:val="left"/>
      <w:pPr>
        <w:tabs>
          <w:tab w:val="num" w:pos="4320"/>
        </w:tabs>
        <w:ind w:left="4320" w:hanging="360"/>
      </w:pPr>
      <w:rPr>
        <w:rFonts w:ascii="Symbol" w:hAnsi="Symbol" w:hint="default"/>
      </w:rPr>
    </w:lvl>
    <w:lvl w:ilvl="6" w:tplc="7D52325C" w:tentative="1">
      <w:start w:val="1"/>
      <w:numFmt w:val="bullet"/>
      <w:lvlText w:val=""/>
      <w:lvlJc w:val="left"/>
      <w:pPr>
        <w:tabs>
          <w:tab w:val="num" w:pos="5040"/>
        </w:tabs>
        <w:ind w:left="5040" w:hanging="360"/>
      </w:pPr>
      <w:rPr>
        <w:rFonts w:ascii="Symbol" w:hAnsi="Symbol" w:hint="default"/>
      </w:rPr>
    </w:lvl>
    <w:lvl w:ilvl="7" w:tplc="54E2C856" w:tentative="1">
      <w:start w:val="1"/>
      <w:numFmt w:val="bullet"/>
      <w:lvlText w:val=""/>
      <w:lvlJc w:val="left"/>
      <w:pPr>
        <w:tabs>
          <w:tab w:val="num" w:pos="5760"/>
        </w:tabs>
        <w:ind w:left="5760" w:hanging="360"/>
      </w:pPr>
      <w:rPr>
        <w:rFonts w:ascii="Symbol" w:hAnsi="Symbol" w:hint="default"/>
      </w:rPr>
    </w:lvl>
    <w:lvl w:ilvl="8" w:tplc="181C5DF0" w:tentative="1">
      <w:start w:val="1"/>
      <w:numFmt w:val="bullet"/>
      <w:lvlText w:val=""/>
      <w:lvlJc w:val="left"/>
      <w:pPr>
        <w:tabs>
          <w:tab w:val="num" w:pos="6480"/>
        </w:tabs>
        <w:ind w:left="6480" w:hanging="360"/>
      </w:pPr>
      <w:rPr>
        <w:rFonts w:ascii="Symbol" w:hAnsi="Symbol" w:hint="default"/>
      </w:rPr>
    </w:lvl>
  </w:abstractNum>
  <w:abstractNum w:abstractNumId="199" w15:restartNumberingAfterBreak="0">
    <w:nsid w:val="6E766668"/>
    <w:multiLevelType w:val="hybridMultilevel"/>
    <w:tmpl w:val="D556DCD2"/>
    <w:lvl w:ilvl="0" w:tplc="FC6ECCDA">
      <w:start w:val="1"/>
      <w:numFmt w:val="bullet"/>
      <w:lvlText w:val=""/>
      <w:lvlPicBulletId w:val="1"/>
      <w:lvlJc w:val="left"/>
      <w:pPr>
        <w:tabs>
          <w:tab w:val="num" w:pos="720"/>
        </w:tabs>
        <w:ind w:left="720" w:hanging="360"/>
      </w:pPr>
      <w:rPr>
        <w:rFonts w:ascii="Symbol" w:hAnsi="Symbol" w:hint="default"/>
      </w:rPr>
    </w:lvl>
    <w:lvl w:ilvl="1" w:tplc="7AC8CF4C" w:tentative="1">
      <w:start w:val="1"/>
      <w:numFmt w:val="bullet"/>
      <w:lvlText w:val=""/>
      <w:lvlJc w:val="left"/>
      <w:pPr>
        <w:tabs>
          <w:tab w:val="num" w:pos="1440"/>
        </w:tabs>
        <w:ind w:left="1440" w:hanging="360"/>
      </w:pPr>
      <w:rPr>
        <w:rFonts w:ascii="Symbol" w:hAnsi="Symbol" w:hint="default"/>
      </w:rPr>
    </w:lvl>
    <w:lvl w:ilvl="2" w:tplc="4C00074E" w:tentative="1">
      <w:start w:val="1"/>
      <w:numFmt w:val="bullet"/>
      <w:lvlText w:val=""/>
      <w:lvlJc w:val="left"/>
      <w:pPr>
        <w:tabs>
          <w:tab w:val="num" w:pos="2160"/>
        </w:tabs>
        <w:ind w:left="2160" w:hanging="360"/>
      </w:pPr>
      <w:rPr>
        <w:rFonts w:ascii="Symbol" w:hAnsi="Symbol" w:hint="default"/>
      </w:rPr>
    </w:lvl>
    <w:lvl w:ilvl="3" w:tplc="867A8B46" w:tentative="1">
      <w:start w:val="1"/>
      <w:numFmt w:val="bullet"/>
      <w:lvlText w:val=""/>
      <w:lvlJc w:val="left"/>
      <w:pPr>
        <w:tabs>
          <w:tab w:val="num" w:pos="2880"/>
        </w:tabs>
        <w:ind w:left="2880" w:hanging="360"/>
      </w:pPr>
      <w:rPr>
        <w:rFonts w:ascii="Symbol" w:hAnsi="Symbol" w:hint="default"/>
      </w:rPr>
    </w:lvl>
    <w:lvl w:ilvl="4" w:tplc="6260878C" w:tentative="1">
      <w:start w:val="1"/>
      <w:numFmt w:val="bullet"/>
      <w:lvlText w:val=""/>
      <w:lvlJc w:val="left"/>
      <w:pPr>
        <w:tabs>
          <w:tab w:val="num" w:pos="3600"/>
        </w:tabs>
        <w:ind w:left="3600" w:hanging="360"/>
      </w:pPr>
      <w:rPr>
        <w:rFonts w:ascii="Symbol" w:hAnsi="Symbol" w:hint="default"/>
      </w:rPr>
    </w:lvl>
    <w:lvl w:ilvl="5" w:tplc="72D02068" w:tentative="1">
      <w:start w:val="1"/>
      <w:numFmt w:val="bullet"/>
      <w:lvlText w:val=""/>
      <w:lvlJc w:val="left"/>
      <w:pPr>
        <w:tabs>
          <w:tab w:val="num" w:pos="4320"/>
        </w:tabs>
        <w:ind w:left="4320" w:hanging="360"/>
      </w:pPr>
      <w:rPr>
        <w:rFonts w:ascii="Symbol" w:hAnsi="Symbol" w:hint="default"/>
      </w:rPr>
    </w:lvl>
    <w:lvl w:ilvl="6" w:tplc="7E8E7920" w:tentative="1">
      <w:start w:val="1"/>
      <w:numFmt w:val="bullet"/>
      <w:lvlText w:val=""/>
      <w:lvlJc w:val="left"/>
      <w:pPr>
        <w:tabs>
          <w:tab w:val="num" w:pos="5040"/>
        </w:tabs>
        <w:ind w:left="5040" w:hanging="360"/>
      </w:pPr>
      <w:rPr>
        <w:rFonts w:ascii="Symbol" w:hAnsi="Symbol" w:hint="default"/>
      </w:rPr>
    </w:lvl>
    <w:lvl w:ilvl="7" w:tplc="32B6D2BE" w:tentative="1">
      <w:start w:val="1"/>
      <w:numFmt w:val="bullet"/>
      <w:lvlText w:val=""/>
      <w:lvlJc w:val="left"/>
      <w:pPr>
        <w:tabs>
          <w:tab w:val="num" w:pos="5760"/>
        </w:tabs>
        <w:ind w:left="5760" w:hanging="360"/>
      </w:pPr>
      <w:rPr>
        <w:rFonts w:ascii="Symbol" w:hAnsi="Symbol" w:hint="default"/>
      </w:rPr>
    </w:lvl>
    <w:lvl w:ilvl="8" w:tplc="792C1C14" w:tentative="1">
      <w:start w:val="1"/>
      <w:numFmt w:val="bullet"/>
      <w:lvlText w:val=""/>
      <w:lvlJc w:val="left"/>
      <w:pPr>
        <w:tabs>
          <w:tab w:val="num" w:pos="6480"/>
        </w:tabs>
        <w:ind w:left="6480" w:hanging="360"/>
      </w:pPr>
      <w:rPr>
        <w:rFonts w:ascii="Symbol" w:hAnsi="Symbol" w:hint="default"/>
      </w:rPr>
    </w:lvl>
  </w:abstractNum>
  <w:abstractNum w:abstractNumId="200" w15:restartNumberingAfterBreak="0">
    <w:nsid w:val="6E795E49"/>
    <w:multiLevelType w:val="hybridMultilevel"/>
    <w:tmpl w:val="DFEE6A1A"/>
    <w:lvl w:ilvl="0" w:tplc="EB4208DE">
      <w:start w:val="1"/>
      <w:numFmt w:val="bullet"/>
      <w:lvlText w:val=""/>
      <w:lvlPicBulletId w:val="1"/>
      <w:lvlJc w:val="left"/>
      <w:pPr>
        <w:tabs>
          <w:tab w:val="num" w:pos="720"/>
        </w:tabs>
        <w:ind w:left="720" w:hanging="360"/>
      </w:pPr>
      <w:rPr>
        <w:rFonts w:ascii="Symbol" w:hAnsi="Symbol" w:hint="default"/>
      </w:rPr>
    </w:lvl>
    <w:lvl w:ilvl="1" w:tplc="81A647C2" w:tentative="1">
      <w:start w:val="1"/>
      <w:numFmt w:val="bullet"/>
      <w:lvlText w:val=""/>
      <w:lvlJc w:val="left"/>
      <w:pPr>
        <w:tabs>
          <w:tab w:val="num" w:pos="1440"/>
        </w:tabs>
        <w:ind w:left="1440" w:hanging="360"/>
      </w:pPr>
      <w:rPr>
        <w:rFonts w:ascii="Symbol" w:hAnsi="Symbol" w:hint="default"/>
      </w:rPr>
    </w:lvl>
    <w:lvl w:ilvl="2" w:tplc="328EF210" w:tentative="1">
      <w:start w:val="1"/>
      <w:numFmt w:val="bullet"/>
      <w:lvlText w:val=""/>
      <w:lvlJc w:val="left"/>
      <w:pPr>
        <w:tabs>
          <w:tab w:val="num" w:pos="2160"/>
        </w:tabs>
        <w:ind w:left="2160" w:hanging="360"/>
      </w:pPr>
      <w:rPr>
        <w:rFonts w:ascii="Symbol" w:hAnsi="Symbol" w:hint="default"/>
      </w:rPr>
    </w:lvl>
    <w:lvl w:ilvl="3" w:tplc="DBB2EB2E" w:tentative="1">
      <w:start w:val="1"/>
      <w:numFmt w:val="bullet"/>
      <w:lvlText w:val=""/>
      <w:lvlJc w:val="left"/>
      <w:pPr>
        <w:tabs>
          <w:tab w:val="num" w:pos="2880"/>
        </w:tabs>
        <w:ind w:left="2880" w:hanging="360"/>
      </w:pPr>
      <w:rPr>
        <w:rFonts w:ascii="Symbol" w:hAnsi="Symbol" w:hint="default"/>
      </w:rPr>
    </w:lvl>
    <w:lvl w:ilvl="4" w:tplc="C2F00918" w:tentative="1">
      <w:start w:val="1"/>
      <w:numFmt w:val="bullet"/>
      <w:lvlText w:val=""/>
      <w:lvlJc w:val="left"/>
      <w:pPr>
        <w:tabs>
          <w:tab w:val="num" w:pos="3600"/>
        </w:tabs>
        <w:ind w:left="3600" w:hanging="360"/>
      </w:pPr>
      <w:rPr>
        <w:rFonts w:ascii="Symbol" w:hAnsi="Symbol" w:hint="default"/>
      </w:rPr>
    </w:lvl>
    <w:lvl w:ilvl="5" w:tplc="419A2812" w:tentative="1">
      <w:start w:val="1"/>
      <w:numFmt w:val="bullet"/>
      <w:lvlText w:val=""/>
      <w:lvlJc w:val="left"/>
      <w:pPr>
        <w:tabs>
          <w:tab w:val="num" w:pos="4320"/>
        </w:tabs>
        <w:ind w:left="4320" w:hanging="360"/>
      </w:pPr>
      <w:rPr>
        <w:rFonts w:ascii="Symbol" w:hAnsi="Symbol" w:hint="default"/>
      </w:rPr>
    </w:lvl>
    <w:lvl w:ilvl="6" w:tplc="92961210" w:tentative="1">
      <w:start w:val="1"/>
      <w:numFmt w:val="bullet"/>
      <w:lvlText w:val=""/>
      <w:lvlJc w:val="left"/>
      <w:pPr>
        <w:tabs>
          <w:tab w:val="num" w:pos="5040"/>
        </w:tabs>
        <w:ind w:left="5040" w:hanging="360"/>
      </w:pPr>
      <w:rPr>
        <w:rFonts w:ascii="Symbol" w:hAnsi="Symbol" w:hint="default"/>
      </w:rPr>
    </w:lvl>
    <w:lvl w:ilvl="7" w:tplc="51AEFA2E" w:tentative="1">
      <w:start w:val="1"/>
      <w:numFmt w:val="bullet"/>
      <w:lvlText w:val=""/>
      <w:lvlJc w:val="left"/>
      <w:pPr>
        <w:tabs>
          <w:tab w:val="num" w:pos="5760"/>
        </w:tabs>
        <w:ind w:left="5760" w:hanging="360"/>
      </w:pPr>
      <w:rPr>
        <w:rFonts w:ascii="Symbol" w:hAnsi="Symbol" w:hint="default"/>
      </w:rPr>
    </w:lvl>
    <w:lvl w:ilvl="8" w:tplc="47BECE32" w:tentative="1">
      <w:start w:val="1"/>
      <w:numFmt w:val="bullet"/>
      <w:lvlText w:val=""/>
      <w:lvlJc w:val="left"/>
      <w:pPr>
        <w:tabs>
          <w:tab w:val="num" w:pos="6480"/>
        </w:tabs>
        <w:ind w:left="6480" w:hanging="360"/>
      </w:pPr>
      <w:rPr>
        <w:rFonts w:ascii="Symbol" w:hAnsi="Symbol" w:hint="default"/>
      </w:rPr>
    </w:lvl>
  </w:abstractNum>
  <w:abstractNum w:abstractNumId="201" w15:restartNumberingAfterBreak="0">
    <w:nsid w:val="6F596A34"/>
    <w:multiLevelType w:val="hybridMultilevel"/>
    <w:tmpl w:val="D1E24E2C"/>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2" w15:restartNumberingAfterBreak="0">
    <w:nsid w:val="6FAE27D1"/>
    <w:multiLevelType w:val="hybridMultilevel"/>
    <w:tmpl w:val="88C46060"/>
    <w:lvl w:ilvl="0" w:tplc="C72EA978">
      <w:start w:val="1"/>
      <w:numFmt w:val="bullet"/>
      <w:lvlText w:val=""/>
      <w:lvlPicBulletId w:val="0"/>
      <w:lvlJc w:val="left"/>
      <w:pPr>
        <w:tabs>
          <w:tab w:val="num" w:pos="720"/>
        </w:tabs>
        <w:ind w:left="720" w:hanging="360"/>
      </w:pPr>
      <w:rPr>
        <w:rFonts w:ascii="Symbol" w:hAnsi="Symbol" w:hint="default"/>
      </w:rPr>
    </w:lvl>
    <w:lvl w:ilvl="1" w:tplc="006444E6" w:tentative="1">
      <w:start w:val="1"/>
      <w:numFmt w:val="bullet"/>
      <w:lvlText w:val=""/>
      <w:lvlJc w:val="left"/>
      <w:pPr>
        <w:tabs>
          <w:tab w:val="num" w:pos="1440"/>
        </w:tabs>
        <w:ind w:left="1440" w:hanging="360"/>
      </w:pPr>
      <w:rPr>
        <w:rFonts w:ascii="Symbol" w:hAnsi="Symbol" w:hint="default"/>
      </w:rPr>
    </w:lvl>
    <w:lvl w:ilvl="2" w:tplc="84B0F906" w:tentative="1">
      <w:start w:val="1"/>
      <w:numFmt w:val="bullet"/>
      <w:lvlText w:val=""/>
      <w:lvlJc w:val="left"/>
      <w:pPr>
        <w:tabs>
          <w:tab w:val="num" w:pos="2160"/>
        </w:tabs>
        <w:ind w:left="2160" w:hanging="360"/>
      </w:pPr>
      <w:rPr>
        <w:rFonts w:ascii="Symbol" w:hAnsi="Symbol" w:hint="default"/>
      </w:rPr>
    </w:lvl>
    <w:lvl w:ilvl="3" w:tplc="1C16DE1A" w:tentative="1">
      <w:start w:val="1"/>
      <w:numFmt w:val="bullet"/>
      <w:lvlText w:val=""/>
      <w:lvlJc w:val="left"/>
      <w:pPr>
        <w:tabs>
          <w:tab w:val="num" w:pos="2880"/>
        </w:tabs>
        <w:ind w:left="2880" w:hanging="360"/>
      </w:pPr>
      <w:rPr>
        <w:rFonts w:ascii="Symbol" w:hAnsi="Symbol" w:hint="default"/>
      </w:rPr>
    </w:lvl>
    <w:lvl w:ilvl="4" w:tplc="367CB52C" w:tentative="1">
      <w:start w:val="1"/>
      <w:numFmt w:val="bullet"/>
      <w:lvlText w:val=""/>
      <w:lvlJc w:val="left"/>
      <w:pPr>
        <w:tabs>
          <w:tab w:val="num" w:pos="3600"/>
        </w:tabs>
        <w:ind w:left="3600" w:hanging="360"/>
      </w:pPr>
      <w:rPr>
        <w:rFonts w:ascii="Symbol" w:hAnsi="Symbol" w:hint="default"/>
      </w:rPr>
    </w:lvl>
    <w:lvl w:ilvl="5" w:tplc="E1EA57AA" w:tentative="1">
      <w:start w:val="1"/>
      <w:numFmt w:val="bullet"/>
      <w:lvlText w:val=""/>
      <w:lvlJc w:val="left"/>
      <w:pPr>
        <w:tabs>
          <w:tab w:val="num" w:pos="4320"/>
        </w:tabs>
        <w:ind w:left="4320" w:hanging="360"/>
      </w:pPr>
      <w:rPr>
        <w:rFonts w:ascii="Symbol" w:hAnsi="Symbol" w:hint="default"/>
      </w:rPr>
    </w:lvl>
    <w:lvl w:ilvl="6" w:tplc="6628A0EC" w:tentative="1">
      <w:start w:val="1"/>
      <w:numFmt w:val="bullet"/>
      <w:lvlText w:val=""/>
      <w:lvlJc w:val="left"/>
      <w:pPr>
        <w:tabs>
          <w:tab w:val="num" w:pos="5040"/>
        </w:tabs>
        <w:ind w:left="5040" w:hanging="360"/>
      </w:pPr>
      <w:rPr>
        <w:rFonts w:ascii="Symbol" w:hAnsi="Symbol" w:hint="default"/>
      </w:rPr>
    </w:lvl>
    <w:lvl w:ilvl="7" w:tplc="094E53EA" w:tentative="1">
      <w:start w:val="1"/>
      <w:numFmt w:val="bullet"/>
      <w:lvlText w:val=""/>
      <w:lvlJc w:val="left"/>
      <w:pPr>
        <w:tabs>
          <w:tab w:val="num" w:pos="5760"/>
        </w:tabs>
        <w:ind w:left="5760" w:hanging="360"/>
      </w:pPr>
      <w:rPr>
        <w:rFonts w:ascii="Symbol" w:hAnsi="Symbol" w:hint="default"/>
      </w:rPr>
    </w:lvl>
    <w:lvl w:ilvl="8" w:tplc="D2DE3EB0" w:tentative="1">
      <w:start w:val="1"/>
      <w:numFmt w:val="bullet"/>
      <w:lvlText w:val=""/>
      <w:lvlJc w:val="left"/>
      <w:pPr>
        <w:tabs>
          <w:tab w:val="num" w:pos="6480"/>
        </w:tabs>
        <w:ind w:left="6480" w:hanging="360"/>
      </w:pPr>
      <w:rPr>
        <w:rFonts w:ascii="Symbol" w:hAnsi="Symbol" w:hint="default"/>
      </w:rPr>
    </w:lvl>
  </w:abstractNum>
  <w:abstractNum w:abstractNumId="203" w15:restartNumberingAfterBreak="0">
    <w:nsid w:val="71BF72E1"/>
    <w:multiLevelType w:val="hybridMultilevel"/>
    <w:tmpl w:val="D190F7D8"/>
    <w:lvl w:ilvl="0" w:tplc="ED266384">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4" w15:restartNumberingAfterBreak="0">
    <w:nsid w:val="72922164"/>
    <w:multiLevelType w:val="hybridMultilevel"/>
    <w:tmpl w:val="5212D702"/>
    <w:lvl w:ilvl="0" w:tplc="22A8F604">
      <w:start w:val="1"/>
      <w:numFmt w:val="bullet"/>
      <w:lvlText w:val=""/>
      <w:lvlPicBulletId w:val="3"/>
      <w:lvlJc w:val="left"/>
      <w:pPr>
        <w:tabs>
          <w:tab w:val="num" w:pos="720"/>
        </w:tabs>
        <w:ind w:left="720" w:hanging="360"/>
      </w:pPr>
      <w:rPr>
        <w:rFonts w:ascii="Symbol" w:hAnsi="Symbol" w:hint="default"/>
      </w:rPr>
    </w:lvl>
    <w:lvl w:ilvl="1" w:tplc="B0D2E658" w:tentative="1">
      <w:start w:val="1"/>
      <w:numFmt w:val="bullet"/>
      <w:lvlText w:val=""/>
      <w:lvlJc w:val="left"/>
      <w:pPr>
        <w:tabs>
          <w:tab w:val="num" w:pos="1440"/>
        </w:tabs>
        <w:ind w:left="1440" w:hanging="360"/>
      </w:pPr>
      <w:rPr>
        <w:rFonts w:ascii="Symbol" w:hAnsi="Symbol" w:hint="default"/>
      </w:rPr>
    </w:lvl>
    <w:lvl w:ilvl="2" w:tplc="762AC0BE" w:tentative="1">
      <w:start w:val="1"/>
      <w:numFmt w:val="bullet"/>
      <w:lvlText w:val=""/>
      <w:lvlJc w:val="left"/>
      <w:pPr>
        <w:tabs>
          <w:tab w:val="num" w:pos="2160"/>
        </w:tabs>
        <w:ind w:left="2160" w:hanging="360"/>
      </w:pPr>
      <w:rPr>
        <w:rFonts w:ascii="Symbol" w:hAnsi="Symbol" w:hint="default"/>
      </w:rPr>
    </w:lvl>
    <w:lvl w:ilvl="3" w:tplc="AA7AA002" w:tentative="1">
      <w:start w:val="1"/>
      <w:numFmt w:val="bullet"/>
      <w:lvlText w:val=""/>
      <w:lvlJc w:val="left"/>
      <w:pPr>
        <w:tabs>
          <w:tab w:val="num" w:pos="2880"/>
        </w:tabs>
        <w:ind w:left="2880" w:hanging="360"/>
      </w:pPr>
      <w:rPr>
        <w:rFonts w:ascii="Symbol" w:hAnsi="Symbol" w:hint="default"/>
      </w:rPr>
    </w:lvl>
    <w:lvl w:ilvl="4" w:tplc="FEF8051E" w:tentative="1">
      <w:start w:val="1"/>
      <w:numFmt w:val="bullet"/>
      <w:lvlText w:val=""/>
      <w:lvlJc w:val="left"/>
      <w:pPr>
        <w:tabs>
          <w:tab w:val="num" w:pos="3600"/>
        </w:tabs>
        <w:ind w:left="3600" w:hanging="360"/>
      </w:pPr>
      <w:rPr>
        <w:rFonts w:ascii="Symbol" w:hAnsi="Symbol" w:hint="default"/>
      </w:rPr>
    </w:lvl>
    <w:lvl w:ilvl="5" w:tplc="CFEE687A" w:tentative="1">
      <w:start w:val="1"/>
      <w:numFmt w:val="bullet"/>
      <w:lvlText w:val=""/>
      <w:lvlJc w:val="left"/>
      <w:pPr>
        <w:tabs>
          <w:tab w:val="num" w:pos="4320"/>
        </w:tabs>
        <w:ind w:left="4320" w:hanging="360"/>
      </w:pPr>
      <w:rPr>
        <w:rFonts w:ascii="Symbol" w:hAnsi="Symbol" w:hint="default"/>
      </w:rPr>
    </w:lvl>
    <w:lvl w:ilvl="6" w:tplc="9B7EB906" w:tentative="1">
      <w:start w:val="1"/>
      <w:numFmt w:val="bullet"/>
      <w:lvlText w:val=""/>
      <w:lvlJc w:val="left"/>
      <w:pPr>
        <w:tabs>
          <w:tab w:val="num" w:pos="5040"/>
        </w:tabs>
        <w:ind w:left="5040" w:hanging="360"/>
      </w:pPr>
      <w:rPr>
        <w:rFonts w:ascii="Symbol" w:hAnsi="Symbol" w:hint="default"/>
      </w:rPr>
    </w:lvl>
    <w:lvl w:ilvl="7" w:tplc="B33A6684" w:tentative="1">
      <w:start w:val="1"/>
      <w:numFmt w:val="bullet"/>
      <w:lvlText w:val=""/>
      <w:lvlJc w:val="left"/>
      <w:pPr>
        <w:tabs>
          <w:tab w:val="num" w:pos="5760"/>
        </w:tabs>
        <w:ind w:left="5760" w:hanging="360"/>
      </w:pPr>
      <w:rPr>
        <w:rFonts w:ascii="Symbol" w:hAnsi="Symbol" w:hint="default"/>
      </w:rPr>
    </w:lvl>
    <w:lvl w:ilvl="8" w:tplc="43DA7B7A" w:tentative="1">
      <w:start w:val="1"/>
      <w:numFmt w:val="bullet"/>
      <w:lvlText w:val=""/>
      <w:lvlJc w:val="left"/>
      <w:pPr>
        <w:tabs>
          <w:tab w:val="num" w:pos="6480"/>
        </w:tabs>
        <w:ind w:left="6480" w:hanging="360"/>
      </w:pPr>
      <w:rPr>
        <w:rFonts w:ascii="Symbol" w:hAnsi="Symbol" w:hint="default"/>
      </w:rPr>
    </w:lvl>
  </w:abstractNum>
  <w:abstractNum w:abstractNumId="205" w15:restartNumberingAfterBreak="0">
    <w:nsid w:val="72DE0DEA"/>
    <w:multiLevelType w:val="hybridMultilevel"/>
    <w:tmpl w:val="E82C8002"/>
    <w:lvl w:ilvl="0" w:tplc="688E8B26">
      <w:start w:val="1"/>
      <w:numFmt w:val="bullet"/>
      <w:lvlText w:val=""/>
      <w:lvlPicBulletId w:val="1"/>
      <w:lvlJc w:val="left"/>
      <w:pPr>
        <w:tabs>
          <w:tab w:val="num" w:pos="720"/>
        </w:tabs>
        <w:ind w:left="720" w:hanging="360"/>
      </w:pPr>
      <w:rPr>
        <w:rFonts w:ascii="Symbol" w:hAnsi="Symbol" w:hint="default"/>
      </w:rPr>
    </w:lvl>
    <w:lvl w:ilvl="1" w:tplc="CFA22772" w:tentative="1">
      <w:start w:val="1"/>
      <w:numFmt w:val="bullet"/>
      <w:lvlText w:val=""/>
      <w:lvlJc w:val="left"/>
      <w:pPr>
        <w:tabs>
          <w:tab w:val="num" w:pos="1440"/>
        </w:tabs>
        <w:ind w:left="1440" w:hanging="360"/>
      </w:pPr>
      <w:rPr>
        <w:rFonts w:ascii="Symbol" w:hAnsi="Symbol" w:hint="default"/>
      </w:rPr>
    </w:lvl>
    <w:lvl w:ilvl="2" w:tplc="8670FBE6" w:tentative="1">
      <w:start w:val="1"/>
      <w:numFmt w:val="bullet"/>
      <w:lvlText w:val=""/>
      <w:lvlJc w:val="left"/>
      <w:pPr>
        <w:tabs>
          <w:tab w:val="num" w:pos="2160"/>
        </w:tabs>
        <w:ind w:left="2160" w:hanging="360"/>
      </w:pPr>
      <w:rPr>
        <w:rFonts w:ascii="Symbol" w:hAnsi="Symbol" w:hint="default"/>
      </w:rPr>
    </w:lvl>
    <w:lvl w:ilvl="3" w:tplc="3CEA4480" w:tentative="1">
      <w:start w:val="1"/>
      <w:numFmt w:val="bullet"/>
      <w:lvlText w:val=""/>
      <w:lvlJc w:val="left"/>
      <w:pPr>
        <w:tabs>
          <w:tab w:val="num" w:pos="2880"/>
        </w:tabs>
        <w:ind w:left="2880" w:hanging="360"/>
      </w:pPr>
      <w:rPr>
        <w:rFonts w:ascii="Symbol" w:hAnsi="Symbol" w:hint="default"/>
      </w:rPr>
    </w:lvl>
    <w:lvl w:ilvl="4" w:tplc="798C6E0A" w:tentative="1">
      <w:start w:val="1"/>
      <w:numFmt w:val="bullet"/>
      <w:lvlText w:val=""/>
      <w:lvlJc w:val="left"/>
      <w:pPr>
        <w:tabs>
          <w:tab w:val="num" w:pos="3600"/>
        </w:tabs>
        <w:ind w:left="3600" w:hanging="360"/>
      </w:pPr>
      <w:rPr>
        <w:rFonts w:ascii="Symbol" w:hAnsi="Symbol" w:hint="default"/>
      </w:rPr>
    </w:lvl>
    <w:lvl w:ilvl="5" w:tplc="F7B6C6BC" w:tentative="1">
      <w:start w:val="1"/>
      <w:numFmt w:val="bullet"/>
      <w:lvlText w:val=""/>
      <w:lvlJc w:val="left"/>
      <w:pPr>
        <w:tabs>
          <w:tab w:val="num" w:pos="4320"/>
        </w:tabs>
        <w:ind w:left="4320" w:hanging="360"/>
      </w:pPr>
      <w:rPr>
        <w:rFonts w:ascii="Symbol" w:hAnsi="Symbol" w:hint="default"/>
      </w:rPr>
    </w:lvl>
    <w:lvl w:ilvl="6" w:tplc="D3305296" w:tentative="1">
      <w:start w:val="1"/>
      <w:numFmt w:val="bullet"/>
      <w:lvlText w:val=""/>
      <w:lvlJc w:val="left"/>
      <w:pPr>
        <w:tabs>
          <w:tab w:val="num" w:pos="5040"/>
        </w:tabs>
        <w:ind w:left="5040" w:hanging="360"/>
      </w:pPr>
      <w:rPr>
        <w:rFonts w:ascii="Symbol" w:hAnsi="Symbol" w:hint="default"/>
      </w:rPr>
    </w:lvl>
    <w:lvl w:ilvl="7" w:tplc="9CB0A5E4" w:tentative="1">
      <w:start w:val="1"/>
      <w:numFmt w:val="bullet"/>
      <w:lvlText w:val=""/>
      <w:lvlJc w:val="left"/>
      <w:pPr>
        <w:tabs>
          <w:tab w:val="num" w:pos="5760"/>
        </w:tabs>
        <w:ind w:left="5760" w:hanging="360"/>
      </w:pPr>
      <w:rPr>
        <w:rFonts w:ascii="Symbol" w:hAnsi="Symbol" w:hint="default"/>
      </w:rPr>
    </w:lvl>
    <w:lvl w:ilvl="8" w:tplc="A814A536" w:tentative="1">
      <w:start w:val="1"/>
      <w:numFmt w:val="bullet"/>
      <w:lvlText w:val=""/>
      <w:lvlJc w:val="left"/>
      <w:pPr>
        <w:tabs>
          <w:tab w:val="num" w:pos="6480"/>
        </w:tabs>
        <w:ind w:left="6480" w:hanging="360"/>
      </w:pPr>
      <w:rPr>
        <w:rFonts w:ascii="Symbol" w:hAnsi="Symbol" w:hint="default"/>
      </w:rPr>
    </w:lvl>
  </w:abstractNum>
  <w:abstractNum w:abstractNumId="206" w15:restartNumberingAfterBreak="0">
    <w:nsid w:val="731B1F98"/>
    <w:multiLevelType w:val="hybridMultilevel"/>
    <w:tmpl w:val="9F6681F6"/>
    <w:lvl w:ilvl="0" w:tplc="7C22A9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7" w15:restartNumberingAfterBreak="0">
    <w:nsid w:val="743854EE"/>
    <w:multiLevelType w:val="hybridMultilevel"/>
    <w:tmpl w:val="D29054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8" w15:restartNumberingAfterBreak="0">
    <w:nsid w:val="74482F6F"/>
    <w:multiLevelType w:val="hybridMultilevel"/>
    <w:tmpl w:val="CF2C7284"/>
    <w:lvl w:ilvl="0" w:tplc="C3E00D6E">
      <w:start w:val="1"/>
      <w:numFmt w:val="bullet"/>
      <w:lvlText w:val=""/>
      <w:lvlPicBulletId w:val="1"/>
      <w:lvlJc w:val="left"/>
      <w:pPr>
        <w:tabs>
          <w:tab w:val="num" w:pos="720"/>
        </w:tabs>
        <w:ind w:left="720" w:hanging="360"/>
      </w:pPr>
      <w:rPr>
        <w:rFonts w:ascii="Symbol" w:hAnsi="Symbol" w:hint="default"/>
      </w:rPr>
    </w:lvl>
    <w:lvl w:ilvl="1" w:tplc="7DC69652" w:tentative="1">
      <w:start w:val="1"/>
      <w:numFmt w:val="bullet"/>
      <w:lvlText w:val=""/>
      <w:lvlJc w:val="left"/>
      <w:pPr>
        <w:tabs>
          <w:tab w:val="num" w:pos="1440"/>
        </w:tabs>
        <w:ind w:left="1440" w:hanging="360"/>
      </w:pPr>
      <w:rPr>
        <w:rFonts w:ascii="Symbol" w:hAnsi="Symbol" w:hint="default"/>
      </w:rPr>
    </w:lvl>
    <w:lvl w:ilvl="2" w:tplc="308CFB96" w:tentative="1">
      <w:start w:val="1"/>
      <w:numFmt w:val="bullet"/>
      <w:lvlText w:val=""/>
      <w:lvlJc w:val="left"/>
      <w:pPr>
        <w:tabs>
          <w:tab w:val="num" w:pos="2160"/>
        </w:tabs>
        <w:ind w:left="2160" w:hanging="360"/>
      </w:pPr>
      <w:rPr>
        <w:rFonts w:ascii="Symbol" w:hAnsi="Symbol" w:hint="default"/>
      </w:rPr>
    </w:lvl>
    <w:lvl w:ilvl="3" w:tplc="5068FAE6" w:tentative="1">
      <w:start w:val="1"/>
      <w:numFmt w:val="bullet"/>
      <w:lvlText w:val=""/>
      <w:lvlJc w:val="left"/>
      <w:pPr>
        <w:tabs>
          <w:tab w:val="num" w:pos="2880"/>
        </w:tabs>
        <w:ind w:left="2880" w:hanging="360"/>
      </w:pPr>
      <w:rPr>
        <w:rFonts w:ascii="Symbol" w:hAnsi="Symbol" w:hint="default"/>
      </w:rPr>
    </w:lvl>
    <w:lvl w:ilvl="4" w:tplc="F606DA12" w:tentative="1">
      <w:start w:val="1"/>
      <w:numFmt w:val="bullet"/>
      <w:lvlText w:val=""/>
      <w:lvlJc w:val="left"/>
      <w:pPr>
        <w:tabs>
          <w:tab w:val="num" w:pos="3600"/>
        </w:tabs>
        <w:ind w:left="3600" w:hanging="360"/>
      </w:pPr>
      <w:rPr>
        <w:rFonts w:ascii="Symbol" w:hAnsi="Symbol" w:hint="default"/>
      </w:rPr>
    </w:lvl>
    <w:lvl w:ilvl="5" w:tplc="698A7560" w:tentative="1">
      <w:start w:val="1"/>
      <w:numFmt w:val="bullet"/>
      <w:lvlText w:val=""/>
      <w:lvlJc w:val="left"/>
      <w:pPr>
        <w:tabs>
          <w:tab w:val="num" w:pos="4320"/>
        </w:tabs>
        <w:ind w:left="4320" w:hanging="360"/>
      </w:pPr>
      <w:rPr>
        <w:rFonts w:ascii="Symbol" w:hAnsi="Symbol" w:hint="default"/>
      </w:rPr>
    </w:lvl>
    <w:lvl w:ilvl="6" w:tplc="5B7886B0" w:tentative="1">
      <w:start w:val="1"/>
      <w:numFmt w:val="bullet"/>
      <w:lvlText w:val=""/>
      <w:lvlJc w:val="left"/>
      <w:pPr>
        <w:tabs>
          <w:tab w:val="num" w:pos="5040"/>
        </w:tabs>
        <w:ind w:left="5040" w:hanging="360"/>
      </w:pPr>
      <w:rPr>
        <w:rFonts w:ascii="Symbol" w:hAnsi="Symbol" w:hint="default"/>
      </w:rPr>
    </w:lvl>
    <w:lvl w:ilvl="7" w:tplc="757C9D58" w:tentative="1">
      <w:start w:val="1"/>
      <w:numFmt w:val="bullet"/>
      <w:lvlText w:val=""/>
      <w:lvlJc w:val="left"/>
      <w:pPr>
        <w:tabs>
          <w:tab w:val="num" w:pos="5760"/>
        </w:tabs>
        <w:ind w:left="5760" w:hanging="360"/>
      </w:pPr>
      <w:rPr>
        <w:rFonts w:ascii="Symbol" w:hAnsi="Symbol" w:hint="default"/>
      </w:rPr>
    </w:lvl>
    <w:lvl w:ilvl="8" w:tplc="D5A00718" w:tentative="1">
      <w:start w:val="1"/>
      <w:numFmt w:val="bullet"/>
      <w:lvlText w:val=""/>
      <w:lvlJc w:val="left"/>
      <w:pPr>
        <w:tabs>
          <w:tab w:val="num" w:pos="6480"/>
        </w:tabs>
        <w:ind w:left="6480" w:hanging="360"/>
      </w:pPr>
      <w:rPr>
        <w:rFonts w:ascii="Symbol" w:hAnsi="Symbol" w:hint="default"/>
      </w:rPr>
    </w:lvl>
  </w:abstractNum>
  <w:abstractNum w:abstractNumId="209" w15:restartNumberingAfterBreak="0">
    <w:nsid w:val="74C16C0B"/>
    <w:multiLevelType w:val="hybridMultilevel"/>
    <w:tmpl w:val="60088398"/>
    <w:lvl w:ilvl="0" w:tplc="080865CC">
      <w:start w:val="1"/>
      <w:numFmt w:val="bullet"/>
      <w:lvlText w:val=""/>
      <w:lvlPicBulletId w:val="1"/>
      <w:lvlJc w:val="left"/>
      <w:pPr>
        <w:tabs>
          <w:tab w:val="num" w:pos="720"/>
        </w:tabs>
        <w:ind w:left="720" w:hanging="360"/>
      </w:pPr>
      <w:rPr>
        <w:rFonts w:ascii="Symbol" w:hAnsi="Symbol" w:hint="default"/>
      </w:rPr>
    </w:lvl>
    <w:lvl w:ilvl="1" w:tplc="A3AC82EA" w:tentative="1">
      <w:start w:val="1"/>
      <w:numFmt w:val="bullet"/>
      <w:lvlText w:val=""/>
      <w:lvlJc w:val="left"/>
      <w:pPr>
        <w:tabs>
          <w:tab w:val="num" w:pos="1440"/>
        </w:tabs>
        <w:ind w:left="1440" w:hanging="360"/>
      </w:pPr>
      <w:rPr>
        <w:rFonts w:ascii="Symbol" w:hAnsi="Symbol" w:hint="default"/>
      </w:rPr>
    </w:lvl>
    <w:lvl w:ilvl="2" w:tplc="C7965D18" w:tentative="1">
      <w:start w:val="1"/>
      <w:numFmt w:val="bullet"/>
      <w:lvlText w:val=""/>
      <w:lvlJc w:val="left"/>
      <w:pPr>
        <w:tabs>
          <w:tab w:val="num" w:pos="2160"/>
        </w:tabs>
        <w:ind w:left="2160" w:hanging="360"/>
      </w:pPr>
      <w:rPr>
        <w:rFonts w:ascii="Symbol" w:hAnsi="Symbol" w:hint="default"/>
      </w:rPr>
    </w:lvl>
    <w:lvl w:ilvl="3" w:tplc="D8501D82" w:tentative="1">
      <w:start w:val="1"/>
      <w:numFmt w:val="bullet"/>
      <w:lvlText w:val=""/>
      <w:lvlJc w:val="left"/>
      <w:pPr>
        <w:tabs>
          <w:tab w:val="num" w:pos="2880"/>
        </w:tabs>
        <w:ind w:left="2880" w:hanging="360"/>
      </w:pPr>
      <w:rPr>
        <w:rFonts w:ascii="Symbol" w:hAnsi="Symbol" w:hint="default"/>
      </w:rPr>
    </w:lvl>
    <w:lvl w:ilvl="4" w:tplc="53346BF8" w:tentative="1">
      <w:start w:val="1"/>
      <w:numFmt w:val="bullet"/>
      <w:lvlText w:val=""/>
      <w:lvlJc w:val="left"/>
      <w:pPr>
        <w:tabs>
          <w:tab w:val="num" w:pos="3600"/>
        </w:tabs>
        <w:ind w:left="3600" w:hanging="360"/>
      </w:pPr>
      <w:rPr>
        <w:rFonts w:ascii="Symbol" w:hAnsi="Symbol" w:hint="default"/>
      </w:rPr>
    </w:lvl>
    <w:lvl w:ilvl="5" w:tplc="66AC2E38" w:tentative="1">
      <w:start w:val="1"/>
      <w:numFmt w:val="bullet"/>
      <w:lvlText w:val=""/>
      <w:lvlJc w:val="left"/>
      <w:pPr>
        <w:tabs>
          <w:tab w:val="num" w:pos="4320"/>
        </w:tabs>
        <w:ind w:left="4320" w:hanging="360"/>
      </w:pPr>
      <w:rPr>
        <w:rFonts w:ascii="Symbol" w:hAnsi="Symbol" w:hint="default"/>
      </w:rPr>
    </w:lvl>
    <w:lvl w:ilvl="6" w:tplc="A55C2EE4" w:tentative="1">
      <w:start w:val="1"/>
      <w:numFmt w:val="bullet"/>
      <w:lvlText w:val=""/>
      <w:lvlJc w:val="left"/>
      <w:pPr>
        <w:tabs>
          <w:tab w:val="num" w:pos="5040"/>
        </w:tabs>
        <w:ind w:left="5040" w:hanging="360"/>
      </w:pPr>
      <w:rPr>
        <w:rFonts w:ascii="Symbol" w:hAnsi="Symbol" w:hint="default"/>
      </w:rPr>
    </w:lvl>
    <w:lvl w:ilvl="7" w:tplc="596CEA00" w:tentative="1">
      <w:start w:val="1"/>
      <w:numFmt w:val="bullet"/>
      <w:lvlText w:val=""/>
      <w:lvlJc w:val="left"/>
      <w:pPr>
        <w:tabs>
          <w:tab w:val="num" w:pos="5760"/>
        </w:tabs>
        <w:ind w:left="5760" w:hanging="360"/>
      </w:pPr>
      <w:rPr>
        <w:rFonts w:ascii="Symbol" w:hAnsi="Symbol" w:hint="default"/>
      </w:rPr>
    </w:lvl>
    <w:lvl w:ilvl="8" w:tplc="C598DB9A" w:tentative="1">
      <w:start w:val="1"/>
      <w:numFmt w:val="bullet"/>
      <w:lvlText w:val=""/>
      <w:lvlJc w:val="left"/>
      <w:pPr>
        <w:tabs>
          <w:tab w:val="num" w:pos="6480"/>
        </w:tabs>
        <w:ind w:left="6480" w:hanging="360"/>
      </w:pPr>
      <w:rPr>
        <w:rFonts w:ascii="Symbol" w:hAnsi="Symbol" w:hint="default"/>
      </w:rPr>
    </w:lvl>
  </w:abstractNum>
  <w:abstractNum w:abstractNumId="210" w15:restartNumberingAfterBreak="0">
    <w:nsid w:val="753366E2"/>
    <w:multiLevelType w:val="hybridMultilevel"/>
    <w:tmpl w:val="650AC10A"/>
    <w:lvl w:ilvl="0" w:tplc="25B05ACE">
      <w:start w:val="1"/>
      <w:numFmt w:val="bullet"/>
      <w:lvlText w:val=""/>
      <w:lvlPicBulletId w:val="1"/>
      <w:lvlJc w:val="left"/>
      <w:pPr>
        <w:tabs>
          <w:tab w:val="num" w:pos="720"/>
        </w:tabs>
        <w:ind w:left="720" w:hanging="360"/>
      </w:pPr>
      <w:rPr>
        <w:rFonts w:ascii="Symbol" w:hAnsi="Symbol" w:hint="default"/>
      </w:rPr>
    </w:lvl>
    <w:lvl w:ilvl="1" w:tplc="E2906A40" w:tentative="1">
      <w:start w:val="1"/>
      <w:numFmt w:val="bullet"/>
      <w:lvlText w:val=""/>
      <w:lvlJc w:val="left"/>
      <w:pPr>
        <w:tabs>
          <w:tab w:val="num" w:pos="1440"/>
        </w:tabs>
        <w:ind w:left="1440" w:hanging="360"/>
      </w:pPr>
      <w:rPr>
        <w:rFonts w:ascii="Symbol" w:hAnsi="Symbol" w:hint="default"/>
      </w:rPr>
    </w:lvl>
    <w:lvl w:ilvl="2" w:tplc="746026D4" w:tentative="1">
      <w:start w:val="1"/>
      <w:numFmt w:val="bullet"/>
      <w:lvlText w:val=""/>
      <w:lvlJc w:val="left"/>
      <w:pPr>
        <w:tabs>
          <w:tab w:val="num" w:pos="2160"/>
        </w:tabs>
        <w:ind w:left="2160" w:hanging="360"/>
      </w:pPr>
      <w:rPr>
        <w:rFonts w:ascii="Symbol" w:hAnsi="Symbol" w:hint="default"/>
      </w:rPr>
    </w:lvl>
    <w:lvl w:ilvl="3" w:tplc="DB82CB72" w:tentative="1">
      <w:start w:val="1"/>
      <w:numFmt w:val="bullet"/>
      <w:lvlText w:val=""/>
      <w:lvlJc w:val="left"/>
      <w:pPr>
        <w:tabs>
          <w:tab w:val="num" w:pos="2880"/>
        </w:tabs>
        <w:ind w:left="2880" w:hanging="360"/>
      </w:pPr>
      <w:rPr>
        <w:rFonts w:ascii="Symbol" w:hAnsi="Symbol" w:hint="default"/>
      </w:rPr>
    </w:lvl>
    <w:lvl w:ilvl="4" w:tplc="9006A0E6" w:tentative="1">
      <w:start w:val="1"/>
      <w:numFmt w:val="bullet"/>
      <w:lvlText w:val=""/>
      <w:lvlJc w:val="left"/>
      <w:pPr>
        <w:tabs>
          <w:tab w:val="num" w:pos="3600"/>
        </w:tabs>
        <w:ind w:left="3600" w:hanging="360"/>
      </w:pPr>
      <w:rPr>
        <w:rFonts w:ascii="Symbol" w:hAnsi="Symbol" w:hint="default"/>
      </w:rPr>
    </w:lvl>
    <w:lvl w:ilvl="5" w:tplc="1256AC1E" w:tentative="1">
      <w:start w:val="1"/>
      <w:numFmt w:val="bullet"/>
      <w:lvlText w:val=""/>
      <w:lvlJc w:val="left"/>
      <w:pPr>
        <w:tabs>
          <w:tab w:val="num" w:pos="4320"/>
        </w:tabs>
        <w:ind w:left="4320" w:hanging="360"/>
      </w:pPr>
      <w:rPr>
        <w:rFonts w:ascii="Symbol" w:hAnsi="Symbol" w:hint="default"/>
      </w:rPr>
    </w:lvl>
    <w:lvl w:ilvl="6" w:tplc="79287BDC" w:tentative="1">
      <w:start w:val="1"/>
      <w:numFmt w:val="bullet"/>
      <w:lvlText w:val=""/>
      <w:lvlJc w:val="left"/>
      <w:pPr>
        <w:tabs>
          <w:tab w:val="num" w:pos="5040"/>
        </w:tabs>
        <w:ind w:left="5040" w:hanging="360"/>
      </w:pPr>
      <w:rPr>
        <w:rFonts w:ascii="Symbol" w:hAnsi="Symbol" w:hint="default"/>
      </w:rPr>
    </w:lvl>
    <w:lvl w:ilvl="7" w:tplc="277659D0" w:tentative="1">
      <w:start w:val="1"/>
      <w:numFmt w:val="bullet"/>
      <w:lvlText w:val=""/>
      <w:lvlJc w:val="left"/>
      <w:pPr>
        <w:tabs>
          <w:tab w:val="num" w:pos="5760"/>
        </w:tabs>
        <w:ind w:left="5760" w:hanging="360"/>
      </w:pPr>
      <w:rPr>
        <w:rFonts w:ascii="Symbol" w:hAnsi="Symbol" w:hint="default"/>
      </w:rPr>
    </w:lvl>
    <w:lvl w:ilvl="8" w:tplc="FD1A8E4A" w:tentative="1">
      <w:start w:val="1"/>
      <w:numFmt w:val="bullet"/>
      <w:lvlText w:val=""/>
      <w:lvlJc w:val="left"/>
      <w:pPr>
        <w:tabs>
          <w:tab w:val="num" w:pos="6480"/>
        </w:tabs>
        <w:ind w:left="6480" w:hanging="360"/>
      </w:pPr>
      <w:rPr>
        <w:rFonts w:ascii="Symbol" w:hAnsi="Symbol" w:hint="default"/>
      </w:rPr>
    </w:lvl>
  </w:abstractNum>
  <w:abstractNum w:abstractNumId="211" w15:restartNumberingAfterBreak="0">
    <w:nsid w:val="758954A5"/>
    <w:multiLevelType w:val="hybridMultilevel"/>
    <w:tmpl w:val="001C7306"/>
    <w:lvl w:ilvl="0" w:tplc="500C517C">
      <w:start w:val="1"/>
      <w:numFmt w:val="bullet"/>
      <w:lvlText w:val=""/>
      <w:lvlPicBulletId w:val="0"/>
      <w:lvlJc w:val="left"/>
      <w:pPr>
        <w:tabs>
          <w:tab w:val="num" w:pos="720"/>
        </w:tabs>
        <w:ind w:left="720" w:hanging="360"/>
      </w:pPr>
      <w:rPr>
        <w:rFonts w:ascii="Symbol" w:hAnsi="Symbol" w:hint="default"/>
      </w:rPr>
    </w:lvl>
    <w:lvl w:ilvl="1" w:tplc="6D34BBC0" w:tentative="1">
      <w:start w:val="1"/>
      <w:numFmt w:val="bullet"/>
      <w:lvlText w:val=""/>
      <w:lvlJc w:val="left"/>
      <w:pPr>
        <w:tabs>
          <w:tab w:val="num" w:pos="1440"/>
        </w:tabs>
        <w:ind w:left="1440" w:hanging="360"/>
      </w:pPr>
      <w:rPr>
        <w:rFonts w:ascii="Symbol" w:hAnsi="Symbol" w:hint="default"/>
      </w:rPr>
    </w:lvl>
    <w:lvl w:ilvl="2" w:tplc="53E4B5E4" w:tentative="1">
      <w:start w:val="1"/>
      <w:numFmt w:val="bullet"/>
      <w:lvlText w:val=""/>
      <w:lvlJc w:val="left"/>
      <w:pPr>
        <w:tabs>
          <w:tab w:val="num" w:pos="2160"/>
        </w:tabs>
        <w:ind w:left="2160" w:hanging="360"/>
      </w:pPr>
      <w:rPr>
        <w:rFonts w:ascii="Symbol" w:hAnsi="Symbol" w:hint="default"/>
      </w:rPr>
    </w:lvl>
    <w:lvl w:ilvl="3" w:tplc="74289A6C" w:tentative="1">
      <w:start w:val="1"/>
      <w:numFmt w:val="bullet"/>
      <w:lvlText w:val=""/>
      <w:lvlJc w:val="left"/>
      <w:pPr>
        <w:tabs>
          <w:tab w:val="num" w:pos="2880"/>
        </w:tabs>
        <w:ind w:left="2880" w:hanging="360"/>
      </w:pPr>
      <w:rPr>
        <w:rFonts w:ascii="Symbol" w:hAnsi="Symbol" w:hint="default"/>
      </w:rPr>
    </w:lvl>
    <w:lvl w:ilvl="4" w:tplc="B9B04B0E" w:tentative="1">
      <w:start w:val="1"/>
      <w:numFmt w:val="bullet"/>
      <w:lvlText w:val=""/>
      <w:lvlJc w:val="left"/>
      <w:pPr>
        <w:tabs>
          <w:tab w:val="num" w:pos="3600"/>
        </w:tabs>
        <w:ind w:left="3600" w:hanging="360"/>
      </w:pPr>
      <w:rPr>
        <w:rFonts w:ascii="Symbol" w:hAnsi="Symbol" w:hint="default"/>
      </w:rPr>
    </w:lvl>
    <w:lvl w:ilvl="5" w:tplc="E88E15E8" w:tentative="1">
      <w:start w:val="1"/>
      <w:numFmt w:val="bullet"/>
      <w:lvlText w:val=""/>
      <w:lvlJc w:val="left"/>
      <w:pPr>
        <w:tabs>
          <w:tab w:val="num" w:pos="4320"/>
        </w:tabs>
        <w:ind w:left="4320" w:hanging="360"/>
      </w:pPr>
      <w:rPr>
        <w:rFonts w:ascii="Symbol" w:hAnsi="Symbol" w:hint="default"/>
      </w:rPr>
    </w:lvl>
    <w:lvl w:ilvl="6" w:tplc="E5D268F8" w:tentative="1">
      <w:start w:val="1"/>
      <w:numFmt w:val="bullet"/>
      <w:lvlText w:val=""/>
      <w:lvlJc w:val="left"/>
      <w:pPr>
        <w:tabs>
          <w:tab w:val="num" w:pos="5040"/>
        </w:tabs>
        <w:ind w:left="5040" w:hanging="360"/>
      </w:pPr>
      <w:rPr>
        <w:rFonts w:ascii="Symbol" w:hAnsi="Symbol" w:hint="default"/>
      </w:rPr>
    </w:lvl>
    <w:lvl w:ilvl="7" w:tplc="608C4624" w:tentative="1">
      <w:start w:val="1"/>
      <w:numFmt w:val="bullet"/>
      <w:lvlText w:val=""/>
      <w:lvlJc w:val="left"/>
      <w:pPr>
        <w:tabs>
          <w:tab w:val="num" w:pos="5760"/>
        </w:tabs>
        <w:ind w:left="5760" w:hanging="360"/>
      </w:pPr>
      <w:rPr>
        <w:rFonts w:ascii="Symbol" w:hAnsi="Symbol" w:hint="default"/>
      </w:rPr>
    </w:lvl>
    <w:lvl w:ilvl="8" w:tplc="477E2E82" w:tentative="1">
      <w:start w:val="1"/>
      <w:numFmt w:val="bullet"/>
      <w:lvlText w:val=""/>
      <w:lvlJc w:val="left"/>
      <w:pPr>
        <w:tabs>
          <w:tab w:val="num" w:pos="6480"/>
        </w:tabs>
        <w:ind w:left="6480" w:hanging="360"/>
      </w:pPr>
      <w:rPr>
        <w:rFonts w:ascii="Symbol" w:hAnsi="Symbol" w:hint="default"/>
      </w:rPr>
    </w:lvl>
  </w:abstractNum>
  <w:abstractNum w:abstractNumId="212" w15:restartNumberingAfterBreak="0">
    <w:nsid w:val="76DA573C"/>
    <w:multiLevelType w:val="hybridMultilevel"/>
    <w:tmpl w:val="DF86ADB8"/>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3" w15:restartNumberingAfterBreak="0">
    <w:nsid w:val="78BE507A"/>
    <w:multiLevelType w:val="hybridMultilevel"/>
    <w:tmpl w:val="48CE8846"/>
    <w:lvl w:ilvl="0" w:tplc="797E748A">
      <w:start w:val="1"/>
      <w:numFmt w:val="bullet"/>
      <w:lvlText w:val=""/>
      <w:lvlPicBulletId w:val="1"/>
      <w:lvlJc w:val="left"/>
      <w:pPr>
        <w:tabs>
          <w:tab w:val="num" w:pos="720"/>
        </w:tabs>
        <w:ind w:left="720" w:hanging="360"/>
      </w:pPr>
      <w:rPr>
        <w:rFonts w:ascii="Symbol" w:hAnsi="Symbol" w:hint="default"/>
      </w:rPr>
    </w:lvl>
    <w:lvl w:ilvl="1" w:tplc="2D7437B8" w:tentative="1">
      <w:start w:val="1"/>
      <w:numFmt w:val="bullet"/>
      <w:lvlText w:val=""/>
      <w:lvlJc w:val="left"/>
      <w:pPr>
        <w:tabs>
          <w:tab w:val="num" w:pos="1440"/>
        </w:tabs>
        <w:ind w:left="1440" w:hanging="360"/>
      </w:pPr>
      <w:rPr>
        <w:rFonts w:ascii="Symbol" w:hAnsi="Symbol" w:hint="default"/>
      </w:rPr>
    </w:lvl>
    <w:lvl w:ilvl="2" w:tplc="07E43912" w:tentative="1">
      <w:start w:val="1"/>
      <w:numFmt w:val="bullet"/>
      <w:lvlText w:val=""/>
      <w:lvlJc w:val="left"/>
      <w:pPr>
        <w:tabs>
          <w:tab w:val="num" w:pos="2160"/>
        </w:tabs>
        <w:ind w:left="2160" w:hanging="360"/>
      </w:pPr>
      <w:rPr>
        <w:rFonts w:ascii="Symbol" w:hAnsi="Symbol" w:hint="default"/>
      </w:rPr>
    </w:lvl>
    <w:lvl w:ilvl="3" w:tplc="F5926750" w:tentative="1">
      <w:start w:val="1"/>
      <w:numFmt w:val="bullet"/>
      <w:lvlText w:val=""/>
      <w:lvlJc w:val="left"/>
      <w:pPr>
        <w:tabs>
          <w:tab w:val="num" w:pos="2880"/>
        </w:tabs>
        <w:ind w:left="2880" w:hanging="360"/>
      </w:pPr>
      <w:rPr>
        <w:rFonts w:ascii="Symbol" w:hAnsi="Symbol" w:hint="default"/>
      </w:rPr>
    </w:lvl>
    <w:lvl w:ilvl="4" w:tplc="D80AB024" w:tentative="1">
      <w:start w:val="1"/>
      <w:numFmt w:val="bullet"/>
      <w:lvlText w:val=""/>
      <w:lvlJc w:val="left"/>
      <w:pPr>
        <w:tabs>
          <w:tab w:val="num" w:pos="3600"/>
        </w:tabs>
        <w:ind w:left="3600" w:hanging="360"/>
      </w:pPr>
      <w:rPr>
        <w:rFonts w:ascii="Symbol" w:hAnsi="Symbol" w:hint="default"/>
      </w:rPr>
    </w:lvl>
    <w:lvl w:ilvl="5" w:tplc="D8585F9E" w:tentative="1">
      <w:start w:val="1"/>
      <w:numFmt w:val="bullet"/>
      <w:lvlText w:val=""/>
      <w:lvlJc w:val="left"/>
      <w:pPr>
        <w:tabs>
          <w:tab w:val="num" w:pos="4320"/>
        </w:tabs>
        <w:ind w:left="4320" w:hanging="360"/>
      </w:pPr>
      <w:rPr>
        <w:rFonts w:ascii="Symbol" w:hAnsi="Symbol" w:hint="default"/>
      </w:rPr>
    </w:lvl>
    <w:lvl w:ilvl="6" w:tplc="B680CE1E" w:tentative="1">
      <w:start w:val="1"/>
      <w:numFmt w:val="bullet"/>
      <w:lvlText w:val=""/>
      <w:lvlJc w:val="left"/>
      <w:pPr>
        <w:tabs>
          <w:tab w:val="num" w:pos="5040"/>
        </w:tabs>
        <w:ind w:left="5040" w:hanging="360"/>
      </w:pPr>
      <w:rPr>
        <w:rFonts w:ascii="Symbol" w:hAnsi="Symbol" w:hint="default"/>
      </w:rPr>
    </w:lvl>
    <w:lvl w:ilvl="7" w:tplc="E8BE4FFC" w:tentative="1">
      <w:start w:val="1"/>
      <w:numFmt w:val="bullet"/>
      <w:lvlText w:val=""/>
      <w:lvlJc w:val="left"/>
      <w:pPr>
        <w:tabs>
          <w:tab w:val="num" w:pos="5760"/>
        </w:tabs>
        <w:ind w:left="5760" w:hanging="360"/>
      </w:pPr>
      <w:rPr>
        <w:rFonts w:ascii="Symbol" w:hAnsi="Symbol" w:hint="default"/>
      </w:rPr>
    </w:lvl>
    <w:lvl w:ilvl="8" w:tplc="DE3638EE" w:tentative="1">
      <w:start w:val="1"/>
      <w:numFmt w:val="bullet"/>
      <w:lvlText w:val=""/>
      <w:lvlJc w:val="left"/>
      <w:pPr>
        <w:tabs>
          <w:tab w:val="num" w:pos="6480"/>
        </w:tabs>
        <w:ind w:left="6480" w:hanging="360"/>
      </w:pPr>
      <w:rPr>
        <w:rFonts w:ascii="Symbol" w:hAnsi="Symbol" w:hint="default"/>
      </w:rPr>
    </w:lvl>
  </w:abstractNum>
  <w:abstractNum w:abstractNumId="214" w15:restartNumberingAfterBreak="0">
    <w:nsid w:val="78C446A0"/>
    <w:multiLevelType w:val="hybridMultilevel"/>
    <w:tmpl w:val="75E8C310"/>
    <w:lvl w:ilvl="0" w:tplc="D3D092D2">
      <w:start w:val="1"/>
      <w:numFmt w:val="bullet"/>
      <w:lvlText w:val=""/>
      <w:lvlPicBulletId w:val="1"/>
      <w:lvlJc w:val="left"/>
      <w:pPr>
        <w:tabs>
          <w:tab w:val="num" w:pos="720"/>
        </w:tabs>
        <w:ind w:left="720" w:hanging="360"/>
      </w:pPr>
      <w:rPr>
        <w:rFonts w:ascii="Symbol" w:hAnsi="Symbol" w:hint="default"/>
      </w:rPr>
    </w:lvl>
    <w:lvl w:ilvl="1" w:tplc="2A50A8DC" w:tentative="1">
      <w:start w:val="1"/>
      <w:numFmt w:val="bullet"/>
      <w:lvlText w:val=""/>
      <w:lvlJc w:val="left"/>
      <w:pPr>
        <w:tabs>
          <w:tab w:val="num" w:pos="1440"/>
        </w:tabs>
        <w:ind w:left="1440" w:hanging="360"/>
      </w:pPr>
      <w:rPr>
        <w:rFonts w:ascii="Symbol" w:hAnsi="Symbol" w:hint="default"/>
      </w:rPr>
    </w:lvl>
    <w:lvl w:ilvl="2" w:tplc="94DA140A" w:tentative="1">
      <w:start w:val="1"/>
      <w:numFmt w:val="bullet"/>
      <w:lvlText w:val=""/>
      <w:lvlJc w:val="left"/>
      <w:pPr>
        <w:tabs>
          <w:tab w:val="num" w:pos="2160"/>
        </w:tabs>
        <w:ind w:left="2160" w:hanging="360"/>
      </w:pPr>
      <w:rPr>
        <w:rFonts w:ascii="Symbol" w:hAnsi="Symbol" w:hint="default"/>
      </w:rPr>
    </w:lvl>
    <w:lvl w:ilvl="3" w:tplc="45B803C0" w:tentative="1">
      <w:start w:val="1"/>
      <w:numFmt w:val="bullet"/>
      <w:lvlText w:val=""/>
      <w:lvlJc w:val="left"/>
      <w:pPr>
        <w:tabs>
          <w:tab w:val="num" w:pos="2880"/>
        </w:tabs>
        <w:ind w:left="2880" w:hanging="360"/>
      </w:pPr>
      <w:rPr>
        <w:rFonts w:ascii="Symbol" w:hAnsi="Symbol" w:hint="default"/>
      </w:rPr>
    </w:lvl>
    <w:lvl w:ilvl="4" w:tplc="30EC2AFE" w:tentative="1">
      <w:start w:val="1"/>
      <w:numFmt w:val="bullet"/>
      <w:lvlText w:val=""/>
      <w:lvlJc w:val="left"/>
      <w:pPr>
        <w:tabs>
          <w:tab w:val="num" w:pos="3600"/>
        </w:tabs>
        <w:ind w:left="3600" w:hanging="360"/>
      </w:pPr>
      <w:rPr>
        <w:rFonts w:ascii="Symbol" w:hAnsi="Symbol" w:hint="default"/>
      </w:rPr>
    </w:lvl>
    <w:lvl w:ilvl="5" w:tplc="CB925300" w:tentative="1">
      <w:start w:val="1"/>
      <w:numFmt w:val="bullet"/>
      <w:lvlText w:val=""/>
      <w:lvlJc w:val="left"/>
      <w:pPr>
        <w:tabs>
          <w:tab w:val="num" w:pos="4320"/>
        </w:tabs>
        <w:ind w:left="4320" w:hanging="360"/>
      </w:pPr>
      <w:rPr>
        <w:rFonts w:ascii="Symbol" w:hAnsi="Symbol" w:hint="default"/>
      </w:rPr>
    </w:lvl>
    <w:lvl w:ilvl="6" w:tplc="7B46B524" w:tentative="1">
      <w:start w:val="1"/>
      <w:numFmt w:val="bullet"/>
      <w:lvlText w:val=""/>
      <w:lvlJc w:val="left"/>
      <w:pPr>
        <w:tabs>
          <w:tab w:val="num" w:pos="5040"/>
        </w:tabs>
        <w:ind w:left="5040" w:hanging="360"/>
      </w:pPr>
      <w:rPr>
        <w:rFonts w:ascii="Symbol" w:hAnsi="Symbol" w:hint="default"/>
      </w:rPr>
    </w:lvl>
    <w:lvl w:ilvl="7" w:tplc="D5D00BB6" w:tentative="1">
      <w:start w:val="1"/>
      <w:numFmt w:val="bullet"/>
      <w:lvlText w:val=""/>
      <w:lvlJc w:val="left"/>
      <w:pPr>
        <w:tabs>
          <w:tab w:val="num" w:pos="5760"/>
        </w:tabs>
        <w:ind w:left="5760" w:hanging="360"/>
      </w:pPr>
      <w:rPr>
        <w:rFonts w:ascii="Symbol" w:hAnsi="Symbol" w:hint="default"/>
      </w:rPr>
    </w:lvl>
    <w:lvl w:ilvl="8" w:tplc="94089FFA" w:tentative="1">
      <w:start w:val="1"/>
      <w:numFmt w:val="bullet"/>
      <w:lvlText w:val=""/>
      <w:lvlJc w:val="left"/>
      <w:pPr>
        <w:tabs>
          <w:tab w:val="num" w:pos="6480"/>
        </w:tabs>
        <w:ind w:left="6480" w:hanging="360"/>
      </w:pPr>
      <w:rPr>
        <w:rFonts w:ascii="Symbol" w:hAnsi="Symbol" w:hint="default"/>
      </w:rPr>
    </w:lvl>
  </w:abstractNum>
  <w:abstractNum w:abstractNumId="215" w15:restartNumberingAfterBreak="0">
    <w:nsid w:val="7A38056D"/>
    <w:multiLevelType w:val="hybridMultilevel"/>
    <w:tmpl w:val="9A32F9E8"/>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6" w15:restartNumberingAfterBreak="0">
    <w:nsid w:val="7A8A4413"/>
    <w:multiLevelType w:val="multilevel"/>
    <w:tmpl w:val="8D2A1B7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7" w15:restartNumberingAfterBreak="0">
    <w:nsid w:val="7BCD3E0A"/>
    <w:multiLevelType w:val="hybridMultilevel"/>
    <w:tmpl w:val="892CDE82"/>
    <w:lvl w:ilvl="0" w:tplc="A75ACB68">
      <w:start w:val="1"/>
      <w:numFmt w:val="bullet"/>
      <w:lvlText w:val=""/>
      <w:lvlPicBulletId w:val="0"/>
      <w:lvlJc w:val="left"/>
      <w:pPr>
        <w:tabs>
          <w:tab w:val="num" w:pos="720"/>
        </w:tabs>
        <w:ind w:left="720" w:hanging="360"/>
      </w:pPr>
      <w:rPr>
        <w:rFonts w:ascii="Symbol" w:hAnsi="Symbol" w:hint="default"/>
      </w:rPr>
    </w:lvl>
    <w:lvl w:ilvl="1" w:tplc="ECDEB8BA" w:tentative="1">
      <w:start w:val="1"/>
      <w:numFmt w:val="bullet"/>
      <w:lvlText w:val=""/>
      <w:lvlJc w:val="left"/>
      <w:pPr>
        <w:tabs>
          <w:tab w:val="num" w:pos="1440"/>
        </w:tabs>
        <w:ind w:left="1440" w:hanging="360"/>
      </w:pPr>
      <w:rPr>
        <w:rFonts w:ascii="Symbol" w:hAnsi="Symbol" w:hint="default"/>
      </w:rPr>
    </w:lvl>
    <w:lvl w:ilvl="2" w:tplc="313C2420" w:tentative="1">
      <w:start w:val="1"/>
      <w:numFmt w:val="bullet"/>
      <w:lvlText w:val=""/>
      <w:lvlJc w:val="left"/>
      <w:pPr>
        <w:tabs>
          <w:tab w:val="num" w:pos="2160"/>
        </w:tabs>
        <w:ind w:left="2160" w:hanging="360"/>
      </w:pPr>
      <w:rPr>
        <w:rFonts w:ascii="Symbol" w:hAnsi="Symbol" w:hint="default"/>
      </w:rPr>
    </w:lvl>
    <w:lvl w:ilvl="3" w:tplc="4894CB9C" w:tentative="1">
      <w:start w:val="1"/>
      <w:numFmt w:val="bullet"/>
      <w:lvlText w:val=""/>
      <w:lvlJc w:val="left"/>
      <w:pPr>
        <w:tabs>
          <w:tab w:val="num" w:pos="2880"/>
        </w:tabs>
        <w:ind w:left="2880" w:hanging="360"/>
      </w:pPr>
      <w:rPr>
        <w:rFonts w:ascii="Symbol" w:hAnsi="Symbol" w:hint="default"/>
      </w:rPr>
    </w:lvl>
    <w:lvl w:ilvl="4" w:tplc="D64CA0A6" w:tentative="1">
      <w:start w:val="1"/>
      <w:numFmt w:val="bullet"/>
      <w:lvlText w:val=""/>
      <w:lvlJc w:val="left"/>
      <w:pPr>
        <w:tabs>
          <w:tab w:val="num" w:pos="3600"/>
        </w:tabs>
        <w:ind w:left="3600" w:hanging="360"/>
      </w:pPr>
      <w:rPr>
        <w:rFonts w:ascii="Symbol" w:hAnsi="Symbol" w:hint="default"/>
      </w:rPr>
    </w:lvl>
    <w:lvl w:ilvl="5" w:tplc="9FBEA9D0" w:tentative="1">
      <w:start w:val="1"/>
      <w:numFmt w:val="bullet"/>
      <w:lvlText w:val=""/>
      <w:lvlJc w:val="left"/>
      <w:pPr>
        <w:tabs>
          <w:tab w:val="num" w:pos="4320"/>
        </w:tabs>
        <w:ind w:left="4320" w:hanging="360"/>
      </w:pPr>
      <w:rPr>
        <w:rFonts w:ascii="Symbol" w:hAnsi="Symbol" w:hint="default"/>
      </w:rPr>
    </w:lvl>
    <w:lvl w:ilvl="6" w:tplc="27BA7348" w:tentative="1">
      <w:start w:val="1"/>
      <w:numFmt w:val="bullet"/>
      <w:lvlText w:val=""/>
      <w:lvlJc w:val="left"/>
      <w:pPr>
        <w:tabs>
          <w:tab w:val="num" w:pos="5040"/>
        </w:tabs>
        <w:ind w:left="5040" w:hanging="360"/>
      </w:pPr>
      <w:rPr>
        <w:rFonts w:ascii="Symbol" w:hAnsi="Symbol" w:hint="default"/>
      </w:rPr>
    </w:lvl>
    <w:lvl w:ilvl="7" w:tplc="10CA8B9E" w:tentative="1">
      <w:start w:val="1"/>
      <w:numFmt w:val="bullet"/>
      <w:lvlText w:val=""/>
      <w:lvlJc w:val="left"/>
      <w:pPr>
        <w:tabs>
          <w:tab w:val="num" w:pos="5760"/>
        </w:tabs>
        <w:ind w:left="5760" w:hanging="360"/>
      </w:pPr>
      <w:rPr>
        <w:rFonts w:ascii="Symbol" w:hAnsi="Symbol" w:hint="default"/>
      </w:rPr>
    </w:lvl>
    <w:lvl w:ilvl="8" w:tplc="B70CFB4A" w:tentative="1">
      <w:start w:val="1"/>
      <w:numFmt w:val="bullet"/>
      <w:lvlText w:val=""/>
      <w:lvlJc w:val="left"/>
      <w:pPr>
        <w:tabs>
          <w:tab w:val="num" w:pos="6480"/>
        </w:tabs>
        <w:ind w:left="6480" w:hanging="360"/>
      </w:pPr>
      <w:rPr>
        <w:rFonts w:ascii="Symbol" w:hAnsi="Symbol" w:hint="default"/>
      </w:rPr>
    </w:lvl>
  </w:abstractNum>
  <w:abstractNum w:abstractNumId="218" w15:restartNumberingAfterBreak="0">
    <w:nsid w:val="7BDF7731"/>
    <w:multiLevelType w:val="hybridMultilevel"/>
    <w:tmpl w:val="AD5C1412"/>
    <w:lvl w:ilvl="0" w:tplc="60145BE6">
      <w:start w:val="1"/>
      <w:numFmt w:val="bullet"/>
      <w:lvlText w:val=""/>
      <w:lvlPicBulletId w:val="0"/>
      <w:lvlJc w:val="left"/>
      <w:pPr>
        <w:tabs>
          <w:tab w:val="num" w:pos="720"/>
        </w:tabs>
        <w:ind w:left="720" w:hanging="360"/>
      </w:pPr>
      <w:rPr>
        <w:rFonts w:ascii="Symbol" w:hAnsi="Symbol" w:hint="default"/>
      </w:rPr>
    </w:lvl>
    <w:lvl w:ilvl="1" w:tplc="F2322DEE" w:tentative="1">
      <w:start w:val="1"/>
      <w:numFmt w:val="bullet"/>
      <w:lvlText w:val=""/>
      <w:lvlJc w:val="left"/>
      <w:pPr>
        <w:tabs>
          <w:tab w:val="num" w:pos="1440"/>
        </w:tabs>
        <w:ind w:left="1440" w:hanging="360"/>
      </w:pPr>
      <w:rPr>
        <w:rFonts w:ascii="Symbol" w:hAnsi="Symbol" w:hint="default"/>
      </w:rPr>
    </w:lvl>
    <w:lvl w:ilvl="2" w:tplc="60B20830" w:tentative="1">
      <w:start w:val="1"/>
      <w:numFmt w:val="bullet"/>
      <w:lvlText w:val=""/>
      <w:lvlJc w:val="left"/>
      <w:pPr>
        <w:tabs>
          <w:tab w:val="num" w:pos="2160"/>
        </w:tabs>
        <w:ind w:left="2160" w:hanging="360"/>
      </w:pPr>
      <w:rPr>
        <w:rFonts w:ascii="Symbol" w:hAnsi="Symbol" w:hint="default"/>
      </w:rPr>
    </w:lvl>
    <w:lvl w:ilvl="3" w:tplc="7902CD06" w:tentative="1">
      <w:start w:val="1"/>
      <w:numFmt w:val="bullet"/>
      <w:lvlText w:val=""/>
      <w:lvlJc w:val="left"/>
      <w:pPr>
        <w:tabs>
          <w:tab w:val="num" w:pos="2880"/>
        </w:tabs>
        <w:ind w:left="2880" w:hanging="360"/>
      </w:pPr>
      <w:rPr>
        <w:rFonts w:ascii="Symbol" w:hAnsi="Symbol" w:hint="default"/>
      </w:rPr>
    </w:lvl>
    <w:lvl w:ilvl="4" w:tplc="D77EA770" w:tentative="1">
      <w:start w:val="1"/>
      <w:numFmt w:val="bullet"/>
      <w:lvlText w:val=""/>
      <w:lvlJc w:val="left"/>
      <w:pPr>
        <w:tabs>
          <w:tab w:val="num" w:pos="3600"/>
        </w:tabs>
        <w:ind w:left="3600" w:hanging="360"/>
      </w:pPr>
      <w:rPr>
        <w:rFonts w:ascii="Symbol" w:hAnsi="Symbol" w:hint="default"/>
      </w:rPr>
    </w:lvl>
    <w:lvl w:ilvl="5" w:tplc="DDFA796E" w:tentative="1">
      <w:start w:val="1"/>
      <w:numFmt w:val="bullet"/>
      <w:lvlText w:val=""/>
      <w:lvlJc w:val="left"/>
      <w:pPr>
        <w:tabs>
          <w:tab w:val="num" w:pos="4320"/>
        </w:tabs>
        <w:ind w:left="4320" w:hanging="360"/>
      </w:pPr>
      <w:rPr>
        <w:rFonts w:ascii="Symbol" w:hAnsi="Symbol" w:hint="default"/>
      </w:rPr>
    </w:lvl>
    <w:lvl w:ilvl="6" w:tplc="F4367DA0" w:tentative="1">
      <w:start w:val="1"/>
      <w:numFmt w:val="bullet"/>
      <w:lvlText w:val=""/>
      <w:lvlJc w:val="left"/>
      <w:pPr>
        <w:tabs>
          <w:tab w:val="num" w:pos="5040"/>
        </w:tabs>
        <w:ind w:left="5040" w:hanging="360"/>
      </w:pPr>
      <w:rPr>
        <w:rFonts w:ascii="Symbol" w:hAnsi="Symbol" w:hint="default"/>
      </w:rPr>
    </w:lvl>
    <w:lvl w:ilvl="7" w:tplc="D3AABA90" w:tentative="1">
      <w:start w:val="1"/>
      <w:numFmt w:val="bullet"/>
      <w:lvlText w:val=""/>
      <w:lvlJc w:val="left"/>
      <w:pPr>
        <w:tabs>
          <w:tab w:val="num" w:pos="5760"/>
        </w:tabs>
        <w:ind w:left="5760" w:hanging="360"/>
      </w:pPr>
      <w:rPr>
        <w:rFonts w:ascii="Symbol" w:hAnsi="Symbol" w:hint="default"/>
      </w:rPr>
    </w:lvl>
    <w:lvl w:ilvl="8" w:tplc="A35EF582" w:tentative="1">
      <w:start w:val="1"/>
      <w:numFmt w:val="bullet"/>
      <w:lvlText w:val=""/>
      <w:lvlJc w:val="left"/>
      <w:pPr>
        <w:tabs>
          <w:tab w:val="num" w:pos="6480"/>
        </w:tabs>
        <w:ind w:left="6480" w:hanging="360"/>
      </w:pPr>
      <w:rPr>
        <w:rFonts w:ascii="Symbol" w:hAnsi="Symbol" w:hint="default"/>
      </w:rPr>
    </w:lvl>
  </w:abstractNum>
  <w:abstractNum w:abstractNumId="219" w15:restartNumberingAfterBreak="0">
    <w:nsid w:val="7C5A5333"/>
    <w:multiLevelType w:val="hybridMultilevel"/>
    <w:tmpl w:val="39F85096"/>
    <w:lvl w:ilvl="0" w:tplc="7C22A950">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0" w15:restartNumberingAfterBreak="0">
    <w:nsid w:val="7D0A4315"/>
    <w:multiLevelType w:val="hybridMultilevel"/>
    <w:tmpl w:val="9F142D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1" w15:restartNumberingAfterBreak="0">
    <w:nsid w:val="7ED92877"/>
    <w:multiLevelType w:val="hybridMultilevel"/>
    <w:tmpl w:val="D8AE3F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2" w15:restartNumberingAfterBreak="0">
    <w:nsid w:val="7F94149F"/>
    <w:multiLevelType w:val="hybridMultilevel"/>
    <w:tmpl w:val="AA98FDCE"/>
    <w:lvl w:ilvl="0" w:tplc="53E61188">
      <w:start w:val="1"/>
      <w:numFmt w:val="bullet"/>
      <w:lvlText w:val=""/>
      <w:lvlPicBulletId w:val="1"/>
      <w:lvlJc w:val="left"/>
      <w:pPr>
        <w:tabs>
          <w:tab w:val="num" w:pos="720"/>
        </w:tabs>
        <w:ind w:left="720" w:hanging="360"/>
      </w:pPr>
      <w:rPr>
        <w:rFonts w:ascii="Symbol" w:hAnsi="Symbol" w:hint="default"/>
      </w:rPr>
    </w:lvl>
    <w:lvl w:ilvl="1" w:tplc="070A603C" w:tentative="1">
      <w:start w:val="1"/>
      <w:numFmt w:val="bullet"/>
      <w:lvlText w:val=""/>
      <w:lvlJc w:val="left"/>
      <w:pPr>
        <w:tabs>
          <w:tab w:val="num" w:pos="1440"/>
        </w:tabs>
        <w:ind w:left="1440" w:hanging="360"/>
      </w:pPr>
      <w:rPr>
        <w:rFonts w:ascii="Symbol" w:hAnsi="Symbol" w:hint="default"/>
      </w:rPr>
    </w:lvl>
    <w:lvl w:ilvl="2" w:tplc="70307D14" w:tentative="1">
      <w:start w:val="1"/>
      <w:numFmt w:val="bullet"/>
      <w:lvlText w:val=""/>
      <w:lvlJc w:val="left"/>
      <w:pPr>
        <w:tabs>
          <w:tab w:val="num" w:pos="2160"/>
        </w:tabs>
        <w:ind w:left="2160" w:hanging="360"/>
      </w:pPr>
      <w:rPr>
        <w:rFonts w:ascii="Symbol" w:hAnsi="Symbol" w:hint="default"/>
      </w:rPr>
    </w:lvl>
    <w:lvl w:ilvl="3" w:tplc="D982E7DA" w:tentative="1">
      <w:start w:val="1"/>
      <w:numFmt w:val="bullet"/>
      <w:lvlText w:val=""/>
      <w:lvlJc w:val="left"/>
      <w:pPr>
        <w:tabs>
          <w:tab w:val="num" w:pos="2880"/>
        </w:tabs>
        <w:ind w:left="2880" w:hanging="360"/>
      </w:pPr>
      <w:rPr>
        <w:rFonts w:ascii="Symbol" w:hAnsi="Symbol" w:hint="default"/>
      </w:rPr>
    </w:lvl>
    <w:lvl w:ilvl="4" w:tplc="19BCB296" w:tentative="1">
      <w:start w:val="1"/>
      <w:numFmt w:val="bullet"/>
      <w:lvlText w:val=""/>
      <w:lvlJc w:val="left"/>
      <w:pPr>
        <w:tabs>
          <w:tab w:val="num" w:pos="3600"/>
        </w:tabs>
        <w:ind w:left="3600" w:hanging="360"/>
      </w:pPr>
      <w:rPr>
        <w:rFonts w:ascii="Symbol" w:hAnsi="Symbol" w:hint="default"/>
      </w:rPr>
    </w:lvl>
    <w:lvl w:ilvl="5" w:tplc="B7E2D23A" w:tentative="1">
      <w:start w:val="1"/>
      <w:numFmt w:val="bullet"/>
      <w:lvlText w:val=""/>
      <w:lvlJc w:val="left"/>
      <w:pPr>
        <w:tabs>
          <w:tab w:val="num" w:pos="4320"/>
        </w:tabs>
        <w:ind w:left="4320" w:hanging="360"/>
      </w:pPr>
      <w:rPr>
        <w:rFonts w:ascii="Symbol" w:hAnsi="Symbol" w:hint="default"/>
      </w:rPr>
    </w:lvl>
    <w:lvl w:ilvl="6" w:tplc="87180916" w:tentative="1">
      <w:start w:val="1"/>
      <w:numFmt w:val="bullet"/>
      <w:lvlText w:val=""/>
      <w:lvlJc w:val="left"/>
      <w:pPr>
        <w:tabs>
          <w:tab w:val="num" w:pos="5040"/>
        </w:tabs>
        <w:ind w:left="5040" w:hanging="360"/>
      </w:pPr>
      <w:rPr>
        <w:rFonts w:ascii="Symbol" w:hAnsi="Symbol" w:hint="default"/>
      </w:rPr>
    </w:lvl>
    <w:lvl w:ilvl="7" w:tplc="0E4A9BB8" w:tentative="1">
      <w:start w:val="1"/>
      <w:numFmt w:val="bullet"/>
      <w:lvlText w:val=""/>
      <w:lvlJc w:val="left"/>
      <w:pPr>
        <w:tabs>
          <w:tab w:val="num" w:pos="5760"/>
        </w:tabs>
        <w:ind w:left="5760" w:hanging="360"/>
      </w:pPr>
      <w:rPr>
        <w:rFonts w:ascii="Symbol" w:hAnsi="Symbol" w:hint="default"/>
      </w:rPr>
    </w:lvl>
    <w:lvl w:ilvl="8" w:tplc="6212AA54" w:tentative="1">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1"/>
  </w:num>
  <w:num w:numId="3">
    <w:abstractNumId w:val="176"/>
  </w:num>
  <w:num w:numId="4">
    <w:abstractNumId w:val="195"/>
  </w:num>
  <w:num w:numId="5">
    <w:abstractNumId w:val="84"/>
  </w:num>
  <w:num w:numId="6">
    <w:abstractNumId w:val="201"/>
  </w:num>
  <w:num w:numId="7">
    <w:abstractNumId w:val="86"/>
  </w:num>
  <w:num w:numId="8">
    <w:abstractNumId w:val="181"/>
  </w:num>
  <w:num w:numId="9">
    <w:abstractNumId w:val="150"/>
  </w:num>
  <w:num w:numId="10">
    <w:abstractNumId w:val="175"/>
  </w:num>
  <w:num w:numId="11">
    <w:abstractNumId w:val="9"/>
  </w:num>
  <w:num w:numId="12">
    <w:abstractNumId w:val="175"/>
  </w:num>
  <w:num w:numId="13">
    <w:abstractNumId w:val="71"/>
  </w:num>
  <w:num w:numId="14">
    <w:abstractNumId w:val="113"/>
  </w:num>
  <w:num w:numId="15">
    <w:abstractNumId w:val="61"/>
  </w:num>
  <w:num w:numId="16">
    <w:abstractNumId w:val="57"/>
  </w:num>
  <w:num w:numId="17">
    <w:abstractNumId w:val="45"/>
  </w:num>
  <w:num w:numId="18">
    <w:abstractNumId w:val="138"/>
  </w:num>
  <w:num w:numId="19">
    <w:abstractNumId w:val="207"/>
  </w:num>
  <w:num w:numId="20">
    <w:abstractNumId w:val="207"/>
  </w:num>
  <w:num w:numId="21">
    <w:abstractNumId w:val="100"/>
  </w:num>
  <w:num w:numId="22">
    <w:abstractNumId w:val="173"/>
  </w:num>
  <w:num w:numId="23">
    <w:abstractNumId w:val="16"/>
  </w:num>
  <w:num w:numId="24">
    <w:abstractNumId w:val="148"/>
  </w:num>
  <w:num w:numId="25">
    <w:abstractNumId w:val="59"/>
  </w:num>
  <w:num w:numId="26">
    <w:abstractNumId w:val="171"/>
  </w:num>
  <w:num w:numId="27">
    <w:abstractNumId w:val="149"/>
  </w:num>
  <w:num w:numId="28">
    <w:abstractNumId w:val="4"/>
  </w:num>
  <w:num w:numId="29">
    <w:abstractNumId w:val="0"/>
  </w:num>
  <w:num w:numId="30">
    <w:abstractNumId w:val="88"/>
  </w:num>
  <w:num w:numId="31">
    <w:abstractNumId w:val="4"/>
  </w:num>
  <w:num w:numId="32">
    <w:abstractNumId w:val="4"/>
  </w:num>
  <w:num w:numId="33">
    <w:abstractNumId w:val="130"/>
  </w:num>
  <w:num w:numId="34">
    <w:abstractNumId w:val="130"/>
  </w:num>
  <w:num w:numId="35">
    <w:abstractNumId w:val="175"/>
    <w:lvlOverride w:ilvl="0">
      <w:startOverride w:val="1"/>
    </w:lvlOverride>
  </w:num>
  <w:num w:numId="36">
    <w:abstractNumId w:val="4"/>
  </w:num>
  <w:num w:numId="37">
    <w:abstractNumId w:val="4"/>
  </w:num>
  <w:num w:numId="38">
    <w:abstractNumId w:val="216"/>
  </w:num>
  <w:num w:numId="39">
    <w:abstractNumId w:val="2"/>
  </w:num>
  <w:num w:numId="40">
    <w:abstractNumId w:val="141"/>
  </w:num>
  <w:num w:numId="41">
    <w:abstractNumId w:val="165"/>
  </w:num>
  <w:num w:numId="42">
    <w:abstractNumId w:val="112"/>
  </w:num>
  <w:num w:numId="43">
    <w:abstractNumId w:val="32"/>
  </w:num>
  <w:num w:numId="44">
    <w:abstractNumId w:val="72"/>
  </w:num>
  <w:num w:numId="45">
    <w:abstractNumId w:val="17"/>
  </w:num>
  <w:num w:numId="46">
    <w:abstractNumId w:val="77"/>
  </w:num>
  <w:num w:numId="47">
    <w:abstractNumId w:val="99"/>
  </w:num>
  <w:num w:numId="48">
    <w:abstractNumId w:val="79"/>
  </w:num>
  <w:num w:numId="49">
    <w:abstractNumId w:val="4"/>
  </w:num>
  <w:num w:numId="50">
    <w:abstractNumId w:val="4"/>
  </w:num>
  <w:num w:numId="51">
    <w:abstractNumId w:val="4"/>
  </w:num>
  <w:num w:numId="52">
    <w:abstractNumId w:val="131"/>
  </w:num>
  <w:num w:numId="53">
    <w:abstractNumId w:val="4"/>
  </w:num>
  <w:num w:numId="54">
    <w:abstractNumId w:val="27"/>
  </w:num>
  <w:num w:numId="55">
    <w:abstractNumId w:val="95"/>
  </w:num>
  <w:num w:numId="56">
    <w:abstractNumId w:val="165"/>
  </w:num>
  <w:num w:numId="57">
    <w:abstractNumId w:val="175"/>
    <w:lvlOverride w:ilvl="0">
      <w:startOverride w:val="3"/>
    </w:lvlOverride>
  </w:num>
  <w:num w:numId="58">
    <w:abstractNumId w:val="121"/>
  </w:num>
  <w:num w:numId="59">
    <w:abstractNumId w:val="175"/>
  </w:num>
  <w:num w:numId="60">
    <w:abstractNumId w:val="76"/>
  </w:num>
  <w:num w:numId="61">
    <w:abstractNumId w:val="66"/>
  </w:num>
  <w:num w:numId="62">
    <w:abstractNumId w:val="167"/>
  </w:num>
  <w:num w:numId="63">
    <w:abstractNumId w:val="1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8"/>
  </w:num>
  <w:num w:numId="65">
    <w:abstractNumId w:val="221"/>
  </w:num>
  <w:num w:numId="66">
    <w:abstractNumId w:val="147"/>
  </w:num>
  <w:num w:numId="67">
    <w:abstractNumId w:val="5"/>
  </w:num>
  <w:num w:numId="68">
    <w:abstractNumId w:val="114"/>
  </w:num>
  <w:num w:numId="69">
    <w:abstractNumId w:val="126"/>
  </w:num>
  <w:num w:numId="70">
    <w:abstractNumId w:val="10"/>
  </w:num>
  <w:num w:numId="71">
    <w:abstractNumId w:val="8"/>
  </w:num>
  <w:num w:numId="72">
    <w:abstractNumId w:val="115"/>
  </w:num>
  <w:num w:numId="73">
    <w:abstractNumId w:val="212"/>
  </w:num>
  <w:num w:numId="74">
    <w:abstractNumId w:val="92"/>
  </w:num>
  <w:num w:numId="75">
    <w:abstractNumId w:val="146"/>
  </w:num>
  <w:num w:numId="76">
    <w:abstractNumId w:val="94"/>
  </w:num>
  <w:num w:numId="77">
    <w:abstractNumId w:val="151"/>
  </w:num>
  <w:num w:numId="78">
    <w:abstractNumId w:val="215"/>
  </w:num>
  <w:num w:numId="79">
    <w:abstractNumId w:val="118"/>
  </w:num>
  <w:num w:numId="80">
    <w:abstractNumId w:val="139"/>
  </w:num>
  <w:num w:numId="81">
    <w:abstractNumId w:val="70"/>
  </w:num>
  <w:num w:numId="82">
    <w:abstractNumId w:val="163"/>
  </w:num>
  <w:num w:numId="83">
    <w:abstractNumId w:val="7"/>
  </w:num>
  <w:num w:numId="84">
    <w:abstractNumId w:val="90"/>
  </w:num>
  <w:num w:numId="85">
    <w:abstractNumId w:val="142"/>
  </w:num>
  <w:num w:numId="86">
    <w:abstractNumId w:val="36"/>
  </w:num>
  <w:num w:numId="87">
    <w:abstractNumId w:val="179"/>
  </w:num>
  <w:num w:numId="88">
    <w:abstractNumId w:val="213"/>
  </w:num>
  <w:num w:numId="89">
    <w:abstractNumId w:val="48"/>
  </w:num>
  <w:num w:numId="90">
    <w:abstractNumId w:val="104"/>
  </w:num>
  <w:num w:numId="91">
    <w:abstractNumId w:val="85"/>
  </w:num>
  <w:num w:numId="92">
    <w:abstractNumId w:val="58"/>
  </w:num>
  <w:num w:numId="93">
    <w:abstractNumId w:val="214"/>
  </w:num>
  <w:num w:numId="94">
    <w:abstractNumId w:val="161"/>
  </w:num>
  <w:num w:numId="95">
    <w:abstractNumId w:val="83"/>
  </w:num>
  <w:num w:numId="96">
    <w:abstractNumId w:val="68"/>
  </w:num>
  <w:num w:numId="97">
    <w:abstractNumId w:val="54"/>
  </w:num>
  <w:num w:numId="98">
    <w:abstractNumId w:val="25"/>
  </w:num>
  <w:num w:numId="99">
    <w:abstractNumId w:val="177"/>
  </w:num>
  <w:num w:numId="100">
    <w:abstractNumId w:val="102"/>
  </w:num>
  <w:num w:numId="101">
    <w:abstractNumId w:val="140"/>
  </w:num>
  <w:num w:numId="102">
    <w:abstractNumId w:val="81"/>
  </w:num>
  <w:num w:numId="103">
    <w:abstractNumId w:val="194"/>
  </w:num>
  <w:num w:numId="104">
    <w:abstractNumId w:val="35"/>
  </w:num>
  <w:num w:numId="105">
    <w:abstractNumId w:val="55"/>
  </w:num>
  <w:num w:numId="106">
    <w:abstractNumId w:val="103"/>
  </w:num>
  <w:num w:numId="107">
    <w:abstractNumId w:val="169"/>
  </w:num>
  <w:num w:numId="108">
    <w:abstractNumId w:val="205"/>
  </w:num>
  <w:num w:numId="109">
    <w:abstractNumId w:val="186"/>
  </w:num>
  <w:num w:numId="110">
    <w:abstractNumId w:val="96"/>
  </w:num>
  <w:num w:numId="111">
    <w:abstractNumId w:val="56"/>
  </w:num>
  <w:num w:numId="112">
    <w:abstractNumId w:val="160"/>
  </w:num>
  <w:num w:numId="113">
    <w:abstractNumId w:val="209"/>
  </w:num>
  <w:num w:numId="114">
    <w:abstractNumId w:val="180"/>
  </w:num>
  <w:num w:numId="115">
    <w:abstractNumId w:val="153"/>
  </w:num>
  <w:num w:numId="116">
    <w:abstractNumId w:val="196"/>
  </w:num>
  <w:num w:numId="117">
    <w:abstractNumId w:val="222"/>
  </w:num>
  <w:num w:numId="118">
    <w:abstractNumId w:val="136"/>
  </w:num>
  <w:num w:numId="119">
    <w:abstractNumId w:val="191"/>
  </w:num>
  <w:num w:numId="120">
    <w:abstractNumId w:val="157"/>
  </w:num>
  <w:num w:numId="121">
    <w:abstractNumId w:val="108"/>
  </w:num>
  <w:num w:numId="122">
    <w:abstractNumId w:val="19"/>
  </w:num>
  <w:num w:numId="123">
    <w:abstractNumId w:val="82"/>
  </w:num>
  <w:num w:numId="124">
    <w:abstractNumId w:val="60"/>
  </w:num>
  <w:num w:numId="125">
    <w:abstractNumId w:val="125"/>
  </w:num>
  <w:num w:numId="126">
    <w:abstractNumId w:val="62"/>
  </w:num>
  <w:num w:numId="127">
    <w:abstractNumId w:val="116"/>
  </w:num>
  <w:num w:numId="128">
    <w:abstractNumId w:val="63"/>
  </w:num>
  <w:num w:numId="129">
    <w:abstractNumId w:val="110"/>
  </w:num>
  <w:num w:numId="130">
    <w:abstractNumId w:val="217"/>
  </w:num>
  <w:num w:numId="131">
    <w:abstractNumId w:val="69"/>
  </w:num>
  <w:num w:numId="132">
    <w:abstractNumId w:val="192"/>
  </w:num>
  <w:num w:numId="133">
    <w:abstractNumId w:val="168"/>
  </w:num>
  <w:num w:numId="134">
    <w:abstractNumId w:val="18"/>
  </w:num>
  <w:num w:numId="135">
    <w:abstractNumId w:val="23"/>
  </w:num>
  <w:num w:numId="136">
    <w:abstractNumId w:val="52"/>
  </w:num>
  <w:num w:numId="137">
    <w:abstractNumId w:val="93"/>
  </w:num>
  <w:num w:numId="138">
    <w:abstractNumId w:val="174"/>
  </w:num>
  <w:num w:numId="139">
    <w:abstractNumId w:val="117"/>
  </w:num>
  <w:num w:numId="140">
    <w:abstractNumId w:val="73"/>
  </w:num>
  <w:num w:numId="141">
    <w:abstractNumId w:val="34"/>
  </w:num>
  <w:num w:numId="142">
    <w:abstractNumId w:val="22"/>
  </w:num>
  <w:num w:numId="143">
    <w:abstractNumId w:val="74"/>
  </w:num>
  <w:num w:numId="144">
    <w:abstractNumId w:val="211"/>
  </w:num>
  <w:num w:numId="145">
    <w:abstractNumId w:val="31"/>
  </w:num>
  <w:num w:numId="146">
    <w:abstractNumId w:val="135"/>
  </w:num>
  <w:num w:numId="147">
    <w:abstractNumId w:val="39"/>
  </w:num>
  <w:num w:numId="148">
    <w:abstractNumId w:val="124"/>
  </w:num>
  <w:num w:numId="149">
    <w:abstractNumId w:val="21"/>
  </w:num>
  <w:num w:numId="150">
    <w:abstractNumId w:val="67"/>
  </w:num>
  <w:num w:numId="151">
    <w:abstractNumId w:val="159"/>
  </w:num>
  <w:num w:numId="152">
    <w:abstractNumId w:val="24"/>
  </w:num>
  <w:num w:numId="153">
    <w:abstractNumId w:val="188"/>
  </w:num>
  <w:num w:numId="154">
    <w:abstractNumId w:val="164"/>
  </w:num>
  <w:num w:numId="155">
    <w:abstractNumId w:val="106"/>
  </w:num>
  <w:num w:numId="156">
    <w:abstractNumId w:val="190"/>
  </w:num>
  <w:num w:numId="157">
    <w:abstractNumId w:val="12"/>
  </w:num>
  <w:num w:numId="158">
    <w:abstractNumId w:val="134"/>
  </w:num>
  <w:num w:numId="159">
    <w:abstractNumId w:val="91"/>
  </w:num>
  <w:num w:numId="160">
    <w:abstractNumId w:val="158"/>
  </w:num>
  <w:num w:numId="161">
    <w:abstractNumId w:val="123"/>
  </w:num>
  <w:num w:numId="162">
    <w:abstractNumId w:val="13"/>
  </w:num>
  <w:num w:numId="163">
    <w:abstractNumId w:val="105"/>
  </w:num>
  <w:num w:numId="164">
    <w:abstractNumId w:val="144"/>
  </w:num>
  <w:num w:numId="165">
    <w:abstractNumId w:val="11"/>
  </w:num>
  <w:num w:numId="166">
    <w:abstractNumId w:val="133"/>
  </w:num>
  <w:num w:numId="167">
    <w:abstractNumId w:val="47"/>
  </w:num>
  <w:num w:numId="168">
    <w:abstractNumId w:val="154"/>
  </w:num>
  <w:num w:numId="169">
    <w:abstractNumId w:val="143"/>
  </w:num>
  <w:num w:numId="170">
    <w:abstractNumId w:val="202"/>
  </w:num>
  <w:num w:numId="171">
    <w:abstractNumId w:val="129"/>
  </w:num>
  <w:num w:numId="172">
    <w:abstractNumId w:val="97"/>
  </w:num>
  <w:num w:numId="173">
    <w:abstractNumId w:val="119"/>
  </w:num>
  <w:num w:numId="174">
    <w:abstractNumId w:val="41"/>
  </w:num>
  <w:num w:numId="175">
    <w:abstractNumId w:val="46"/>
  </w:num>
  <w:num w:numId="176">
    <w:abstractNumId w:val="197"/>
  </w:num>
  <w:num w:numId="177">
    <w:abstractNumId w:val="200"/>
  </w:num>
  <w:num w:numId="178">
    <w:abstractNumId w:val="51"/>
  </w:num>
  <w:num w:numId="179">
    <w:abstractNumId w:val="14"/>
  </w:num>
  <w:num w:numId="180">
    <w:abstractNumId w:val="6"/>
  </w:num>
  <w:num w:numId="181">
    <w:abstractNumId w:val="109"/>
  </w:num>
  <w:num w:numId="182">
    <w:abstractNumId w:val="137"/>
  </w:num>
  <w:num w:numId="183">
    <w:abstractNumId w:val="28"/>
  </w:num>
  <w:num w:numId="184">
    <w:abstractNumId w:val="53"/>
  </w:num>
  <w:num w:numId="185">
    <w:abstractNumId w:val="203"/>
  </w:num>
  <w:num w:numId="186">
    <w:abstractNumId w:val="199"/>
  </w:num>
  <w:num w:numId="187">
    <w:abstractNumId w:val="208"/>
  </w:num>
  <w:num w:numId="188">
    <w:abstractNumId w:val="33"/>
  </w:num>
  <w:num w:numId="189">
    <w:abstractNumId w:val="150"/>
    <w:lvlOverride w:ilvl="0">
      <w:startOverride w:val="12"/>
    </w:lvlOverride>
  </w:num>
  <w:num w:numId="190">
    <w:abstractNumId w:val="182"/>
  </w:num>
  <w:num w:numId="191">
    <w:abstractNumId w:val="132"/>
  </w:num>
  <w:num w:numId="192">
    <w:abstractNumId w:val="187"/>
  </w:num>
  <w:num w:numId="193">
    <w:abstractNumId w:val="120"/>
  </w:num>
  <w:num w:numId="194">
    <w:abstractNumId w:val="43"/>
  </w:num>
  <w:num w:numId="195">
    <w:abstractNumId w:val="107"/>
  </w:num>
  <w:num w:numId="196">
    <w:abstractNumId w:val="20"/>
  </w:num>
  <w:num w:numId="197">
    <w:abstractNumId w:val="156"/>
  </w:num>
  <w:num w:numId="198">
    <w:abstractNumId w:val="210"/>
  </w:num>
  <w:num w:numId="199">
    <w:abstractNumId w:val="40"/>
  </w:num>
  <w:num w:numId="200">
    <w:abstractNumId w:val="75"/>
  </w:num>
  <w:num w:numId="201">
    <w:abstractNumId w:val="218"/>
  </w:num>
  <w:num w:numId="202">
    <w:abstractNumId w:val="111"/>
  </w:num>
  <w:num w:numId="203">
    <w:abstractNumId w:val="145"/>
  </w:num>
  <w:num w:numId="204">
    <w:abstractNumId w:val="101"/>
  </w:num>
  <w:num w:numId="205">
    <w:abstractNumId w:val="198"/>
  </w:num>
  <w:num w:numId="206">
    <w:abstractNumId w:val="185"/>
  </w:num>
  <w:num w:numId="207">
    <w:abstractNumId w:val="4"/>
  </w:num>
  <w:num w:numId="208">
    <w:abstractNumId w:val="219"/>
  </w:num>
  <w:num w:numId="209">
    <w:abstractNumId w:val="4"/>
  </w:num>
  <w:num w:numId="210">
    <w:abstractNumId w:val="4"/>
  </w:num>
  <w:num w:numId="211">
    <w:abstractNumId w:val="206"/>
  </w:num>
  <w:num w:numId="212">
    <w:abstractNumId w:val="44"/>
  </w:num>
  <w:num w:numId="213">
    <w:abstractNumId w:val="4"/>
  </w:num>
  <w:num w:numId="214">
    <w:abstractNumId w:val="127"/>
  </w:num>
  <w:num w:numId="215">
    <w:abstractNumId w:val="87"/>
  </w:num>
  <w:num w:numId="216">
    <w:abstractNumId w:val="152"/>
  </w:num>
  <w:num w:numId="217">
    <w:abstractNumId w:val="184"/>
  </w:num>
  <w:num w:numId="218">
    <w:abstractNumId w:val="4"/>
  </w:num>
  <w:num w:numId="219">
    <w:abstractNumId w:val="189"/>
  </w:num>
  <w:num w:numId="220">
    <w:abstractNumId w:val="4"/>
  </w:num>
  <w:num w:numId="221">
    <w:abstractNumId w:val="4"/>
  </w:num>
  <w:num w:numId="222">
    <w:abstractNumId w:val="26"/>
  </w:num>
  <w:num w:numId="223">
    <w:abstractNumId w:val="4"/>
  </w:num>
  <w:num w:numId="224">
    <w:abstractNumId w:val="4"/>
  </w:num>
  <w:num w:numId="225">
    <w:abstractNumId w:val="4"/>
  </w:num>
  <w:num w:numId="226">
    <w:abstractNumId w:val="3"/>
  </w:num>
  <w:num w:numId="227">
    <w:abstractNumId w:val="3"/>
    <w:lvlOverride w:ilvl="0">
      <w:startOverride w:val="1"/>
    </w:lvlOverride>
  </w:num>
  <w:num w:numId="228">
    <w:abstractNumId w:val="172"/>
  </w:num>
  <w:num w:numId="229">
    <w:abstractNumId w:val="176"/>
    <w:lvlOverride w:ilvl="0">
      <w:startOverride w:val="1"/>
    </w:lvlOverride>
  </w:num>
  <w:num w:numId="230">
    <w:abstractNumId w:val="4"/>
  </w:num>
  <w:num w:numId="231">
    <w:abstractNumId w:val="4"/>
  </w:num>
  <w:num w:numId="232">
    <w:abstractNumId w:val="4"/>
  </w:num>
  <w:num w:numId="233">
    <w:abstractNumId w:val="4"/>
  </w:num>
  <w:num w:numId="234">
    <w:abstractNumId w:val="4"/>
  </w:num>
  <w:num w:numId="235">
    <w:abstractNumId w:val="122"/>
  </w:num>
  <w:num w:numId="236">
    <w:abstractNumId w:val="122"/>
  </w:num>
  <w:num w:numId="237">
    <w:abstractNumId w:val="122"/>
  </w:num>
  <w:num w:numId="238">
    <w:abstractNumId w:val="122"/>
  </w:num>
  <w:num w:numId="239">
    <w:abstractNumId w:val="122"/>
  </w:num>
  <w:num w:numId="240">
    <w:abstractNumId w:val="122"/>
  </w:num>
  <w:num w:numId="241">
    <w:abstractNumId w:val="122"/>
  </w:num>
  <w:num w:numId="242">
    <w:abstractNumId w:val="122"/>
  </w:num>
  <w:num w:numId="243">
    <w:abstractNumId w:val="122"/>
  </w:num>
  <w:num w:numId="244">
    <w:abstractNumId w:val="122"/>
  </w:num>
  <w:num w:numId="245">
    <w:abstractNumId w:val="122"/>
  </w:num>
  <w:num w:numId="246">
    <w:abstractNumId w:val="122"/>
  </w:num>
  <w:num w:numId="247">
    <w:abstractNumId w:val="122"/>
  </w:num>
  <w:num w:numId="248">
    <w:abstractNumId w:val="42"/>
  </w:num>
  <w:num w:numId="249">
    <w:abstractNumId w:val="38"/>
  </w:num>
  <w:num w:numId="250">
    <w:abstractNumId w:val="128"/>
  </w:num>
  <w:num w:numId="251">
    <w:abstractNumId w:val="178"/>
  </w:num>
  <w:num w:numId="252">
    <w:abstractNumId w:val="50"/>
  </w:num>
  <w:num w:numId="253">
    <w:abstractNumId w:val="29"/>
  </w:num>
  <w:num w:numId="254">
    <w:abstractNumId w:val="8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5">
    <w:abstractNumId w:val="162"/>
  </w:num>
  <w:num w:numId="256">
    <w:abstractNumId w:val="80"/>
  </w:num>
  <w:num w:numId="257">
    <w:abstractNumId w:val="220"/>
  </w:num>
  <w:num w:numId="258">
    <w:abstractNumId w:val="183"/>
  </w:num>
  <w:num w:numId="259">
    <w:abstractNumId w:val="37"/>
  </w:num>
  <w:num w:numId="260">
    <w:abstractNumId w:val="155"/>
  </w:num>
  <w:num w:numId="261">
    <w:abstractNumId w:val="64"/>
  </w:num>
  <w:num w:numId="262">
    <w:abstractNumId w:val="166"/>
  </w:num>
  <w:num w:numId="263">
    <w:abstractNumId w:val="49"/>
  </w:num>
  <w:num w:numId="264">
    <w:abstractNumId w:val="65"/>
  </w:num>
  <w:num w:numId="265">
    <w:abstractNumId w:val="122"/>
  </w:num>
  <w:num w:numId="266">
    <w:abstractNumId w:val="122"/>
  </w:num>
  <w:num w:numId="267">
    <w:abstractNumId w:val="181"/>
  </w:num>
  <w:num w:numId="268">
    <w:abstractNumId w:val="150"/>
  </w:num>
  <w:num w:numId="269">
    <w:abstractNumId w:val="4"/>
  </w:num>
  <w:num w:numId="270">
    <w:abstractNumId w:val="4"/>
  </w:num>
  <w:num w:numId="271">
    <w:abstractNumId w:val="2"/>
  </w:num>
  <w:num w:numId="272">
    <w:abstractNumId w:val="2"/>
  </w:num>
  <w:num w:numId="273">
    <w:abstractNumId w:val="4"/>
  </w:num>
  <w:num w:numId="274">
    <w:abstractNumId w:val="2"/>
  </w:num>
  <w:num w:numId="275">
    <w:abstractNumId w:val="2"/>
  </w:num>
  <w:num w:numId="276">
    <w:abstractNumId w:val="2"/>
  </w:num>
  <w:num w:numId="277">
    <w:abstractNumId w:val="4"/>
  </w:num>
  <w:num w:numId="278">
    <w:abstractNumId w:val="3"/>
  </w:num>
  <w:num w:numId="279">
    <w:abstractNumId w:val="1"/>
  </w:num>
  <w:num w:numId="280">
    <w:abstractNumId w:val="1"/>
  </w:num>
  <w:num w:numId="281">
    <w:abstractNumId w:val="3"/>
  </w:num>
  <w:num w:numId="282">
    <w:abstractNumId w:val="4"/>
  </w:num>
  <w:num w:numId="283">
    <w:abstractNumId w:val="4"/>
  </w:num>
  <w:num w:numId="284">
    <w:abstractNumId w:val="3"/>
    <w:lvlOverride w:ilvl="0">
      <w:startOverride w:val="1"/>
    </w:lvlOverride>
  </w:num>
  <w:num w:numId="285">
    <w:abstractNumId w:val="3"/>
    <w:lvlOverride w:ilvl="0">
      <w:startOverride w:val="1"/>
    </w:lvlOverride>
  </w:num>
  <w:num w:numId="286">
    <w:abstractNumId w:val="30"/>
  </w:num>
  <w:num w:numId="287">
    <w:abstractNumId w:val="170"/>
  </w:num>
  <w:num w:numId="288">
    <w:abstractNumId w:val="98"/>
  </w:num>
  <w:num w:numId="289">
    <w:abstractNumId w:val="15"/>
  </w:num>
  <w:num w:numId="290">
    <w:abstractNumId w:val="204"/>
  </w:num>
  <w:numIdMacAtCleanup w:val="2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trackedChanges" w:enforcement="0"/>
  <w:defaultTabStop w:val="397"/>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zAwNTQ1MzW2MLMwNjNV0lEKTi0uzszPAykwsqwFAJqGJjotAAAA"/>
  </w:docVars>
  <w:rsids>
    <w:rsidRoot w:val="00835321"/>
    <w:rsid w:val="000003DB"/>
    <w:rsid w:val="00000432"/>
    <w:rsid w:val="00000A63"/>
    <w:rsid w:val="00000C59"/>
    <w:rsid w:val="00001046"/>
    <w:rsid w:val="000010A8"/>
    <w:rsid w:val="00001230"/>
    <w:rsid w:val="00001253"/>
    <w:rsid w:val="000013A4"/>
    <w:rsid w:val="000013AB"/>
    <w:rsid w:val="000017BB"/>
    <w:rsid w:val="000018BA"/>
    <w:rsid w:val="0000190B"/>
    <w:rsid w:val="00001C6C"/>
    <w:rsid w:val="00001D27"/>
    <w:rsid w:val="00001D42"/>
    <w:rsid w:val="000020A8"/>
    <w:rsid w:val="000023A9"/>
    <w:rsid w:val="00002633"/>
    <w:rsid w:val="0000263D"/>
    <w:rsid w:val="000028BD"/>
    <w:rsid w:val="00002B03"/>
    <w:rsid w:val="00002BAF"/>
    <w:rsid w:val="00002E62"/>
    <w:rsid w:val="00002FBA"/>
    <w:rsid w:val="000032B9"/>
    <w:rsid w:val="00003B1B"/>
    <w:rsid w:val="00003CFD"/>
    <w:rsid w:val="00003E8D"/>
    <w:rsid w:val="00004C01"/>
    <w:rsid w:val="00004CC1"/>
    <w:rsid w:val="00004D7C"/>
    <w:rsid w:val="00004E6F"/>
    <w:rsid w:val="000051E0"/>
    <w:rsid w:val="00005275"/>
    <w:rsid w:val="000052BF"/>
    <w:rsid w:val="0000565B"/>
    <w:rsid w:val="0000569D"/>
    <w:rsid w:val="00005734"/>
    <w:rsid w:val="00005D66"/>
    <w:rsid w:val="000063D7"/>
    <w:rsid w:val="000066D7"/>
    <w:rsid w:val="0000676B"/>
    <w:rsid w:val="00006D8C"/>
    <w:rsid w:val="00007308"/>
    <w:rsid w:val="00007385"/>
    <w:rsid w:val="0000761F"/>
    <w:rsid w:val="00007A25"/>
    <w:rsid w:val="00007BD1"/>
    <w:rsid w:val="00007E63"/>
    <w:rsid w:val="00007F9C"/>
    <w:rsid w:val="0001012F"/>
    <w:rsid w:val="000101C6"/>
    <w:rsid w:val="00010305"/>
    <w:rsid w:val="000103FF"/>
    <w:rsid w:val="00010424"/>
    <w:rsid w:val="00010667"/>
    <w:rsid w:val="0001077C"/>
    <w:rsid w:val="00010941"/>
    <w:rsid w:val="000109DF"/>
    <w:rsid w:val="00010A46"/>
    <w:rsid w:val="00010FC1"/>
    <w:rsid w:val="000111F4"/>
    <w:rsid w:val="000113B7"/>
    <w:rsid w:val="00011742"/>
    <w:rsid w:val="00011B67"/>
    <w:rsid w:val="00011BDD"/>
    <w:rsid w:val="00011E1E"/>
    <w:rsid w:val="00011FC0"/>
    <w:rsid w:val="00011FE3"/>
    <w:rsid w:val="0001205D"/>
    <w:rsid w:val="0001229F"/>
    <w:rsid w:val="000127CC"/>
    <w:rsid w:val="000129D5"/>
    <w:rsid w:val="000130D4"/>
    <w:rsid w:val="00013233"/>
    <w:rsid w:val="0001323E"/>
    <w:rsid w:val="0001327C"/>
    <w:rsid w:val="0001389F"/>
    <w:rsid w:val="00013AC3"/>
    <w:rsid w:val="00013FAB"/>
    <w:rsid w:val="00014090"/>
    <w:rsid w:val="0001442B"/>
    <w:rsid w:val="000148CE"/>
    <w:rsid w:val="0001499C"/>
    <w:rsid w:val="00014AF5"/>
    <w:rsid w:val="00014B15"/>
    <w:rsid w:val="0001563E"/>
    <w:rsid w:val="00015AD4"/>
    <w:rsid w:val="00015AE7"/>
    <w:rsid w:val="00015C87"/>
    <w:rsid w:val="00015E27"/>
    <w:rsid w:val="00016042"/>
    <w:rsid w:val="0001610A"/>
    <w:rsid w:val="00016127"/>
    <w:rsid w:val="000163AE"/>
    <w:rsid w:val="000163DF"/>
    <w:rsid w:val="00016561"/>
    <w:rsid w:val="000165A6"/>
    <w:rsid w:val="00016A25"/>
    <w:rsid w:val="00016E21"/>
    <w:rsid w:val="0001719C"/>
    <w:rsid w:val="00017411"/>
    <w:rsid w:val="00017561"/>
    <w:rsid w:val="000175A7"/>
    <w:rsid w:val="00017A15"/>
    <w:rsid w:val="00017D3B"/>
    <w:rsid w:val="00017F53"/>
    <w:rsid w:val="0002018C"/>
    <w:rsid w:val="000204BF"/>
    <w:rsid w:val="0002060C"/>
    <w:rsid w:val="000206D5"/>
    <w:rsid w:val="00020C3E"/>
    <w:rsid w:val="00020CC6"/>
    <w:rsid w:val="00020DBC"/>
    <w:rsid w:val="00020E4A"/>
    <w:rsid w:val="00020E80"/>
    <w:rsid w:val="0002172A"/>
    <w:rsid w:val="00021AB8"/>
    <w:rsid w:val="00021D6C"/>
    <w:rsid w:val="00021FCC"/>
    <w:rsid w:val="000220F0"/>
    <w:rsid w:val="0002224D"/>
    <w:rsid w:val="0002224E"/>
    <w:rsid w:val="0002229B"/>
    <w:rsid w:val="000222DF"/>
    <w:rsid w:val="00022352"/>
    <w:rsid w:val="00022450"/>
    <w:rsid w:val="00022946"/>
    <w:rsid w:val="000229F7"/>
    <w:rsid w:val="00022ECA"/>
    <w:rsid w:val="000230C5"/>
    <w:rsid w:val="00023468"/>
    <w:rsid w:val="0002368B"/>
    <w:rsid w:val="00023A5C"/>
    <w:rsid w:val="00023B7B"/>
    <w:rsid w:val="0002402B"/>
    <w:rsid w:val="000242D7"/>
    <w:rsid w:val="0002443B"/>
    <w:rsid w:val="000244A0"/>
    <w:rsid w:val="00024681"/>
    <w:rsid w:val="000246DF"/>
    <w:rsid w:val="00024E7D"/>
    <w:rsid w:val="00024F5C"/>
    <w:rsid w:val="00024FA5"/>
    <w:rsid w:val="000251C5"/>
    <w:rsid w:val="0002523C"/>
    <w:rsid w:val="000252A3"/>
    <w:rsid w:val="0002534E"/>
    <w:rsid w:val="000254B8"/>
    <w:rsid w:val="000257E0"/>
    <w:rsid w:val="00025E4A"/>
    <w:rsid w:val="00025F2D"/>
    <w:rsid w:val="0002601D"/>
    <w:rsid w:val="000260EB"/>
    <w:rsid w:val="000265D6"/>
    <w:rsid w:val="0002661A"/>
    <w:rsid w:val="00026F91"/>
    <w:rsid w:val="000270BE"/>
    <w:rsid w:val="00027123"/>
    <w:rsid w:val="0002782F"/>
    <w:rsid w:val="00027F41"/>
    <w:rsid w:val="00027FB8"/>
    <w:rsid w:val="000301A7"/>
    <w:rsid w:val="000301E8"/>
    <w:rsid w:val="0003043A"/>
    <w:rsid w:val="00030C7E"/>
    <w:rsid w:val="00030F1E"/>
    <w:rsid w:val="00030FC7"/>
    <w:rsid w:val="00031164"/>
    <w:rsid w:val="00031269"/>
    <w:rsid w:val="00031360"/>
    <w:rsid w:val="0003195F"/>
    <w:rsid w:val="00031CC2"/>
    <w:rsid w:val="000320C9"/>
    <w:rsid w:val="00032439"/>
    <w:rsid w:val="00032946"/>
    <w:rsid w:val="00033A65"/>
    <w:rsid w:val="00033EF9"/>
    <w:rsid w:val="00033F3C"/>
    <w:rsid w:val="00034106"/>
    <w:rsid w:val="0003411E"/>
    <w:rsid w:val="0003417C"/>
    <w:rsid w:val="00034324"/>
    <w:rsid w:val="000345D2"/>
    <w:rsid w:val="00034BFE"/>
    <w:rsid w:val="00034F62"/>
    <w:rsid w:val="0003548E"/>
    <w:rsid w:val="00035631"/>
    <w:rsid w:val="00035ECB"/>
    <w:rsid w:val="00035F11"/>
    <w:rsid w:val="000361CE"/>
    <w:rsid w:val="00036358"/>
    <w:rsid w:val="000366A5"/>
    <w:rsid w:val="00036C8A"/>
    <w:rsid w:val="00036D0C"/>
    <w:rsid w:val="00036E61"/>
    <w:rsid w:val="0003712D"/>
    <w:rsid w:val="000374D8"/>
    <w:rsid w:val="0003791B"/>
    <w:rsid w:val="00037A1C"/>
    <w:rsid w:val="00037CCC"/>
    <w:rsid w:val="00037D46"/>
    <w:rsid w:val="00037D60"/>
    <w:rsid w:val="0004000E"/>
    <w:rsid w:val="000403CD"/>
    <w:rsid w:val="00040548"/>
    <w:rsid w:val="000405FA"/>
    <w:rsid w:val="00040782"/>
    <w:rsid w:val="000409DA"/>
    <w:rsid w:val="00040AD7"/>
    <w:rsid w:val="00040D68"/>
    <w:rsid w:val="00040EE8"/>
    <w:rsid w:val="00040F5C"/>
    <w:rsid w:val="00040F6A"/>
    <w:rsid w:val="000415FD"/>
    <w:rsid w:val="00041640"/>
    <w:rsid w:val="000419BF"/>
    <w:rsid w:val="000419D1"/>
    <w:rsid w:val="00041A60"/>
    <w:rsid w:val="00041CA4"/>
    <w:rsid w:val="00041D50"/>
    <w:rsid w:val="00041E36"/>
    <w:rsid w:val="00041FC9"/>
    <w:rsid w:val="00042002"/>
    <w:rsid w:val="00042376"/>
    <w:rsid w:val="00042640"/>
    <w:rsid w:val="00042A3E"/>
    <w:rsid w:val="00042C68"/>
    <w:rsid w:val="00042D2D"/>
    <w:rsid w:val="00043310"/>
    <w:rsid w:val="000433FA"/>
    <w:rsid w:val="00043B7C"/>
    <w:rsid w:val="00043C65"/>
    <w:rsid w:val="00043E19"/>
    <w:rsid w:val="00043F7E"/>
    <w:rsid w:val="00044002"/>
    <w:rsid w:val="000443F1"/>
    <w:rsid w:val="000445B5"/>
    <w:rsid w:val="0004462A"/>
    <w:rsid w:val="00044639"/>
    <w:rsid w:val="000449F2"/>
    <w:rsid w:val="00045407"/>
    <w:rsid w:val="000454CA"/>
    <w:rsid w:val="000458E6"/>
    <w:rsid w:val="00045F5A"/>
    <w:rsid w:val="00045FA7"/>
    <w:rsid w:val="000469EF"/>
    <w:rsid w:val="00046E2E"/>
    <w:rsid w:val="00046F64"/>
    <w:rsid w:val="0004735B"/>
    <w:rsid w:val="00047473"/>
    <w:rsid w:val="000474D5"/>
    <w:rsid w:val="00047539"/>
    <w:rsid w:val="0004764C"/>
    <w:rsid w:val="00047667"/>
    <w:rsid w:val="000476A7"/>
    <w:rsid w:val="000478C7"/>
    <w:rsid w:val="00047C45"/>
    <w:rsid w:val="00047EA2"/>
    <w:rsid w:val="000500E9"/>
    <w:rsid w:val="0005011A"/>
    <w:rsid w:val="00050196"/>
    <w:rsid w:val="0005045A"/>
    <w:rsid w:val="00050C4F"/>
    <w:rsid w:val="00050DB6"/>
    <w:rsid w:val="00050E4D"/>
    <w:rsid w:val="00051029"/>
    <w:rsid w:val="000510EB"/>
    <w:rsid w:val="00051208"/>
    <w:rsid w:val="00051696"/>
    <w:rsid w:val="00051B3B"/>
    <w:rsid w:val="00051BCF"/>
    <w:rsid w:val="00051C1E"/>
    <w:rsid w:val="00051C37"/>
    <w:rsid w:val="00051DF7"/>
    <w:rsid w:val="00051EBE"/>
    <w:rsid w:val="00052715"/>
    <w:rsid w:val="00052E1E"/>
    <w:rsid w:val="0005357D"/>
    <w:rsid w:val="000535A6"/>
    <w:rsid w:val="00053876"/>
    <w:rsid w:val="000539F9"/>
    <w:rsid w:val="00053BAC"/>
    <w:rsid w:val="00053BAF"/>
    <w:rsid w:val="0005411F"/>
    <w:rsid w:val="00054212"/>
    <w:rsid w:val="000542B9"/>
    <w:rsid w:val="0005440C"/>
    <w:rsid w:val="0005445D"/>
    <w:rsid w:val="000544B1"/>
    <w:rsid w:val="0005463D"/>
    <w:rsid w:val="0005496D"/>
    <w:rsid w:val="00054AEF"/>
    <w:rsid w:val="00054C27"/>
    <w:rsid w:val="0005522E"/>
    <w:rsid w:val="00055989"/>
    <w:rsid w:val="00055CFE"/>
    <w:rsid w:val="00055D50"/>
    <w:rsid w:val="00055DE0"/>
    <w:rsid w:val="00055EB2"/>
    <w:rsid w:val="00055EC3"/>
    <w:rsid w:val="000563CE"/>
    <w:rsid w:val="00056B5B"/>
    <w:rsid w:val="00056B79"/>
    <w:rsid w:val="00056FC2"/>
    <w:rsid w:val="0005707A"/>
    <w:rsid w:val="0005707C"/>
    <w:rsid w:val="0005708D"/>
    <w:rsid w:val="000570E4"/>
    <w:rsid w:val="00057119"/>
    <w:rsid w:val="0005732F"/>
    <w:rsid w:val="0005757D"/>
    <w:rsid w:val="000576F0"/>
    <w:rsid w:val="00057C54"/>
    <w:rsid w:val="00057F1C"/>
    <w:rsid w:val="00057F49"/>
    <w:rsid w:val="00057FA4"/>
    <w:rsid w:val="00060315"/>
    <w:rsid w:val="00060551"/>
    <w:rsid w:val="00060553"/>
    <w:rsid w:val="00060686"/>
    <w:rsid w:val="000609CE"/>
    <w:rsid w:val="00060CC9"/>
    <w:rsid w:val="000610B1"/>
    <w:rsid w:val="000610F4"/>
    <w:rsid w:val="00061255"/>
    <w:rsid w:val="000618C8"/>
    <w:rsid w:val="0006198B"/>
    <w:rsid w:val="00061A3C"/>
    <w:rsid w:val="00061DEE"/>
    <w:rsid w:val="000626E0"/>
    <w:rsid w:val="0006277D"/>
    <w:rsid w:val="000629D9"/>
    <w:rsid w:val="000629FB"/>
    <w:rsid w:val="00062A2A"/>
    <w:rsid w:val="00062A60"/>
    <w:rsid w:val="00062A94"/>
    <w:rsid w:val="00062E88"/>
    <w:rsid w:val="00062EF9"/>
    <w:rsid w:val="000632B1"/>
    <w:rsid w:val="0006345E"/>
    <w:rsid w:val="000636B3"/>
    <w:rsid w:val="00063D76"/>
    <w:rsid w:val="00063E7C"/>
    <w:rsid w:val="00063E83"/>
    <w:rsid w:val="00063F57"/>
    <w:rsid w:val="00063F94"/>
    <w:rsid w:val="00064052"/>
    <w:rsid w:val="00064057"/>
    <w:rsid w:val="000643CB"/>
    <w:rsid w:val="000646AA"/>
    <w:rsid w:val="000646F0"/>
    <w:rsid w:val="000647FF"/>
    <w:rsid w:val="00064A98"/>
    <w:rsid w:val="00064AEA"/>
    <w:rsid w:val="00064C61"/>
    <w:rsid w:val="00064C7F"/>
    <w:rsid w:val="00064D9E"/>
    <w:rsid w:val="00064DC4"/>
    <w:rsid w:val="00064F89"/>
    <w:rsid w:val="000650F2"/>
    <w:rsid w:val="000650FB"/>
    <w:rsid w:val="000651E8"/>
    <w:rsid w:val="00065477"/>
    <w:rsid w:val="000654CA"/>
    <w:rsid w:val="00065568"/>
    <w:rsid w:val="00065580"/>
    <w:rsid w:val="000655FE"/>
    <w:rsid w:val="000656BD"/>
    <w:rsid w:val="000659B6"/>
    <w:rsid w:val="00065CC4"/>
    <w:rsid w:val="00065DA9"/>
    <w:rsid w:val="00065DE2"/>
    <w:rsid w:val="000661FE"/>
    <w:rsid w:val="000662AE"/>
    <w:rsid w:val="00066375"/>
    <w:rsid w:val="0006686F"/>
    <w:rsid w:val="00066AA0"/>
    <w:rsid w:val="00066B56"/>
    <w:rsid w:val="00066B73"/>
    <w:rsid w:val="00066DD0"/>
    <w:rsid w:val="0006722A"/>
    <w:rsid w:val="00067332"/>
    <w:rsid w:val="000673C8"/>
    <w:rsid w:val="000674DA"/>
    <w:rsid w:val="000677E8"/>
    <w:rsid w:val="00067AA1"/>
    <w:rsid w:val="00067AE6"/>
    <w:rsid w:val="00067B76"/>
    <w:rsid w:val="00067CE0"/>
    <w:rsid w:val="00067DAF"/>
    <w:rsid w:val="0007025A"/>
    <w:rsid w:val="00070357"/>
    <w:rsid w:val="00070934"/>
    <w:rsid w:val="00070ABF"/>
    <w:rsid w:val="00070C1F"/>
    <w:rsid w:val="000710D5"/>
    <w:rsid w:val="00071108"/>
    <w:rsid w:val="00071368"/>
    <w:rsid w:val="000718EC"/>
    <w:rsid w:val="00071C18"/>
    <w:rsid w:val="00071C2E"/>
    <w:rsid w:val="00071E33"/>
    <w:rsid w:val="00071FEB"/>
    <w:rsid w:val="0007215C"/>
    <w:rsid w:val="000724A6"/>
    <w:rsid w:val="00072815"/>
    <w:rsid w:val="000729C4"/>
    <w:rsid w:val="00072BF8"/>
    <w:rsid w:val="00072C10"/>
    <w:rsid w:val="00072C28"/>
    <w:rsid w:val="00072D47"/>
    <w:rsid w:val="000732CF"/>
    <w:rsid w:val="000737DC"/>
    <w:rsid w:val="00073827"/>
    <w:rsid w:val="00073B1E"/>
    <w:rsid w:val="00073F2F"/>
    <w:rsid w:val="00074057"/>
    <w:rsid w:val="00074165"/>
    <w:rsid w:val="000742FD"/>
    <w:rsid w:val="00074393"/>
    <w:rsid w:val="000743B7"/>
    <w:rsid w:val="00074AA8"/>
    <w:rsid w:val="00074B4A"/>
    <w:rsid w:val="00074CE7"/>
    <w:rsid w:val="00074D4A"/>
    <w:rsid w:val="00074F39"/>
    <w:rsid w:val="0007505D"/>
    <w:rsid w:val="000752EF"/>
    <w:rsid w:val="00075336"/>
    <w:rsid w:val="000755F7"/>
    <w:rsid w:val="0007580F"/>
    <w:rsid w:val="00075B96"/>
    <w:rsid w:val="0007620C"/>
    <w:rsid w:val="00076479"/>
    <w:rsid w:val="0007649C"/>
    <w:rsid w:val="000767CC"/>
    <w:rsid w:val="000769AB"/>
    <w:rsid w:val="00076A6C"/>
    <w:rsid w:val="00076AE6"/>
    <w:rsid w:val="00077001"/>
    <w:rsid w:val="000774DC"/>
    <w:rsid w:val="00077B95"/>
    <w:rsid w:val="00077C5D"/>
    <w:rsid w:val="00077DAC"/>
    <w:rsid w:val="00077EE8"/>
    <w:rsid w:val="0008031D"/>
    <w:rsid w:val="00080B2A"/>
    <w:rsid w:val="00080B90"/>
    <w:rsid w:val="00080DA2"/>
    <w:rsid w:val="00080E40"/>
    <w:rsid w:val="000810FF"/>
    <w:rsid w:val="0008121B"/>
    <w:rsid w:val="000818BF"/>
    <w:rsid w:val="0008196A"/>
    <w:rsid w:val="00081979"/>
    <w:rsid w:val="00081BF7"/>
    <w:rsid w:val="00082070"/>
    <w:rsid w:val="00082247"/>
    <w:rsid w:val="00082995"/>
    <w:rsid w:val="00082A09"/>
    <w:rsid w:val="00082B03"/>
    <w:rsid w:val="0008306B"/>
    <w:rsid w:val="0008326A"/>
    <w:rsid w:val="0008335B"/>
    <w:rsid w:val="000834A6"/>
    <w:rsid w:val="000836B5"/>
    <w:rsid w:val="00083D03"/>
    <w:rsid w:val="00083D0E"/>
    <w:rsid w:val="000840A3"/>
    <w:rsid w:val="0008424E"/>
    <w:rsid w:val="00084498"/>
    <w:rsid w:val="0008463B"/>
    <w:rsid w:val="00084C98"/>
    <w:rsid w:val="00084E0E"/>
    <w:rsid w:val="00085615"/>
    <w:rsid w:val="00085711"/>
    <w:rsid w:val="00085DC0"/>
    <w:rsid w:val="00085E8D"/>
    <w:rsid w:val="00085F83"/>
    <w:rsid w:val="00086185"/>
    <w:rsid w:val="00086467"/>
    <w:rsid w:val="0008658A"/>
    <w:rsid w:val="00086611"/>
    <w:rsid w:val="00086D27"/>
    <w:rsid w:val="000873F5"/>
    <w:rsid w:val="00087E14"/>
    <w:rsid w:val="00087F58"/>
    <w:rsid w:val="00087F74"/>
    <w:rsid w:val="000900ED"/>
    <w:rsid w:val="000901C6"/>
    <w:rsid w:val="000904DC"/>
    <w:rsid w:val="00090794"/>
    <w:rsid w:val="000908EE"/>
    <w:rsid w:val="000915ED"/>
    <w:rsid w:val="0009170E"/>
    <w:rsid w:val="0009177C"/>
    <w:rsid w:val="00091AC8"/>
    <w:rsid w:val="00091E8B"/>
    <w:rsid w:val="0009209D"/>
    <w:rsid w:val="00092298"/>
    <w:rsid w:val="000922AB"/>
    <w:rsid w:val="0009247A"/>
    <w:rsid w:val="000927B9"/>
    <w:rsid w:val="0009281A"/>
    <w:rsid w:val="00092847"/>
    <w:rsid w:val="00092D6A"/>
    <w:rsid w:val="00092F8F"/>
    <w:rsid w:val="000934C7"/>
    <w:rsid w:val="000934ED"/>
    <w:rsid w:val="000936D7"/>
    <w:rsid w:val="0009395C"/>
    <w:rsid w:val="00093A74"/>
    <w:rsid w:val="00093E88"/>
    <w:rsid w:val="000942DA"/>
    <w:rsid w:val="000946DD"/>
    <w:rsid w:val="000947E8"/>
    <w:rsid w:val="0009498C"/>
    <w:rsid w:val="00095039"/>
    <w:rsid w:val="00095194"/>
    <w:rsid w:val="00095457"/>
    <w:rsid w:val="00095482"/>
    <w:rsid w:val="000955A7"/>
    <w:rsid w:val="00095B3B"/>
    <w:rsid w:val="00095D76"/>
    <w:rsid w:val="0009600F"/>
    <w:rsid w:val="0009633A"/>
    <w:rsid w:val="000963FF"/>
    <w:rsid w:val="00096728"/>
    <w:rsid w:val="000969BD"/>
    <w:rsid w:val="000969BF"/>
    <w:rsid w:val="00096C02"/>
    <w:rsid w:val="00096D17"/>
    <w:rsid w:val="000973CA"/>
    <w:rsid w:val="00097539"/>
    <w:rsid w:val="0009761F"/>
    <w:rsid w:val="000976F2"/>
    <w:rsid w:val="000977F0"/>
    <w:rsid w:val="0009789D"/>
    <w:rsid w:val="000A04B1"/>
    <w:rsid w:val="000A0667"/>
    <w:rsid w:val="000A06F3"/>
    <w:rsid w:val="000A0BEB"/>
    <w:rsid w:val="000A0C22"/>
    <w:rsid w:val="000A1113"/>
    <w:rsid w:val="000A11B5"/>
    <w:rsid w:val="000A11E4"/>
    <w:rsid w:val="000A13BB"/>
    <w:rsid w:val="000A1400"/>
    <w:rsid w:val="000A14AA"/>
    <w:rsid w:val="000A1580"/>
    <w:rsid w:val="000A216C"/>
    <w:rsid w:val="000A243C"/>
    <w:rsid w:val="000A258E"/>
    <w:rsid w:val="000A262D"/>
    <w:rsid w:val="000A27F5"/>
    <w:rsid w:val="000A2A58"/>
    <w:rsid w:val="000A2BE0"/>
    <w:rsid w:val="000A2E04"/>
    <w:rsid w:val="000A2E74"/>
    <w:rsid w:val="000A2E85"/>
    <w:rsid w:val="000A30D4"/>
    <w:rsid w:val="000A34CE"/>
    <w:rsid w:val="000A375E"/>
    <w:rsid w:val="000A38F5"/>
    <w:rsid w:val="000A39D5"/>
    <w:rsid w:val="000A3C43"/>
    <w:rsid w:val="000A3CC0"/>
    <w:rsid w:val="000A3D1C"/>
    <w:rsid w:val="000A3E1C"/>
    <w:rsid w:val="000A4137"/>
    <w:rsid w:val="000A4138"/>
    <w:rsid w:val="000A42E1"/>
    <w:rsid w:val="000A440D"/>
    <w:rsid w:val="000A4894"/>
    <w:rsid w:val="000A4A51"/>
    <w:rsid w:val="000A4B84"/>
    <w:rsid w:val="000A4CA2"/>
    <w:rsid w:val="000A4F28"/>
    <w:rsid w:val="000A52AC"/>
    <w:rsid w:val="000A52BA"/>
    <w:rsid w:val="000A5336"/>
    <w:rsid w:val="000A5906"/>
    <w:rsid w:val="000A5A3C"/>
    <w:rsid w:val="000A5B13"/>
    <w:rsid w:val="000A5B1C"/>
    <w:rsid w:val="000A5B2C"/>
    <w:rsid w:val="000A5D2B"/>
    <w:rsid w:val="000A5DBC"/>
    <w:rsid w:val="000A5DD6"/>
    <w:rsid w:val="000A5E62"/>
    <w:rsid w:val="000A641D"/>
    <w:rsid w:val="000A666D"/>
    <w:rsid w:val="000A66DA"/>
    <w:rsid w:val="000A6CA9"/>
    <w:rsid w:val="000A6CFA"/>
    <w:rsid w:val="000A6F02"/>
    <w:rsid w:val="000A7091"/>
    <w:rsid w:val="000A709F"/>
    <w:rsid w:val="000A726A"/>
    <w:rsid w:val="000A7566"/>
    <w:rsid w:val="000A786D"/>
    <w:rsid w:val="000A7916"/>
    <w:rsid w:val="000A79B1"/>
    <w:rsid w:val="000A7C27"/>
    <w:rsid w:val="000A7C32"/>
    <w:rsid w:val="000B0939"/>
    <w:rsid w:val="000B09DA"/>
    <w:rsid w:val="000B0F65"/>
    <w:rsid w:val="000B121E"/>
    <w:rsid w:val="000B195C"/>
    <w:rsid w:val="000B1C9C"/>
    <w:rsid w:val="000B1EB2"/>
    <w:rsid w:val="000B1F7D"/>
    <w:rsid w:val="000B21A8"/>
    <w:rsid w:val="000B244F"/>
    <w:rsid w:val="000B286C"/>
    <w:rsid w:val="000B28E5"/>
    <w:rsid w:val="000B2E24"/>
    <w:rsid w:val="000B3167"/>
    <w:rsid w:val="000B31AA"/>
    <w:rsid w:val="000B35E5"/>
    <w:rsid w:val="000B35F0"/>
    <w:rsid w:val="000B36B8"/>
    <w:rsid w:val="000B392C"/>
    <w:rsid w:val="000B3A6E"/>
    <w:rsid w:val="000B3AE7"/>
    <w:rsid w:val="000B3CC5"/>
    <w:rsid w:val="000B3F46"/>
    <w:rsid w:val="000B4149"/>
    <w:rsid w:val="000B45A1"/>
    <w:rsid w:val="000B490E"/>
    <w:rsid w:val="000B4A3B"/>
    <w:rsid w:val="000B4A57"/>
    <w:rsid w:val="000B4D0B"/>
    <w:rsid w:val="000B53C9"/>
    <w:rsid w:val="000B5550"/>
    <w:rsid w:val="000B56A7"/>
    <w:rsid w:val="000B5883"/>
    <w:rsid w:val="000B5AA2"/>
    <w:rsid w:val="000B5D91"/>
    <w:rsid w:val="000B5DE3"/>
    <w:rsid w:val="000B6534"/>
    <w:rsid w:val="000B664A"/>
    <w:rsid w:val="000B6880"/>
    <w:rsid w:val="000B6C9B"/>
    <w:rsid w:val="000B7554"/>
    <w:rsid w:val="000B76DA"/>
    <w:rsid w:val="000B7752"/>
    <w:rsid w:val="000B7781"/>
    <w:rsid w:val="000B7B73"/>
    <w:rsid w:val="000B7D7D"/>
    <w:rsid w:val="000B7EE9"/>
    <w:rsid w:val="000C0603"/>
    <w:rsid w:val="000C06F7"/>
    <w:rsid w:val="000C080F"/>
    <w:rsid w:val="000C0908"/>
    <w:rsid w:val="000C0A57"/>
    <w:rsid w:val="000C0BD4"/>
    <w:rsid w:val="000C0CA1"/>
    <w:rsid w:val="000C0D3C"/>
    <w:rsid w:val="000C10CF"/>
    <w:rsid w:val="000C1A29"/>
    <w:rsid w:val="000C230C"/>
    <w:rsid w:val="000C2325"/>
    <w:rsid w:val="000C23F6"/>
    <w:rsid w:val="000C24A6"/>
    <w:rsid w:val="000C2A2F"/>
    <w:rsid w:val="000C2BEB"/>
    <w:rsid w:val="000C2F4B"/>
    <w:rsid w:val="000C3113"/>
    <w:rsid w:val="000C32FB"/>
    <w:rsid w:val="000C353A"/>
    <w:rsid w:val="000C3771"/>
    <w:rsid w:val="000C3803"/>
    <w:rsid w:val="000C39C1"/>
    <w:rsid w:val="000C40D0"/>
    <w:rsid w:val="000C4B19"/>
    <w:rsid w:val="000C4BC5"/>
    <w:rsid w:val="000C4D88"/>
    <w:rsid w:val="000C4ED6"/>
    <w:rsid w:val="000C50A2"/>
    <w:rsid w:val="000C51E2"/>
    <w:rsid w:val="000C52BE"/>
    <w:rsid w:val="000C5345"/>
    <w:rsid w:val="000C5674"/>
    <w:rsid w:val="000C56AF"/>
    <w:rsid w:val="000C573E"/>
    <w:rsid w:val="000C5AA3"/>
    <w:rsid w:val="000C5D75"/>
    <w:rsid w:val="000C5F00"/>
    <w:rsid w:val="000C600D"/>
    <w:rsid w:val="000C607D"/>
    <w:rsid w:val="000C609A"/>
    <w:rsid w:val="000C6254"/>
    <w:rsid w:val="000C6AB4"/>
    <w:rsid w:val="000C6B74"/>
    <w:rsid w:val="000C6C5B"/>
    <w:rsid w:val="000C6CCF"/>
    <w:rsid w:val="000C6CE5"/>
    <w:rsid w:val="000C6DAD"/>
    <w:rsid w:val="000C70F6"/>
    <w:rsid w:val="000C7185"/>
    <w:rsid w:val="000C72E1"/>
    <w:rsid w:val="000C7371"/>
    <w:rsid w:val="000C75ED"/>
    <w:rsid w:val="000C7609"/>
    <w:rsid w:val="000C76E0"/>
    <w:rsid w:val="000C7761"/>
    <w:rsid w:val="000C7A81"/>
    <w:rsid w:val="000C7D5A"/>
    <w:rsid w:val="000C7EBD"/>
    <w:rsid w:val="000C7FBE"/>
    <w:rsid w:val="000D00D0"/>
    <w:rsid w:val="000D016D"/>
    <w:rsid w:val="000D09C7"/>
    <w:rsid w:val="000D0B29"/>
    <w:rsid w:val="000D0B33"/>
    <w:rsid w:val="000D0F84"/>
    <w:rsid w:val="000D1444"/>
    <w:rsid w:val="000D16D6"/>
    <w:rsid w:val="000D183B"/>
    <w:rsid w:val="000D218D"/>
    <w:rsid w:val="000D2253"/>
    <w:rsid w:val="000D2635"/>
    <w:rsid w:val="000D27B0"/>
    <w:rsid w:val="000D28CB"/>
    <w:rsid w:val="000D292F"/>
    <w:rsid w:val="000D2B61"/>
    <w:rsid w:val="000D2C39"/>
    <w:rsid w:val="000D2F88"/>
    <w:rsid w:val="000D3200"/>
    <w:rsid w:val="000D337E"/>
    <w:rsid w:val="000D3399"/>
    <w:rsid w:val="000D38C1"/>
    <w:rsid w:val="000D396A"/>
    <w:rsid w:val="000D39EB"/>
    <w:rsid w:val="000D3B21"/>
    <w:rsid w:val="000D3BF0"/>
    <w:rsid w:val="000D40F0"/>
    <w:rsid w:val="000D4225"/>
    <w:rsid w:val="000D44DC"/>
    <w:rsid w:val="000D45BB"/>
    <w:rsid w:val="000D4773"/>
    <w:rsid w:val="000D4A26"/>
    <w:rsid w:val="000D4B8E"/>
    <w:rsid w:val="000D4C24"/>
    <w:rsid w:val="000D4E4E"/>
    <w:rsid w:val="000D4EE2"/>
    <w:rsid w:val="000D4F5C"/>
    <w:rsid w:val="000D5134"/>
    <w:rsid w:val="000D54D1"/>
    <w:rsid w:val="000D55E8"/>
    <w:rsid w:val="000D56E7"/>
    <w:rsid w:val="000D5AAB"/>
    <w:rsid w:val="000D5F34"/>
    <w:rsid w:val="000D5FEC"/>
    <w:rsid w:val="000D61D5"/>
    <w:rsid w:val="000D6211"/>
    <w:rsid w:val="000D6444"/>
    <w:rsid w:val="000D68D4"/>
    <w:rsid w:val="000D68E0"/>
    <w:rsid w:val="000D69F6"/>
    <w:rsid w:val="000D6B90"/>
    <w:rsid w:val="000D6CC7"/>
    <w:rsid w:val="000D7086"/>
    <w:rsid w:val="000D716C"/>
    <w:rsid w:val="000D71D9"/>
    <w:rsid w:val="000D7266"/>
    <w:rsid w:val="000D731A"/>
    <w:rsid w:val="000D7466"/>
    <w:rsid w:val="000D76E0"/>
    <w:rsid w:val="000D7969"/>
    <w:rsid w:val="000D7C3B"/>
    <w:rsid w:val="000D7E14"/>
    <w:rsid w:val="000D7E8B"/>
    <w:rsid w:val="000D7F96"/>
    <w:rsid w:val="000E0051"/>
    <w:rsid w:val="000E050A"/>
    <w:rsid w:val="000E0A3D"/>
    <w:rsid w:val="000E0A8D"/>
    <w:rsid w:val="000E0CE6"/>
    <w:rsid w:val="000E0FDE"/>
    <w:rsid w:val="000E123C"/>
    <w:rsid w:val="000E1325"/>
    <w:rsid w:val="000E14B3"/>
    <w:rsid w:val="000E1D41"/>
    <w:rsid w:val="000E2009"/>
    <w:rsid w:val="000E2019"/>
    <w:rsid w:val="000E208F"/>
    <w:rsid w:val="000E22E4"/>
    <w:rsid w:val="000E23E0"/>
    <w:rsid w:val="000E25E6"/>
    <w:rsid w:val="000E281E"/>
    <w:rsid w:val="000E2B10"/>
    <w:rsid w:val="000E2C12"/>
    <w:rsid w:val="000E2E02"/>
    <w:rsid w:val="000E2E62"/>
    <w:rsid w:val="000E3023"/>
    <w:rsid w:val="000E352E"/>
    <w:rsid w:val="000E3A0F"/>
    <w:rsid w:val="000E3CCA"/>
    <w:rsid w:val="000E3CE7"/>
    <w:rsid w:val="000E4449"/>
    <w:rsid w:val="000E454E"/>
    <w:rsid w:val="000E49A5"/>
    <w:rsid w:val="000E4E55"/>
    <w:rsid w:val="000E5119"/>
    <w:rsid w:val="000E5141"/>
    <w:rsid w:val="000E522F"/>
    <w:rsid w:val="000E5244"/>
    <w:rsid w:val="000E53B8"/>
    <w:rsid w:val="000E53C6"/>
    <w:rsid w:val="000E55BB"/>
    <w:rsid w:val="000E575E"/>
    <w:rsid w:val="000E57A6"/>
    <w:rsid w:val="000E57E5"/>
    <w:rsid w:val="000E5C03"/>
    <w:rsid w:val="000E5C5B"/>
    <w:rsid w:val="000E5C87"/>
    <w:rsid w:val="000E5CA5"/>
    <w:rsid w:val="000E5DBC"/>
    <w:rsid w:val="000E5DDE"/>
    <w:rsid w:val="000E5FD1"/>
    <w:rsid w:val="000E6097"/>
    <w:rsid w:val="000E61F0"/>
    <w:rsid w:val="000E65BD"/>
    <w:rsid w:val="000E6BD6"/>
    <w:rsid w:val="000E6C22"/>
    <w:rsid w:val="000E6CF1"/>
    <w:rsid w:val="000E7317"/>
    <w:rsid w:val="000E7525"/>
    <w:rsid w:val="000E7862"/>
    <w:rsid w:val="000E7AFE"/>
    <w:rsid w:val="000E7B4F"/>
    <w:rsid w:val="000E7BB8"/>
    <w:rsid w:val="000E7EAE"/>
    <w:rsid w:val="000E7F56"/>
    <w:rsid w:val="000F0837"/>
    <w:rsid w:val="000F0A31"/>
    <w:rsid w:val="000F0A4C"/>
    <w:rsid w:val="000F0CCD"/>
    <w:rsid w:val="000F12F1"/>
    <w:rsid w:val="000F1536"/>
    <w:rsid w:val="000F15C3"/>
    <w:rsid w:val="000F1900"/>
    <w:rsid w:val="000F19E9"/>
    <w:rsid w:val="000F1BD7"/>
    <w:rsid w:val="000F25D8"/>
    <w:rsid w:val="000F2E79"/>
    <w:rsid w:val="000F31B1"/>
    <w:rsid w:val="000F3336"/>
    <w:rsid w:val="000F3357"/>
    <w:rsid w:val="000F3660"/>
    <w:rsid w:val="000F38B6"/>
    <w:rsid w:val="000F39D4"/>
    <w:rsid w:val="000F3E26"/>
    <w:rsid w:val="000F403A"/>
    <w:rsid w:val="000F41F5"/>
    <w:rsid w:val="000F4246"/>
    <w:rsid w:val="000F444F"/>
    <w:rsid w:val="000F454B"/>
    <w:rsid w:val="000F46E5"/>
    <w:rsid w:val="000F47BB"/>
    <w:rsid w:val="000F4877"/>
    <w:rsid w:val="000F48E2"/>
    <w:rsid w:val="000F4B2A"/>
    <w:rsid w:val="000F4B2C"/>
    <w:rsid w:val="000F4C3F"/>
    <w:rsid w:val="000F4F50"/>
    <w:rsid w:val="000F51E4"/>
    <w:rsid w:val="000F52C2"/>
    <w:rsid w:val="000F54A6"/>
    <w:rsid w:val="000F5B9F"/>
    <w:rsid w:val="000F5D4D"/>
    <w:rsid w:val="000F5DB3"/>
    <w:rsid w:val="000F6611"/>
    <w:rsid w:val="000F6619"/>
    <w:rsid w:val="000F66C8"/>
    <w:rsid w:val="000F6895"/>
    <w:rsid w:val="000F6CAC"/>
    <w:rsid w:val="000F6E21"/>
    <w:rsid w:val="000F73F4"/>
    <w:rsid w:val="000F764A"/>
    <w:rsid w:val="000F77D1"/>
    <w:rsid w:val="000F7D31"/>
    <w:rsid w:val="000F7DE0"/>
    <w:rsid w:val="000F7E14"/>
    <w:rsid w:val="001000CD"/>
    <w:rsid w:val="0010018E"/>
    <w:rsid w:val="0010057E"/>
    <w:rsid w:val="00100E33"/>
    <w:rsid w:val="00101103"/>
    <w:rsid w:val="001011AB"/>
    <w:rsid w:val="001011D4"/>
    <w:rsid w:val="0010123C"/>
    <w:rsid w:val="001014C5"/>
    <w:rsid w:val="00101757"/>
    <w:rsid w:val="0010179A"/>
    <w:rsid w:val="001017C7"/>
    <w:rsid w:val="0010188F"/>
    <w:rsid w:val="001019D0"/>
    <w:rsid w:val="00101B55"/>
    <w:rsid w:val="00101C69"/>
    <w:rsid w:val="0010212A"/>
    <w:rsid w:val="001021BD"/>
    <w:rsid w:val="00102592"/>
    <w:rsid w:val="001025B8"/>
    <w:rsid w:val="00102818"/>
    <w:rsid w:val="0010283C"/>
    <w:rsid w:val="00102A84"/>
    <w:rsid w:val="00102B3D"/>
    <w:rsid w:val="00103829"/>
    <w:rsid w:val="00103AC9"/>
    <w:rsid w:val="00103E2B"/>
    <w:rsid w:val="00104547"/>
    <w:rsid w:val="00104625"/>
    <w:rsid w:val="00104629"/>
    <w:rsid w:val="00104A88"/>
    <w:rsid w:val="00104B93"/>
    <w:rsid w:val="001052F1"/>
    <w:rsid w:val="00105E63"/>
    <w:rsid w:val="001060AF"/>
    <w:rsid w:val="0010610D"/>
    <w:rsid w:val="001061B2"/>
    <w:rsid w:val="001062C2"/>
    <w:rsid w:val="0010639F"/>
    <w:rsid w:val="00107190"/>
    <w:rsid w:val="001073FE"/>
    <w:rsid w:val="0010768C"/>
    <w:rsid w:val="001076A8"/>
    <w:rsid w:val="00107795"/>
    <w:rsid w:val="001077CF"/>
    <w:rsid w:val="0010781B"/>
    <w:rsid w:val="00107C45"/>
    <w:rsid w:val="00107C5A"/>
    <w:rsid w:val="00107CDC"/>
    <w:rsid w:val="00110097"/>
    <w:rsid w:val="00110126"/>
    <w:rsid w:val="00110320"/>
    <w:rsid w:val="00110428"/>
    <w:rsid w:val="0011071A"/>
    <w:rsid w:val="00110722"/>
    <w:rsid w:val="00110B67"/>
    <w:rsid w:val="00110CE3"/>
    <w:rsid w:val="00110D15"/>
    <w:rsid w:val="00110E5C"/>
    <w:rsid w:val="00110EDA"/>
    <w:rsid w:val="00111052"/>
    <w:rsid w:val="001110F9"/>
    <w:rsid w:val="0011115D"/>
    <w:rsid w:val="00111428"/>
    <w:rsid w:val="001116B1"/>
    <w:rsid w:val="001118FC"/>
    <w:rsid w:val="00111918"/>
    <w:rsid w:val="00111B96"/>
    <w:rsid w:val="00111C5E"/>
    <w:rsid w:val="00111FCE"/>
    <w:rsid w:val="00112234"/>
    <w:rsid w:val="00112349"/>
    <w:rsid w:val="0011236B"/>
    <w:rsid w:val="00112875"/>
    <w:rsid w:val="00112888"/>
    <w:rsid w:val="00112936"/>
    <w:rsid w:val="00112ACC"/>
    <w:rsid w:val="00112AED"/>
    <w:rsid w:val="00112FC6"/>
    <w:rsid w:val="0011328A"/>
    <w:rsid w:val="00113435"/>
    <w:rsid w:val="00113576"/>
    <w:rsid w:val="001137C1"/>
    <w:rsid w:val="00113806"/>
    <w:rsid w:val="001138CC"/>
    <w:rsid w:val="00113D8C"/>
    <w:rsid w:val="00113F70"/>
    <w:rsid w:val="00113FF3"/>
    <w:rsid w:val="00114405"/>
    <w:rsid w:val="0011445C"/>
    <w:rsid w:val="001145AF"/>
    <w:rsid w:val="00114864"/>
    <w:rsid w:val="00114905"/>
    <w:rsid w:val="00114B2D"/>
    <w:rsid w:val="00114CE4"/>
    <w:rsid w:val="00114D15"/>
    <w:rsid w:val="00115118"/>
    <w:rsid w:val="0011568E"/>
    <w:rsid w:val="00115791"/>
    <w:rsid w:val="00115A68"/>
    <w:rsid w:val="00115ABB"/>
    <w:rsid w:val="00115B07"/>
    <w:rsid w:val="00115B0E"/>
    <w:rsid w:val="00115D43"/>
    <w:rsid w:val="00115E84"/>
    <w:rsid w:val="00115EA0"/>
    <w:rsid w:val="001161D8"/>
    <w:rsid w:val="0011628D"/>
    <w:rsid w:val="001164EA"/>
    <w:rsid w:val="0011666A"/>
    <w:rsid w:val="001166B8"/>
    <w:rsid w:val="0011739B"/>
    <w:rsid w:val="0011749C"/>
    <w:rsid w:val="00117728"/>
    <w:rsid w:val="001178EE"/>
    <w:rsid w:val="00117ADD"/>
    <w:rsid w:val="00117D3F"/>
    <w:rsid w:val="00117DF8"/>
    <w:rsid w:val="001206D7"/>
    <w:rsid w:val="0012081C"/>
    <w:rsid w:val="001209FC"/>
    <w:rsid w:val="00120A77"/>
    <w:rsid w:val="00121583"/>
    <w:rsid w:val="001215A2"/>
    <w:rsid w:val="0012165E"/>
    <w:rsid w:val="001216FB"/>
    <w:rsid w:val="001217C7"/>
    <w:rsid w:val="00121983"/>
    <w:rsid w:val="00121A03"/>
    <w:rsid w:val="00121A9B"/>
    <w:rsid w:val="00121F70"/>
    <w:rsid w:val="0012201B"/>
    <w:rsid w:val="001221BA"/>
    <w:rsid w:val="00122240"/>
    <w:rsid w:val="00122802"/>
    <w:rsid w:val="001229A5"/>
    <w:rsid w:val="00122F87"/>
    <w:rsid w:val="001230DA"/>
    <w:rsid w:val="001231D3"/>
    <w:rsid w:val="00123505"/>
    <w:rsid w:val="0012357B"/>
    <w:rsid w:val="0012381C"/>
    <w:rsid w:val="00123A51"/>
    <w:rsid w:val="00123AE2"/>
    <w:rsid w:val="00123BA8"/>
    <w:rsid w:val="00123BF1"/>
    <w:rsid w:val="00123C05"/>
    <w:rsid w:val="00123F1D"/>
    <w:rsid w:val="00124080"/>
    <w:rsid w:val="0012409C"/>
    <w:rsid w:val="00124128"/>
    <w:rsid w:val="00124141"/>
    <w:rsid w:val="0012414E"/>
    <w:rsid w:val="00124167"/>
    <w:rsid w:val="00124232"/>
    <w:rsid w:val="00124454"/>
    <w:rsid w:val="001246F8"/>
    <w:rsid w:val="0012489B"/>
    <w:rsid w:val="00124D77"/>
    <w:rsid w:val="00124DE4"/>
    <w:rsid w:val="00124DF8"/>
    <w:rsid w:val="00125067"/>
    <w:rsid w:val="0012548D"/>
    <w:rsid w:val="00125B1C"/>
    <w:rsid w:val="00125C80"/>
    <w:rsid w:val="00125E68"/>
    <w:rsid w:val="00125FC9"/>
    <w:rsid w:val="00126056"/>
    <w:rsid w:val="00126264"/>
    <w:rsid w:val="00126776"/>
    <w:rsid w:val="00126BB5"/>
    <w:rsid w:val="00126CB6"/>
    <w:rsid w:val="00126DB5"/>
    <w:rsid w:val="00126E4C"/>
    <w:rsid w:val="00127496"/>
    <w:rsid w:val="0012749A"/>
    <w:rsid w:val="001278FC"/>
    <w:rsid w:val="00127ADB"/>
    <w:rsid w:val="00127B59"/>
    <w:rsid w:val="00127CAB"/>
    <w:rsid w:val="00130017"/>
    <w:rsid w:val="001308D1"/>
    <w:rsid w:val="001308EB"/>
    <w:rsid w:val="00130A3A"/>
    <w:rsid w:val="00130AFC"/>
    <w:rsid w:val="00130CCA"/>
    <w:rsid w:val="00130DAF"/>
    <w:rsid w:val="00130F4C"/>
    <w:rsid w:val="00130F91"/>
    <w:rsid w:val="00131002"/>
    <w:rsid w:val="0013101D"/>
    <w:rsid w:val="00131041"/>
    <w:rsid w:val="001311FF"/>
    <w:rsid w:val="0013128A"/>
    <w:rsid w:val="00131661"/>
    <w:rsid w:val="00131F40"/>
    <w:rsid w:val="0013210C"/>
    <w:rsid w:val="00132A3A"/>
    <w:rsid w:val="00132B09"/>
    <w:rsid w:val="00132B84"/>
    <w:rsid w:val="00132BC6"/>
    <w:rsid w:val="00132D65"/>
    <w:rsid w:val="00133204"/>
    <w:rsid w:val="0013345D"/>
    <w:rsid w:val="001337E3"/>
    <w:rsid w:val="00133829"/>
    <w:rsid w:val="00133E30"/>
    <w:rsid w:val="00133FB3"/>
    <w:rsid w:val="00133FC5"/>
    <w:rsid w:val="00133FE5"/>
    <w:rsid w:val="00134131"/>
    <w:rsid w:val="0013440A"/>
    <w:rsid w:val="001344E8"/>
    <w:rsid w:val="001349ED"/>
    <w:rsid w:val="00134BC0"/>
    <w:rsid w:val="00134FFB"/>
    <w:rsid w:val="0013513C"/>
    <w:rsid w:val="001352AC"/>
    <w:rsid w:val="00135353"/>
    <w:rsid w:val="001355CA"/>
    <w:rsid w:val="001356EE"/>
    <w:rsid w:val="001357EF"/>
    <w:rsid w:val="0013592F"/>
    <w:rsid w:val="00135D39"/>
    <w:rsid w:val="00135DC3"/>
    <w:rsid w:val="0013606C"/>
    <w:rsid w:val="00136B80"/>
    <w:rsid w:val="00136E32"/>
    <w:rsid w:val="00137279"/>
    <w:rsid w:val="00137424"/>
    <w:rsid w:val="001376E5"/>
    <w:rsid w:val="00137774"/>
    <w:rsid w:val="001400D4"/>
    <w:rsid w:val="00140240"/>
    <w:rsid w:val="00140318"/>
    <w:rsid w:val="00140589"/>
    <w:rsid w:val="00140609"/>
    <w:rsid w:val="001407B1"/>
    <w:rsid w:val="00140DA9"/>
    <w:rsid w:val="00140F39"/>
    <w:rsid w:val="0014181C"/>
    <w:rsid w:val="001418A5"/>
    <w:rsid w:val="00141AD9"/>
    <w:rsid w:val="00141EBE"/>
    <w:rsid w:val="001426D7"/>
    <w:rsid w:val="001426F8"/>
    <w:rsid w:val="00142708"/>
    <w:rsid w:val="00142772"/>
    <w:rsid w:val="00142A5B"/>
    <w:rsid w:val="00142A89"/>
    <w:rsid w:val="00142C48"/>
    <w:rsid w:val="00143312"/>
    <w:rsid w:val="001438A9"/>
    <w:rsid w:val="00143993"/>
    <w:rsid w:val="00143DFE"/>
    <w:rsid w:val="00143E7D"/>
    <w:rsid w:val="00144072"/>
    <w:rsid w:val="001441D6"/>
    <w:rsid w:val="00144235"/>
    <w:rsid w:val="001443A5"/>
    <w:rsid w:val="001444BE"/>
    <w:rsid w:val="00144811"/>
    <w:rsid w:val="00144B13"/>
    <w:rsid w:val="00144EF8"/>
    <w:rsid w:val="00145096"/>
    <w:rsid w:val="001457D6"/>
    <w:rsid w:val="00145942"/>
    <w:rsid w:val="00145D28"/>
    <w:rsid w:val="00145EFB"/>
    <w:rsid w:val="00145FA4"/>
    <w:rsid w:val="00145FD5"/>
    <w:rsid w:val="0014623C"/>
    <w:rsid w:val="00146421"/>
    <w:rsid w:val="00146597"/>
    <w:rsid w:val="0014662D"/>
    <w:rsid w:val="00146B1A"/>
    <w:rsid w:val="00146CE6"/>
    <w:rsid w:val="00146FB5"/>
    <w:rsid w:val="001470A3"/>
    <w:rsid w:val="0014735E"/>
    <w:rsid w:val="001473AC"/>
    <w:rsid w:val="001473C7"/>
    <w:rsid w:val="0014757A"/>
    <w:rsid w:val="001477E8"/>
    <w:rsid w:val="001477F2"/>
    <w:rsid w:val="001478D2"/>
    <w:rsid w:val="00147B0D"/>
    <w:rsid w:val="00147F0C"/>
    <w:rsid w:val="001501F4"/>
    <w:rsid w:val="00150635"/>
    <w:rsid w:val="00150B67"/>
    <w:rsid w:val="00150C68"/>
    <w:rsid w:val="00150E32"/>
    <w:rsid w:val="00150EB2"/>
    <w:rsid w:val="001511DE"/>
    <w:rsid w:val="00151263"/>
    <w:rsid w:val="00151518"/>
    <w:rsid w:val="00151DC8"/>
    <w:rsid w:val="00151E83"/>
    <w:rsid w:val="00151E99"/>
    <w:rsid w:val="001524AE"/>
    <w:rsid w:val="00152516"/>
    <w:rsid w:val="001525AB"/>
    <w:rsid w:val="001525CC"/>
    <w:rsid w:val="001526BD"/>
    <w:rsid w:val="00152839"/>
    <w:rsid w:val="00152903"/>
    <w:rsid w:val="00152B4F"/>
    <w:rsid w:val="00153344"/>
    <w:rsid w:val="001537F1"/>
    <w:rsid w:val="00153945"/>
    <w:rsid w:val="00153E80"/>
    <w:rsid w:val="00153F2E"/>
    <w:rsid w:val="00153FD5"/>
    <w:rsid w:val="001540D8"/>
    <w:rsid w:val="001543E4"/>
    <w:rsid w:val="00154550"/>
    <w:rsid w:val="00154804"/>
    <w:rsid w:val="0015481B"/>
    <w:rsid w:val="00154BE1"/>
    <w:rsid w:val="00154D22"/>
    <w:rsid w:val="00154EB9"/>
    <w:rsid w:val="00155290"/>
    <w:rsid w:val="00155386"/>
    <w:rsid w:val="001556CE"/>
    <w:rsid w:val="0015597B"/>
    <w:rsid w:val="001559D4"/>
    <w:rsid w:val="00155A31"/>
    <w:rsid w:val="00155D31"/>
    <w:rsid w:val="00155FA4"/>
    <w:rsid w:val="0015614F"/>
    <w:rsid w:val="001567F7"/>
    <w:rsid w:val="00156A44"/>
    <w:rsid w:val="00156B40"/>
    <w:rsid w:val="00156F2F"/>
    <w:rsid w:val="001570CA"/>
    <w:rsid w:val="0015716C"/>
    <w:rsid w:val="001573B8"/>
    <w:rsid w:val="00157553"/>
    <w:rsid w:val="0015761A"/>
    <w:rsid w:val="001577C2"/>
    <w:rsid w:val="001577D8"/>
    <w:rsid w:val="00157F7F"/>
    <w:rsid w:val="001605F3"/>
    <w:rsid w:val="0016070B"/>
    <w:rsid w:val="001608C5"/>
    <w:rsid w:val="00160A4C"/>
    <w:rsid w:val="00160A93"/>
    <w:rsid w:val="00161027"/>
    <w:rsid w:val="00161177"/>
    <w:rsid w:val="00161584"/>
    <w:rsid w:val="001616BA"/>
    <w:rsid w:val="001617D2"/>
    <w:rsid w:val="00161941"/>
    <w:rsid w:val="0016197A"/>
    <w:rsid w:val="00161C74"/>
    <w:rsid w:val="00162093"/>
    <w:rsid w:val="0016228E"/>
    <w:rsid w:val="001623B2"/>
    <w:rsid w:val="0016250F"/>
    <w:rsid w:val="0016320E"/>
    <w:rsid w:val="00163338"/>
    <w:rsid w:val="001633C4"/>
    <w:rsid w:val="0016342C"/>
    <w:rsid w:val="00163513"/>
    <w:rsid w:val="001635D5"/>
    <w:rsid w:val="00163608"/>
    <w:rsid w:val="001636C7"/>
    <w:rsid w:val="001639FB"/>
    <w:rsid w:val="00163BE3"/>
    <w:rsid w:val="00163EA5"/>
    <w:rsid w:val="001640BD"/>
    <w:rsid w:val="001644F5"/>
    <w:rsid w:val="00164625"/>
    <w:rsid w:val="00164C38"/>
    <w:rsid w:val="00165015"/>
    <w:rsid w:val="001656D0"/>
    <w:rsid w:val="00165AF9"/>
    <w:rsid w:val="00165F48"/>
    <w:rsid w:val="00165F73"/>
    <w:rsid w:val="001664C4"/>
    <w:rsid w:val="00166575"/>
    <w:rsid w:val="00166850"/>
    <w:rsid w:val="00166FA5"/>
    <w:rsid w:val="00167099"/>
    <w:rsid w:val="001670BD"/>
    <w:rsid w:val="00167133"/>
    <w:rsid w:val="00167289"/>
    <w:rsid w:val="001673E9"/>
    <w:rsid w:val="001675ED"/>
    <w:rsid w:val="00167BA4"/>
    <w:rsid w:val="00167D74"/>
    <w:rsid w:val="001700A7"/>
    <w:rsid w:val="0017064E"/>
    <w:rsid w:val="00170871"/>
    <w:rsid w:val="00170EE1"/>
    <w:rsid w:val="00171473"/>
    <w:rsid w:val="00171591"/>
    <w:rsid w:val="001715D1"/>
    <w:rsid w:val="00171986"/>
    <w:rsid w:val="00171C01"/>
    <w:rsid w:val="00171C4F"/>
    <w:rsid w:val="00172279"/>
    <w:rsid w:val="001724E2"/>
    <w:rsid w:val="001725B8"/>
    <w:rsid w:val="00172695"/>
    <w:rsid w:val="0017298B"/>
    <w:rsid w:val="00172A0F"/>
    <w:rsid w:val="00172B26"/>
    <w:rsid w:val="00172B54"/>
    <w:rsid w:val="00172EB0"/>
    <w:rsid w:val="00173159"/>
    <w:rsid w:val="00173888"/>
    <w:rsid w:val="00173981"/>
    <w:rsid w:val="00173991"/>
    <w:rsid w:val="00173CDA"/>
    <w:rsid w:val="00173EC1"/>
    <w:rsid w:val="00173F24"/>
    <w:rsid w:val="00173F87"/>
    <w:rsid w:val="001757D9"/>
    <w:rsid w:val="00175F4A"/>
    <w:rsid w:val="00176275"/>
    <w:rsid w:val="001764D3"/>
    <w:rsid w:val="00176583"/>
    <w:rsid w:val="001765FC"/>
    <w:rsid w:val="00176BB4"/>
    <w:rsid w:val="00176C26"/>
    <w:rsid w:val="00176D22"/>
    <w:rsid w:val="00176DD4"/>
    <w:rsid w:val="00176E22"/>
    <w:rsid w:val="00176F91"/>
    <w:rsid w:val="0017719D"/>
    <w:rsid w:val="00177314"/>
    <w:rsid w:val="001773D5"/>
    <w:rsid w:val="00177473"/>
    <w:rsid w:val="00177523"/>
    <w:rsid w:val="001777DA"/>
    <w:rsid w:val="001779E4"/>
    <w:rsid w:val="00177A40"/>
    <w:rsid w:val="00177FC0"/>
    <w:rsid w:val="00177FDF"/>
    <w:rsid w:val="00180017"/>
    <w:rsid w:val="001801F4"/>
    <w:rsid w:val="0018044B"/>
    <w:rsid w:val="001805D0"/>
    <w:rsid w:val="001808A3"/>
    <w:rsid w:val="001809A1"/>
    <w:rsid w:val="001809E0"/>
    <w:rsid w:val="00180CBE"/>
    <w:rsid w:val="00180CD4"/>
    <w:rsid w:val="00181063"/>
    <w:rsid w:val="0018164A"/>
    <w:rsid w:val="00181690"/>
    <w:rsid w:val="001818EC"/>
    <w:rsid w:val="00181C9E"/>
    <w:rsid w:val="00181D78"/>
    <w:rsid w:val="001820EE"/>
    <w:rsid w:val="001820EF"/>
    <w:rsid w:val="0018271D"/>
    <w:rsid w:val="00182B2D"/>
    <w:rsid w:val="001830D4"/>
    <w:rsid w:val="00183300"/>
    <w:rsid w:val="001833D8"/>
    <w:rsid w:val="0018396F"/>
    <w:rsid w:val="00183D00"/>
    <w:rsid w:val="00183E47"/>
    <w:rsid w:val="00183EDF"/>
    <w:rsid w:val="00183FD7"/>
    <w:rsid w:val="00184435"/>
    <w:rsid w:val="00184B51"/>
    <w:rsid w:val="00184D1B"/>
    <w:rsid w:val="00185173"/>
    <w:rsid w:val="00185619"/>
    <w:rsid w:val="00185CAB"/>
    <w:rsid w:val="00185D43"/>
    <w:rsid w:val="001860B9"/>
    <w:rsid w:val="00186911"/>
    <w:rsid w:val="0018698C"/>
    <w:rsid w:val="00186B43"/>
    <w:rsid w:val="00186B66"/>
    <w:rsid w:val="00186F06"/>
    <w:rsid w:val="001871AB"/>
    <w:rsid w:val="0018757E"/>
    <w:rsid w:val="001875B7"/>
    <w:rsid w:val="00187682"/>
    <w:rsid w:val="001878B2"/>
    <w:rsid w:val="001878E8"/>
    <w:rsid w:val="0018795D"/>
    <w:rsid w:val="00187AA5"/>
    <w:rsid w:val="00187CB3"/>
    <w:rsid w:val="00187F5C"/>
    <w:rsid w:val="00190008"/>
    <w:rsid w:val="00190041"/>
    <w:rsid w:val="001901FF"/>
    <w:rsid w:val="00190408"/>
    <w:rsid w:val="0019050A"/>
    <w:rsid w:val="001907E3"/>
    <w:rsid w:val="001909A3"/>
    <w:rsid w:val="00190BD2"/>
    <w:rsid w:val="00190C3F"/>
    <w:rsid w:val="00191034"/>
    <w:rsid w:val="00191085"/>
    <w:rsid w:val="001910D4"/>
    <w:rsid w:val="00191164"/>
    <w:rsid w:val="001913EB"/>
    <w:rsid w:val="00191724"/>
    <w:rsid w:val="001918E1"/>
    <w:rsid w:val="00191A25"/>
    <w:rsid w:val="00191B48"/>
    <w:rsid w:val="00191BC3"/>
    <w:rsid w:val="00191FBB"/>
    <w:rsid w:val="00192088"/>
    <w:rsid w:val="00192392"/>
    <w:rsid w:val="001923EB"/>
    <w:rsid w:val="0019258A"/>
    <w:rsid w:val="001928EB"/>
    <w:rsid w:val="001936FE"/>
    <w:rsid w:val="00193828"/>
    <w:rsid w:val="00193844"/>
    <w:rsid w:val="00193A70"/>
    <w:rsid w:val="00193CCF"/>
    <w:rsid w:val="0019432F"/>
    <w:rsid w:val="001943D7"/>
    <w:rsid w:val="0019469D"/>
    <w:rsid w:val="0019480C"/>
    <w:rsid w:val="00194846"/>
    <w:rsid w:val="0019484B"/>
    <w:rsid w:val="001948DF"/>
    <w:rsid w:val="001949D3"/>
    <w:rsid w:val="00194B63"/>
    <w:rsid w:val="00195041"/>
    <w:rsid w:val="001950E3"/>
    <w:rsid w:val="00195534"/>
    <w:rsid w:val="0019557B"/>
    <w:rsid w:val="00195AB7"/>
    <w:rsid w:val="00195C0E"/>
    <w:rsid w:val="001962B2"/>
    <w:rsid w:val="00196553"/>
    <w:rsid w:val="00196768"/>
    <w:rsid w:val="00196BAF"/>
    <w:rsid w:val="00196BC0"/>
    <w:rsid w:val="00196DE6"/>
    <w:rsid w:val="001971EA"/>
    <w:rsid w:val="00197216"/>
    <w:rsid w:val="001974D5"/>
    <w:rsid w:val="001976E3"/>
    <w:rsid w:val="00197B39"/>
    <w:rsid w:val="00197E92"/>
    <w:rsid w:val="001A0068"/>
    <w:rsid w:val="001A05F1"/>
    <w:rsid w:val="001A0782"/>
    <w:rsid w:val="001A0B63"/>
    <w:rsid w:val="001A0B85"/>
    <w:rsid w:val="001A0E71"/>
    <w:rsid w:val="001A143F"/>
    <w:rsid w:val="001A1552"/>
    <w:rsid w:val="001A1B11"/>
    <w:rsid w:val="001A1C72"/>
    <w:rsid w:val="001A1CCF"/>
    <w:rsid w:val="001A2292"/>
    <w:rsid w:val="001A25C7"/>
    <w:rsid w:val="001A2904"/>
    <w:rsid w:val="001A2A2F"/>
    <w:rsid w:val="001A30F0"/>
    <w:rsid w:val="001A359E"/>
    <w:rsid w:val="001A3814"/>
    <w:rsid w:val="001A3E86"/>
    <w:rsid w:val="001A3EC1"/>
    <w:rsid w:val="001A3F7F"/>
    <w:rsid w:val="001A42E7"/>
    <w:rsid w:val="001A4307"/>
    <w:rsid w:val="001A447C"/>
    <w:rsid w:val="001A44EA"/>
    <w:rsid w:val="001A44EC"/>
    <w:rsid w:val="001A469C"/>
    <w:rsid w:val="001A47A1"/>
    <w:rsid w:val="001A47A9"/>
    <w:rsid w:val="001A4D89"/>
    <w:rsid w:val="001A4FC2"/>
    <w:rsid w:val="001A5088"/>
    <w:rsid w:val="001A52A3"/>
    <w:rsid w:val="001A5433"/>
    <w:rsid w:val="001A543F"/>
    <w:rsid w:val="001A5B1D"/>
    <w:rsid w:val="001A5DAA"/>
    <w:rsid w:val="001A6339"/>
    <w:rsid w:val="001A6422"/>
    <w:rsid w:val="001A6937"/>
    <w:rsid w:val="001A6A34"/>
    <w:rsid w:val="001A6AC3"/>
    <w:rsid w:val="001A6E38"/>
    <w:rsid w:val="001A710A"/>
    <w:rsid w:val="001A7201"/>
    <w:rsid w:val="001A729D"/>
    <w:rsid w:val="001A75B2"/>
    <w:rsid w:val="001A76DB"/>
    <w:rsid w:val="001A7901"/>
    <w:rsid w:val="001A7C2A"/>
    <w:rsid w:val="001A7C80"/>
    <w:rsid w:val="001A7D52"/>
    <w:rsid w:val="001B035B"/>
    <w:rsid w:val="001B0437"/>
    <w:rsid w:val="001B05AC"/>
    <w:rsid w:val="001B0687"/>
    <w:rsid w:val="001B07AF"/>
    <w:rsid w:val="001B081A"/>
    <w:rsid w:val="001B0951"/>
    <w:rsid w:val="001B09F8"/>
    <w:rsid w:val="001B0F77"/>
    <w:rsid w:val="001B1102"/>
    <w:rsid w:val="001B12D2"/>
    <w:rsid w:val="001B1377"/>
    <w:rsid w:val="001B1673"/>
    <w:rsid w:val="001B170D"/>
    <w:rsid w:val="001B1A0B"/>
    <w:rsid w:val="001B1B53"/>
    <w:rsid w:val="001B1B7A"/>
    <w:rsid w:val="001B1CA4"/>
    <w:rsid w:val="001B1D18"/>
    <w:rsid w:val="001B2010"/>
    <w:rsid w:val="001B22B0"/>
    <w:rsid w:val="001B272D"/>
    <w:rsid w:val="001B2850"/>
    <w:rsid w:val="001B2889"/>
    <w:rsid w:val="001B2DB3"/>
    <w:rsid w:val="001B310F"/>
    <w:rsid w:val="001B31CF"/>
    <w:rsid w:val="001B3404"/>
    <w:rsid w:val="001B378A"/>
    <w:rsid w:val="001B3EF6"/>
    <w:rsid w:val="001B3FA1"/>
    <w:rsid w:val="001B3FE4"/>
    <w:rsid w:val="001B420E"/>
    <w:rsid w:val="001B42E1"/>
    <w:rsid w:val="001B450C"/>
    <w:rsid w:val="001B46D5"/>
    <w:rsid w:val="001B473D"/>
    <w:rsid w:val="001B4850"/>
    <w:rsid w:val="001B4CF7"/>
    <w:rsid w:val="001B4ED4"/>
    <w:rsid w:val="001B4FA5"/>
    <w:rsid w:val="001B501C"/>
    <w:rsid w:val="001B50D7"/>
    <w:rsid w:val="001B5127"/>
    <w:rsid w:val="001B5483"/>
    <w:rsid w:val="001B58AA"/>
    <w:rsid w:val="001B5A63"/>
    <w:rsid w:val="001B5B22"/>
    <w:rsid w:val="001B5B7C"/>
    <w:rsid w:val="001B5EA2"/>
    <w:rsid w:val="001B5F12"/>
    <w:rsid w:val="001B6223"/>
    <w:rsid w:val="001B64BF"/>
    <w:rsid w:val="001B6590"/>
    <w:rsid w:val="001B6712"/>
    <w:rsid w:val="001B696E"/>
    <w:rsid w:val="001B6C04"/>
    <w:rsid w:val="001B6D1A"/>
    <w:rsid w:val="001B6E03"/>
    <w:rsid w:val="001B75F1"/>
    <w:rsid w:val="001B7611"/>
    <w:rsid w:val="001B763E"/>
    <w:rsid w:val="001B76B6"/>
    <w:rsid w:val="001B76CC"/>
    <w:rsid w:val="001B7A71"/>
    <w:rsid w:val="001B7AEF"/>
    <w:rsid w:val="001B7E48"/>
    <w:rsid w:val="001C0300"/>
    <w:rsid w:val="001C0B58"/>
    <w:rsid w:val="001C0CBB"/>
    <w:rsid w:val="001C0D0E"/>
    <w:rsid w:val="001C0E03"/>
    <w:rsid w:val="001C0F1C"/>
    <w:rsid w:val="001C176C"/>
    <w:rsid w:val="001C17CE"/>
    <w:rsid w:val="001C18E4"/>
    <w:rsid w:val="001C18FF"/>
    <w:rsid w:val="001C2180"/>
    <w:rsid w:val="001C221D"/>
    <w:rsid w:val="001C23FF"/>
    <w:rsid w:val="001C2636"/>
    <w:rsid w:val="001C28AF"/>
    <w:rsid w:val="001C2BF4"/>
    <w:rsid w:val="001C2D07"/>
    <w:rsid w:val="001C3132"/>
    <w:rsid w:val="001C339E"/>
    <w:rsid w:val="001C353C"/>
    <w:rsid w:val="001C36CA"/>
    <w:rsid w:val="001C37A7"/>
    <w:rsid w:val="001C37A8"/>
    <w:rsid w:val="001C37AB"/>
    <w:rsid w:val="001C37D8"/>
    <w:rsid w:val="001C3814"/>
    <w:rsid w:val="001C39C8"/>
    <w:rsid w:val="001C3AE9"/>
    <w:rsid w:val="001C3B42"/>
    <w:rsid w:val="001C3C0C"/>
    <w:rsid w:val="001C401A"/>
    <w:rsid w:val="001C414C"/>
    <w:rsid w:val="001C4163"/>
    <w:rsid w:val="001C427D"/>
    <w:rsid w:val="001C4306"/>
    <w:rsid w:val="001C44D1"/>
    <w:rsid w:val="001C4670"/>
    <w:rsid w:val="001C478A"/>
    <w:rsid w:val="001C4808"/>
    <w:rsid w:val="001C4AB5"/>
    <w:rsid w:val="001C4B76"/>
    <w:rsid w:val="001C4C83"/>
    <w:rsid w:val="001C4D7E"/>
    <w:rsid w:val="001C4DDC"/>
    <w:rsid w:val="001C4E21"/>
    <w:rsid w:val="001C4FFD"/>
    <w:rsid w:val="001C517F"/>
    <w:rsid w:val="001C597B"/>
    <w:rsid w:val="001C5C63"/>
    <w:rsid w:val="001C5E46"/>
    <w:rsid w:val="001C6117"/>
    <w:rsid w:val="001C6177"/>
    <w:rsid w:val="001C61F0"/>
    <w:rsid w:val="001C643F"/>
    <w:rsid w:val="001C6582"/>
    <w:rsid w:val="001C6A7E"/>
    <w:rsid w:val="001C6AEE"/>
    <w:rsid w:val="001C7338"/>
    <w:rsid w:val="001C754C"/>
    <w:rsid w:val="001C7630"/>
    <w:rsid w:val="001C777D"/>
    <w:rsid w:val="001C7BF2"/>
    <w:rsid w:val="001C7D99"/>
    <w:rsid w:val="001D02A7"/>
    <w:rsid w:val="001D063A"/>
    <w:rsid w:val="001D09EB"/>
    <w:rsid w:val="001D0A2E"/>
    <w:rsid w:val="001D0BEF"/>
    <w:rsid w:val="001D0CFD"/>
    <w:rsid w:val="001D19BE"/>
    <w:rsid w:val="001D1F26"/>
    <w:rsid w:val="001D20A4"/>
    <w:rsid w:val="001D2120"/>
    <w:rsid w:val="001D2969"/>
    <w:rsid w:val="001D2B02"/>
    <w:rsid w:val="001D2BC9"/>
    <w:rsid w:val="001D3119"/>
    <w:rsid w:val="001D349B"/>
    <w:rsid w:val="001D36ED"/>
    <w:rsid w:val="001D376C"/>
    <w:rsid w:val="001D3B96"/>
    <w:rsid w:val="001D3E52"/>
    <w:rsid w:val="001D3F8B"/>
    <w:rsid w:val="001D3FAD"/>
    <w:rsid w:val="001D4358"/>
    <w:rsid w:val="001D4362"/>
    <w:rsid w:val="001D4884"/>
    <w:rsid w:val="001D494F"/>
    <w:rsid w:val="001D4CF9"/>
    <w:rsid w:val="001D51CB"/>
    <w:rsid w:val="001D52B8"/>
    <w:rsid w:val="001D53BE"/>
    <w:rsid w:val="001D55C2"/>
    <w:rsid w:val="001D5911"/>
    <w:rsid w:val="001D59F8"/>
    <w:rsid w:val="001D5AFF"/>
    <w:rsid w:val="001D5D37"/>
    <w:rsid w:val="001D5FA8"/>
    <w:rsid w:val="001D61B4"/>
    <w:rsid w:val="001D61D7"/>
    <w:rsid w:val="001D63A8"/>
    <w:rsid w:val="001D63BA"/>
    <w:rsid w:val="001D63C7"/>
    <w:rsid w:val="001D66A7"/>
    <w:rsid w:val="001D6D15"/>
    <w:rsid w:val="001D6F68"/>
    <w:rsid w:val="001D6F6E"/>
    <w:rsid w:val="001D7025"/>
    <w:rsid w:val="001D727B"/>
    <w:rsid w:val="001D72BA"/>
    <w:rsid w:val="001D766D"/>
    <w:rsid w:val="001D76E6"/>
    <w:rsid w:val="001D7C04"/>
    <w:rsid w:val="001E0016"/>
    <w:rsid w:val="001E0B0C"/>
    <w:rsid w:val="001E0DF4"/>
    <w:rsid w:val="001E1270"/>
    <w:rsid w:val="001E15CA"/>
    <w:rsid w:val="001E15E1"/>
    <w:rsid w:val="001E1833"/>
    <w:rsid w:val="001E1AE6"/>
    <w:rsid w:val="001E1B65"/>
    <w:rsid w:val="001E227C"/>
    <w:rsid w:val="001E2468"/>
    <w:rsid w:val="001E2583"/>
    <w:rsid w:val="001E2C33"/>
    <w:rsid w:val="001E2C64"/>
    <w:rsid w:val="001E3005"/>
    <w:rsid w:val="001E3125"/>
    <w:rsid w:val="001E3172"/>
    <w:rsid w:val="001E3228"/>
    <w:rsid w:val="001E333A"/>
    <w:rsid w:val="001E3372"/>
    <w:rsid w:val="001E374D"/>
    <w:rsid w:val="001E3787"/>
    <w:rsid w:val="001E3956"/>
    <w:rsid w:val="001E3A8F"/>
    <w:rsid w:val="001E3A98"/>
    <w:rsid w:val="001E3C13"/>
    <w:rsid w:val="001E3C36"/>
    <w:rsid w:val="001E3C7A"/>
    <w:rsid w:val="001E40DD"/>
    <w:rsid w:val="001E40F9"/>
    <w:rsid w:val="001E41D5"/>
    <w:rsid w:val="001E44D2"/>
    <w:rsid w:val="001E48DE"/>
    <w:rsid w:val="001E4C2C"/>
    <w:rsid w:val="001E4DE7"/>
    <w:rsid w:val="001E5274"/>
    <w:rsid w:val="001E530C"/>
    <w:rsid w:val="001E5449"/>
    <w:rsid w:val="001E5885"/>
    <w:rsid w:val="001E5899"/>
    <w:rsid w:val="001E59D9"/>
    <w:rsid w:val="001E5A4A"/>
    <w:rsid w:val="001E5AB1"/>
    <w:rsid w:val="001E5C04"/>
    <w:rsid w:val="001E60D3"/>
    <w:rsid w:val="001E6137"/>
    <w:rsid w:val="001E6669"/>
    <w:rsid w:val="001E67A0"/>
    <w:rsid w:val="001E6AF5"/>
    <w:rsid w:val="001E6D41"/>
    <w:rsid w:val="001E6FEA"/>
    <w:rsid w:val="001E70D8"/>
    <w:rsid w:val="001E7166"/>
    <w:rsid w:val="001E7B95"/>
    <w:rsid w:val="001E7C05"/>
    <w:rsid w:val="001F0040"/>
    <w:rsid w:val="001F03F1"/>
    <w:rsid w:val="001F0531"/>
    <w:rsid w:val="001F0BEC"/>
    <w:rsid w:val="001F181A"/>
    <w:rsid w:val="001F19F4"/>
    <w:rsid w:val="001F1E22"/>
    <w:rsid w:val="001F1F4F"/>
    <w:rsid w:val="001F20C3"/>
    <w:rsid w:val="001F20F5"/>
    <w:rsid w:val="001F2399"/>
    <w:rsid w:val="001F25DE"/>
    <w:rsid w:val="001F2792"/>
    <w:rsid w:val="001F29C3"/>
    <w:rsid w:val="001F2D19"/>
    <w:rsid w:val="001F2ECD"/>
    <w:rsid w:val="001F307F"/>
    <w:rsid w:val="001F3495"/>
    <w:rsid w:val="001F3CAC"/>
    <w:rsid w:val="001F3E7B"/>
    <w:rsid w:val="001F41ED"/>
    <w:rsid w:val="001F42FC"/>
    <w:rsid w:val="001F4382"/>
    <w:rsid w:val="001F4473"/>
    <w:rsid w:val="001F4791"/>
    <w:rsid w:val="001F4890"/>
    <w:rsid w:val="001F4E3F"/>
    <w:rsid w:val="001F51FF"/>
    <w:rsid w:val="001F52CA"/>
    <w:rsid w:val="001F53C6"/>
    <w:rsid w:val="001F55C9"/>
    <w:rsid w:val="001F55F5"/>
    <w:rsid w:val="001F565B"/>
    <w:rsid w:val="001F5787"/>
    <w:rsid w:val="001F5BED"/>
    <w:rsid w:val="001F5C40"/>
    <w:rsid w:val="001F5DCD"/>
    <w:rsid w:val="001F5E1C"/>
    <w:rsid w:val="001F5EA0"/>
    <w:rsid w:val="001F5F10"/>
    <w:rsid w:val="001F634F"/>
    <w:rsid w:val="001F63F9"/>
    <w:rsid w:val="001F642C"/>
    <w:rsid w:val="001F68F7"/>
    <w:rsid w:val="001F694F"/>
    <w:rsid w:val="001F6A12"/>
    <w:rsid w:val="001F6C3D"/>
    <w:rsid w:val="001F7558"/>
    <w:rsid w:val="001F7577"/>
    <w:rsid w:val="001F75A5"/>
    <w:rsid w:val="001F7645"/>
    <w:rsid w:val="001F76E6"/>
    <w:rsid w:val="001F7E22"/>
    <w:rsid w:val="00200105"/>
    <w:rsid w:val="0020014B"/>
    <w:rsid w:val="002001E9"/>
    <w:rsid w:val="0020049B"/>
    <w:rsid w:val="0020051D"/>
    <w:rsid w:val="0020051E"/>
    <w:rsid w:val="00200672"/>
    <w:rsid w:val="00200768"/>
    <w:rsid w:val="002008E9"/>
    <w:rsid w:val="00200924"/>
    <w:rsid w:val="00200AE7"/>
    <w:rsid w:val="00200CFE"/>
    <w:rsid w:val="00200D96"/>
    <w:rsid w:val="00200F25"/>
    <w:rsid w:val="002013BD"/>
    <w:rsid w:val="00201AF1"/>
    <w:rsid w:val="00201DB8"/>
    <w:rsid w:val="00201DE5"/>
    <w:rsid w:val="00201FB7"/>
    <w:rsid w:val="00201FC7"/>
    <w:rsid w:val="002024CD"/>
    <w:rsid w:val="0020256C"/>
    <w:rsid w:val="002025FC"/>
    <w:rsid w:val="002026BE"/>
    <w:rsid w:val="002026C0"/>
    <w:rsid w:val="0020286E"/>
    <w:rsid w:val="0020287F"/>
    <w:rsid w:val="0020289D"/>
    <w:rsid w:val="00202F16"/>
    <w:rsid w:val="0020334F"/>
    <w:rsid w:val="002038D0"/>
    <w:rsid w:val="00203D97"/>
    <w:rsid w:val="00203F63"/>
    <w:rsid w:val="0020408F"/>
    <w:rsid w:val="002041BD"/>
    <w:rsid w:val="0020445B"/>
    <w:rsid w:val="0020488C"/>
    <w:rsid w:val="0020491D"/>
    <w:rsid w:val="00204FD4"/>
    <w:rsid w:val="0020501E"/>
    <w:rsid w:val="00205514"/>
    <w:rsid w:val="002055BA"/>
    <w:rsid w:val="00205768"/>
    <w:rsid w:val="002058AE"/>
    <w:rsid w:val="00205997"/>
    <w:rsid w:val="00205B57"/>
    <w:rsid w:val="00205E5A"/>
    <w:rsid w:val="00205F0B"/>
    <w:rsid w:val="00205F38"/>
    <w:rsid w:val="00205F9D"/>
    <w:rsid w:val="002062EB"/>
    <w:rsid w:val="00206336"/>
    <w:rsid w:val="002064DB"/>
    <w:rsid w:val="00206922"/>
    <w:rsid w:val="00206A1E"/>
    <w:rsid w:val="00206EC6"/>
    <w:rsid w:val="00206F27"/>
    <w:rsid w:val="00207199"/>
    <w:rsid w:val="0020740B"/>
    <w:rsid w:val="0020762C"/>
    <w:rsid w:val="00207915"/>
    <w:rsid w:val="00207B11"/>
    <w:rsid w:val="00207B96"/>
    <w:rsid w:val="002104A1"/>
    <w:rsid w:val="00210857"/>
    <w:rsid w:val="00210980"/>
    <w:rsid w:val="00210EE0"/>
    <w:rsid w:val="00210F14"/>
    <w:rsid w:val="00211031"/>
    <w:rsid w:val="002111ED"/>
    <w:rsid w:val="00211AFF"/>
    <w:rsid w:val="00211D44"/>
    <w:rsid w:val="00212268"/>
    <w:rsid w:val="0021241B"/>
    <w:rsid w:val="002124FE"/>
    <w:rsid w:val="002127EF"/>
    <w:rsid w:val="0021280A"/>
    <w:rsid w:val="00212DF8"/>
    <w:rsid w:val="00212F72"/>
    <w:rsid w:val="00213104"/>
    <w:rsid w:val="002133A1"/>
    <w:rsid w:val="00213486"/>
    <w:rsid w:val="0021381F"/>
    <w:rsid w:val="002139BD"/>
    <w:rsid w:val="00213B58"/>
    <w:rsid w:val="00213C1A"/>
    <w:rsid w:val="0021404A"/>
    <w:rsid w:val="00214171"/>
    <w:rsid w:val="00214465"/>
    <w:rsid w:val="00214700"/>
    <w:rsid w:val="00214A2B"/>
    <w:rsid w:val="00214D93"/>
    <w:rsid w:val="00214E77"/>
    <w:rsid w:val="00215006"/>
    <w:rsid w:val="002152E1"/>
    <w:rsid w:val="002157E0"/>
    <w:rsid w:val="002157E7"/>
    <w:rsid w:val="00215AD1"/>
    <w:rsid w:val="00215E53"/>
    <w:rsid w:val="002160B3"/>
    <w:rsid w:val="002167C3"/>
    <w:rsid w:val="00216A57"/>
    <w:rsid w:val="00216A86"/>
    <w:rsid w:val="00216EAE"/>
    <w:rsid w:val="00216F58"/>
    <w:rsid w:val="00216FFC"/>
    <w:rsid w:val="0021703C"/>
    <w:rsid w:val="002175AB"/>
    <w:rsid w:val="00217852"/>
    <w:rsid w:val="0021797A"/>
    <w:rsid w:val="00217C7C"/>
    <w:rsid w:val="00217D43"/>
    <w:rsid w:val="0022063D"/>
    <w:rsid w:val="0022070E"/>
    <w:rsid w:val="00220775"/>
    <w:rsid w:val="00220C13"/>
    <w:rsid w:val="00220FF6"/>
    <w:rsid w:val="002210D9"/>
    <w:rsid w:val="00221421"/>
    <w:rsid w:val="00221A0F"/>
    <w:rsid w:val="002225DD"/>
    <w:rsid w:val="002225E4"/>
    <w:rsid w:val="0022278D"/>
    <w:rsid w:val="0022282E"/>
    <w:rsid w:val="0022303A"/>
    <w:rsid w:val="00223132"/>
    <w:rsid w:val="0022334F"/>
    <w:rsid w:val="00223691"/>
    <w:rsid w:val="002236BB"/>
    <w:rsid w:val="00223C73"/>
    <w:rsid w:val="00223D30"/>
    <w:rsid w:val="00223D9D"/>
    <w:rsid w:val="0022429D"/>
    <w:rsid w:val="00224596"/>
    <w:rsid w:val="00224F2C"/>
    <w:rsid w:val="00225351"/>
    <w:rsid w:val="0022541D"/>
    <w:rsid w:val="0022547B"/>
    <w:rsid w:val="002254DB"/>
    <w:rsid w:val="0022550C"/>
    <w:rsid w:val="0022551C"/>
    <w:rsid w:val="002256FC"/>
    <w:rsid w:val="00225774"/>
    <w:rsid w:val="00225799"/>
    <w:rsid w:val="002258BF"/>
    <w:rsid w:val="00225AFF"/>
    <w:rsid w:val="00225B46"/>
    <w:rsid w:val="00225E2F"/>
    <w:rsid w:val="00225FC8"/>
    <w:rsid w:val="0022609D"/>
    <w:rsid w:val="00226113"/>
    <w:rsid w:val="002263B2"/>
    <w:rsid w:val="00226819"/>
    <w:rsid w:val="00226BDF"/>
    <w:rsid w:val="00226C2F"/>
    <w:rsid w:val="00226D46"/>
    <w:rsid w:val="00226E18"/>
    <w:rsid w:val="0022739C"/>
    <w:rsid w:val="002277B1"/>
    <w:rsid w:val="00227C89"/>
    <w:rsid w:val="0023020D"/>
    <w:rsid w:val="00230367"/>
    <w:rsid w:val="0023072A"/>
    <w:rsid w:val="00230F28"/>
    <w:rsid w:val="00230FEC"/>
    <w:rsid w:val="00231075"/>
    <w:rsid w:val="002310D8"/>
    <w:rsid w:val="00231221"/>
    <w:rsid w:val="002312D5"/>
    <w:rsid w:val="00231397"/>
    <w:rsid w:val="00231649"/>
    <w:rsid w:val="002319FC"/>
    <w:rsid w:val="00231D4A"/>
    <w:rsid w:val="00231D60"/>
    <w:rsid w:val="00231F13"/>
    <w:rsid w:val="0023233B"/>
    <w:rsid w:val="002323D0"/>
    <w:rsid w:val="0023248A"/>
    <w:rsid w:val="00232A41"/>
    <w:rsid w:val="00233053"/>
    <w:rsid w:val="00233101"/>
    <w:rsid w:val="0023319A"/>
    <w:rsid w:val="0023347D"/>
    <w:rsid w:val="00233575"/>
    <w:rsid w:val="002336EF"/>
    <w:rsid w:val="00233817"/>
    <w:rsid w:val="00233921"/>
    <w:rsid w:val="00233BF2"/>
    <w:rsid w:val="00233C52"/>
    <w:rsid w:val="00233CC3"/>
    <w:rsid w:val="00233E05"/>
    <w:rsid w:val="00233E65"/>
    <w:rsid w:val="002340E3"/>
    <w:rsid w:val="002342AE"/>
    <w:rsid w:val="0023446C"/>
    <w:rsid w:val="00234509"/>
    <w:rsid w:val="00234516"/>
    <w:rsid w:val="002345FB"/>
    <w:rsid w:val="0023477F"/>
    <w:rsid w:val="00234C5A"/>
    <w:rsid w:val="00234FE2"/>
    <w:rsid w:val="0023500A"/>
    <w:rsid w:val="002350CC"/>
    <w:rsid w:val="00235261"/>
    <w:rsid w:val="00235579"/>
    <w:rsid w:val="00235F31"/>
    <w:rsid w:val="002364FC"/>
    <w:rsid w:val="00236532"/>
    <w:rsid w:val="00236678"/>
    <w:rsid w:val="002367D4"/>
    <w:rsid w:val="002367FF"/>
    <w:rsid w:val="002368B2"/>
    <w:rsid w:val="00236E8C"/>
    <w:rsid w:val="002370F2"/>
    <w:rsid w:val="00237373"/>
    <w:rsid w:val="002374AC"/>
    <w:rsid w:val="002376AB"/>
    <w:rsid w:val="00237A13"/>
    <w:rsid w:val="00237EBB"/>
    <w:rsid w:val="002400EF"/>
    <w:rsid w:val="0024022B"/>
    <w:rsid w:val="0024027E"/>
    <w:rsid w:val="00240367"/>
    <w:rsid w:val="0024065B"/>
    <w:rsid w:val="002409C9"/>
    <w:rsid w:val="00240CB1"/>
    <w:rsid w:val="00240CE9"/>
    <w:rsid w:val="00241191"/>
    <w:rsid w:val="00241747"/>
    <w:rsid w:val="00241986"/>
    <w:rsid w:val="00242011"/>
    <w:rsid w:val="00242238"/>
    <w:rsid w:val="00242304"/>
    <w:rsid w:val="00242754"/>
    <w:rsid w:val="00242CFC"/>
    <w:rsid w:val="00242E62"/>
    <w:rsid w:val="00242F3B"/>
    <w:rsid w:val="0024313C"/>
    <w:rsid w:val="00243170"/>
    <w:rsid w:val="00243182"/>
    <w:rsid w:val="00243330"/>
    <w:rsid w:val="002434BA"/>
    <w:rsid w:val="002434D4"/>
    <w:rsid w:val="00243680"/>
    <w:rsid w:val="00243870"/>
    <w:rsid w:val="00243966"/>
    <w:rsid w:val="00243C8F"/>
    <w:rsid w:val="00243F7D"/>
    <w:rsid w:val="0024450C"/>
    <w:rsid w:val="00244F54"/>
    <w:rsid w:val="00245069"/>
    <w:rsid w:val="0024527A"/>
    <w:rsid w:val="0024566B"/>
    <w:rsid w:val="0024573F"/>
    <w:rsid w:val="0024592D"/>
    <w:rsid w:val="00245C0E"/>
    <w:rsid w:val="00246089"/>
    <w:rsid w:val="00246093"/>
    <w:rsid w:val="002460B3"/>
    <w:rsid w:val="002460EB"/>
    <w:rsid w:val="002462D2"/>
    <w:rsid w:val="00246702"/>
    <w:rsid w:val="00246BA1"/>
    <w:rsid w:val="00246C58"/>
    <w:rsid w:val="00246D11"/>
    <w:rsid w:val="00246FEC"/>
    <w:rsid w:val="002471CE"/>
    <w:rsid w:val="00247236"/>
    <w:rsid w:val="002472CF"/>
    <w:rsid w:val="002474DE"/>
    <w:rsid w:val="002474DF"/>
    <w:rsid w:val="002474F6"/>
    <w:rsid w:val="0024755B"/>
    <w:rsid w:val="002475D2"/>
    <w:rsid w:val="002476A8"/>
    <w:rsid w:val="00247C59"/>
    <w:rsid w:val="00247E63"/>
    <w:rsid w:val="00247F2E"/>
    <w:rsid w:val="00247F97"/>
    <w:rsid w:val="00247FE4"/>
    <w:rsid w:val="0025006A"/>
    <w:rsid w:val="00250117"/>
    <w:rsid w:val="00250766"/>
    <w:rsid w:val="00250818"/>
    <w:rsid w:val="0025081F"/>
    <w:rsid w:val="002509A8"/>
    <w:rsid w:val="00250ADC"/>
    <w:rsid w:val="00250B07"/>
    <w:rsid w:val="002512ED"/>
    <w:rsid w:val="002516E5"/>
    <w:rsid w:val="00251A03"/>
    <w:rsid w:val="00251C73"/>
    <w:rsid w:val="00252163"/>
    <w:rsid w:val="00252285"/>
    <w:rsid w:val="00252604"/>
    <w:rsid w:val="00252ACF"/>
    <w:rsid w:val="00252CF8"/>
    <w:rsid w:val="00252F39"/>
    <w:rsid w:val="0025307D"/>
    <w:rsid w:val="002530BD"/>
    <w:rsid w:val="002532BF"/>
    <w:rsid w:val="00253568"/>
    <w:rsid w:val="00253744"/>
    <w:rsid w:val="0025396D"/>
    <w:rsid w:val="0025399C"/>
    <w:rsid w:val="00253B7B"/>
    <w:rsid w:val="00254735"/>
    <w:rsid w:val="0025475D"/>
    <w:rsid w:val="002547D3"/>
    <w:rsid w:val="00254D72"/>
    <w:rsid w:val="002552D6"/>
    <w:rsid w:val="00255402"/>
    <w:rsid w:val="00256127"/>
    <w:rsid w:val="002561FB"/>
    <w:rsid w:val="002566B6"/>
    <w:rsid w:val="0025695C"/>
    <w:rsid w:val="0025712A"/>
    <w:rsid w:val="0025734D"/>
    <w:rsid w:val="00257553"/>
    <w:rsid w:val="00257818"/>
    <w:rsid w:val="002579A8"/>
    <w:rsid w:val="00257D00"/>
    <w:rsid w:val="00257E98"/>
    <w:rsid w:val="002601BE"/>
    <w:rsid w:val="00260547"/>
    <w:rsid w:val="0026070D"/>
    <w:rsid w:val="00260B3F"/>
    <w:rsid w:val="00260C3E"/>
    <w:rsid w:val="00260FB2"/>
    <w:rsid w:val="0026109A"/>
    <w:rsid w:val="0026122E"/>
    <w:rsid w:val="00261247"/>
    <w:rsid w:val="002612B1"/>
    <w:rsid w:val="002616CF"/>
    <w:rsid w:val="00261818"/>
    <w:rsid w:val="00261865"/>
    <w:rsid w:val="00261C53"/>
    <w:rsid w:val="00261CA8"/>
    <w:rsid w:val="00261F27"/>
    <w:rsid w:val="00261FCD"/>
    <w:rsid w:val="0026211E"/>
    <w:rsid w:val="00262128"/>
    <w:rsid w:val="00262139"/>
    <w:rsid w:val="002624A6"/>
    <w:rsid w:val="00262770"/>
    <w:rsid w:val="002628AE"/>
    <w:rsid w:val="00262A29"/>
    <w:rsid w:val="00263489"/>
    <w:rsid w:val="00263623"/>
    <w:rsid w:val="0026368B"/>
    <w:rsid w:val="00263ADD"/>
    <w:rsid w:val="002642D6"/>
    <w:rsid w:val="00264555"/>
    <w:rsid w:val="0026479C"/>
    <w:rsid w:val="002648FD"/>
    <w:rsid w:val="00264AC8"/>
    <w:rsid w:val="00264E46"/>
    <w:rsid w:val="002651E4"/>
    <w:rsid w:val="002654B5"/>
    <w:rsid w:val="00265523"/>
    <w:rsid w:val="002657D9"/>
    <w:rsid w:val="002657E9"/>
    <w:rsid w:val="002658B9"/>
    <w:rsid w:val="002659DF"/>
    <w:rsid w:val="00265AC6"/>
    <w:rsid w:val="00265C73"/>
    <w:rsid w:val="00265E8F"/>
    <w:rsid w:val="00265FB6"/>
    <w:rsid w:val="00265FDD"/>
    <w:rsid w:val="00266106"/>
    <w:rsid w:val="00266297"/>
    <w:rsid w:val="002662DC"/>
    <w:rsid w:val="002664B9"/>
    <w:rsid w:val="00266584"/>
    <w:rsid w:val="0026662D"/>
    <w:rsid w:val="002667D4"/>
    <w:rsid w:val="00266A63"/>
    <w:rsid w:val="00266AD8"/>
    <w:rsid w:val="00266D60"/>
    <w:rsid w:val="00266F11"/>
    <w:rsid w:val="0026758E"/>
    <w:rsid w:val="00267652"/>
    <w:rsid w:val="002678C6"/>
    <w:rsid w:val="00267A6F"/>
    <w:rsid w:val="0027021C"/>
    <w:rsid w:val="002708E4"/>
    <w:rsid w:val="0027091F"/>
    <w:rsid w:val="00270A29"/>
    <w:rsid w:val="00270D8B"/>
    <w:rsid w:val="00271262"/>
    <w:rsid w:val="0027128C"/>
    <w:rsid w:val="002713EE"/>
    <w:rsid w:val="002714B8"/>
    <w:rsid w:val="0027165D"/>
    <w:rsid w:val="00271764"/>
    <w:rsid w:val="002717D0"/>
    <w:rsid w:val="00272088"/>
    <w:rsid w:val="002720A6"/>
    <w:rsid w:val="00272309"/>
    <w:rsid w:val="00272D44"/>
    <w:rsid w:val="002732D6"/>
    <w:rsid w:val="002733C0"/>
    <w:rsid w:val="00273580"/>
    <w:rsid w:val="002738F4"/>
    <w:rsid w:val="00273BF7"/>
    <w:rsid w:val="00273CEB"/>
    <w:rsid w:val="00273DAF"/>
    <w:rsid w:val="00273DB5"/>
    <w:rsid w:val="002740ED"/>
    <w:rsid w:val="00274336"/>
    <w:rsid w:val="00274D39"/>
    <w:rsid w:val="00274E15"/>
    <w:rsid w:val="002752F8"/>
    <w:rsid w:val="002756DB"/>
    <w:rsid w:val="00275DD1"/>
    <w:rsid w:val="00275EDA"/>
    <w:rsid w:val="00276546"/>
    <w:rsid w:val="002766EE"/>
    <w:rsid w:val="002768C4"/>
    <w:rsid w:val="00276B85"/>
    <w:rsid w:val="00276BE6"/>
    <w:rsid w:val="00276C5E"/>
    <w:rsid w:val="00276DA4"/>
    <w:rsid w:val="00276ECF"/>
    <w:rsid w:val="00276F7F"/>
    <w:rsid w:val="002771D8"/>
    <w:rsid w:val="00277229"/>
    <w:rsid w:val="00277366"/>
    <w:rsid w:val="002774E6"/>
    <w:rsid w:val="002776F4"/>
    <w:rsid w:val="002803A9"/>
    <w:rsid w:val="0028045F"/>
    <w:rsid w:val="00280702"/>
    <w:rsid w:val="00280AD1"/>
    <w:rsid w:val="002813BF"/>
    <w:rsid w:val="00281521"/>
    <w:rsid w:val="002819C9"/>
    <w:rsid w:val="00281C89"/>
    <w:rsid w:val="00281E49"/>
    <w:rsid w:val="00281F41"/>
    <w:rsid w:val="0028222D"/>
    <w:rsid w:val="00282488"/>
    <w:rsid w:val="0028282F"/>
    <w:rsid w:val="002828D5"/>
    <w:rsid w:val="00282A60"/>
    <w:rsid w:val="00282C92"/>
    <w:rsid w:val="00282E96"/>
    <w:rsid w:val="0028306F"/>
    <w:rsid w:val="002834CD"/>
    <w:rsid w:val="002838AB"/>
    <w:rsid w:val="002839D1"/>
    <w:rsid w:val="00283C63"/>
    <w:rsid w:val="00283D92"/>
    <w:rsid w:val="002840E1"/>
    <w:rsid w:val="0028445F"/>
    <w:rsid w:val="00284612"/>
    <w:rsid w:val="0028468E"/>
    <w:rsid w:val="002849CF"/>
    <w:rsid w:val="00284A0C"/>
    <w:rsid w:val="00284A89"/>
    <w:rsid w:val="00284BC8"/>
    <w:rsid w:val="00284DC5"/>
    <w:rsid w:val="00284DD7"/>
    <w:rsid w:val="00285549"/>
    <w:rsid w:val="00285554"/>
    <w:rsid w:val="002856E7"/>
    <w:rsid w:val="00285C5D"/>
    <w:rsid w:val="00285CA6"/>
    <w:rsid w:val="00285E88"/>
    <w:rsid w:val="00286214"/>
    <w:rsid w:val="002863F7"/>
    <w:rsid w:val="00286401"/>
    <w:rsid w:val="002864B6"/>
    <w:rsid w:val="0028658C"/>
    <w:rsid w:val="00286D6B"/>
    <w:rsid w:val="00286E1A"/>
    <w:rsid w:val="002870AF"/>
    <w:rsid w:val="00287253"/>
    <w:rsid w:val="00287335"/>
    <w:rsid w:val="002873E5"/>
    <w:rsid w:val="00287537"/>
    <w:rsid w:val="0028782C"/>
    <w:rsid w:val="0028791A"/>
    <w:rsid w:val="00287A1C"/>
    <w:rsid w:val="00287AD3"/>
    <w:rsid w:val="002900E2"/>
    <w:rsid w:val="00290182"/>
    <w:rsid w:val="00290235"/>
    <w:rsid w:val="0029047E"/>
    <w:rsid w:val="00290D0F"/>
    <w:rsid w:val="00290D71"/>
    <w:rsid w:val="00290E92"/>
    <w:rsid w:val="00290F8A"/>
    <w:rsid w:val="0029103D"/>
    <w:rsid w:val="00291371"/>
    <w:rsid w:val="00291714"/>
    <w:rsid w:val="0029192A"/>
    <w:rsid w:val="00291B27"/>
    <w:rsid w:val="00291BB8"/>
    <w:rsid w:val="00292191"/>
    <w:rsid w:val="002926F3"/>
    <w:rsid w:val="002926FF"/>
    <w:rsid w:val="00292911"/>
    <w:rsid w:val="00292BAD"/>
    <w:rsid w:val="00292F1A"/>
    <w:rsid w:val="002931EA"/>
    <w:rsid w:val="00293207"/>
    <w:rsid w:val="00293325"/>
    <w:rsid w:val="00293633"/>
    <w:rsid w:val="00293704"/>
    <w:rsid w:val="00293937"/>
    <w:rsid w:val="002939EE"/>
    <w:rsid w:val="00293AAF"/>
    <w:rsid w:val="00293B01"/>
    <w:rsid w:val="00293D5E"/>
    <w:rsid w:val="00293E0E"/>
    <w:rsid w:val="00294236"/>
    <w:rsid w:val="00294266"/>
    <w:rsid w:val="002942F7"/>
    <w:rsid w:val="00294601"/>
    <w:rsid w:val="00294691"/>
    <w:rsid w:val="00294B52"/>
    <w:rsid w:val="00294C5C"/>
    <w:rsid w:val="00294DB6"/>
    <w:rsid w:val="0029522E"/>
    <w:rsid w:val="002957B9"/>
    <w:rsid w:val="00295818"/>
    <w:rsid w:val="0029593B"/>
    <w:rsid w:val="00295944"/>
    <w:rsid w:val="002959D4"/>
    <w:rsid w:val="00295A18"/>
    <w:rsid w:val="00295B3F"/>
    <w:rsid w:val="00295BE3"/>
    <w:rsid w:val="00295E74"/>
    <w:rsid w:val="00295F01"/>
    <w:rsid w:val="00296065"/>
    <w:rsid w:val="00296167"/>
    <w:rsid w:val="00296187"/>
    <w:rsid w:val="002964BD"/>
    <w:rsid w:val="0029667D"/>
    <w:rsid w:val="0029692C"/>
    <w:rsid w:val="002969FC"/>
    <w:rsid w:val="00296BE9"/>
    <w:rsid w:val="00296D54"/>
    <w:rsid w:val="00296E5E"/>
    <w:rsid w:val="00296EFA"/>
    <w:rsid w:val="0029703F"/>
    <w:rsid w:val="00297400"/>
    <w:rsid w:val="00297691"/>
    <w:rsid w:val="00297736"/>
    <w:rsid w:val="00297CE0"/>
    <w:rsid w:val="00297E04"/>
    <w:rsid w:val="00297E31"/>
    <w:rsid w:val="00297FC5"/>
    <w:rsid w:val="002A00FC"/>
    <w:rsid w:val="002A0134"/>
    <w:rsid w:val="002A029F"/>
    <w:rsid w:val="002A0417"/>
    <w:rsid w:val="002A06CC"/>
    <w:rsid w:val="002A071F"/>
    <w:rsid w:val="002A0B4E"/>
    <w:rsid w:val="002A0B90"/>
    <w:rsid w:val="002A0FCF"/>
    <w:rsid w:val="002A11ED"/>
    <w:rsid w:val="002A1669"/>
    <w:rsid w:val="002A16D8"/>
    <w:rsid w:val="002A170C"/>
    <w:rsid w:val="002A1767"/>
    <w:rsid w:val="002A179F"/>
    <w:rsid w:val="002A1BB6"/>
    <w:rsid w:val="002A1BC8"/>
    <w:rsid w:val="002A2055"/>
    <w:rsid w:val="002A2220"/>
    <w:rsid w:val="002A241C"/>
    <w:rsid w:val="002A24EE"/>
    <w:rsid w:val="002A2886"/>
    <w:rsid w:val="002A3139"/>
    <w:rsid w:val="002A31A0"/>
    <w:rsid w:val="002A31E7"/>
    <w:rsid w:val="002A33DC"/>
    <w:rsid w:val="002A3EF2"/>
    <w:rsid w:val="002A4101"/>
    <w:rsid w:val="002A4293"/>
    <w:rsid w:val="002A4542"/>
    <w:rsid w:val="002A4693"/>
    <w:rsid w:val="002A4CBA"/>
    <w:rsid w:val="002A4D38"/>
    <w:rsid w:val="002A4FCA"/>
    <w:rsid w:val="002A539A"/>
    <w:rsid w:val="002A5506"/>
    <w:rsid w:val="002A572D"/>
    <w:rsid w:val="002A5AA7"/>
    <w:rsid w:val="002A5B2D"/>
    <w:rsid w:val="002A5E66"/>
    <w:rsid w:val="002A5ED1"/>
    <w:rsid w:val="002A612D"/>
    <w:rsid w:val="002A6185"/>
    <w:rsid w:val="002A6188"/>
    <w:rsid w:val="002A61D2"/>
    <w:rsid w:val="002A65D9"/>
    <w:rsid w:val="002A6CC7"/>
    <w:rsid w:val="002A6EBA"/>
    <w:rsid w:val="002A6FFA"/>
    <w:rsid w:val="002A7050"/>
    <w:rsid w:val="002A70FF"/>
    <w:rsid w:val="002A7116"/>
    <w:rsid w:val="002A7167"/>
    <w:rsid w:val="002A7225"/>
    <w:rsid w:val="002A77C4"/>
    <w:rsid w:val="002A7AB5"/>
    <w:rsid w:val="002A7BDB"/>
    <w:rsid w:val="002A7C96"/>
    <w:rsid w:val="002A7E55"/>
    <w:rsid w:val="002A7E6D"/>
    <w:rsid w:val="002B0541"/>
    <w:rsid w:val="002B074B"/>
    <w:rsid w:val="002B0AAD"/>
    <w:rsid w:val="002B0DED"/>
    <w:rsid w:val="002B0EF6"/>
    <w:rsid w:val="002B1081"/>
    <w:rsid w:val="002B1116"/>
    <w:rsid w:val="002B131A"/>
    <w:rsid w:val="002B15C0"/>
    <w:rsid w:val="002B1952"/>
    <w:rsid w:val="002B19A2"/>
    <w:rsid w:val="002B1D8F"/>
    <w:rsid w:val="002B1F12"/>
    <w:rsid w:val="002B2257"/>
    <w:rsid w:val="002B2448"/>
    <w:rsid w:val="002B2659"/>
    <w:rsid w:val="002B291E"/>
    <w:rsid w:val="002B2BED"/>
    <w:rsid w:val="002B2F2E"/>
    <w:rsid w:val="002B2FF3"/>
    <w:rsid w:val="002B369B"/>
    <w:rsid w:val="002B380A"/>
    <w:rsid w:val="002B381A"/>
    <w:rsid w:val="002B3D33"/>
    <w:rsid w:val="002B3DEC"/>
    <w:rsid w:val="002B3F96"/>
    <w:rsid w:val="002B40C1"/>
    <w:rsid w:val="002B44DC"/>
    <w:rsid w:val="002B4826"/>
    <w:rsid w:val="002B494D"/>
    <w:rsid w:val="002B4A0A"/>
    <w:rsid w:val="002B4C0F"/>
    <w:rsid w:val="002B4D39"/>
    <w:rsid w:val="002B4DE7"/>
    <w:rsid w:val="002B4EA9"/>
    <w:rsid w:val="002B4FCC"/>
    <w:rsid w:val="002B5295"/>
    <w:rsid w:val="002B54C3"/>
    <w:rsid w:val="002B5905"/>
    <w:rsid w:val="002B619D"/>
    <w:rsid w:val="002B6256"/>
    <w:rsid w:val="002B6277"/>
    <w:rsid w:val="002B6444"/>
    <w:rsid w:val="002B6A59"/>
    <w:rsid w:val="002B70FA"/>
    <w:rsid w:val="002B7290"/>
    <w:rsid w:val="002B7408"/>
    <w:rsid w:val="002B7588"/>
    <w:rsid w:val="002B7CFD"/>
    <w:rsid w:val="002B7DE5"/>
    <w:rsid w:val="002B7F07"/>
    <w:rsid w:val="002C015E"/>
    <w:rsid w:val="002C0328"/>
    <w:rsid w:val="002C04AC"/>
    <w:rsid w:val="002C0657"/>
    <w:rsid w:val="002C0804"/>
    <w:rsid w:val="002C08F9"/>
    <w:rsid w:val="002C14E7"/>
    <w:rsid w:val="002C1562"/>
    <w:rsid w:val="002C17C2"/>
    <w:rsid w:val="002C1C12"/>
    <w:rsid w:val="002C1DD4"/>
    <w:rsid w:val="002C1EC5"/>
    <w:rsid w:val="002C1FCC"/>
    <w:rsid w:val="002C1FEC"/>
    <w:rsid w:val="002C210F"/>
    <w:rsid w:val="002C22BB"/>
    <w:rsid w:val="002C2521"/>
    <w:rsid w:val="002C253A"/>
    <w:rsid w:val="002C2569"/>
    <w:rsid w:val="002C2F95"/>
    <w:rsid w:val="002C32DE"/>
    <w:rsid w:val="002C32FA"/>
    <w:rsid w:val="002C334C"/>
    <w:rsid w:val="002C3401"/>
    <w:rsid w:val="002C3414"/>
    <w:rsid w:val="002C360F"/>
    <w:rsid w:val="002C3747"/>
    <w:rsid w:val="002C378C"/>
    <w:rsid w:val="002C37B1"/>
    <w:rsid w:val="002C3994"/>
    <w:rsid w:val="002C3E83"/>
    <w:rsid w:val="002C3EA9"/>
    <w:rsid w:val="002C3FF9"/>
    <w:rsid w:val="002C40B9"/>
    <w:rsid w:val="002C44EF"/>
    <w:rsid w:val="002C4520"/>
    <w:rsid w:val="002C4865"/>
    <w:rsid w:val="002C49A1"/>
    <w:rsid w:val="002C4B55"/>
    <w:rsid w:val="002C4ED3"/>
    <w:rsid w:val="002C5352"/>
    <w:rsid w:val="002C53EE"/>
    <w:rsid w:val="002C57BD"/>
    <w:rsid w:val="002C58C3"/>
    <w:rsid w:val="002C58DB"/>
    <w:rsid w:val="002C5948"/>
    <w:rsid w:val="002C59A5"/>
    <w:rsid w:val="002C5B10"/>
    <w:rsid w:val="002C5DB5"/>
    <w:rsid w:val="002C61DA"/>
    <w:rsid w:val="002C62A5"/>
    <w:rsid w:val="002C632D"/>
    <w:rsid w:val="002C64E4"/>
    <w:rsid w:val="002C65C9"/>
    <w:rsid w:val="002C689F"/>
    <w:rsid w:val="002C68BD"/>
    <w:rsid w:val="002C6981"/>
    <w:rsid w:val="002C6A30"/>
    <w:rsid w:val="002C6A94"/>
    <w:rsid w:val="002C6CB2"/>
    <w:rsid w:val="002C6DC8"/>
    <w:rsid w:val="002C6F1C"/>
    <w:rsid w:val="002C7355"/>
    <w:rsid w:val="002C7440"/>
    <w:rsid w:val="002C74C6"/>
    <w:rsid w:val="002C75CA"/>
    <w:rsid w:val="002C75FC"/>
    <w:rsid w:val="002C765A"/>
    <w:rsid w:val="002C78DE"/>
    <w:rsid w:val="002C7A0E"/>
    <w:rsid w:val="002C7C8A"/>
    <w:rsid w:val="002C7CB4"/>
    <w:rsid w:val="002C7D06"/>
    <w:rsid w:val="002C7F1F"/>
    <w:rsid w:val="002D0188"/>
    <w:rsid w:val="002D02BD"/>
    <w:rsid w:val="002D048A"/>
    <w:rsid w:val="002D05FC"/>
    <w:rsid w:val="002D0853"/>
    <w:rsid w:val="002D0916"/>
    <w:rsid w:val="002D1215"/>
    <w:rsid w:val="002D19D2"/>
    <w:rsid w:val="002D19DF"/>
    <w:rsid w:val="002D1D48"/>
    <w:rsid w:val="002D2017"/>
    <w:rsid w:val="002D226A"/>
    <w:rsid w:val="002D2528"/>
    <w:rsid w:val="002D2642"/>
    <w:rsid w:val="002D2E47"/>
    <w:rsid w:val="002D3219"/>
    <w:rsid w:val="002D3600"/>
    <w:rsid w:val="002D3ADB"/>
    <w:rsid w:val="002D3BF9"/>
    <w:rsid w:val="002D3E68"/>
    <w:rsid w:val="002D3FE3"/>
    <w:rsid w:val="002D4491"/>
    <w:rsid w:val="002D4532"/>
    <w:rsid w:val="002D4C7D"/>
    <w:rsid w:val="002D51A6"/>
    <w:rsid w:val="002D570C"/>
    <w:rsid w:val="002D574A"/>
    <w:rsid w:val="002D5995"/>
    <w:rsid w:val="002D5A23"/>
    <w:rsid w:val="002D5B55"/>
    <w:rsid w:val="002D5F09"/>
    <w:rsid w:val="002D62C3"/>
    <w:rsid w:val="002D631C"/>
    <w:rsid w:val="002D639E"/>
    <w:rsid w:val="002D644A"/>
    <w:rsid w:val="002D64A5"/>
    <w:rsid w:val="002D69D6"/>
    <w:rsid w:val="002D6A60"/>
    <w:rsid w:val="002D769B"/>
    <w:rsid w:val="002D76D7"/>
    <w:rsid w:val="002D7804"/>
    <w:rsid w:val="002D7978"/>
    <w:rsid w:val="002D7AB2"/>
    <w:rsid w:val="002E0123"/>
    <w:rsid w:val="002E03C7"/>
    <w:rsid w:val="002E0B37"/>
    <w:rsid w:val="002E0D8A"/>
    <w:rsid w:val="002E0DAD"/>
    <w:rsid w:val="002E156E"/>
    <w:rsid w:val="002E167E"/>
    <w:rsid w:val="002E1793"/>
    <w:rsid w:val="002E1796"/>
    <w:rsid w:val="002E1886"/>
    <w:rsid w:val="002E1C52"/>
    <w:rsid w:val="002E1E92"/>
    <w:rsid w:val="002E1FCB"/>
    <w:rsid w:val="002E213B"/>
    <w:rsid w:val="002E21B8"/>
    <w:rsid w:val="002E2200"/>
    <w:rsid w:val="002E2230"/>
    <w:rsid w:val="002E2907"/>
    <w:rsid w:val="002E2A6E"/>
    <w:rsid w:val="002E2A92"/>
    <w:rsid w:val="002E2CFC"/>
    <w:rsid w:val="002E2DD6"/>
    <w:rsid w:val="002E32BA"/>
    <w:rsid w:val="002E33A6"/>
    <w:rsid w:val="002E3623"/>
    <w:rsid w:val="002E3A88"/>
    <w:rsid w:val="002E3B22"/>
    <w:rsid w:val="002E3C54"/>
    <w:rsid w:val="002E4AEA"/>
    <w:rsid w:val="002E4DDC"/>
    <w:rsid w:val="002E4EAA"/>
    <w:rsid w:val="002E4ECF"/>
    <w:rsid w:val="002E57A5"/>
    <w:rsid w:val="002E57FA"/>
    <w:rsid w:val="002E5AB0"/>
    <w:rsid w:val="002E5C95"/>
    <w:rsid w:val="002E5E12"/>
    <w:rsid w:val="002E6284"/>
    <w:rsid w:val="002E68E6"/>
    <w:rsid w:val="002E6C14"/>
    <w:rsid w:val="002E6F8F"/>
    <w:rsid w:val="002E7447"/>
    <w:rsid w:val="002E757B"/>
    <w:rsid w:val="002E7C17"/>
    <w:rsid w:val="002E7E6D"/>
    <w:rsid w:val="002F012C"/>
    <w:rsid w:val="002F0136"/>
    <w:rsid w:val="002F072F"/>
    <w:rsid w:val="002F088B"/>
    <w:rsid w:val="002F0A8C"/>
    <w:rsid w:val="002F0B06"/>
    <w:rsid w:val="002F0BB4"/>
    <w:rsid w:val="002F0C55"/>
    <w:rsid w:val="002F1057"/>
    <w:rsid w:val="002F10B6"/>
    <w:rsid w:val="002F128B"/>
    <w:rsid w:val="002F1422"/>
    <w:rsid w:val="002F166B"/>
    <w:rsid w:val="002F175F"/>
    <w:rsid w:val="002F1CB5"/>
    <w:rsid w:val="002F2106"/>
    <w:rsid w:val="002F22C2"/>
    <w:rsid w:val="002F2777"/>
    <w:rsid w:val="002F2A6E"/>
    <w:rsid w:val="002F2D75"/>
    <w:rsid w:val="002F32E3"/>
    <w:rsid w:val="002F3686"/>
    <w:rsid w:val="002F3DE3"/>
    <w:rsid w:val="002F4211"/>
    <w:rsid w:val="002F450E"/>
    <w:rsid w:val="002F47B9"/>
    <w:rsid w:val="002F4948"/>
    <w:rsid w:val="002F4BCC"/>
    <w:rsid w:val="002F4D94"/>
    <w:rsid w:val="002F4F7A"/>
    <w:rsid w:val="002F5087"/>
    <w:rsid w:val="002F56CC"/>
    <w:rsid w:val="002F5B33"/>
    <w:rsid w:val="002F5D1F"/>
    <w:rsid w:val="002F5D25"/>
    <w:rsid w:val="002F5E58"/>
    <w:rsid w:val="002F643C"/>
    <w:rsid w:val="002F6454"/>
    <w:rsid w:val="002F6FB0"/>
    <w:rsid w:val="002F78D2"/>
    <w:rsid w:val="002F7981"/>
    <w:rsid w:val="002F7C02"/>
    <w:rsid w:val="002F7C36"/>
    <w:rsid w:val="002F7DB7"/>
    <w:rsid w:val="002F7E5C"/>
    <w:rsid w:val="002F7E5E"/>
    <w:rsid w:val="003003EF"/>
    <w:rsid w:val="003005AD"/>
    <w:rsid w:val="003006F0"/>
    <w:rsid w:val="0030075C"/>
    <w:rsid w:val="003008C8"/>
    <w:rsid w:val="00300D96"/>
    <w:rsid w:val="00301280"/>
    <w:rsid w:val="00301313"/>
    <w:rsid w:val="003016DF"/>
    <w:rsid w:val="00301B2C"/>
    <w:rsid w:val="00301B46"/>
    <w:rsid w:val="00301CA0"/>
    <w:rsid w:val="00302145"/>
    <w:rsid w:val="003021AE"/>
    <w:rsid w:val="00302480"/>
    <w:rsid w:val="00302EE2"/>
    <w:rsid w:val="00303048"/>
    <w:rsid w:val="0030320F"/>
    <w:rsid w:val="00303368"/>
    <w:rsid w:val="003038DD"/>
    <w:rsid w:val="003039C5"/>
    <w:rsid w:val="00303A12"/>
    <w:rsid w:val="00303C65"/>
    <w:rsid w:val="00303D34"/>
    <w:rsid w:val="00303F02"/>
    <w:rsid w:val="0030453C"/>
    <w:rsid w:val="003045D4"/>
    <w:rsid w:val="00304666"/>
    <w:rsid w:val="00304909"/>
    <w:rsid w:val="00304A26"/>
    <w:rsid w:val="0030502E"/>
    <w:rsid w:val="0030578C"/>
    <w:rsid w:val="0030614C"/>
    <w:rsid w:val="0030671F"/>
    <w:rsid w:val="00306EFE"/>
    <w:rsid w:val="003072AC"/>
    <w:rsid w:val="00307323"/>
    <w:rsid w:val="00307332"/>
    <w:rsid w:val="0030745A"/>
    <w:rsid w:val="00307607"/>
    <w:rsid w:val="003078CD"/>
    <w:rsid w:val="00307C5A"/>
    <w:rsid w:val="00307CD7"/>
    <w:rsid w:val="00310511"/>
    <w:rsid w:val="00310564"/>
    <w:rsid w:val="003106FE"/>
    <w:rsid w:val="0031093F"/>
    <w:rsid w:val="00310B0C"/>
    <w:rsid w:val="00310BE3"/>
    <w:rsid w:val="00310BF1"/>
    <w:rsid w:val="00310C78"/>
    <w:rsid w:val="00310D69"/>
    <w:rsid w:val="00310D99"/>
    <w:rsid w:val="00311094"/>
    <w:rsid w:val="0031134E"/>
    <w:rsid w:val="0031139E"/>
    <w:rsid w:val="003116EA"/>
    <w:rsid w:val="003117A7"/>
    <w:rsid w:val="00311B5F"/>
    <w:rsid w:val="00311BF8"/>
    <w:rsid w:val="00311C13"/>
    <w:rsid w:val="00312011"/>
    <w:rsid w:val="0031223E"/>
    <w:rsid w:val="00312698"/>
    <w:rsid w:val="00312848"/>
    <w:rsid w:val="0031296E"/>
    <w:rsid w:val="00312AD8"/>
    <w:rsid w:val="00312D07"/>
    <w:rsid w:val="00312F8D"/>
    <w:rsid w:val="00313157"/>
    <w:rsid w:val="00313163"/>
    <w:rsid w:val="00313220"/>
    <w:rsid w:val="0031384A"/>
    <w:rsid w:val="00313AF6"/>
    <w:rsid w:val="00313B89"/>
    <w:rsid w:val="00313F8D"/>
    <w:rsid w:val="003141F0"/>
    <w:rsid w:val="00314676"/>
    <w:rsid w:val="00314997"/>
    <w:rsid w:val="00314A5B"/>
    <w:rsid w:val="00314CAF"/>
    <w:rsid w:val="00314DF7"/>
    <w:rsid w:val="0031549A"/>
    <w:rsid w:val="003155C7"/>
    <w:rsid w:val="003155CA"/>
    <w:rsid w:val="00315B33"/>
    <w:rsid w:val="00315B96"/>
    <w:rsid w:val="003165E6"/>
    <w:rsid w:val="00316A28"/>
    <w:rsid w:val="00316C24"/>
    <w:rsid w:val="00316C42"/>
    <w:rsid w:val="0031717B"/>
    <w:rsid w:val="00317235"/>
    <w:rsid w:val="0031727F"/>
    <w:rsid w:val="00317442"/>
    <w:rsid w:val="0031744D"/>
    <w:rsid w:val="003176C8"/>
    <w:rsid w:val="00317BCD"/>
    <w:rsid w:val="00317D67"/>
    <w:rsid w:val="0032028F"/>
    <w:rsid w:val="003208A0"/>
    <w:rsid w:val="00320B36"/>
    <w:rsid w:val="00320D78"/>
    <w:rsid w:val="00320EE9"/>
    <w:rsid w:val="00321075"/>
    <w:rsid w:val="003215B5"/>
    <w:rsid w:val="00321721"/>
    <w:rsid w:val="003218BF"/>
    <w:rsid w:val="003221CF"/>
    <w:rsid w:val="00322642"/>
    <w:rsid w:val="00322801"/>
    <w:rsid w:val="00322A00"/>
    <w:rsid w:val="003233ED"/>
    <w:rsid w:val="003234BC"/>
    <w:rsid w:val="003237EC"/>
    <w:rsid w:val="00323CF9"/>
    <w:rsid w:val="003240F9"/>
    <w:rsid w:val="003242CC"/>
    <w:rsid w:val="003246F3"/>
    <w:rsid w:val="003247D4"/>
    <w:rsid w:val="003247FC"/>
    <w:rsid w:val="003247FF"/>
    <w:rsid w:val="00324848"/>
    <w:rsid w:val="00324911"/>
    <w:rsid w:val="003249A9"/>
    <w:rsid w:val="00324D9F"/>
    <w:rsid w:val="00325016"/>
    <w:rsid w:val="00325068"/>
    <w:rsid w:val="00325545"/>
    <w:rsid w:val="003255DA"/>
    <w:rsid w:val="00325684"/>
    <w:rsid w:val="00325AC5"/>
    <w:rsid w:val="00325B09"/>
    <w:rsid w:val="00325B74"/>
    <w:rsid w:val="00326380"/>
    <w:rsid w:val="00326C3D"/>
    <w:rsid w:val="00326D62"/>
    <w:rsid w:val="003274E6"/>
    <w:rsid w:val="0032791E"/>
    <w:rsid w:val="00327948"/>
    <w:rsid w:val="00327990"/>
    <w:rsid w:val="00327EA2"/>
    <w:rsid w:val="00327F18"/>
    <w:rsid w:val="00327F58"/>
    <w:rsid w:val="0033000F"/>
    <w:rsid w:val="00330303"/>
    <w:rsid w:val="0033037C"/>
    <w:rsid w:val="003304B3"/>
    <w:rsid w:val="0033081E"/>
    <w:rsid w:val="00330DCE"/>
    <w:rsid w:val="00331544"/>
    <w:rsid w:val="00331743"/>
    <w:rsid w:val="00331AE9"/>
    <w:rsid w:val="00331FCF"/>
    <w:rsid w:val="00332011"/>
    <w:rsid w:val="003321B7"/>
    <w:rsid w:val="003321FF"/>
    <w:rsid w:val="0033228B"/>
    <w:rsid w:val="00332315"/>
    <w:rsid w:val="00332518"/>
    <w:rsid w:val="00332744"/>
    <w:rsid w:val="0033274B"/>
    <w:rsid w:val="00332925"/>
    <w:rsid w:val="00332C8D"/>
    <w:rsid w:val="00332E1A"/>
    <w:rsid w:val="003332ED"/>
    <w:rsid w:val="003333A7"/>
    <w:rsid w:val="003334B9"/>
    <w:rsid w:val="003334D3"/>
    <w:rsid w:val="003335E7"/>
    <w:rsid w:val="00333AEA"/>
    <w:rsid w:val="00333FFA"/>
    <w:rsid w:val="00334701"/>
    <w:rsid w:val="003348B9"/>
    <w:rsid w:val="00334BEE"/>
    <w:rsid w:val="00334F90"/>
    <w:rsid w:val="003350FD"/>
    <w:rsid w:val="00335336"/>
    <w:rsid w:val="0033591B"/>
    <w:rsid w:val="0033592D"/>
    <w:rsid w:val="003359AE"/>
    <w:rsid w:val="00335A60"/>
    <w:rsid w:val="00335C95"/>
    <w:rsid w:val="00335E58"/>
    <w:rsid w:val="003360A4"/>
    <w:rsid w:val="003363AA"/>
    <w:rsid w:val="003366B9"/>
    <w:rsid w:val="003366FC"/>
    <w:rsid w:val="00336830"/>
    <w:rsid w:val="003368DC"/>
    <w:rsid w:val="00336F9E"/>
    <w:rsid w:val="0033713B"/>
    <w:rsid w:val="00337259"/>
    <w:rsid w:val="003372AD"/>
    <w:rsid w:val="003372F6"/>
    <w:rsid w:val="00337338"/>
    <w:rsid w:val="003378AD"/>
    <w:rsid w:val="00337DA8"/>
    <w:rsid w:val="00337E08"/>
    <w:rsid w:val="00337EE1"/>
    <w:rsid w:val="003404D2"/>
    <w:rsid w:val="003406B8"/>
    <w:rsid w:val="00340753"/>
    <w:rsid w:val="00340AD7"/>
    <w:rsid w:val="00340E3F"/>
    <w:rsid w:val="00340FD1"/>
    <w:rsid w:val="003411C3"/>
    <w:rsid w:val="00341214"/>
    <w:rsid w:val="00341272"/>
    <w:rsid w:val="003413AA"/>
    <w:rsid w:val="00341676"/>
    <w:rsid w:val="003416E7"/>
    <w:rsid w:val="00341B15"/>
    <w:rsid w:val="00341CA5"/>
    <w:rsid w:val="00341F65"/>
    <w:rsid w:val="0034236B"/>
    <w:rsid w:val="003426A9"/>
    <w:rsid w:val="0034277E"/>
    <w:rsid w:val="003428B2"/>
    <w:rsid w:val="00342961"/>
    <w:rsid w:val="00342CDC"/>
    <w:rsid w:val="00342E92"/>
    <w:rsid w:val="003431B1"/>
    <w:rsid w:val="00343248"/>
    <w:rsid w:val="00343471"/>
    <w:rsid w:val="003434BF"/>
    <w:rsid w:val="0034354F"/>
    <w:rsid w:val="00343737"/>
    <w:rsid w:val="00343CFF"/>
    <w:rsid w:val="00343D23"/>
    <w:rsid w:val="00343FBC"/>
    <w:rsid w:val="0034408A"/>
    <w:rsid w:val="00344557"/>
    <w:rsid w:val="00344590"/>
    <w:rsid w:val="003447F5"/>
    <w:rsid w:val="00344C3C"/>
    <w:rsid w:val="00344DC3"/>
    <w:rsid w:val="00344EAC"/>
    <w:rsid w:val="003453AB"/>
    <w:rsid w:val="0034554A"/>
    <w:rsid w:val="003455D4"/>
    <w:rsid w:val="003458F3"/>
    <w:rsid w:val="00345927"/>
    <w:rsid w:val="00345C92"/>
    <w:rsid w:val="00345E2E"/>
    <w:rsid w:val="00345F69"/>
    <w:rsid w:val="00346832"/>
    <w:rsid w:val="003469DC"/>
    <w:rsid w:val="00346CCA"/>
    <w:rsid w:val="00346E6E"/>
    <w:rsid w:val="003475BE"/>
    <w:rsid w:val="00347844"/>
    <w:rsid w:val="00347D7F"/>
    <w:rsid w:val="00347EE1"/>
    <w:rsid w:val="003504D7"/>
    <w:rsid w:val="00350584"/>
    <w:rsid w:val="003509A9"/>
    <w:rsid w:val="00350A37"/>
    <w:rsid w:val="00350C45"/>
    <w:rsid w:val="00350C72"/>
    <w:rsid w:val="00350CCF"/>
    <w:rsid w:val="00350EA3"/>
    <w:rsid w:val="00350F88"/>
    <w:rsid w:val="0035126D"/>
    <w:rsid w:val="003513C6"/>
    <w:rsid w:val="003515BA"/>
    <w:rsid w:val="00351778"/>
    <w:rsid w:val="00351857"/>
    <w:rsid w:val="00351CA6"/>
    <w:rsid w:val="00351E90"/>
    <w:rsid w:val="003525AB"/>
    <w:rsid w:val="0035288E"/>
    <w:rsid w:val="00352C46"/>
    <w:rsid w:val="0035302B"/>
    <w:rsid w:val="00353064"/>
    <w:rsid w:val="00353B4E"/>
    <w:rsid w:val="00353DAA"/>
    <w:rsid w:val="00353F8B"/>
    <w:rsid w:val="003542EB"/>
    <w:rsid w:val="003545E8"/>
    <w:rsid w:val="0035466F"/>
    <w:rsid w:val="00354E2B"/>
    <w:rsid w:val="00355A8B"/>
    <w:rsid w:val="00355B27"/>
    <w:rsid w:val="00355E96"/>
    <w:rsid w:val="00355F21"/>
    <w:rsid w:val="003561BF"/>
    <w:rsid w:val="003563A0"/>
    <w:rsid w:val="003566F0"/>
    <w:rsid w:val="00356BE5"/>
    <w:rsid w:val="00356D5C"/>
    <w:rsid w:val="0035722E"/>
    <w:rsid w:val="0035744B"/>
    <w:rsid w:val="00357812"/>
    <w:rsid w:val="00357B3C"/>
    <w:rsid w:val="00357DDA"/>
    <w:rsid w:val="00357F30"/>
    <w:rsid w:val="003600AC"/>
    <w:rsid w:val="003600B5"/>
    <w:rsid w:val="003602BB"/>
    <w:rsid w:val="003603EA"/>
    <w:rsid w:val="00360739"/>
    <w:rsid w:val="00360774"/>
    <w:rsid w:val="0036087D"/>
    <w:rsid w:val="00360933"/>
    <w:rsid w:val="00360B31"/>
    <w:rsid w:val="00360DA2"/>
    <w:rsid w:val="00360F88"/>
    <w:rsid w:val="0036107F"/>
    <w:rsid w:val="003610E1"/>
    <w:rsid w:val="003612AF"/>
    <w:rsid w:val="00361357"/>
    <w:rsid w:val="0036157D"/>
    <w:rsid w:val="003618A0"/>
    <w:rsid w:val="00361A93"/>
    <w:rsid w:val="00361CE3"/>
    <w:rsid w:val="00361F94"/>
    <w:rsid w:val="00361F9B"/>
    <w:rsid w:val="003620E7"/>
    <w:rsid w:val="00362296"/>
    <w:rsid w:val="00362445"/>
    <w:rsid w:val="00362531"/>
    <w:rsid w:val="00362799"/>
    <w:rsid w:val="00362FA4"/>
    <w:rsid w:val="00363123"/>
    <w:rsid w:val="003634D3"/>
    <w:rsid w:val="003637E5"/>
    <w:rsid w:val="00363C53"/>
    <w:rsid w:val="00363FF5"/>
    <w:rsid w:val="003640F0"/>
    <w:rsid w:val="003644BF"/>
    <w:rsid w:val="00364AB0"/>
    <w:rsid w:val="0036513E"/>
    <w:rsid w:val="00365200"/>
    <w:rsid w:val="00365525"/>
    <w:rsid w:val="0036561C"/>
    <w:rsid w:val="00365A2C"/>
    <w:rsid w:val="00365B45"/>
    <w:rsid w:val="00365C08"/>
    <w:rsid w:val="00366016"/>
    <w:rsid w:val="00366149"/>
    <w:rsid w:val="00366580"/>
    <w:rsid w:val="0036690F"/>
    <w:rsid w:val="00366B44"/>
    <w:rsid w:val="00366D94"/>
    <w:rsid w:val="00366EA5"/>
    <w:rsid w:val="00366F24"/>
    <w:rsid w:val="003670C0"/>
    <w:rsid w:val="003671BE"/>
    <w:rsid w:val="003673CB"/>
    <w:rsid w:val="00367428"/>
    <w:rsid w:val="003677D7"/>
    <w:rsid w:val="00367A92"/>
    <w:rsid w:val="00367B3E"/>
    <w:rsid w:val="00367D83"/>
    <w:rsid w:val="00367DA0"/>
    <w:rsid w:val="00367F41"/>
    <w:rsid w:val="0037036F"/>
    <w:rsid w:val="0037046B"/>
    <w:rsid w:val="0037061F"/>
    <w:rsid w:val="003708F3"/>
    <w:rsid w:val="00371082"/>
    <w:rsid w:val="003713DD"/>
    <w:rsid w:val="00371E74"/>
    <w:rsid w:val="003720C9"/>
    <w:rsid w:val="00372109"/>
    <w:rsid w:val="00372485"/>
    <w:rsid w:val="0037254E"/>
    <w:rsid w:val="00372B2A"/>
    <w:rsid w:val="00372C59"/>
    <w:rsid w:val="00372F10"/>
    <w:rsid w:val="00373200"/>
    <w:rsid w:val="00373242"/>
    <w:rsid w:val="00373558"/>
    <w:rsid w:val="00373613"/>
    <w:rsid w:val="00373B64"/>
    <w:rsid w:val="0037419F"/>
    <w:rsid w:val="00374322"/>
    <w:rsid w:val="003746B5"/>
    <w:rsid w:val="00374710"/>
    <w:rsid w:val="00374875"/>
    <w:rsid w:val="00374986"/>
    <w:rsid w:val="00374EA4"/>
    <w:rsid w:val="003750B4"/>
    <w:rsid w:val="003752C8"/>
    <w:rsid w:val="00375635"/>
    <w:rsid w:val="003757AA"/>
    <w:rsid w:val="00375DA4"/>
    <w:rsid w:val="00375EF5"/>
    <w:rsid w:val="00375FAA"/>
    <w:rsid w:val="003762E0"/>
    <w:rsid w:val="00376360"/>
    <w:rsid w:val="00376387"/>
    <w:rsid w:val="003765AC"/>
    <w:rsid w:val="003767A5"/>
    <w:rsid w:val="0037690E"/>
    <w:rsid w:val="00376969"/>
    <w:rsid w:val="00376C30"/>
    <w:rsid w:val="00376D57"/>
    <w:rsid w:val="00376E40"/>
    <w:rsid w:val="00376EA2"/>
    <w:rsid w:val="0037720C"/>
    <w:rsid w:val="0037728F"/>
    <w:rsid w:val="003773F3"/>
    <w:rsid w:val="0037746A"/>
    <w:rsid w:val="003775FD"/>
    <w:rsid w:val="00377694"/>
    <w:rsid w:val="00377715"/>
    <w:rsid w:val="00377FEF"/>
    <w:rsid w:val="003802BB"/>
    <w:rsid w:val="0038034D"/>
    <w:rsid w:val="003803BB"/>
    <w:rsid w:val="00380438"/>
    <w:rsid w:val="003804B3"/>
    <w:rsid w:val="00380760"/>
    <w:rsid w:val="00380B56"/>
    <w:rsid w:val="00380D3D"/>
    <w:rsid w:val="00381A31"/>
    <w:rsid w:val="00381CAB"/>
    <w:rsid w:val="00381D15"/>
    <w:rsid w:val="00381F16"/>
    <w:rsid w:val="003821B5"/>
    <w:rsid w:val="003825B3"/>
    <w:rsid w:val="00382643"/>
    <w:rsid w:val="003826E0"/>
    <w:rsid w:val="00382C83"/>
    <w:rsid w:val="00382D2B"/>
    <w:rsid w:val="003835C0"/>
    <w:rsid w:val="003836D4"/>
    <w:rsid w:val="00383AD8"/>
    <w:rsid w:val="00383ADA"/>
    <w:rsid w:val="00383B34"/>
    <w:rsid w:val="00383CC6"/>
    <w:rsid w:val="00383FEF"/>
    <w:rsid w:val="003841D8"/>
    <w:rsid w:val="0038436D"/>
    <w:rsid w:val="00384455"/>
    <w:rsid w:val="00384509"/>
    <w:rsid w:val="003845CA"/>
    <w:rsid w:val="0038466D"/>
    <w:rsid w:val="00384778"/>
    <w:rsid w:val="0038490C"/>
    <w:rsid w:val="00384BA4"/>
    <w:rsid w:val="00384BE2"/>
    <w:rsid w:val="00384C98"/>
    <w:rsid w:val="003850DD"/>
    <w:rsid w:val="00385254"/>
    <w:rsid w:val="003852AF"/>
    <w:rsid w:val="0038566C"/>
    <w:rsid w:val="0038595F"/>
    <w:rsid w:val="003859BE"/>
    <w:rsid w:val="00385D4D"/>
    <w:rsid w:val="00386514"/>
    <w:rsid w:val="003865B1"/>
    <w:rsid w:val="00386982"/>
    <w:rsid w:val="00386E56"/>
    <w:rsid w:val="00387000"/>
    <w:rsid w:val="00387113"/>
    <w:rsid w:val="00387121"/>
    <w:rsid w:val="00387176"/>
    <w:rsid w:val="0038729C"/>
    <w:rsid w:val="0038731A"/>
    <w:rsid w:val="00387B74"/>
    <w:rsid w:val="00387C28"/>
    <w:rsid w:val="00387C46"/>
    <w:rsid w:val="00390189"/>
    <w:rsid w:val="00390293"/>
    <w:rsid w:val="0039084F"/>
    <w:rsid w:val="00390ABF"/>
    <w:rsid w:val="00390C80"/>
    <w:rsid w:val="00390D04"/>
    <w:rsid w:val="00390DCE"/>
    <w:rsid w:val="00390F03"/>
    <w:rsid w:val="00390F23"/>
    <w:rsid w:val="00390FF2"/>
    <w:rsid w:val="00391210"/>
    <w:rsid w:val="00391C81"/>
    <w:rsid w:val="00392576"/>
    <w:rsid w:val="0039272D"/>
    <w:rsid w:val="00392ECB"/>
    <w:rsid w:val="0039311A"/>
    <w:rsid w:val="00393139"/>
    <w:rsid w:val="003931AA"/>
    <w:rsid w:val="003932CE"/>
    <w:rsid w:val="0039331C"/>
    <w:rsid w:val="003934B8"/>
    <w:rsid w:val="003934CA"/>
    <w:rsid w:val="00393941"/>
    <w:rsid w:val="00393AC9"/>
    <w:rsid w:val="003940E0"/>
    <w:rsid w:val="00394164"/>
    <w:rsid w:val="00394290"/>
    <w:rsid w:val="00394811"/>
    <w:rsid w:val="00394934"/>
    <w:rsid w:val="00394BE5"/>
    <w:rsid w:val="00395196"/>
    <w:rsid w:val="0039522F"/>
    <w:rsid w:val="00395685"/>
    <w:rsid w:val="00395980"/>
    <w:rsid w:val="00395A0D"/>
    <w:rsid w:val="00395E35"/>
    <w:rsid w:val="003960C1"/>
    <w:rsid w:val="0039652B"/>
    <w:rsid w:val="00396ABB"/>
    <w:rsid w:val="00396FC4"/>
    <w:rsid w:val="00397054"/>
    <w:rsid w:val="00397236"/>
    <w:rsid w:val="003973A4"/>
    <w:rsid w:val="003973CB"/>
    <w:rsid w:val="00397BA8"/>
    <w:rsid w:val="00397DC6"/>
    <w:rsid w:val="003A010B"/>
    <w:rsid w:val="003A04DB"/>
    <w:rsid w:val="003A06EE"/>
    <w:rsid w:val="003A08BE"/>
    <w:rsid w:val="003A09D8"/>
    <w:rsid w:val="003A0C6D"/>
    <w:rsid w:val="003A0DB8"/>
    <w:rsid w:val="003A0E21"/>
    <w:rsid w:val="003A125E"/>
    <w:rsid w:val="003A130A"/>
    <w:rsid w:val="003A155C"/>
    <w:rsid w:val="003A1815"/>
    <w:rsid w:val="003A18E1"/>
    <w:rsid w:val="003A1ABC"/>
    <w:rsid w:val="003A1D80"/>
    <w:rsid w:val="003A1DC8"/>
    <w:rsid w:val="003A1DE5"/>
    <w:rsid w:val="003A1DEA"/>
    <w:rsid w:val="003A1E74"/>
    <w:rsid w:val="003A1EE4"/>
    <w:rsid w:val="003A1F35"/>
    <w:rsid w:val="003A216A"/>
    <w:rsid w:val="003A2294"/>
    <w:rsid w:val="003A24C8"/>
    <w:rsid w:val="003A25EE"/>
    <w:rsid w:val="003A2873"/>
    <w:rsid w:val="003A28DC"/>
    <w:rsid w:val="003A292F"/>
    <w:rsid w:val="003A2A8A"/>
    <w:rsid w:val="003A2C1B"/>
    <w:rsid w:val="003A2F73"/>
    <w:rsid w:val="003A34F3"/>
    <w:rsid w:val="003A390F"/>
    <w:rsid w:val="003A3B70"/>
    <w:rsid w:val="003A3DC6"/>
    <w:rsid w:val="003A4236"/>
    <w:rsid w:val="003A4386"/>
    <w:rsid w:val="003A43C0"/>
    <w:rsid w:val="003A4841"/>
    <w:rsid w:val="003A4986"/>
    <w:rsid w:val="003A4CBB"/>
    <w:rsid w:val="003A4EC9"/>
    <w:rsid w:val="003A53AD"/>
    <w:rsid w:val="003A549A"/>
    <w:rsid w:val="003A571C"/>
    <w:rsid w:val="003A5828"/>
    <w:rsid w:val="003A5947"/>
    <w:rsid w:val="003A59ED"/>
    <w:rsid w:val="003A5CF0"/>
    <w:rsid w:val="003A5F5B"/>
    <w:rsid w:val="003A61F9"/>
    <w:rsid w:val="003A626E"/>
    <w:rsid w:val="003A645A"/>
    <w:rsid w:val="003A6653"/>
    <w:rsid w:val="003A68CB"/>
    <w:rsid w:val="003A6AB5"/>
    <w:rsid w:val="003A6ADB"/>
    <w:rsid w:val="003A6D76"/>
    <w:rsid w:val="003A7063"/>
    <w:rsid w:val="003A7120"/>
    <w:rsid w:val="003A7263"/>
    <w:rsid w:val="003A728A"/>
    <w:rsid w:val="003A760C"/>
    <w:rsid w:val="003A77CC"/>
    <w:rsid w:val="003A789A"/>
    <w:rsid w:val="003A7BAF"/>
    <w:rsid w:val="003A7C74"/>
    <w:rsid w:val="003B04E0"/>
    <w:rsid w:val="003B05CD"/>
    <w:rsid w:val="003B0B32"/>
    <w:rsid w:val="003B0B57"/>
    <w:rsid w:val="003B0C9D"/>
    <w:rsid w:val="003B0FDC"/>
    <w:rsid w:val="003B1074"/>
    <w:rsid w:val="003B115E"/>
    <w:rsid w:val="003B12EC"/>
    <w:rsid w:val="003B1361"/>
    <w:rsid w:val="003B191B"/>
    <w:rsid w:val="003B1A33"/>
    <w:rsid w:val="003B1CAA"/>
    <w:rsid w:val="003B1D14"/>
    <w:rsid w:val="003B1F5F"/>
    <w:rsid w:val="003B23E1"/>
    <w:rsid w:val="003B25C0"/>
    <w:rsid w:val="003B26AE"/>
    <w:rsid w:val="003B26FE"/>
    <w:rsid w:val="003B2801"/>
    <w:rsid w:val="003B2D24"/>
    <w:rsid w:val="003B3063"/>
    <w:rsid w:val="003B30B8"/>
    <w:rsid w:val="003B319F"/>
    <w:rsid w:val="003B374B"/>
    <w:rsid w:val="003B3D67"/>
    <w:rsid w:val="003B3FE8"/>
    <w:rsid w:val="003B4268"/>
    <w:rsid w:val="003B44DE"/>
    <w:rsid w:val="003B46D3"/>
    <w:rsid w:val="003B471E"/>
    <w:rsid w:val="003B4CCE"/>
    <w:rsid w:val="003B5126"/>
    <w:rsid w:val="003B520F"/>
    <w:rsid w:val="003B5304"/>
    <w:rsid w:val="003B5368"/>
    <w:rsid w:val="003B53D5"/>
    <w:rsid w:val="003B5717"/>
    <w:rsid w:val="003B5AA6"/>
    <w:rsid w:val="003B5CA8"/>
    <w:rsid w:val="003B6370"/>
    <w:rsid w:val="003B6566"/>
    <w:rsid w:val="003B65A2"/>
    <w:rsid w:val="003B6A4D"/>
    <w:rsid w:val="003B6D5F"/>
    <w:rsid w:val="003B6FE9"/>
    <w:rsid w:val="003B730F"/>
    <w:rsid w:val="003B7571"/>
    <w:rsid w:val="003B7673"/>
    <w:rsid w:val="003B7852"/>
    <w:rsid w:val="003B7A71"/>
    <w:rsid w:val="003B7A98"/>
    <w:rsid w:val="003B7ABD"/>
    <w:rsid w:val="003B7D2A"/>
    <w:rsid w:val="003C0132"/>
    <w:rsid w:val="003C01D4"/>
    <w:rsid w:val="003C03A2"/>
    <w:rsid w:val="003C0831"/>
    <w:rsid w:val="003C0970"/>
    <w:rsid w:val="003C0DBC"/>
    <w:rsid w:val="003C0F17"/>
    <w:rsid w:val="003C1253"/>
    <w:rsid w:val="003C125C"/>
    <w:rsid w:val="003C13ED"/>
    <w:rsid w:val="003C186A"/>
    <w:rsid w:val="003C1919"/>
    <w:rsid w:val="003C19DC"/>
    <w:rsid w:val="003C1D9C"/>
    <w:rsid w:val="003C1DEA"/>
    <w:rsid w:val="003C26D8"/>
    <w:rsid w:val="003C297E"/>
    <w:rsid w:val="003C2E2F"/>
    <w:rsid w:val="003C32A6"/>
    <w:rsid w:val="003C35C4"/>
    <w:rsid w:val="003C3B05"/>
    <w:rsid w:val="003C410E"/>
    <w:rsid w:val="003C429C"/>
    <w:rsid w:val="003C43A9"/>
    <w:rsid w:val="003C44A3"/>
    <w:rsid w:val="003C4953"/>
    <w:rsid w:val="003C4B23"/>
    <w:rsid w:val="003C4C25"/>
    <w:rsid w:val="003C4EF6"/>
    <w:rsid w:val="003C507E"/>
    <w:rsid w:val="003C5202"/>
    <w:rsid w:val="003C531B"/>
    <w:rsid w:val="003C537D"/>
    <w:rsid w:val="003C55C0"/>
    <w:rsid w:val="003C5B0D"/>
    <w:rsid w:val="003C5CEA"/>
    <w:rsid w:val="003C618F"/>
    <w:rsid w:val="003C6272"/>
    <w:rsid w:val="003C64AD"/>
    <w:rsid w:val="003C68A2"/>
    <w:rsid w:val="003C69B2"/>
    <w:rsid w:val="003C6C9E"/>
    <w:rsid w:val="003C6F8E"/>
    <w:rsid w:val="003C714E"/>
    <w:rsid w:val="003C77C9"/>
    <w:rsid w:val="003C77E0"/>
    <w:rsid w:val="003C78EA"/>
    <w:rsid w:val="003C7D74"/>
    <w:rsid w:val="003D01E3"/>
    <w:rsid w:val="003D0257"/>
    <w:rsid w:val="003D0433"/>
    <w:rsid w:val="003D07FB"/>
    <w:rsid w:val="003D08DC"/>
    <w:rsid w:val="003D0A3D"/>
    <w:rsid w:val="003D0DAE"/>
    <w:rsid w:val="003D0EF2"/>
    <w:rsid w:val="003D0F3F"/>
    <w:rsid w:val="003D17D7"/>
    <w:rsid w:val="003D183A"/>
    <w:rsid w:val="003D19DD"/>
    <w:rsid w:val="003D1B07"/>
    <w:rsid w:val="003D1B6F"/>
    <w:rsid w:val="003D1BCE"/>
    <w:rsid w:val="003D23FF"/>
    <w:rsid w:val="003D2678"/>
    <w:rsid w:val="003D28D9"/>
    <w:rsid w:val="003D2F51"/>
    <w:rsid w:val="003D2F75"/>
    <w:rsid w:val="003D3044"/>
    <w:rsid w:val="003D30EF"/>
    <w:rsid w:val="003D3259"/>
    <w:rsid w:val="003D32E8"/>
    <w:rsid w:val="003D3608"/>
    <w:rsid w:val="003D379E"/>
    <w:rsid w:val="003D37C6"/>
    <w:rsid w:val="003D3869"/>
    <w:rsid w:val="003D3894"/>
    <w:rsid w:val="003D38B9"/>
    <w:rsid w:val="003D39CF"/>
    <w:rsid w:val="003D3A85"/>
    <w:rsid w:val="003D3CF6"/>
    <w:rsid w:val="003D3F6E"/>
    <w:rsid w:val="003D4016"/>
    <w:rsid w:val="003D4443"/>
    <w:rsid w:val="003D4448"/>
    <w:rsid w:val="003D47C3"/>
    <w:rsid w:val="003D4996"/>
    <w:rsid w:val="003D49A6"/>
    <w:rsid w:val="003D4A3D"/>
    <w:rsid w:val="003D4CC1"/>
    <w:rsid w:val="003D4F64"/>
    <w:rsid w:val="003D5254"/>
    <w:rsid w:val="003D5370"/>
    <w:rsid w:val="003D55C1"/>
    <w:rsid w:val="003D55D5"/>
    <w:rsid w:val="003D5A22"/>
    <w:rsid w:val="003D60D2"/>
    <w:rsid w:val="003D632C"/>
    <w:rsid w:val="003D660F"/>
    <w:rsid w:val="003D68C2"/>
    <w:rsid w:val="003D68F1"/>
    <w:rsid w:val="003D6916"/>
    <w:rsid w:val="003D6EA9"/>
    <w:rsid w:val="003D71A3"/>
    <w:rsid w:val="003D7286"/>
    <w:rsid w:val="003D7BE8"/>
    <w:rsid w:val="003D7C6E"/>
    <w:rsid w:val="003D7E71"/>
    <w:rsid w:val="003D7F68"/>
    <w:rsid w:val="003D7FAC"/>
    <w:rsid w:val="003E00A6"/>
    <w:rsid w:val="003E00B0"/>
    <w:rsid w:val="003E0226"/>
    <w:rsid w:val="003E02FC"/>
    <w:rsid w:val="003E0400"/>
    <w:rsid w:val="003E08D6"/>
    <w:rsid w:val="003E08EB"/>
    <w:rsid w:val="003E0A99"/>
    <w:rsid w:val="003E1101"/>
    <w:rsid w:val="003E149A"/>
    <w:rsid w:val="003E1695"/>
    <w:rsid w:val="003E1744"/>
    <w:rsid w:val="003E19B7"/>
    <w:rsid w:val="003E206B"/>
    <w:rsid w:val="003E22C5"/>
    <w:rsid w:val="003E230B"/>
    <w:rsid w:val="003E2342"/>
    <w:rsid w:val="003E27C2"/>
    <w:rsid w:val="003E2B8A"/>
    <w:rsid w:val="003E2DAE"/>
    <w:rsid w:val="003E3559"/>
    <w:rsid w:val="003E36B6"/>
    <w:rsid w:val="003E3B37"/>
    <w:rsid w:val="003E3FBA"/>
    <w:rsid w:val="003E3FDF"/>
    <w:rsid w:val="003E413E"/>
    <w:rsid w:val="003E4159"/>
    <w:rsid w:val="003E4246"/>
    <w:rsid w:val="003E49F3"/>
    <w:rsid w:val="003E4A13"/>
    <w:rsid w:val="003E4DC6"/>
    <w:rsid w:val="003E4DCF"/>
    <w:rsid w:val="003E4FD4"/>
    <w:rsid w:val="003E5705"/>
    <w:rsid w:val="003E5DE1"/>
    <w:rsid w:val="003E5FDA"/>
    <w:rsid w:val="003E62F3"/>
    <w:rsid w:val="003E6473"/>
    <w:rsid w:val="003E6710"/>
    <w:rsid w:val="003E6765"/>
    <w:rsid w:val="003E69A6"/>
    <w:rsid w:val="003E6A22"/>
    <w:rsid w:val="003E6CCC"/>
    <w:rsid w:val="003E6CF6"/>
    <w:rsid w:val="003E6D58"/>
    <w:rsid w:val="003E6DA5"/>
    <w:rsid w:val="003E6F65"/>
    <w:rsid w:val="003E723F"/>
    <w:rsid w:val="003E7410"/>
    <w:rsid w:val="003E7566"/>
    <w:rsid w:val="003E7BA2"/>
    <w:rsid w:val="003E7EB0"/>
    <w:rsid w:val="003F04B7"/>
    <w:rsid w:val="003F0682"/>
    <w:rsid w:val="003F0C5A"/>
    <w:rsid w:val="003F0C92"/>
    <w:rsid w:val="003F10EE"/>
    <w:rsid w:val="003F14F4"/>
    <w:rsid w:val="003F1540"/>
    <w:rsid w:val="003F16F6"/>
    <w:rsid w:val="003F17EB"/>
    <w:rsid w:val="003F1A30"/>
    <w:rsid w:val="003F1F82"/>
    <w:rsid w:val="003F218E"/>
    <w:rsid w:val="003F2430"/>
    <w:rsid w:val="003F2472"/>
    <w:rsid w:val="003F2482"/>
    <w:rsid w:val="003F248B"/>
    <w:rsid w:val="003F259F"/>
    <w:rsid w:val="003F265F"/>
    <w:rsid w:val="003F2699"/>
    <w:rsid w:val="003F29FA"/>
    <w:rsid w:val="003F2B7B"/>
    <w:rsid w:val="003F2C91"/>
    <w:rsid w:val="003F2CA7"/>
    <w:rsid w:val="003F2CC8"/>
    <w:rsid w:val="003F3244"/>
    <w:rsid w:val="003F3297"/>
    <w:rsid w:val="003F3507"/>
    <w:rsid w:val="003F35D5"/>
    <w:rsid w:val="003F37A1"/>
    <w:rsid w:val="003F3841"/>
    <w:rsid w:val="003F3B7E"/>
    <w:rsid w:val="003F43DE"/>
    <w:rsid w:val="003F45D5"/>
    <w:rsid w:val="003F468B"/>
    <w:rsid w:val="003F46FC"/>
    <w:rsid w:val="003F4869"/>
    <w:rsid w:val="003F4B5E"/>
    <w:rsid w:val="003F4B80"/>
    <w:rsid w:val="003F4DC7"/>
    <w:rsid w:val="003F4ECF"/>
    <w:rsid w:val="003F5050"/>
    <w:rsid w:val="003F5235"/>
    <w:rsid w:val="003F5274"/>
    <w:rsid w:val="003F5663"/>
    <w:rsid w:val="003F6122"/>
    <w:rsid w:val="003F628D"/>
    <w:rsid w:val="003F692F"/>
    <w:rsid w:val="003F70EC"/>
    <w:rsid w:val="003F7378"/>
    <w:rsid w:val="003F7580"/>
    <w:rsid w:val="003F77BF"/>
    <w:rsid w:val="003F7A6E"/>
    <w:rsid w:val="003F7C76"/>
    <w:rsid w:val="003F7E3C"/>
    <w:rsid w:val="00400211"/>
    <w:rsid w:val="004004F2"/>
    <w:rsid w:val="00400943"/>
    <w:rsid w:val="00400A16"/>
    <w:rsid w:val="00400A7B"/>
    <w:rsid w:val="00400B15"/>
    <w:rsid w:val="00400B64"/>
    <w:rsid w:val="00400C75"/>
    <w:rsid w:val="00400EE9"/>
    <w:rsid w:val="004012D8"/>
    <w:rsid w:val="00401A0E"/>
    <w:rsid w:val="00401AA9"/>
    <w:rsid w:val="00401DD1"/>
    <w:rsid w:val="00401E19"/>
    <w:rsid w:val="0040202F"/>
    <w:rsid w:val="00402133"/>
    <w:rsid w:val="00402652"/>
    <w:rsid w:val="004027E4"/>
    <w:rsid w:val="00402EC3"/>
    <w:rsid w:val="00403070"/>
    <w:rsid w:val="004032E4"/>
    <w:rsid w:val="00403305"/>
    <w:rsid w:val="0040331B"/>
    <w:rsid w:val="00403A15"/>
    <w:rsid w:val="00403D2A"/>
    <w:rsid w:val="004041C1"/>
    <w:rsid w:val="00404460"/>
    <w:rsid w:val="004044E4"/>
    <w:rsid w:val="00404753"/>
    <w:rsid w:val="004047DA"/>
    <w:rsid w:val="004048FE"/>
    <w:rsid w:val="00404975"/>
    <w:rsid w:val="00404ADB"/>
    <w:rsid w:val="00404BA5"/>
    <w:rsid w:val="00404D68"/>
    <w:rsid w:val="0040544A"/>
    <w:rsid w:val="00405620"/>
    <w:rsid w:val="0040569F"/>
    <w:rsid w:val="00405702"/>
    <w:rsid w:val="00405CE3"/>
    <w:rsid w:val="00405EBA"/>
    <w:rsid w:val="0040602E"/>
    <w:rsid w:val="004065B5"/>
    <w:rsid w:val="004067C1"/>
    <w:rsid w:val="00406874"/>
    <w:rsid w:val="00406ADF"/>
    <w:rsid w:val="00406BA4"/>
    <w:rsid w:val="00406D55"/>
    <w:rsid w:val="00406E42"/>
    <w:rsid w:val="00406F08"/>
    <w:rsid w:val="00407266"/>
    <w:rsid w:val="00407417"/>
    <w:rsid w:val="004074FA"/>
    <w:rsid w:val="00407866"/>
    <w:rsid w:val="004078EC"/>
    <w:rsid w:val="00407AF6"/>
    <w:rsid w:val="00407B32"/>
    <w:rsid w:val="00407E51"/>
    <w:rsid w:val="00407F95"/>
    <w:rsid w:val="004100EF"/>
    <w:rsid w:val="004102B3"/>
    <w:rsid w:val="0041052B"/>
    <w:rsid w:val="004105AD"/>
    <w:rsid w:val="0041071D"/>
    <w:rsid w:val="00410729"/>
    <w:rsid w:val="004107D7"/>
    <w:rsid w:val="004108B0"/>
    <w:rsid w:val="00410A6D"/>
    <w:rsid w:val="00410CA4"/>
    <w:rsid w:val="00410CC1"/>
    <w:rsid w:val="00410E40"/>
    <w:rsid w:val="00411137"/>
    <w:rsid w:val="00411294"/>
    <w:rsid w:val="0041133C"/>
    <w:rsid w:val="00411405"/>
    <w:rsid w:val="00411825"/>
    <w:rsid w:val="004118DD"/>
    <w:rsid w:val="00411A86"/>
    <w:rsid w:val="00411B95"/>
    <w:rsid w:val="00412132"/>
    <w:rsid w:val="00412768"/>
    <w:rsid w:val="00412D3D"/>
    <w:rsid w:val="00412E4D"/>
    <w:rsid w:val="00413038"/>
    <w:rsid w:val="00413772"/>
    <w:rsid w:val="00413ACD"/>
    <w:rsid w:val="00413BFB"/>
    <w:rsid w:val="00413C65"/>
    <w:rsid w:val="00413D0C"/>
    <w:rsid w:val="004141FE"/>
    <w:rsid w:val="00414494"/>
    <w:rsid w:val="004144C0"/>
    <w:rsid w:val="00414AFC"/>
    <w:rsid w:val="00414C78"/>
    <w:rsid w:val="00414D67"/>
    <w:rsid w:val="00414F17"/>
    <w:rsid w:val="00414F57"/>
    <w:rsid w:val="00414FFF"/>
    <w:rsid w:val="004151A7"/>
    <w:rsid w:val="00415299"/>
    <w:rsid w:val="00415310"/>
    <w:rsid w:val="004153E4"/>
    <w:rsid w:val="00415451"/>
    <w:rsid w:val="00415500"/>
    <w:rsid w:val="0041567B"/>
    <w:rsid w:val="00415C9A"/>
    <w:rsid w:val="00415D85"/>
    <w:rsid w:val="00415DFD"/>
    <w:rsid w:val="00415F1F"/>
    <w:rsid w:val="004163C0"/>
    <w:rsid w:val="004165B4"/>
    <w:rsid w:val="00416849"/>
    <w:rsid w:val="004169A4"/>
    <w:rsid w:val="0041766B"/>
    <w:rsid w:val="004176E0"/>
    <w:rsid w:val="004177A2"/>
    <w:rsid w:val="004179D9"/>
    <w:rsid w:val="00417B3A"/>
    <w:rsid w:val="00417BCD"/>
    <w:rsid w:val="00417C26"/>
    <w:rsid w:val="00420065"/>
    <w:rsid w:val="00420166"/>
    <w:rsid w:val="00420515"/>
    <w:rsid w:val="00420F38"/>
    <w:rsid w:val="00421158"/>
    <w:rsid w:val="0042120B"/>
    <w:rsid w:val="00421661"/>
    <w:rsid w:val="00421709"/>
    <w:rsid w:val="0042193A"/>
    <w:rsid w:val="00421ACA"/>
    <w:rsid w:val="00421C2D"/>
    <w:rsid w:val="00421E5B"/>
    <w:rsid w:val="00421FAA"/>
    <w:rsid w:val="00422038"/>
    <w:rsid w:val="004221D5"/>
    <w:rsid w:val="00422290"/>
    <w:rsid w:val="00422648"/>
    <w:rsid w:val="00422718"/>
    <w:rsid w:val="004234AE"/>
    <w:rsid w:val="004235E7"/>
    <w:rsid w:val="00423763"/>
    <w:rsid w:val="00423AB7"/>
    <w:rsid w:val="00423F00"/>
    <w:rsid w:val="004240D9"/>
    <w:rsid w:val="00424200"/>
    <w:rsid w:val="0042464D"/>
    <w:rsid w:val="00424A6A"/>
    <w:rsid w:val="00424A6F"/>
    <w:rsid w:val="00424B25"/>
    <w:rsid w:val="00424B56"/>
    <w:rsid w:val="00424B7F"/>
    <w:rsid w:val="00424F77"/>
    <w:rsid w:val="00425206"/>
    <w:rsid w:val="00425E89"/>
    <w:rsid w:val="00425FAB"/>
    <w:rsid w:val="00426138"/>
    <w:rsid w:val="00426A17"/>
    <w:rsid w:val="00426CFA"/>
    <w:rsid w:val="00427375"/>
    <w:rsid w:val="004275BC"/>
    <w:rsid w:val="0042762F"/>
    <w:rsid w:val="00427680"/>
    <w:rsid w:val="004277AD"/>
    <w:rsid w:val="00427CCF"/>
    <w:rsid w:val="00427DC7"/>
    <w:rsid w:val="004300C9"/>
    <w:rsid w:val="004301E7"/>
    <w:rsid w:val="00430216"/>
    <w:rsid w:val="0043055C"/>
    <w:rsid w:val="00430A47"/>
    <w:rsid w:val="00430AEF"/>
    <w:rsid w:val="00430C5E"/>
    <w:rsid w:val="00430DE0"/>
    <w:rsid w:val="004313FB"/>
    <w:rsid w:val="00431613"/>
    <w:rsid w:val="00431792"/>
    <w:rsid w:val="00431ADB"/>
    <w:rsid w:val="00431DCA"/>
    <w:rsid w:val="00431E35"/>
    <w:rsid w:val="00431E8B"/>
    <w:rsid w:val="004320CA"/>
    <w:rsid w:val="00432196"/>
    <w:rsid w:val="0043226D"/>
    <w:rsid w:val="0043231A"/>
    <w:rsid w:val="0043247C"/>
    <w:rsid w:val="00432840"/>
    <w:rsid w:val="0043285E"/>
    <w:rsid w:val="0043297A"/>
    <w:rsid w:val="00432CA1"/>
    <w:rsid w:val="00432D7E"/>
    <w:rsid w:val="00432EB2"/>
    <w:rsid w:val="00433067"/>
    <w:rsid w:val="0043332F"/>
    <w:rsid w:val="00433B27"/>
    <w:rsid w:val="00434876"/>
    <w:rsid w:val="00434C07"/>
    <w:rsid w:val="00434EA3"/>
    <w:rsid w:val="0043511C"/>
    <w:rsid w:val="004352EC"/>
    <w:rsid w:val="004353F2"/>
    <w:rsid w:val="0043599E"/>
    <w:rsid w:val="00435A9F"/>
    <w:rsid w:val="004368C6"/>
    <w:rsid w:val="0043697A"/>
    <w:rsid w:val="00436AC2"/>
    <w:rsid w:val="00436CE8"/>
    <w:rsid w:val="00437118"/>
    <w:rsid w:val="0043714F"/>
    <w:rsid w:val="004373DC"/>
    <w:rsid w:val="004375D9"/>
    <w:rsid w:val="004375FE"/>
    <w:rsid w:val="0044006D"/>
    <w:rsid w:val="0044010E"/>
    <w:rsid w:val="004401E6"/>
    <w:rsid w:val="00440744"/>
    <w:rsid w:val="00440C88"/>
    <w:rsid w:val="00440CC7"/>
    <w:rsid w:val="00440EAF"/>
    <w:rsid w:val="00440FA3"/>
    <w:rsid w:val="004411CF"/>
    <w:rsid w:val="004418D5"/>
    <w:rsid w:val="0044270C"/>
    <w:rsid w:val="00442737"/>
    <w:rsid w:val="00442798"/>
    <w:rsid w:val="0044286A"/>
    <w:rsid w:val="004429F0"/>
    <w:rsid w:val="00442B9B"/>
    <w:rsid w:val="00443189"/>
    <w:rsid w:val="00443291"/>
    <w:rsid w:val="00443370"/>
    <w:rsid w:val="0044380E"/>
    <w:rsid w:val="004438B5"/>
    <w:rsid w:val="0044394D"/>
    <w:rsid w:val="004439B6"/>
    <w:rsid w:val="00443B2B"/>
    <w:rsid w:val="00443D35"/>
    <w:rsid w:val="00443D9E"/>
    <w:rsid w:val="00444031"/>
    <w:rsid w:val="0044408E"/>
    <w:rsid w:val="0044430C"/>
    <w:rsid w:val="00444455"/>
    <w:rsid w:val="0044447C"/>
    <w:rsid w:val="00444646"/>
    <w:rsid w:val="00444B04"/>
    <w:rsid w:val="00444F9E"/>
    <w:rsid w:val="0044524E"/>
    <w:rsid w:val="004452CB"/>
    <w:rsid w:val="00445302"/>
    <w:rsid w:val="0044555C"/>
    <w:rsid w:val="004458F1"/>
    <w:rsid w:val="00445CFF"/>
    <w:rsid w:val="00445F0B"/>
    <w:rsid w:val="0044612A"/>
    <w:rsid w:val="00446847"/>
    <w:rsid w:val="004469CE"/>
    <w:rsid w:val="00446C02"/>
    <w:rsid w:val="00446D9B"/>
    <w:rsid w:val="00447037"/>
    <w:rsid w:val="00447155"/>
    <w:rsid w:val="004471FF"/>
    <w:rsid w:val="00447762"/>
    <w:rsid w:val="0044794E"/>
    <w:rsid w:val="00447A37"/>
    <w:rsid w:val="00447C74"/>
    <w:rsid w:val="00447E52"/>
    <w:rsid w:val="00447F93"/>
    <w:rsid w:val="00447FF9"/>
    <w:rsid w:val="00450041"/>
    <w:rsid w:val="004501A0"/>
    <w:rsid w:val="00450215"/>
    <w:rsid w:val="004502A2"/>
    <w:rsid w:val="004503FC"/>
    <w:rsid w:val="0045051C"/>
    <w:rsid w:val="00450643"/>
    <w:rsid w:val="0045097E"/>
    <w:rsid w:val="00450DCC"/>
    <w:rsid w:val="00450E6D"/>
    <w:rsid w:val="00450EFD"/>
    <w:rsid w:val="00450F65"/>
    <w:rsid w:val="00450FFE"/>
    <w:rsid w:val="00451213"/>
    <w:rsid w:val="0045124D"/>
    <w:rsid w:val="0045160D"/>
    <w:rsid w:val="004518F9"/>
    <w:rsid w:val="00451DF7"/>
    <w:rsid w:val="00451EDE"/>
    <w:rsid w:val="0045205E"/>
    <w:rsid w:val="00452091"/>
    <w:rsid w:val="0045211A"/>
    <w:rsid w:val="004521A1"/>
    <w:rsid w:val="0045228F"/>
    <w:rsid w:val="00452901"/>
    <w:rsid w:val="00452BAB"/>
    <w:rsid w:val="00452E22"/>
    <w:rsid w:val="0045310D"/>
    <w:rsid w:val="0045349B"/>
    <w:rsid w:val="004534D7"/>
    <w:rsid w:val="004542E5"/>
    <w:rsid w:val="00454323"/>
    <w:rsid w:val="004544CA"/>
    <w:rsid w:val="00454596"/>
    <w:rsid w:val="00454877"/>
    <w:rsid w:val="004549FE"/>
    <w:rsid w:val="00454A70"/>
    <w:rsid w:val="00455050"/>
    <w:rsid w:val="004551E7"/>
    <w:rsid w:val="004555EC"/>
    <w:rsid w:val="00455823"/>
    <w:rsid w:val="0045598D"/>
    <w:rsid w:val="00455A05"/>
    <w:rsid w:val="00455D60"/>
    <w:rsid w:val="00455E70"/>
    <w:rsid w:val="00455E7F"/>
    <w:rsid w:val="0045600F"/>
    <w:rsid w:val="0045604F"/>
    <w:rsid w:val="0045605D"/>
    <w:rsid w:val="00456433"/>
    <w:rsid w:val="0045662B"/>
    <w:rsid w:val="00456635"/>
    <w:rsid w:val="004566A9"/>
    <w:rsid w:val="004567ED"/>
    <w:rsid w:val="0045687F"/>
    <w:rsid w:val="00456E13"/>
    <w:rsid w:val="004570EA"/>
    <w:rsid w:val="00457471"/>
    <w:rsid w:val="00457502"/>
    <w:rsid w:val="00457766"/>
    <w:rsid w:val="00457862"/>
    <w:rsid w:val="0045799F"/>
    <w:rsid w:val="00457A4D"/>
    <w:rsid w:val="00457B99"/>
    <w:rsid w:val="00457C5C"/>
    <w:rsid w:val="00457E64"/>
    <w:rsid w:val="00457EAA"/>
    <w:rsid w:val="00457F04"/>
    <w:rsid w:val="004602C5"/>
    <w:rsid w:val="0046088C"/>
    <w:rsid w:val="00460C66"/>
    <w:rsid w:val="00460DAE"/>
    <w:rsid w:val="0046119E"/>
    <w:rsid w:val="0046135B"/>
    <w:rsid w:val="004615B7"/>
    <w:rsid w:val="004615F0"/>
    <w:rsid w:val="00461635"/>
    <w:rsid w:val="0046168D"/>
    <w:rsid w:val="004617B5"/>
    <w:rsid w:val="00461BD6"/>
    <w:rsid w:val="00461D47"/>
    <w:rsid w:val="00461D92"/>
    <w:rsid w:val="00461ED8"/>
    <w:rsid w:val="004624AA"/>
    <w:rsid w:val="004629B4"/>
    <w:rsid w:val="004636BD"/>
    <w:rsid w:val="004636FC"/>
    <w:rsid w:val="00463A65"/>
    <w:rsid w:val="00463D72"/>
    <w:rsid w:val="00463F04"/>
    <w:rsid w:val="0046402A"/>
    <w:rsid w:val="0046461D"/>
    <w:rsid w:val="004646DB"/>
    <w:rsid w:val="00464B21"/>
    <w:rsid w:val="004651B1"/>
    <w:rsid w:val="00465408"/>
    <w:rsid w:val="00465574"/>
    <w:rsid w:val="00465725"/>
    <w:rsid w:val="004659C4"/>
    <w:rsid w:val="00465CFA"/>
    <w:rsid w:val="00466184"/>
    <w:rsid w:val="00466468"/>
    <w:rsid w:val="0046660F"/>
    <w:rsid w:val="00466A9E"/>
    <w:rsid w:val="00466DD3"/>
    <w:rsid w:val="00466DDA"/>
    <w:rsid w:val="00466E9A"/>
    <w:rsid w:val="004673D3"/>
    <w:rsid w:val="00467507"/>
    <w:rsid w:val="00467651"/>
    <w:rsid w:val="0046779D"/>
    <w:rsid w:val="00467AAA"/>
    <w:rsid w:val="00467DB8"/>
    <w:rsid w:val="00467DE4"/>
    <w:rsid w:val="004700C5"/>
    <w:rsid w:val="00470384"/>
    <w:rsid w:val="00470792"/>
    <w:rsid w:val="004711FE"/>
    <w:rsid w:val="004714A2"/>
    <w:rsid w:val="00471595"/>
    <w:rsid w:val="004718CC"/>
    <w:rsid w:val="00471E36"/>
    <w:rsid w:val="00472101"/>
    <w:rsid w:val="00472ECC"/>
    <w:rsid w:val="00472F67"/>
    <w:rsid w:val="0047313F"/>
    <w:rsid w:val="004732CE"/>
    <w:rsid w:val="00473475"/>
    <w:rsid w:val="0047383B"/>
    <w:rsid w:val="00473991"/>
    <w:rsid w:val="00473B52"/>
    <w:rsid w:val="00473F72"/>
    <w:rsid w:val="00473F85"/>
    <w:rsid w:val="00474019"/>
    <w:rsid w:val="0047410E"/>
    <w:rsid w:val="00474454"/>
    <w:rsid w:val="0047451F"/>
    <w:rsid w:val="0047459A"/>
    <w:rsid w:val="00474615"/>
    <w:rsid w:val="004746FE"/>
    <w:rsid w:val="00474A22"/>
    <w:rsid w:val="00474A73"/>
    <w:rsid w:val="0047508A"/>
    <w:rsid w:val="0047517C"/>
    <w:rsid w:val="00475212"/>
    <w:rsid w:val="0047527A"/>
    <w:rsid w:val="004754EF"/>
    <w:rsid w:val="0047567F"/>
    <w:rsid w:val="00475875"/>
    <w:rsid w:val="00475A51"/>
    <w:rsid w:val="00475ADB"/>
    <w:rsid w:val="00475EDE"/>
    <w:rsid w:val="00476195"/>
    <w:rsid w:val="00476411"/>
    <w:rsid w:val="0047696E"/>
    <w:rsid w:val="0047698B"/>
    <w:rsid w:val="00476A53"/>
    <w:rsid w:val="00476DB9"/>
    <w:rsid w:val="00476DDF"/>
    <w:rsid w:val="00476F3D"/>
    <w:rsid w:val="00477123"/>
    <w:rsid w:val="00477154"/>
    <w:rsid w:val="004771C3"/>
    <w:rsid w:val="0047723C"/>
    <w:rsid w:val="00477381"/>
    <w:rsid w:val="004776F6"/>
    <w:rsid w:val="0048005A"/>
    <w:rsid w:val="004802B8"/>
    <w:rsid w:val="00480946"/>
    <w:rsid w:val="00480A08"/>
    <w:rsid w:val="00480A48"/>
    <w:rsid w:val="00480CED"/>
    <w:rsid w:val="00480FE5"/>
    <w:rsid w:val="00481187"/>
    <w:rsid w:val="0048118B"/>
    <w:rsid w:val="00481695"/>
    <w:rsid w:val="00481B3F"/>
    <w:rsid w:val="00481BE5"/>
    <w:rsid w:val="0048204D"/>
    <w:rsid w:val="00482158"/>
    <w:rsid w:val="00482233"/>
    <w:rsid w:val="00482B64"/>
    <w:rsid w:val="00482C0E"/>
    <w:rsid w:val="00482C23"/>
    <w:rsid w:val="00482FDF"/>
    <w:rsid w:val="004834FC"/>
    <w:rsid w:val="00483883"/>
    <w:rsid w:val="00483DC5"/>
    <w:rsid w:val="00483E07"/>
    <w:rsid w:val="00483F4A"/>
    <w:rsid w:val="00484699"/>
    <w:rsid w:val="00484E48"/>
    <w:rsid w:val="00485287"/>
    <w:rsid w:val="0048534A"/>
    <w:rsid w:val="0048575E"/>
    <w:rsid w:val="00485BA8"/>
    <w:rsid w:val="00485CBC"/>
    <w:rsid w:val="00485EAF"/>
    <w:rsid w:val="004860D2"/>
    <w:rsid w:val="004860E8"/>
    <w:rsid w:val="0048634F"/>
    <w:rsid w:val="004869C3"/>
    <w:rsid w:val="00486ABA"/>
    <w:rsid w:val="00486CE1"/>
    <w:rsid w:val="00486CE4"/>
    <w:rsid w:val="00486DA2"/>
    <w:rsid w:val="00486FD3"/>
    <w:rsid w:val="004871BD"/>
    <w:rsid w:val="00487258"/>
    <w:rsid w:val="0048737F"/>
    <w:rsid w:val="004876D4"/>
    <w:rsid w:val="004878C5"/>
    <w:rsid w:val="004904C0"/>
    <w:rsid w:val="004905FE"/>
    <w:rsid w:val="00490734"/>
    <w:rsid w:val="0049086C"/>
    <w:rsid w:val="00490C3B"/>
    <w:rsid w:val="0049124D"/>
    <w:rsid w:val="004912DC"/>
    <w:rsid w:val="00491821"/>
    <w:rsid w:val="0049198C"/>
    <w:rsid w:val="004919C5"/>
    <w:rsid w:val="00491C3C"/>
    <w:rsid w:val="00491C6D"/>
    <w:rsid w:val="00491C9C"/>
    <w:rsid w:val="00491DC5"/>
    <w:rsid w:val="00491EF7"/>
    <w:rsid w:val="00492012"/>
    <w:rsid w:val="004924DC"/>
    <w:rsid w:val="004924F3"/>
    <w:rsid w:val="00492795"/>
    <w:rsid w:val="0049283D"/>
    <w:rsid w:val="0049287B"/>
    <w:rsid w:val="004929F9"/>
    <w:rsid w:val="00492AAE"/>
    <w:rsid w:val="00492D72"/>
    <w:rsid w:val="00492D9F"/>
    <w:rsid w:val="00493062"/>
    <w:rsid w:val="00493098"/>
    <w:rsid w:val="004933D7"/>
    <w:rsid w:val="00493441"/>
    <w:rsid w:val="00493811"/>
    <w:rsid w:val="00493B5D"/>
    <w:rsid w:val="00493DEA"/>
    <w:rsid w:val="00493E2E"/>
    <w:rsid w:val="00493EE3"/>
    <w:rsid w:val="0049418D"/>
    <w:rsid w:val="0049480D"/>
    <w:rsid w:val="00494BB9"/>
    <w:rsid w:val="00494C76"/>
    <w:rsid w:val="00494D12"/>
    <w:rsid w:val="00494FA8"/>
    <w:rsid w:val="0049500A"/>
    <w:rsid w:val="00495210"/>
    <w:rsid w:val="004952AE"/>
    <w:rsid w:val="00495390"/>
    <w:rsid w:val="00495639"/>
    <w:rsid w:val="004959E5"/>
    <w:rsid w:val="00495A96"/>
    <w:rsid w:val="00495AEC"/>
    <w:rsid w:val="00495BB3"/>
    <w:rsid w:val="00495BFE"/>
    <w:rsid w:val="00495FCA"/>
    <w:rsid w:val="0049606F"/>
    <w:rsid w:val="00496125"/>
    <w:rsid w:val="00496338"/>
    <w:rsid w:val="00496766"/>
    <w:rsid w:val="00496B24"/>
    <w:rsid w:val="00496BAE"/>
    <w:rsid w:val="00497051"/>
    <w:rsid w:val="00497349"/>
    <w:rsid w:val="0049760B"/>
    <w:rsid w:val="00497741"/>
    <w:rsid w:val="00497771"/>
    <w:rsid w:val="004978DD"/>
    <w:rsid w:val="00497A4A"/>
    <w:rsid w:val="00497EBD"/>
    <w:rsid w:val="00497F93"/>
    <w:rsid w:val="004A053F"/>
    <w:rsid w:val="004A05BC"/>
    <w:rsid w:val="004A0728"/>
    <w:rsid w:val="004A0A10"/>
    <w:rsid w:val="004A0AB3"/>
    <w:rsid w:val="004A0BF8"/>
    <w:rsid w:val="004A0DA8"/>
    <w:rsid w:val="004A0EC1"/>
    <w:rsid w:val="004A0F9E"/>
    <w:rsid w:val="004A10FB"/>
    <w:rsid w:val="004A12E3"/>
    <w:rsid w:val="004A1496"/>
    <w:rsid w:val="004A1597"/>
    <w:rsid w:val="004A15B9"/>
    <w:rsid w:val="004A1659"/>
    <w:rsid w:val="004A1690"/>
    <w:rsid w:val="004A188C"/>
    <w:rsid w:val="004A18AB"/>
    <w:rsid w:val="004A18F4"/>
    <w:rsid w:val="004A21ED"/>
    <w:rsid w:val="004A23F6"/>
    <w:rsid w:val="004A24E4"/>
    <w:rsid w:val="004A26DE"/>
    <w:rsid w:val="004A27E8"/>
    <w:rsid w:val="004A29A2"/>
    <w:rsid w:val="004A29EC"/>
    <w:rsid w:val="004A2BF5"/>
    <w:rsid w:val="004A2E17"/>
    <w:rsid w:val="004A2F78"/>
    <w:rsid w:val="004A2F93"/>
    <w:rsid w:val="004A3036"/>
    <w:rsid w:val="004A36BB"/>
    <w:rsid w:val="004A4153"/>
    <w:rsid w:val="004A4191"/>
    <w:rsid w:val="004A41AA"/>
    <w:rsid w:val="004A47C8"/>
    <w:rsid w:val="004A49FD"/>
    <w:rsid w:val="004A4C77"/>
    <w:rsid w:val="004A4E4E"/>
    <w:rsid w:val="004A4E78"/>
    <w:rsid w:val="004A4FF8"/>
    <w:rsid w:val="004A504A"/>
    <w:rsid w:val="004A50A3"/>
    <w:rsid w:val="004A5499"/>
    <w:rsid w:val="004A56BB"/>
    <w:rsid w:val="004A5862"/>
    <w:rsid w:val="004A5A1E"/>
    <w:rsid w:val="004A5E00"/>
    <w:rsid w:val="004A5FD6"/>
    <w:rsid w:val="004A5FDD"/>
    <w:rsid w:val="004A63A5"/>
    <w:rsid w:val="004A63B5"/>
    <w:rsid w:val="004A63C8"/>
    <w:rsid w:val="004A65AA"/>
    <w:rsid w:val="004A68BF"/>
    <w:rsid w:val="004A68D1"/>
    <w:rsid w:val="004A6929"/>
    <w:rsid w:val="004A6CDE"/>
    <w:rsid w:val="004A6E4C"/>
    <w:rsid w:val="004A6EBD"/>
    <w:rsid w:val="004A6EEF"/>
    <w:rsid w:val="004A7341"/>
    <w:rsid w:val="004A775F"/>
    <w:rsid w:val="004A7EB2"/>
    <w:rsid w:val="004B02AD"/>
    <w:rsid w:val="004B063F"/>
    <w:rsid w:val="004B065E"/>
    <w:rsid w:val="004B0F1D"/>
    <w:rsid w:val="004B0F73"/>
    <w:rsid w:val="004B0F79"/>
    <w:rsid w:val="004B0FE3"/>
    <w:rsid w:val="004B1052"/>
    <w:rsid w:val="004B14A5"/>
    <w:rsid w:val="004B1751"/>
    <w:rsid w:val="004B1990"/>
    <w:rsid w:val="004B1DFC"/>
    <w:rsid w:val="004B1FC5"/>
    <w:rsid w:val="004B214B"/>
    <w:rsid w:val="004B254B"/>
    <w:rsid w:val="004B261F"/>
    <w:rsid w:val="004B3010"/>
    <w:rsid w:val="004B3099"/>
    <w:rsid w:val="004B32C9"/>
    <w:rsid w:val="004B334B"/>
    <w:rsid w:val="004B35BB"/>
    <w:rsid w:val="004B37A3"/>
    <w:rsid w:val="004B393F"/>
    <w:rsid w:val="004B3A24"/>
    <w:rsid w:val="004B3B8D"/>
    <w:rsid w:val="004B3D09"/>
    <w:rsid w:val="004B3E09"/>
    <w:rsid w:val="004B3F53"/>
    <w:rsid w:val="004B3FAC"/>
    <w:rsid w:val="004B446D"/>
    <w:rsid w:val="004B448A"/>
    <w:rsid w:val="004B4993"/>
    <w:rsid w:val="004B4CC8"/>
    <w:rsid w:val="004B5029"/>
    <w:rsid w:val="004B516D"/>
    <w:rsid w:val="004B519E"/>
    <w:rsid w:val="004B51A0"/>
    <w:rsid w:val="004B51BE"/>
    <w:rsid w:val="004B54E9"/>
    <w:rsid w:val="004B5603"/>
    <w:rsid w:val="004B5640"/>
    <w:rsid w:val="004B56FD"/>
    <w:rsid w:val="004B5C0D"/>
    <w:rsid w:val="004B6199"/>
    <w:rsid w:val="004B6295"/>
    <w:rsid w:val="004B64B7"/>
    <w:rsid w:val="004B65A9"/>
    <w:rsid w:val="004B69D2"/>
    <w:rsid w:val="004B6F6F"/>
    <w:rsid w:val="004B6FD2"/>
    <w:rsid w:val="004B70B4"/>
    <w:rsid w:val="004B71C9"/>
    <w:rsid w:val="004B71E8"/>
    <w:rsid w:val="004B72C3"/>
    <w:rsid w:val="004B7531"/>
    <w:rsid w:val="004B75C7"/>
    <w:rsid w:val="004B78A1"/>
    <w:rsid w:val="004B79C2"/>
    <w:rsid w:val="004B7F7F"/>
    <w:rsid w:val="004C01BE"/>
    <w:rsid w:val="004C0225"/>
    <w:rsid w:val="004C0253"/>
    <w:rsid w:val="004C03AD"/>
    <w:rsid w:val="004C05E2"/>
    <w:rsid w:val="004C0755"/>
    <w:rsid w:val="004C08FF"/>
    <w:rsid w:val="004C0AFC"/>
    <w:rsid w:val="004C0B22"/>
    <w:rsid w:val="004C0CF8"/>
    <w:rsid w:val="004C110B"/>
    <w:rsid w:val="004C123C"/>
    <w:rsid w:val="004C1638"/>
    <w:rsid w:val="004C180A"/>
    <w:rsid w:val="004C1B53"/>
    <w:rsid w:val="004C1C4F"/>
    <w:rsid w:val="004C21F2"/>
    <w:rsid w:val="004C22D2"/>
    <w:rsid w:val="004C23E1"/>
    <w:rsid w:val="004C281E"/>
    <w:rsid w:val="004C283C"/>
    <w:rsid w:val="004C297B"/>
    <w:rsid w:val="004C2A8B"/>
    <w:rsid w:val="004C2AB9"/>
    <w:rsid w:val="004C2B05"/>
    <w:rsid w:val="004C2D31"/>
    <w:rsid w:val="004C3210"/>
    <w:rsid w:val="004C3351"/>
    <w:rsid w:val="004C336E"/>
    <w:rsid w:val="004C386A"/>
    <w:rsid w:val="004C3EDC"/>
    <w:rsid w:val="004C3FE3"/>
    <w:rsid w:val="004C4046"/>
    <w:rsid w:val="004C41E5"/>
    <w:rsid w:val="004C4A36"/>
    <w:rsid w:val="004C4BFE"/>
    <w:rsid w:val="004C4F33"/>
    <w:rsid w:val="004C4FDE"/>
    <w:rsid w:val="004C506A"/>
    <w:rsid w:val="004C59CC"/>
    <w:rsid w:val="004C5C77"/>
    <w:rsid w:val="004C636D"/>
    <w:rsid w:val="004C6570"/>
    <w:rsid w:val="004C667B"/>
    <w:rsid w:val="004C6780"/>
    <w:rsid w:val="004C6A08"/>
    <w:rsid w:val="004C6BFF"/>
    <w:rsid w:val="004C723D"/>
    <w:rsid w:val="004C7362"/>
    <w:rsid w:val="004C73EF"/>
    <w:rsid w:val="004C7505"/>
    <w:rsid w:val="004C7659"/>
    <w:rsid w:val="004C765C"/>
    <w:rsid w:val="004C7804"/>
    <w:rsid w:val="004C7C15"/>
    <w:rsid w:val="004C7E04"/>
    <w:rsid w:val="004D01EE"/>
    <w:rsid w:val="004D0418"/>
    <w:rsid w:val="004D05C7"/>
    <w:rsid w:val="004D069F"/>
    <w:rsid w:val="004D0737"/>
    <w:rsid w:val="004D08DB"/>
    <w:rsid w:val="004D0DA5"/>
    <w:rsid w:val="004D0E46"/>
    <w:rsid w:val="004D0ED5"/>
    <w:rsid w:val="004D0ED6"/>
    <w:rsid w:val="004D0F4E"/>
    <w:rsid w:val="004D129C"/>
    <w:rsid w:val="004D14B4"/>
    <w:rsid w:val="004D1A17"/>
    <w:rsid w:val="004D1A73"/>
    <w:rsid w:val="004D1B59"/>
    <w:rsid w:val="004D1C26"/>
    <w:rsid w:val="004D23E6"/>
    <w:rsid w:val="004D24AA"/>
    <w:rsid w:val="004D2721"/>
    <w:rsid w:val="004D2846"/>
    <w:rsid w:val="004D2936"/>
    <w:rsid w:val="004D2D68"/>
    <w:rsid w:val="004D2E2A"/>
    <w:rsid w:val="004D3133"/>
    <w:rsid w:val="004D3396"/>
    <w:rsid w:val="004D36F4"/>
    <w:rsid w:val="004D4979"/>
    <w:rsid w:val="004D4BF1"/>
    <w:rsid w:val="004D4F17"/>
    <w:rsid w:val="004D4F46"/>
    <w:rsid w:val="004D4FB6"/>
    <w:rsid w:val="004D5544"/>
    <w:rsid w:val="004D55B2"/>
    <w:rsid w:val="004D56FF"/>
    <w:rsid w:val="004D5AD9"/>
    <w:rsid w:val="004D61EB"/>
    <w:rsid w:val="004D65BE"/>
    <w:rsid w:val="004D65E4"/>
    <w:rsid w:val="004D6B6B"/>
    <w:rsid w:val="004D6C18"/>
    <w:rsid w:val="004D6CBB"/>
    <w:rsid w:val="004D6E6C"/>
    <w:rsid w:val="004D6F14"/>
    <w:rsid w:val="004D6FB7"/>
    <w:rsid w:val="004D7341"/>
    <w:rsid w:val="004D76D9"/>
    <w:rsid w:val="004D7A79"/>
    <w:rsid w:val="004D7CF1"/>
    <w:rsid w:val="004E03E6"/>
    <w:rsid w:val="004E0597"/>
    <w:rsid w:val="004E064B"/>
    <w:rsid w:val="004E0ABA"/>
    <w:rsid w:val="004E0E84"/>
    <w:rsid w:val="004E10B8"/>
    <w:rsid w:val="004E15CA"/>
    <w:rsid w:val="004E17E0"/>
    <w:rsid w:val="004E1958"/>
    <w:rsid w:val="004E2641"/>
    <w:rsid w:val="004E2657"/>
    <w:rsid w:val="004E2782"/>
    <w:rsid w:val="004E27F1"/>
    <w:rsid w:val="004E2B83"/>
    <w:rsid w:val="004E2BFF"/>
    <w:rsid w:val="004E2D53"/>
    <w:rsid w:val="004E3397"/>
    <w:rsid w:val="004E3525"/>
    <w:rsid w:val="004E3739"/>
    <w:rsid w:val="004E39D3"/>
    <w:rsid w:val="004E3E5F"/>
    <w:rsid w:val="004E3FFB"/>
    <w:rsid w:val="004E4195"/>
    <w:rsid w:val="004E442B"/>
    <w:rsid w:val="004E46B1"/>
    <w:rsid w:val="004E4739"/>
    <w:rsid w:val="004E48D7"/>
    <w:rsid w:val="004E4B02"/>
    <w:rsid w:val="004E4DF6"/>
    <w:rsid w:val="004E508A"/>
    <w:rsid w:val="004E509B"/>
    <w:rsid w:val="004E50BB"/>
    <w:rsid w:val="004E51C6"/>
    <w:rsid w:val="004E52CA"/>
    <w:rsid w:val="004E53EF"/>
    <w:rsid w:val="004E5441"/>
    <w:rsid w:val="004E58D9"/>
    <w:rsid w:val="004E59BE"/>
    <w:rsid w:val="004E59C1"/>
    <w:rsid w:val="004E616D"/>
    <w:rsid w:val="004E6417"/>
    <w:rsid w:val="004E64E0"/>
    <w:rsid w:val="004E66A1"/>
    <w:rsid w:val="004E6C77"/>
    <w:rsid w:val="004E77F0"/>
    <w:rsid w:val="004E7CB9"/>
    <w:rsid w:val="004E7EC0"/>
    <w:rsid w:val="004F00F6"/>
    <w:rsid w:val="004F0100"/>
    <w:rsid w:val="004F0107"/>
    <w:rsid w:val="004F030C"/>
    <w:rsid w:val="004F0511"/>
    <w:rsid w:val="004F0826"/>
    <w:rsid w:val="004F08C1"/>
    <w:rsid w:val="004F0ACD"/>
    <w:rsid w:val="004F1353"/>
    <w:rsid w:val="004F145A"/>
    <w:rsid w:val="004F1842"/>
    <w:rsid w:val="004F18BC"/>
    <w:rsid w:val="004F1BDE"/>
    <w:rsid w:val="004F1F06"/>
    <w:rsid w:val="004F1FF1"/>
    <w:rsid w:val="004F244D"/>
    <w:rsid w:val="004F2570"/>
    <w:rsid w:val="004F2763"/>
    <w:rsid w:val="004F2CEE"/>
    <w:rsid w:val="004F3663"/>
    <w:rsid w:val="004F3807"/>
    <w:rsid w:val="004F3A19"/>
    <w:rsid w:val="004F3B1F"/>
    <w:rsid w:val="004F3D3C"/>
    <w:rsid w:val="004F3E4E"/>
    <w:rsid w:val="004F3F62"/>
    <w:rsid w:val="004F476E"/>
    <w:rsid w:val="004F48A6"/>
    <w:rsid w:val="004F4A6F"/>
    <w:rsid w:val="004F4D40"/>
    <w:rsid w:val="004F4F05"/>
    <w:rsid w:val="004F50C4"/>
    <w:rsid w:val="004F51BB"/>
    <w:rsid w:val="004F51FA"/>
    <w:rsid w:val="004F528B"/>
    <w:rsid w:val="004F52E7"/>
    <w:rsid w:val="004F556E"/>
    <w:rsid w:val="004F558B"/>
    <w:rsid w:val="004F591C"/>
    <w:rsid w:val="004F5923"/>
    <w:rsid w:val="004F595C"/>
    <w:rsid w:val="004F5E5F"/>
    <w:rsid w:val="004F5F9A"/>
    <w:rsid w:val="004F60E4"/>
    <w:rsid w:val="004F6836"/>
    <w:rsid w:val="004F6AEE"/>
    <w:rsid w:val="004F6B3C"/>
    <w:rsid w:val="004F6DDC"/>
    <w:rsid w:val="004F7116"/>
    <w:rsid w:val="004F7156"/>
    <w:rsid w:val="004F7193"/>
    <w:rsid w:val="004F7277"/>
    <w:rsid w:val="004F7284"/>
    <w:rsid w:val="004F74D5"/>
    <w:rsid w:val="004F76C4"/>
    <w:rsid w:val="004F77FA"/>
    <w:rsid w:val="004F7885"/>
    <w:rsid w:val="004F7A4E"/>
    <w:rsid w:val="004F7F44"/>
    <w:rsid w:val="00500299"/>
    <w:rsid w:val="0050035E"/>
    <w:rsid w:val="005004AA"/>
    <w:rsid w:val="00500964"/>
    <w:rsid w:val="00500D12"/>
    <w:rsid w:val="00500F2E"/>
    <w:rsid w:val="00501215"/>
    <w:rsid w:val="005012D4"/>
    <w:rsid w:val="00501506"/>
    <w:rsid w:val="00501624"/>
    <w:rsid w:val="0050169B"/>
    <w:rsid w:val="00501947"/>
    <w:rsid w:val="00501BC1"/>
    <w:rsid w:val="0050203C"/>
    <w:rsid w:val="00502345"/>
    <w:rsid w:val="0050253A"/>
    <w:rsid w:val="00502797"/>
    <w:rsid w:val="005027FF"/>
    <w:rsid w:val="00502B1C"/>
    <w:rsid w:val="0050301C"/>
    <w:rsid w:val="005032D8"/>
    <w:rsid w:val="0050338D"/>
    <w:rsid w:val="005037B4"/>
    <w:rsid w:val="00503DAE"/>
    <w:rsid w:val="00503E21"/>
    <w:rsid w:val="00504281"/>
    <w:rsid w:val="005047B5"/>
    <w:rsid w:val="00504DC3"/>
    <w:rsid w:val="00504DDF"/>
    <w:rsid w:val="00504EF8"/>
    <w:rsid w:val="00505154"/>
    <w:rsid w:val="0050528B"/>
    <w:rsid w:val="0050639D"/>
    <w:rsid w:val="005064F4"/>
    <w:rsid w:val="00506EFA"/>
    <w:rsid w:val="00507460"/>
    <w:rsid w:val="005078A4"/>
    <w:rsid w:val="00507947"/>
    <w:rsid w:val="005079BF"/>
    <w:rsid w:val="00507AEB"/>
    <w:rsid w:val="00507E08"/>
    <w:rsid w:val="005103C7"/>
    <w:rsid w:val="005110C2"/>
    <w:rsid w:val="00511801"/>
    <w:rsid w:val="00512009"/>
    <w:rsid w:val="0051230C"/>
    <w:rsid w:val="0051233A"/>
    <w:rsid w:val="0051269A"/>
    <w:rsid w:val="00512D77"/>
    <w:rsid w:val="00512E30"/>
    <w:rsid w:val="005134BE"/>
    <w:rsid w:val="005134C5"/>
    <w:rsid w:val="005135A3"/>
    <w:rsid w:val="00513713"/>
    <w:rsid w:val="00513781"/>
    <w:rsid w:val="005137C1"/>
    <w:rsid w:val="00513A68"/>
    <w:rsid w:val="00513AFA"/>
    <w:rsid w:val="00513DE0"/>
    <w:rsid w:val="00513E96"/>
    <w:rsid w:val="00513FDE"/>
    <w:rsid w:val="0051523E"/>
    <w:rsid w:val="005152CD"/>
    <w:rsid w:val="00515533"/>
    <w:rsid w:val="00515878"/>
    <w:rsid w:val="0051589F"/>
    <w:rsid w:val="00515ACB"/>
    <w:rsid w:val="00515AE6"/>
    <w:rsid w:val="00515C93"/>
    <w:rsid w:val="00515EC0"/>
    <w:rsid w:val="005161F6"/>
    <w:rsid w:val="00516237"/>
    <w:rsid w:val="00516EAC"/>
    <w:rsid w:val="00517297"/>
    <w:rsid w:val="00517B2B"/>
    <w:rsid w:val="00517E82"/>
    <w:rsid w:val="0052019B"/>
    <w:rsid w:val="005201B5"/>
    <w:rsid w:val="005202B1"/>
    <w:rsid w:val="00520508"/>
    <w:rsid w:val="00520728"/>
    <w:rsid w:val="00520BA6"/>
    <w:rsid w:val="00520E51"/>
    <w:rsid w:val="005218A1"/>
    <w:rsid w:val="005219A3"/>
    <w:rsid w:val="005219E7"/>
    <w:rsid w:val="00521B03"/>
    <w:rsid w:val="00521F6F"/>
    <w:rsid w:val="00522650"/>
    <w:rsid w:val="00522D84"/>
    <w:rsid w:val="00523341"/>
    <w:rsid w:val="005234FD"/>
    <w:rsid w:val="00523791"/>
    <w:rsid w:val="0052380D"/>
    <w:rsid w:val="00523AA1"/>
    <w:rsid w:val="00523C81"/>
    <w:rsid w:val="00523F56"/>
    <w:rsid w:val="00524156"/>
    <w:rsid w:val="005244A5"/>
    <w:rsid w:val="00524C66"/>
    <w:rsid w:val="0052504D"/>
    <w:rsid w:val="005255AE"/>
    <w:rsid w:val="00525E16"/>
    <w:rsid w:val="00525F04"/>
    <w:rsid w:val="00525F6A"/>
    <w:rsid w:val="00525FE6"/>
    <w:rsid w:val="005261AC"/>
    <w:rsid w:val="0052650D"/>
    <w:rsid w:val="00526A2E"/>
    <w:rsid w:val="00526EA5"/>
    <w:rsid w:val="00526F1E"/>
    <w:rsid w:val="005270FE"/>
    <w:rsid w:val="005274D2"/>
    <w:rsid w:val="00527787"/>
    <w:rsid w:val="00527DE1"/>
    <w:rsid w:val="00527E06"/>
    <w:rsid w:val="00527EC6"/>
    <w:rsid w:val="00527F5E"/>
    <w:rsid w:val="00527F68"/>
    <w:rsid w:val="0053070A"/>
    <w:rsid w:val="00530731"/>
    <w:rsid w:val="00530A2E"/>
    <w:rsid w:val="00530AD8"/>
    <w:rsid w:val="00530F0B"/>
    <w:rsid w:val="0053110A"/>
    <w:rsid w:val="0053110F"/>
    <w:rsid w:val="0053127A"/>
    <w:rsid w:val="0053149E"/>
    <w:rsid w:val="005315A6"/>
    <w:rsid w:val="005316EB"/>
    <w:rsid w:val="0053178C"/>
    <w:rsid w:val="00531947"/>
    <w:rsid w:val="005319A0"/>
    <w:rsid w:val="005319E7"/>
    <w:rsid w:val="00531AE0"/>
    <w:rsid w:val="00531B9A"/>
    <w:rsid w:val="00531CF7"/>
    <w:rsid w:val="00531D15"/>
    <w:rsid w:val="00531E5D"/>
    <w:rsid w:val="005321B8"/>
    <w:rsid w:val="0053231D"/>
    <w:rsid w:val="00532359"/>
    <w:rsid w:val="0053295D"/>
    <w:rsid w:val="00532F65"/>
    <w:rsid w:val="0053302C"/>
    <w:rsid w:val="005331DB"/>
    <w:rsid w:val="00533216"/>
    <w:rsid w:val="005332BB"/>
    <w:rsid w:val="005338F9"/>
    <w:rsid w:val="00533A6F"/>
    <w:rsid w:val="00533ABB"/>
    <w:rsid w:val="00533DCD"/>
    <w:rsid w:val="00534289"/>
    <w:rsid w:val="00534720"/>
    <w:rsid w:val="005348E4"/>
    <w:rsid w:val="00534C7D"/>
    <w:rsid w:val="00534F27"/>
    <w:rsid w:val="00534FD4"/>
    <w:rsid w:val="005351C1"/>
    <w:rsid w:val="00535224"/>
    <w:rsid w:val="00535244"/>
    <w:rsid w:val="005352A5"/>
    <w:rsid w:val="00535380"/>
    <w:rsid w:val="005353F5"/>
    <w:rsid w:val="005356A3"/>
    <w:rsid w:val="00535AA9"/>
    <w:rsid w:val="00535B51"/>
    <w:rsid w:val="00535B5D"/>
    <w:rsid w:val="00535FF6"/>
    <w:rsid w:val="00535FFB"/>
    <w:rsid w:val="00536055"/>
    <w:rsid w:val="0053618B"/>
    <w:rsid w:val="005361BE"/>
    <w:rsid w:val="00536827"/>
    <w:rsid w:val="00536BC4"/>
    <w:rsid w:val="0053705F"/>
    <w:rsid w:val="00537604"/>
    <w:rsid w:val="0053771D"/>
    <w:rsid w:val="0053772F"/>
    <w:rsid w:val="0053795B"/>
    <w:rsid w:val="00537FCA"/>
    <w:rsid w:val="00540324"/>
    <w:rsid w:val="00540666"/>
    <w:rsid w:val="00540A39"/>
    <w:rsid w:val="00540A65"/>
    <w:rsid w:val="00540EFB"/>
    <w:rsid w:val="00540FD9"/>
    <w:rsid w:val="0054121C"/>
    <w:rsid w:val="005416FB"/>
    <w:rsid w:val="0054174B"/>
    <w:rsid w:val="00541947"/>
    <w:rsid w:val="00541965"/>
    <w:rsid w:val="00541C40"/>
    <w:rsid w:val="00541FA7"/>
    <w:rsid w:val="00542175"/>
    <w:rsid w:val="005421B0"/>
    <w:rsid w:val="00542377"/>
    <w:rsid w:val="005423CD"/>
    <w:rsid w:val="005428EA"/>
    <w:rsid w:val="005429FE"/>
    <w:rsid w:val="00542A94"/>
    <w:rsid w:val="00542CBA"/>
    <w:rsid w:val="00542D4C"/>
    <w:rsid w:val="00542E3C"/>
    <w:rsid w:val="0054358A"/>
    <w:rsid w:val="005435F9"/>
    <w:rsid w:val="005437F5"/>
    <w:rsid w:val="00543919"/>
    <w:rsid w:val="00543ACE"/>
    <w:rsid w:val="00543ED7"/>
    <w:rsid w:val="00544035"/>
    <w:rsid w:val="0054421A"/>
    <w:rsid w:val="00544373"/>
    <w:rsid w:val="005443C2"/>
    <w:rsid w:val="00544D5D"/>
    <w:rsid w:val="00544E93"/>
    <w:rsid w:val="00544F73"/>
    <w:rsid w:val="00545114"/>
    <w:rsid w:val="0054532C"/>
    <w:rsid w:val="00545375"/>
    <w:rsid w:val="005455E1"/>
    <w:rsid w:val="0054588C"/>
    <w:rsid w:val="00545902"/>
    <w:rsid w:val="005459F4"/>
    <w:rsid w:val="00545D9E"/>
    <w:rsid w:val="00545DF8"/>
    <w:rsid w:val="00545E0B"/>
    <w:rsid w:val="0054608C"/>
    <w:rsid w:val="005460FB"/>
    <w:rsid w:val="005467AD"/>
    <w:rsid w:val="00546A56"/>
    <w:rsid w:val="00546BC1"/>
    <w:rsid w:val="00546CB8"/>
    <w:rsid w:val="00546F4F"/>
    <w:rsid w:val="00547150"/>
    <w:rsid w:val="00547324"/>
    <w:rsid w:val="005474F5"/>
    <w:rsid w:val="00547560"/>
    <w:rsid w:val="005476EB"/>
    <w:rsid w:val="00547999"/>
    <w:rsid w:val="005479B8"/>
    <w:rsid w:val="0055003A"/>
    <w:rsid w:val="005500AB"/>
    <w:rsid w:val="0055018B"/>
    <w:rsid w:val="0055026C"/>
    <w:rsid w:val="00551105"/>
    <w:rsid w:val="00551384"/>
    <w:rsid w:val="005514D8"/>
    <w:rsid w:val="00551782"/>
    <w:rsid w:val="00551873"/>
    <w:rsid w:val="00551987"/>
    <w:rsid w:val="00552064"/>
    <w:rsid w:val="00552A41"/>
    <w:rsid w:val="00552B68"/>
    <w:rsid w:val="00552D6E"/>
    <w:rsid w:val="00553157"/>
    <w:rsid w:val="005533CC"/>
    <w:rsid w:val="00553755"/>
    <w:rsid w:val="00553779"/>
    <w:rsid w:val="00553BF9"/>
    <w:rsid w:val="00553E6A"/>
    <w:rsid w:val="005540A2"/>
    <w:rsid w:val="00554165"/>
    <w:rsid w:val="00554504"/>
    <w:rsid w:val="0055459F"/>
    <w:rsid w:val="00554654"/>
    <w:rsid w:val="0055465C"/>
    <w:rsid w:val="00554698"/>
    <w:rsid w:val="005548E6"/>
    <w:rsid w:val="00554A69"/>
    <w:rsid w:val="00554B0F"/>
    <w:rsid w:val="00554CA1"/>
    <w:rsid w:val="00554E86"/>
    <w:rsid w:val="00555117"/>
    <w:rsid w:val="005552DB"/>
    <w:rsid w:val="005555D3"/>
    <w:rsid w:val="00555ACC"/>
    <w:rsid w:val="00555B32"/>
    <w:rsid w:val="00555CE4"/>
    <w:rsid w:val="00555F8C"/>
    <w:rsid w:val="005561A5"/>
    <w:rsid w:val="00556336"/>
    <w:rsid w:val="00556861"/>
    <w:rsid w:val="005569E1"/>
    <w:rsid w:val="00556CBD"/>
    <w:rsid w:val="00556E46"/>
    <w:rsid w:val="00556EE5"/>
    <w:rsid w:val="005572B5"/>
    <w:rsid w:val="00557853"/>
    <w:rsid w:val="005579F1"/>
    <w:rsid w:val="00557B67"/>
    <w:rsid w:val="00557D3A"/>
    <w:rsid w:val="00557F77"/>
    <w:rsid w:val="00560241"/>
    <w:rsid w:val="00560597"/>
    <w:rsid w:val="005605BB"/>
    <w:rsid w:val="0056063F"/>
    <w:rsid w:val="005608A9"/>
    <w:rsid w:val="00560A47"/>
    <w:rsid w:val="00560F03"/>
    <w:rsid w:val="00561515"/>
    <w:rsid w:val="00561BBD"/>
    <w:rsid w:val="00561CF6"/>
    <w:rsid w:val="00561D76"/>
    <w:rsid w:val="00561FEC"/>
    <w:rsid w:val="00562078"/>
    <w:rsid w:val="00562344"/>
    <w:rsid w:val="00562562"/>
    <w:rsid w:val="0056297F"/>
    <w:rsid w:val="005629C8"/>
    <w:rsid w:val="00562CD5"/>
    <w:rsid w:val="00562D77"/>
    <w:rsid w:val="005630C4"/>
    <w:rsid w:val="005631DB"/>
    <w:rsid w:val="00563246"/>
    <w:rsid w:val="005633FE"/>
    <w:rsid w:val="005635EC"/>
    <w:rsid w:val="0056373A"/>
    <w:rsid w:val="00563955"/>
    <w:rsid w:val="00563A04"/>
    <w:rsid w:val="00563AC8"/>
    <w:rsid w:val="00563EF1"/>
    <w:rsid w:val="00563EF9"/>
    <w:rsid w:val="005641E5"/>
    <w:rsid w:val="0056454C"/>
    <w:rsid w:val="0056460C"/>
    <w:rsid w:val="005646E5"/>
    <w:rsid w:val="00564856"/>
    <w:rsid w:val="00564B2F"/>
    <w:rsid w:val="00564F70"/>
    <w:rsid w:val="00565137"/>
    <w:rsid w:val="0056521A"/>
    <w:rsid w:val="0056544C"/>
    <w:rsid w:val="005654DC"/>
    <w:rsid w:val="00565C2D"/>
    <w:rsid w:val="00566544"/>
    <w:rsid w:val="00566897"/>
    <w:rsid w:val="00566AB4"/>
    <w:rsid w:val="00566C7E"/>
    <w:rsid w:val="00566F8A"/>
    <w:rsid w:val="005673AB"/>
    <w:rsid w:val="0056784A"/>
    <w:rsid w:val="00567BD1"/>
    <w:rsid w:val="00567FAB"/>
    <w:rsid w:val="00570020"/>
    <w:rsid w:val="00570220"/>
    <w:rsid w:val="0057039D"/>
    <w:rsid w:val="0057149B"/>
    <w:rsid w:val="005716DE"/>
    <w:rsid w:val="005719DD"/>
    <w:rsid w:val="00571A36"/>
    <w:rsid w:val="00571BC2"/>
    <w:rsid w:val="005721C4"/>
    <w:rsid w:val="005725C6"/>
    <w:rsid w:val="00572615"/>
    <w:rsid w:val="00572AD3"/>
    <w:rsid w:val="00572CC5"/>
    <w:rsid w:val="00572E30"/>
    <w:rsid w:val="0057302D"/>
    <w:rsid w:val="005732B0"/>
    <w:rsid w:val="005735C7"/>
    <w:rsid w:val="005735FC"/>
    <w:rsid w:val="00573638"/>
    <w:rsid w:val="005737ED"/>
    <w:rsid w:val="00573D6D"/>
    <w:rsid w:val="00573F27"/>
    <w:rsid w:val="005740C1"/>
    <w:rsid w:val="00574832"/>
    <w:rsid w:val="00574860"/>
    <w:rsid w:val="00574D3C"/>
    <w:rsid w:val="00575163"/>
    <w:rsid w:val="005751E6"/>
    <w:rsid w:val="00575398"/>
    <w:rsid w:val="0057542F"/>
    <w:rsid w:val="005759E7"/>
    <w:rsid w:val="00575AC5"/>
    <w:rsid w:val="00575B1E"/>
    <w:rsid w:val="00575BE0"/>
    <w:rsid w:val="00575C13"/>
    <w:rsid w:val="0057605D"/>
    <w:rsid w:val="005762FE"/>
    <w:rsid w:val="00576372"/>
    <w:rsid w:val="00576859"/>
    <w:rsid w:val="005770AF"/>
    <w:rsid w:val="005770DA"/>
    <w:rsid w:val="00577600"/>
    <w:rsid w:val="0057772C"/>
    <w:rsid w:val="005778B6"/>
    <w:rsid w:val="00577BCC"/>
    <w:rsid w:val="00577C8A"/>
    <w:rsid w:val="005802F6"/>
    <w:rsid w:val="00580333"/>
    <w:rsid w:val="005803C1"/>
    <w:rsid w:val="00580549"/>
    <w:rsid w:val="005805A6"/>
    <w:rsid w:val="0058077F"/>
    <w:rsid w:val="00580796"/>
    <w:rsid w:val="00580869"/>
    <w:rsid w:val="00580FBF"/>
    <w:rsid w:val="005811D3"/>
    <w:rsid w:val="00581347"/>
    <w:rsid w:val="00581522"/>
    <w:rsid w:val="0058182C"/>
    <w:rsid w:val="00581A5B"/>
    <w:rsid w:val="00581AC9"/>
    <w:rsid w:val="00581C6A"/>
    <w:rsid w:val="00581CBA"/>
    <w:rsid w:val="0058212B"/>
    <w:rsid w:val="00583155"/>
    <w:rsid w:val="00583363"/>
    <w:rsid w:val="005837FD"/>
    <w:rsid w:val="00583A91"/>
    <w:rsid w:val="00583DF2"/>
    <w:rsid w:val="00583FEF"/>
    <w:rsid w:val="00584366"/>
    <w:rsid w:val="00584466"/>
    <w:rsid w:val="0058450A"/>
    <w:rsid w:val="005849F8"/>
    <w:rsid w:val="00584ED5"/>
    <w:rsid w:val="0058537D"/>
    <w:rsid w:val="005857AB"/>
    <w:rsid w:val="0058590C"/>
    <w:rsid w:val="00585DA3"/>
    <w:rsid w:val="00585DB1"/>
    <w:rsid w:val="00585FB9"/>
    <w:rsid w:val="005862A9"/>
    <w:rsid w:val="0058639E"/>
    <w:rsid w:val="0058653F"/>
    <w:rsid w:val="005865CD"/>
    <w:rsid w:val="00586644"/>
    <w:rsid w:val="00586ACB"/>
    <w:rsid w:val="00586E9A"/>
    <w:rsid w:val="0058733B"/>
    <w:rsid w:val="00587458"/>
    <w:rsid w:val="005874BA"/>
    <w:rsid w:val="00587BE3"/>
    <w:rsid w:val="00587D4A"/>
    <w:rsid w:val="00587F2B"/>
    <w:rsid w:val="00590278"/>
    <w:rsid w:val="00590298"/>
    <w:rsid w:val="00590573"/>
    <w:rsid w:val="00590886"/>
    <w:rsid w:val="00590B7F"/>
    <w:rsid w:val="00590BC6"/>
    <w:rsid w:val="00590EB5"/>
    <w:rsid w:val="00591073"/>
    <w:rsid w:val="005910F5"/>
    <w:rsid w:val="0059149F"/>
    <w:rsid w:val="00591D22"/>
    <w:rsid w:val="0059263D"/>
    <w:rsid w:val="00592723"/>
    <w:rsid w:val="00592C2D"/>
    <w:rsid w:val="00592F64"/>
    <w:rsid w:val="0059314C"/>
    <w:rsid w:val="00593172"/>
    <w:rsid w:val="005932F3"/>
    <w:rsid w:val="0059341B"/>
    <w:rsid w:val="005934EF"/>
    <w:rsid w:val="00593787"/>
    <w:rsid w:val="005938DF"/>
    <w:rsid w:val="00593D42"/>
    <w:rsid w:val="00593DA0"/>
    <w:rsid w:val="00593ECC"/>
    <w:rsid w:val="0059434C"/>
    <w:rsid w:val="00594674"/>
    <w:rsid w:val="00594766"/>
    <w:rsid w:val="005947C1"/>
    <w:rsid w:val="00594855"/>
    <w:rsid w:val="00594A12"/>
    <w:rsid w:val="00594A62"/>
    <w:rsid w:val="00594B49"/>
    <w:rsid w:val="00594CD7"/>
    <w:rsid w:val="00594D6C"/>
    <w:rsid w:val="00594E79"/>
    <w:rsid w:val="00594E9C"/>
    <w:rsid w:val="005952FE"/>
    <w:rsid w:val="0059537B"/>
    <w:rsid w:val="005954B5"/>
    <w:rsid w:val="00595874"/>
    <w:rsid w:val="00595B34"/>
    <w:rsid w:val="00595B85"/>
    <w:rsid w:val="00595C33"/>
    <w:rsid w:val="00595C36"/>
    <w:rsid w:val="00595C7D"/>
    <w:rsid w:val="00595D76"/>
    <w:rsid w:val="00595FE5"/>
    <w:rsid w:val="00596209"/>
    <w:rsid w:val="005962BE"/>
    <w:rsid w:val="00596487"/>
    <w:rsid w:val="00596594"/>
    <w:rsid w:val="005965B6"/>
    <w:rsid w:val="005968EC"/>
    <w:rsid w:val="00596931"/>
    <w:rsid w:val="00596AEF"/>
    <w:rsid w:val="00596E60"/>
    <w:rsid w:val="00596E84"/>
    <w:rsid w:val="00596F36"/>
    <w:rsid w:val="0059704A"/>
    <w:rsid w:val="005974C0"/>
    <w:rsid w:val="005975E4"/>
    <w:rsid w:val="00597B49"/>
    <w:rsid w:val="005A005D"/>
    <w:rsid w:val="005A012B"/>
    <w:rsid w:val="005A0502"/>
    <w:rsid w:val="005A0715"/>
    <w:rsid w:val="005A099B"/>
    <w:rsid w:val="005A09C8"/>
    <w:rsid w:val="005A0A5C"/>
    <w:rsid w:val="005A0BC5"/>
    <w:rsid w:val="005A0BCE"/>
    <w:rsid w:val="005A10E6"/>
    <w:rsid w:val="005A1206"/>
    <w:rsid w:val="005A123C"/>
    <w:rsid w:val="005A1283"/>
    <w:rsid w:val="005A128D"/>
    <w:rsid w:val="005A12BC"/>
    <w:rsid w:val="005A15C2"/>
    <w:rsid w:val="005A16BD"/>
    <w:rsid w:val="005A170A"/>
    <w:rsid w:val="005A1939"/>
    <w:rsid w:val="005A199F"/>
    <w:rsid w:val="005A19C7"/>
    <w:rsid w:val="005A1BE3"/>
    <w:rsid w:val="005A2067"/>
    <w:rsid w:val="005A283D"/>
    <w:rsid w:val="005A2C0D"/>
    <w:rsid w:val="005A2CE2"/>
    <w:rsid w:val="005A2D0B"/>
    <w:rsid w:val="005A2D9C"/>
    <w:rsid w:val="005A2E7D"/>
    <w:rsid w:val="005A322C"/>
    <w:rsid w:val="005A3409"/>
    <w:rsid w:val="005A343A"/>
    <w:rsid w:val="005A3620"/>
    <w:rsid w:val="005A36DB"/>
    <w:rsid w:val="005A3A19"/>
    <w:rsid w:val="005A406C"/>
    <w:rsid w:val="005A465E"/>
    <w:rsid w:val="005A4939"/>
    <w:rsid w:val="005A4D59"/>
    <w:rsid w:val="005A4DAE"/>
    <w:rsid w:val="005A4F0D"/>
    <w:rsid w:val="005A54E8"/>
    <w:rsid w:val="005A55FE"/>
    <w:rsid w:val="005A57BD"/>
    <w:rsid w:val="005A58BB"/>
    <w:rsid w:val="005A5969"/>
    <w:rsid w:val="005A6168"/>
    <w:rsid w:val="005A63F9"/>
    <w:rsid w:val="005A649D"/>
    <w:rsid w:val="005A67D7"/>
    <w:rsid w:val="005A6987"/>
    <w:rsid w:val="005A6A11"/>
    <w:rsid w:val="005A6AC4"/>
    <w:rsid w:val="005A6ACF"/>
    <w:rsid w:val="005A6B90"/>
    <w:rsid w:val="005A6EAB"/>
    <w:rsid w:val="005A6EB2"/>
    <w:rsid w:val="005A77B8"/>
    <w:rsid w:val="005A7943"/>
    <w:rsid w:val="005A79E4"/>
    <w:rsid w:val="005A7B5C"/>
    <w:rsid w:val="005A7B76"/>
    <w:rsid w:val="005A7B79"/>
    <w:rsid w:val="005A7DAB"/>
    <w:rsid w:val="005B009C"/>
    <w:rsid w:val="005B0403"/>
    <w:rsid w:val="005B0532"/>
    <w:rsid w:val="005B0878"/>
    <w:rsid w:val="005B0DCF"/>
    <w:rsid w:val="005B0E99"/>
    <w:rsid w:val="005B1064"/>
    <w:rsid w:val="005B10F5"/>
    <w:rsid w:val="005B1514"/>
    <w:rsid w:val="005B169C"/>
    <w:rsid w:val="005B1A7A"/>
    <w:rsid w:val="005B1CAC"/>
    <w:rsid w:val="005B1E62"/>
    <w:rsid w:val="005B1EFB"/>
    <w:rsid w:val="005B1F89"/>
    <w:rsid w:val="005B218E"/>
    <w:rsid w:val="005B254C"/>
    <w:rsid w:val="005B2A6D"/>
    <w:rsid w:val="005B2ED3"/>
    <w:rsid w:val="005B32FB"/>
    <w:rsid w:val="005B33D3"/>
    <w:rsid w:val="005B347B"/>
    <w:rsid w:val="005B359B"/>
    <w:rsid w:val="005B36E2"/>
    <w:rsid w:val="005B397B"/>
    <w:rsid w:val="005B3C0B"/>
    <w:rsid w:val="005B3C74"/>
    <w:rsid w:val="005B3CE3"/>
    <w:rsid w:val="005B3CF7"/>
    <w:rsid w:val="005B419F"/>
    <w:rsid w:val="005B42D6"/>
    <w:rsid w:val="005B4710"/>
    <w:rsid w:val="005B4845"/>
    <w:rsid w:val="005B4B88"/>
    <w:rsid w:val="005B4BF4"/>
    <w:rsid w:val="005B4D78"/>
    <w:rsid w:val="005B4DD1"/>
    <w:rsid w:val="005B4E5F"/>
    <w:rsid w:val="005B4F0F"/>
    <w:rsid w:val="005B52CC"/>
    <w:rsid w:val="005B5334"/>
    <w:rsid w:val="005B5628"/>
    <w:rsid w:val="005B5690"/>
    <w:rsid w:val="005B57C4"/>
    <w:rsid w:val="005B64B6"/>
    <w:rsid w:val="005B6910"/>
    <w:rsid w:val="005B6AE5"/>
    <w:rsid w:val="005B6BF0"/>
    <w:rsid w:val="005B6EC1"/>
    <w:rsid w:val="005B6EDB"/>
    <w:rsid w:val="005B6FCA"/>
    <w:rsid w:val="005B7218"/>
    <w:rsid w:val="005B72CC"/>
    <w:rsid w:val="005B73BA"/>
    <w:rsid w:val="005B7455"/>
    <w:rsid w:val="005B7C2B"/>
    <w:rsid w:val="005B7DEF"/>
    <w:rsid w:val="005C04DA"/>
    <w:rsid w:val="005C09C8"/>
    <w:rsid w:val="005C0D56"/>
    <w:rsid w:val="005C0EB4"/>
    <w:rsid w:val="005C14E8"/>
    <w:rsid w:val="005C1691"/>
    <w:rsid w:val="005C188F"/>
    <w:rsid w:val="005C193D"/>
    <w:rsid w:val="005C1983"/>
    <w:rsid w:val="005C2026"/>
    <w:rsid w:val="005C21B6"/>
    <w:rsid w:val="005C2495"/>
    <w:rsid w:val="005C3347"/>
    <w:rsid w:val="005C3429"/>
    <w:rsid w:val="005C363F"/>
    <w:rsid w:val="005C36FC"/>
    <w:rsid w:val="005C3CDA"/>
    <w:rsid w:val="005C4002"/>
    <w:rsid w:val="005C4341"/>
    <w:rsid w:val="005C43A1"/>
    <w:rsid w:val="005C4545"/>
    <w:rsid w:val="005C4A64"/>
    <w:rsid w:val="005C4D86"/>
    <w:rsid w:val="005C5102"/>
    <w:rsid w:val="005C5242"/>
    <w:rsid w:val="005C588A"/>
    <w:rsid w:val="005C5CE1"/>
    <w:rsid w:val="005C5D01"/>
    <w:rsid w:val="005C5E04"/>
    <w:rsid w:val="005C6303"/>
    <w:rsid w:val="005C63E3"/>
    <w:rsid w:val="005C646B"/>
    <w:rsid w:val="005C6890"/>
    <w:rsid w:val="005C69D4"/>
    <w:rsid w:val="005C6E0F"/>
    <w:rsid w:val="005C7720"/>
    <w:rsid w:val="005C79D5"/>
    <w:rsid w:val="005C7A3B"/>
    <w:rsid w:val="005C7BDE"/>
    <w:rsid w:val="005C7DDB"/>
    <w:rsid w:val="005D00A1"/>
    <w:rsid w:val="005D0274"/>
    <w:rsid w:val="005D02D5"/>
    <w:rsid w:val="005D0424"/>
    <w:rsid w:val="005D055C"/>
    <w:rsid w:val="005D06D9"/>
    <w:rsid w:val="005D139D"/>
    <w:rsid w:val="005D15BB"/>
    <w:rsid w:val="005D161D"/>
    <w:rsid w:val="005D1745"/>
    <w:rsid w:val="005D17B8"/>
    <w:rsid w:val="005D1819"/>
    <w:rsid w:val="005D1833"/>
    <w:rsid w:val="005D1D02"/>
    <w:rsid w:val="005D212B"/>
    <w:rsid w:val="005D2191"/>
    <w:rsid w:val="005D2502"/>
    <w:rsid w:val="005D29BD"/>
    <w:rsid w:val="005D2B43"/>
    <w:rsid w:val="005D2EE9"/>
    <w:rsid w:val="005D3500"/>
    <w:rsid w:val="005D37A7"/>
    <w:rsid w:val="005D3B4A"/>
    <w:rsid w:val="005D3E49"/>
    <w:rsid w:val="005D3F52"/>
    <w:rsid w:val="005D40BB"/>
    <w:rsid w:val="005D41B7"/>
    <w:rsid w:val="005D44BC"/>
    <w:rsid w:val="005D45F8"/>
    <w:rsid w:val="005D47C2"/>
    <w:rsid w:val="005D47F3"/>
    <w:rsid w:val="005D49BC"/>
    <w:rsid w:val="005D49BF"/>
    <w:rsid w:val="005D4A25"/>
    <w:rsid w:val="005D4AA5"/>
    <w:rsid w:val="005D530F"/>
    <w:rsid w:val="005D54AB"/>
    <w:rsid w:val="005D554E"/>
    <w:rsid w:val="005D585F"/>
    <w:rsid w:val="005D5C36"/>
    <w:rsid w:val="005D5C5B"/>
    <w:rsid w:val="005D5E24"/>
    <w:rsid w:val="005D5E78"/>
    <w:rsid w:val="005D5F72"/>
    <w:rsid w:val="005D6250"/>
    <w:rsid w:val="005D62AC"/>
    <w:rsid w:val="005D6357"/>
    <w:rsid w:val="005D6A73"/>
    <w:rsid w:val="005D6D7F"/>
    <w:rsid w:val="005D6EF8"/>
    <w:rsid w:val="005D6F4E"/>
    <w:rsid w:val="005D745B"/>
    <w:rsid w:val="005D75EE"/>
    <w:rsid w:val="005D78F5"/>
    <w:rsid w:val="005D7C73"/>
    <w:rsid w:val="005D7E27"/>
    <w:rsid w:val="005E045F"/>
    <w:rsid w:val="005E0AAD"/>
    <w:rsid w:val="005E0EE3"/>
    <w:rsid w:val="005E1451"/>
    <w:rsid w:val="005E14A6"/>
    <w:rsid w:val="005E1578"/>
    <w:rsid w:val="005E180F"/>
    <w:rsid w:val="005E1990"/>
    <w:rsid w:val="005E1AFF"/>
    <w:rsid w:val="005E1CE7"/>
    <w:rsid w:val="005E24B8"/>
    <w:rsid w:val="005E257E"/>
    <w:rsid w:val="005E26CF"/>
    <w:rsid w:val="005E26D8"/>
    <w:rsid w:val="005E2CC1"/>
    <w:rsid w:val="005E2EA0"/>
    <w:rsid w:val="005E2F04"/>
    <w:rsid w:val="005E2F24"/>
    <w:rsid w:val="005E398B"/>
    <w:rsid w:val="005E39B2"/>
    <w:rsid w:val="005E3ACD"/>
    <w:rsid w:val="005E3D56"/>
    <w:rsid w:val="005E41B6"/>
    <w:rsid w:val="005E4559"/>
    <w:rsid w:val="005E47C6"/>
    <w:rsid w:val="005E55D5"/>
    <w:rsid w:val="005E5905"/>
    <w:rsid w:val="005E5A71"/>
    <w:rsid w:val="005E5F10"/>
    <w:rsid w:val="005E5FA3"/>
    <w:rsid w:val="005E626F"/>
    <w:rsid w:val="005E64E4"/>
    <w:rsid w:val="005E6B3C"/>
    <w:rsid w:val="005E6C1A"/>
    <w:rsid w:val="005E7226"/>
    <w:rsid w:val="005E726A"/>
    <w:rsid w:val="005E75FE"/>
    <w:rsid w:val="005E7A57"/>
    <w:rsid w:val="005E7D53"/>
    <w:rsid w:val="005E7E45"/>
    <w:rsid w:val="005E7F54"/>
    <w:rsid w:val="005F0005"/>
    <w:rsid w:val="005F02F9"/>
    <w:rsid w:val="005F030B"/>
    <w:rsid w:val="005F064E"/>
    <w:rsid w:val="005F07AD"/>
    <w:rsid w:val="005F07EC"/>
    <w:rsid w:val="005F0B8C"/>
    <w:rsid w:val="005F1178"/>
    <w:rsid w:val="005F124F"/>
    <w:rsid w:val="005F12F8"/>
    <w:rsid w:val="005F18BE"/>
    <w:rsid w:val="005F18E5"/>
    <w:rsid w:val="005F1ECE"/>
    <w:rsid w:val="005F2001"/>
    <w:rsid w:val="005F21F1"/>
    <w:rsid w:val="005F24B0"/>
    <w:rsid w:val="005F25BB"/>
    <w:rsid w:val="005F27D7"/>
    <w:rsid w:val="005F2AD5"/>
    <w:rsid w:val="005F2CEF"/>
    <w:rsid w:val="005F2D55"/>
    <w:rsid w:val="005F2DB5"/>
    <w:rsid w:val="005F3411"/>
    <w:rsid w:val="005F35D8"/>
    <w:rsid w:val="005F38CA"/>
    <w:rsid w:val="005F3D42"/>
    <w:rsid w:val="005F3D9F"/>
    <w:rsid w:val="005F4057"/>
    <w:rsid w:val="005F405D"/>
    <w:rsid w:val="005F4236"/>
    <w:rsid w:val="005F4561"/>
    <w:rsid w:val="005F4566"/>
    <w:rsid w:val="005F465A"/>
    <w:rsid w:val="005F4969"/>
    <w:rsid w:val="005F4C3E"/>
    <w:rsid w:val="005F4DD6"/>
    <w:rsid w:val="005F4EFF"/>
    <w:rsid w:val="005F5045"/>
    <w:rsid w:val="005F51CD"/>
    <w:rsid w:val="005F533C"/>
    <w:rsid w:val="005F540B"/>
    <w:rsid w:val="005F561E"/>
    <w:rsid w:val="005F569A"/>
    <w:rsid w:val="005F59E2"/>
    <w:rsid w:val="005F5BD7"/>
    <w:rsid w:val="005F5DC8"/>
    <w:rsid w:val="005F5FD4"/>
    <w:rsid w:val="005F607D"/>
    <w:rsid w:val="005F639F"/>
    <w:rsid w:val="005F64FB"/>
    <w:rsid w:val="005F667E"/>
    <w:rsid w:val="005F669A"/>
    <w:rsid w:val="005F6A25"/>
    <w:rsid w:val="005F6C41"/>
    <w:rsid w:val="005F6CAB"/>
    <w:rsid w:val="005F6DD5"/>
    <w:rsid w:val="005F7153"/>
    <w:rsid w:val="005F7321"/>
    <w:rsid w:val="005F7400"/>
    <w:rsid w:val="005F7C11"/>
    <w:rsid w:val="005F7D28"/>
    <w:rsid w:val="005F7D98"/>
    <w:rsid w:val="00600239"/>
    <w:rsid w:val="00600431"/>
    <w:rsid w:val="00600432"/>
    <w:rsid w:val="00600B0B"/>
    <w:rsid w:val="00601133"/>
    <w:rsid w:val="00601162"/>
    <w:rsid w:val="006016D8"/>
    <w:rsid w:val="00601786"/>
    <w:rsid w:val="00601B91"/>
    <w:rsid w:val="00601E67"/>
    <w:rsid w:val="006022BA"/>
    <w:rsid w:val="006023F3"/>
    <w:rsid w:val="006024CB"/>
    <w:rsid w:val="0060260E"/>
    <w:rsid w:val="0060293D"/>
    <w:rsid w:val="00602EAF"/>
    <w:rsid w:val="006030FE"/>
    <w:rsid w:val="006031EF"/>
    <w:rsid w:val="00603853"/>
    <w:rsid w:val="006038C6"/>
    <w:rsid w:val="00603CC4"/>
    <w:rsid w:val="00603D64"/>
    <w:rsid w:val="00603FB5"/>
    <w:rsid w:val="00604269"/>
    <w:rsid w:val="00604315"/>
    <w:rsid w:val="006043ED"/>
    <w:rsid w:val="0060463F"/>
    <w:rsid w:val="00604E26"/>
    <w:rsid w:val="00604FA2"/>
    <w:rsid w:val="00604FFC"/>
    <w:rsid w:val="006050A5"/>
    <w:rsid w:val="006052CF"/>
    <w:rsid w:val="00605838"/>
    <w:rsid w:val="00605919"/>
    <w:rsid w:val="006059F6"/>
    <w:rsid w:val="00605A7B"/>
    <w:rsid w:val="00605A87"/>
    <w:rsid w:val="00605B89"/>
    <w:rsid w:val="00605CA9"/>
    <w:rsid w:val="00605FDF"/>
    <w:rsid w:val="00606B89"/>
    <w:rsid w:val="00607003"/>
    <w:rsid w:val="0060700B"/>
    <w:rsid w:val="0060720E"/>
    <w:rsid w:val="00607236"/>
    <w:rsid w:val="0060746E"/>
    <w:rsid w:val="00607582"/>
    <w:rsid w:val="006075D7"/>
    <w:rsid w:val="00607A56"/>
    <w:rsid w:val="00607ABC"/>
    <w:rsid w:val="00607B8D"/>
    <w:rsid w:val="00607F18"/>
    <w:rsid w:val="0061002C"/>
    <w:rsid w:val="0061043D"/>
    <w:rsid w:val="006108AA"/>
    <w:rsid w:val="00611718"/>
    <w:rsid w:val="0061187E"/>
    <w:rsid w:val="00611B77"/>
    <w:rsid w:val="00611DDE"/>
    <w:rsid w:val="00611E0B"/>
    <w:rsid w:val="00611F5C"/>
    <w:rsid w:val="00612519"/>
    <w:rsid w:val="006126F4"/>
    <w:rsid w:val="006127C2"/>
    <w:rsid w:val="00612905"/>
    <w:rsid w:val="00612A14"/>
    <w:rsid w:val="00612C16"/>
    <w:rsid w:val="006130B3"/>
    <w:rsid w:val="00613716"/>
    <w:rsid w:val="006141F2"/>
    <w:rsid w:val="0061462B"/>
    <w:rsid w:val="0061464D"/>
    <w:rsid w:val="00614686"/>
    <w:rsid w:val="00614982"/>
    <w:rsid w:val="00614BE9"/>
    <w:rsid w:val="00614D6F"/>
    <w:rsid w:val="0061575D"/>
    <w:rsid w:val="00615B51"/>
    <w:rsid w:val="00615D50"/>
    <w:rsid w:val="00615E26"/>
    <w:rsid w:val="00615E62"/>
    <w:rsid w:val="00615FA0"/>
    <w:rsid w:val="00616789"/>
    <w:rsid w:val="006167B4"/>
    <w:rsid w:val="00616AF9"/>
    <w:rsid w:val="00616E09"/>
    <w:rsid w:val="006170D6"/>
    <w:rsid w:val="00617206"/>
    <w:rsid w:val="0061738F"/>
    <w:rsid w:val="00617754"/>
    <w:rsid w:val="00617A37"/>
    <w:rsid w:val="00617B4B"/>
    <w:rsid w:val="00617CD5"/>
    <w:rsid w:val="00617E77"/>
    <w:rsid w:val="00617EAC"/>
    <w:rsid w:val="006204A2"/>
    <w:rsid w:val="006204F6"/>
    <w:rsid w:val="006206FE"/>
    <w:rsid w:val="00620A65"/>
    <w:rsid w:val="006210F6"/>
    <w:rsid w:val="00621279"/>
    <w:rsid w:val="00621401"/>
    <w:rsid w:val="00621656"/>
    <w:rsid w:val="006218D9"/>
    <w:rsid w:val="00621956"/>
    <w:rsid w:val="00621AB8"/>
    <w:rsid w:val="00621AD3"/>
    <w:rsid w:val="00621B92"/>
    <w:rsid w:val="00622357"/>
    <w:rsid w:val="00622416"/>
    <w:rsid w:val="006225A4"/>
    <w:rsid w:val="006229F6"/>
    <w:rsid w:val="00622A3B"/>
    <w:rsid w:val="00622B94"/>
    <w:rsid w:val="00622DBC"/>
    <w:rsid w:val="00622EEA"/>
    <w:rsid w:val="006231E7"/>
    <w:rsid w:val="00623219"/>
    <w:rsid w:val="0062365B"/>
    <w:rsid w:val="00623742"/>
    <w:rsid w:val="0062396C"/>
    <w:rsid w:val="0062399A"/>
    <w:rsid w:val="00623C2E"/>
    <w:rsid w:val="00623D7E"/>
    <w:rsid w:val="00623FF9"/>
    <w:rsid w:val="00624035"/>
    <w:rsid w:val="00624407"/>
    <w:rsid w:val="00624C6C"/>
    <w:rsid w:val="00624CF2"/>
    <w:rsid w:val="00624E8B"/>
    <w:rsid w:val="00624ECC"/>
    <w:rsid w:val="00624F54"/>
    <w:rsid w:val="006252A4"/>
    <w:rsid w:val="0062569F"/>
    <w:rsid w:val="00625830"/>
    <w:rsid w:val="006259D2"/>
    <w:rsid w:val="006259E4"/>
    <w:rsid w:val="00625C8F"/>
    <w:rsid w:val="00625C95"/>
    <w:rsid w:val="00625D7A"/>
    <w:rsid w:val="00625DC7"/>
    <w:rsid w:val="00626B25"/>
    <w:rsid w:val="00626BC8"/>
    <w:rsid w:val="00626C59"/>
    <w:rsid w:val="00626C6B"/>
    <w:rsid w:val="00626F16"/>
    <w:rsid w:val="006272D7"/>
    <w:rsid w:val="0062732F"/>
    <w:rsid w:val="00627522"/>
    <w:rsid w:val="00627752"/>
    <w:rsid w:val="0062777E"/>
    <w:rsid w:val="00627C98"/>
    <w:rsid w:val="00627CDC"/>
    <w:rsid w:val="00627D1D"/>
    <w:rsid w:val="00627D4E"/>
    <w:rsid w:val="00627D5C"/>
    <w:rsid w:val="00627DB4"/>
    <w:rsid w:val="0063011F"/>
    <w:rsid w:val="0063024B"/>
    <w:rsid w:val="006306F7"/>
    <w:rsid w:val="00630AA2"/>
    <w:rsid w:val="00630E71"/>
    <w:rsid w:val="00630FAC"/>
    <w:rsid w:val="00630FE4"/>
    <w:rsid w:val="0063153E"/>
    <w:rsid w:val="0063175E"/>
    <w:rsid w:val="00631B83"/>
    <w:rsid w:val="00631C21"/>
    <w:rsid w:val="00631D8F"/>
    <w:rsid w:val="00632045"/>
    <w:rsid w:val="006320CE"/>
    <w:rsid w:val="00632425"/>
    <w:rsid w:val="0063259B"/>
    <w:rsid w:val="00632661"/>
    <w:rsid w:val="00632A48"/>
    <w:rsid w:val="00632B89"/>
    <w:rsid w:val="00632B97"/>
    <w:rsid w:val="00632BC3"/>
    <w:rsid w:val="00632F8B"/>
    <w:rsid w:val="00633005"/>
    <w:rsid w:val="00633323"/>
    <w:rsid w:val="0063338B"/>
    <w:rsid w:val="006335F7"/>
    <w:rsid w:val="00633721"/>
    <w:rsid w:val="00633AA2"/>
    <w:rsid w:val="00633B1E"/>
    <w:rsid w:val="00633B20"/>
    <w:rsid w:val="00633C83"/>
    <w:rsid w:val="00633E1E"/>
    <w:rsid w:val="0063429C"/>
    <w:rsid w:val="00634478"/>
    <w:rsid w:val="00634767"/>
    <w:rsid w:val="00634AA9"/>
    <w:rsid w:val="00634ACD"/>
    <w:rsid w:val="00634BCB"/>
    <w:rsid w:val="00634C7D"/>
    <w:rsid w:val="00634F43"/>
    <w:rsid w:val="0063544C"/>
    <w:rsid w:val="006357E9"/>
    <w:rsid w:val="00635DBD"/>
    <w:rsid w:val="00636019"/>
    <w:rsid w:val="0063625D"/>
    <w:rsid w:val="006362C0"/>
    <w:rsid w:val="006362D6"/>
    <w:rsid w:val="00636724"/>
    <w:rsid w:val="0063695E"/>
    <w:rsid w:val="00636D0D"/>
    <w:rsid w:val="006370A2"/>
    <w:rsid w:val="006372FF"/>
    <w:rsid w:val="0063734A"/>
    <w:rsid w:val="00637513"/>
    <w:rsid w:val="0063784A"/>
    <w:rsid w:val="00637B3E"/>
    <w:rsid w:val="00637B9F"/>
    <w:rsid w:val="0064089C"/>
    <w:rsid w:val="0064092A"/>
    <w:rsid w:val="00640BB1"/>
    <w:rsid w:val="00640C3A"/>
    <w:rsid w:val="006411B5"/>
    <w:rsid w:val="00641342"/>
    <w:rsid w:val="006415DC"/>
    <w:rsid w:val="00641610"/>
    <w:rsid w:val="0064165F"/>
    <w:rsid w:val="0064167E"/>
    <w:rsid w:val="00641A5E"/>
    <w:rsid w:val="00641B78"/>
    <w:rsid w:val="00641FCF"/>
    <w:rsid w:val="0064200C"/>
    <w:rsid w:val="006421E3"/>
    <w:rsid w:val="00642449"/>
    <w:rsid w:val="00642A7D"/>
    <w:rsid w:val="00642D45"/>
    <w:rsid w:val="00642DDA"/>
    <w:rsid w:val="00642E2A"/>
    <w:rsid w:val="006435B1"/>
    <w:rsid w:val="006438B5"/>
    <w:rsid w:val="00643CB6"/>
    <w:rsid w:val="00643F29"/>
    <w:rsid w:val="00644373"/>
    <w:rsid w:val="006445C6"/>
    <w:rsid w:val="006448BD"/>
    <w:rsid w:val="006449C9"/>
    <w:rsid w:val="00644B95"/>
    <w:rsid w:val="00645039"/>
    <w:rsid w:val="0064524B"/>
    <w:rsid w:val="00645565"/>
    <w:rsid w:val="006458E9"/>
    <w:rsid w:val="00645915"/>
    <w:rsid w:val="0064598B"/>
    <w:rsid w:val="00645C2C"/>
    <w:rsid w:val="00645DAC"/>
    <w:rsid w:val="00645DFD"/>
    <w:rsid w:val="0064601E"/>
    <w:rsid w:val="006462AC"/>
    <w:rsid w:val="006463F6"/>
    <w:rsid w:val="006466D2"/>
    <w:rsid w:val="006468BB"/>
    <w:rsid w:val="00646973"/>
    <w:rsid w:val="00646AE3"/>
    <w:rsid w:val="00646DF3"/>
    <w:rsid w:val="00646E06"/>
    <w:rsid w:val="006470D3"/>
    <w:rsid w:val="00647402"/>
    <w:rsid w:val="00647687"/>
    <w:rsid w:val="00647A4D"/>
    <w:rsid w:val="00647B1D"/>
    <w:rsid w:val="00647CF9"/>
    <w:rsid w:val="00647F32"/>
    <w:rsid w:val="006500AF"/>
    <w:rsid w:val="00650357"/>
    <w:rsid w:val="00650673"/>
    <w:rsid w:val="0065076F"/>
    <w:rsid w:val="00651157"/>
    <w:rsid w:val="006511E4"/>
    <w:rsid w:val="00651248"/>
    <w:rsid w:val="0065139B"/>
    <w:rsid w:val="00651627"/>
    <w:rsid w:val="006516E6"/>
    <w:rsid w:val="006518CF"/>
    <w:rsid w:val="006519C3"/>
    <w:rsid w:val="00651B22"/>
    <w:rsid w:val="006521B4"/>
    <w:rsid w:val="006522E7"/>
    <w:rsid w:val="006522F8"/>
    <w:rsid w:val="00652429"/>
    <w:rsid w:val="00652503"/>
    <w:rsid w:val="0065256F"/>
    <w:rsid w:val="00652777"/>
    <w:rsid w:val="00652838"/>
    <w:rsid w:val="0065283C"/>
    <w:rsid w:val="00652AD2"/>
    <w:rsid w:val="00652B30"/>
    <w:rsid w:val="00652C1E"/>
    <w:rsid w:val="00652DB3"/>
    <w:rsid w:val="00652F67"/>
    <w:rsid w:val="00652FC3"/>
    <w:rsid w:val="0065304E"/>
    <w:rsid w:val="006531C6"/>
    <w:rsid w:val="0065335D"/>
    <w:rsid w:val="00653DAA"/>
    <w:rsid w:val="00653E16"/>
    <w:rsid w:val="00653E5E"/>
    <w:rsid w:val="0065435D"/>
    <w:rsid w:val="00654428"/>
    <w:rsid w:val="00654A48"/>
    <w:rsid w:val="00654B11"/>
    <w:rsid w:val="00655264"/>
    <w:rsid w:val="0065554B"/>
    <w:rsid w:val="00655585"/>
    <w:rsid w:val="00655767"/>
    <w:rsid w:val="00655786"/>
    <w:rsid w:val="00655825"/>
    <w:rsid w:val="0065583E"/>
    <w:rsid w:val="00655C94"/>
    <w:rsid w:val="00655CCF"/>
    <w:rsid w:val="00655DA8"/>
    <w:rsid w:val="00656345"/>
    <w:rsid w:val="00656589"/>
    <w:rsid w:val="00656805"/>
    <w:rsid w:val="00656C9A"/>
    <w:rsid w:val="00656DC6"/>
    <w:rsid w:val="00657077"/>
    <w:rsid w:val="006577A0"/>
    <w:rsid w:val="00657A0B"/>
    <w:rsid w:val="00657EDA"/>
    <w:rsid w:val="006603EC"/>
    <w:rsid w:val="0066082F"/>
    <w:rsid w:val="00660866"/>
    <w:rsid w:val="006608EF"/>
    <w:rsid w:val="00660B27"/>
    <w:rsid w:val="00660EC6"/>
    <w:rsid w:val="00660F86"/>
    <w:rsid w:val="006611DE"/>
    <w:rsid w:val="00661329"/>
    <w:rsid w:val="00661498"/>
    <w:rsid w:val="006615ED"/>
    <w:rsid w:val="00661694"/>
    <w:rsid w:val="00661753"/>
    <w:rsid w:val="0066184D"/>
    <w:rsid w:val="006618AB"/>
    <w:rsid w:val="00661DC7"/>
    <w:rsid w:val="00661F34"/>
    <w:rsid w:val="006624CE"/>
    <w:rsid w:val="00662552"/>
    <w:rsid w:val="006626AE"/>
    <w:rsid w:val="0066279E"/>
    <w:rsid w:val="006628B2"/>
    <w:rsid w:val="0066295F"/>
    <w:rsid w:val="00662E8F"/>
    <w:rsid w:val="00663370"/>
    <w:rsid w:val="0066347C"/>
    <w:rsid w:val="00663676"/>
    <w:rsid w:val="006636D8"/>
    <w:rsid w:val="00663793"/>
    <w:rsid w:val="0066388E"/>
    <w:rsid w:val="0066390A"/>
    <w:rsid w:val="00663A93"/>
    <w:rsid w:val="00663E68"/>
    <w:rsid w:val="006640D3"/>
    <w:rsid w:val="00664110"/>
    <w:rsid w:val="006644B6"/>
    <w:rsid w:val="0066453F"/>
    <w:rsid w:val="00664617"/>
    <w:rsid w:val="00664937"/>
    <w:rsid w:val="00664C5B"/>
    <w:rsid w:val="00664D17"/>
    <w:rsid w:val="006650D4"/>
    <w:rsid w:val="00665286"/>
    <w:rsid w:val="00665820"/>
    <w:rsid w:val="00665AFB"/>
    <w:rsid w:val="00665B86"/>
    <w:rsid w:val="00665D78"/>
    <w:rsid w:val="00665F9E"/>
    <w:rsid w:val="00666097"/>
    <w:rsid w:val="0066634A"/>
    <w:rsid w:val="0066646C"/>
    <w:rsid w:val="006664BD"/>
    <w:rsid w:val="00666520"/>
    <w:rsid w:val="0066666D"/>
    <w:rsid w:val="00666AE0"/>
    <w:rsid w:val="00666C3A"/>
    <w:rsid w:val="00667020"/>
    <w:rsid w:val="0066732A"/>
    <w:rsid w:val="00667538"/>
    <w:rsid w:val="0066784F"/>
    <w:rsid w:val="00667ABF"/>
    <w:rsid w:val="00667C5B"/>
    <w:rsid w:val="00667E14"/>
    <w:rsid w:val="006701CA"/>
    <w:rsid w:val="00670264"/>
    <w:rsid w:val="00670324"/>
    <w:rsid w:val="00670822"/>
    <w:rsid w:val="00670B86"/>
    <w:rsid w:val="00670C33"/>
    <w:rsid w:val="00671273"/>
    <w:rsid w:val="00671274"/>
    <w:rsid w:val="006714C4"/>
    <w:rsid w:val="006714FD"/>
    <w:rsid w:val="006717B4"/>
    <w:rsid w:val="006719D2"/>
    <w:rsid w:val="00671D80"/>
    <w:rsid w:val="00672016"/>
    <w:rsid w:val="00672455"/>
    <w:rsid w:val="0067261D"/>
    <w:rsid w:val="0067276C"/>
    <w:rsid w:val="00672770"/>
    <w:rsid w:val="006728B9"/>
    <w:rsid w:val="006729FD"/>
    <w:rsid w:val="00672DEB"/>
    <w:rsid w:val="00672FF4"/>
    <w:rsid w:val="00673277"/>
    <w:rsid w:val="006732DE"/>
    <w:rsid w:val="00673940"/>
    <w:rsid w:val="00673C7B"/>
    <w:rsid w:val="00674062"/>
    <w:rsid w:val="0067422B"/>
    <w:rsid w:val="006748B0"/>
    <w:rsid w:val="00674925"/>
    <w:rsid w:val="006750EC"/>
    <w:rsid w:val="00675553"/>
    <w:rsid w:val="0067566E"/>
    <w:rsid w:val="00675B90"/>
    <w:rsid w:val="00675DBE"/>
    <w:rsid w:val="00675EEA"/>
    <w:rsid w:val="00676443"/>
    <w:rsid w:val="00676612"/>
    <w:rsid w:val="00676637"/>
    <w:rsid w:val="00676765"/>
    <w:rsid w:val="00676909"/>
    <w:rsid w:val="00676B72"/>
    <w:rsid w:val="00677451"/>
    <w:rsid w:val="00677569"/>
    <w:rsid w:val="0067774B"/>
    <w:rsid w:val="00677A44"/>
    <w:rsid w:val="00680125"/>
    <w:rsid w:val="006803F9"/>
    <w:rsid w:val="00680A31"/>
    <w:rsid w:val="00680A3F"/>
    <w:rsid w:val="00680E12"/>
    <w:rsid w:val="006812C2"/>
    <w:rsid w:val="006815CE"/>
    <w:rsid w:val="006818BD"/>
    <w:rsid w:val="00681BED"/>
    <w:rsid w:val="00681EF8"/>
    <w:rsid w:val="00681F3C"/>
    <w:rsid w:val="00681FD0"/>
    <w:rsid w:val="0068223A"/>
    <w:rsid w:val="00682BE8"/>
    <w:rsid w:val="00682C9C"/>
    <w:rsid w:val="00682D4A"/>
    <w:rsid w:val="00682E19"/>
    <w:rsid w:val="00682E43"/>
    <w:rsid w:val="00682F35"/>
    <w:rsid w:val="00682FBB"/>
    <w:rsid w:val="00682FD9"/>
    <w:rsid w:val="006830C9"/>
    <w:rsid w:val="0068318A"/>
    <w:rsid w:val="006835AF"/>
    <w:rsid w:val="006836E4"/>
    <w:rsid w:val="00683817"/>
    <w:rsid w:val="0068398F"/>
    <w:rsid w:val="00683A0C"/>
    <w:rsid w:val="00683BDD"/>
    <w:rsid w:val="00683FA3"/>
    <w:rsid w:val="0068411D"/>
    <w:rsid w:val="006842E9"/>
    <w:rsid w:val="00684715"/>
    <w:rsid w:val="00684A6D"/>
    <w:rsid w:val="006853FF"/>
    <w:rsid w:val="006854EF"/>
    <w:rsid w:val="006856BD"/>
    <w:rsid w:val="006863EE"/>
    <w:rsid w:val="0068668D"/>
    <w:rsid w:val="0068692C"/>
    <w:rsid w:val="00686D72"/>
    <w:rsid w:val="00686F3A"/>
    <w:rsid w:val="00686FAF"/>
    <w:rsid w:val="00687376"/>
    <w:rsid w:val="006874C7"/>
    <w:rsid w:val="0068779F"/>
    <w:rsid w:val="00687958"/>
    <w:rsid w:val="00687EF0"/>
    <w:rsid w:val="0069057D"/>
    <w:rsid w:val="00690704"/>
    <w:rsid w:val="00690922"/>
    <w:rsid w:val="00690A43"/>
    <w:rsid w:val="00690AF0"/>
    <w:rsid w:val="00690C4F"/>
    <w:rsid w:val="00690D19"/>
    <w:rsid w:val="0069108A"/>
    <w:rsid w:val="00691135"/>
    <w:rsid w:val="0069136C"/>
    <w:rsid w:val="00691466"/>
    <w:rsid w:val="0069167F"/>
    <w:rsid w:val="00691896"/>
    <w:rsid w:val="00691EB8"/>
    <w:rsid w:val="006921C5"/>
    <w:rsid w:val="006923AF"/>
    <w:rsid w:val="006925BF"/>
    <w:rsid w:val="00692645"/>
    <w:rsid w:val="00692CDB"/>
    <w:rsid w:val="00692CDE"/>
    <w:rsid w:val="00692D0A"/>
    <w:rsid w:val="00692F9E"/>
    <w:rsid w:val="00693073"/>
    <w:rsid w:val="00693BFD"/>
    <w:rsid w:val="00693FD6"/>
    <w:rsid w:val="006940D4"/>
    <w:rsid w:val="006940D8"/>
    <w:rsid w:val="00694256"/>
    <w:rsid w:val="00694CE2"/>
    <w:rsid w:val="00695089"/>
    <w:rsid w:val="00695362"/>
    <w:rsid w:val="00695AEF"/>
    <w:rsid w:val="00695E27"/>
    <w:rsid w:val="00695FC2"/>
    <w:rsid w:val="006960A5"/>
    <w:rsid w:val="0069613F"/>
    <w:rsid w:val="006961DD"/>
    <w:rsid w:val="00696268"/>
    <w:rsid w:val="0069634B"/>
    <w:rsid w:val="00696371"/>
    <w:rsid w:val="00696632"/>
    <w:rsid w:val="00696986"/>
    <w:rsid w:val="00697191"/>
    <w:rsid w:val="0069723C"/>
    <w:rsid w:val="00697552"/>
    <w:rsid w:val="006975FE"/>
    <w:rsid w:val="00697651"/>
    <w:rsid w:val="00697659"/>
    <w:rsid w:val="0069777C"/>
    <w:rsid w:val="006977FF"/>
    <w:rsid w:val="00697859"/>
    <w:rsid w:val="00697ACE"/>
    <w:rsid w:val="00697D25"/>
    <w:rsid w:val="00697F31"/>
    <w:rsid w:val="006A01FA"/>
    <w:rsid w:val="006A0210"/>
    <w:rsid w:val="006A043B"/>
    <w:rsid w:val="006A0504"/>
    <w:rsid w:val="006A0750"/>
    <w:rsid w:val="006A0B3A"/>
    <w:rsid w:val="006A0CF1"/>
    <w:rsid w:val="006A0D17"/>
    <w:rsid w:val="006A0DED"/>
    <w:rsid w:val="006A0E9E"/>
    <w:rsid w:val="006A1250"/>
    <w:rsid w:val="006A13DE"/>
    <w:rsid w:val="006A22CC"/>
    <w:rsid w:val="006A2512"/>
    <w:rsid w:val="006A25C7"/>
    <w:rsid w:val="006A25F2"/>
    <w:rsid w:val="006A26C9"/>
    <w:rsid w:val="006A2F04"/>
    <w:rsid w:val="006A30C3"/>
    <w:rsid w:val="006A3694"/>
    <w:rsid w:val="006A3C1E"/>
    <w:rsid w:val="006A3C62"/>
    <w:rsid w:val="006A3D48"/>
    <w:rsid w:val="006A3D96"/>
    <w:rsid w:val="006A45A2"/>
    <w:rsid w:val="006A49D6"/>
    <w:rsid w:val="006A4AAD"/>
    <w:rsid w:val="006A4B71"/>
    <w:rsid w:val="006A4BEC"/>
    <w:rsid w:val="006A4BF3"/>
    <w:rsid w:val="006A4E67"/>
    <w:rsid w:val="006A4FFE"/>
    <w:rsid w:val="006A515F"/>
    <w:rsid w:val="006A532A"/>
    <w:rsid w:val="006A54A0"/>
    <w:rsid w:val="006A5AFA"/>
    <w:rsid w:val="006A5DF1"/>
    <w:rsid w:val="006A5E8A"/>
    <w:rsid w:val="006A62D8"/>
    <w:rsid w:val="006A63EE"/>
    <w:rsid w:val="006A69C3"/>
    <w:rsid w:val="006A6BAF"/>
    <w:rsid w:val="006A6DA2"/>
    <w:rsid w:val="006A731B"/>
    <w:rsid w:val="006A7758"/>
    <w:rsid w:val="006A7926"/>
    <w:rsid w:val="006A7982"/>
    <w:rsid w:val="006A7AB2"/>
    <w:rsid w:val="006A7C57"/>
    <w:rsid w:val="006A7EB2"/>
    <w:rsid w:val="006A7EFB"/>
    <w:rsid w:val="006B0039"/>
    <w:rsid w:val="006B02C2"/>
    <w:rsid w:val="006B0365"/>
    <w:rsid w:val="006B038D"/>
    <w:rsid w:val="006B061F"/>
    <w:rsid w:val="006B066C"/>
    <w:rsid w:val="006B069B"/>
    <w:rsid w:val="006B08F6"/>
    <w:rsid w:val="006B0E75"/>
    <w:rsid w:val="006B1713"/>
    <w:rsid w:val="006B1A31"/>
    <w:rsid w:val="006B1F7F"/>
    <w:rsid w:val="006B22E6"/>
    <w:rsid w:val="006B236A"/>
    <w:rsid w:val="006B2814"/>
    <w:rsid w:val="006B2893"/>
    <w:rsid w:val="006B29B9"/>
    <w:rsid w:val="006B2A2D"/>
    <w:rsid w:val="006B2CC3"/>
    <w:rsid w:val="006B2DB6"/>
    <w:rsid w:val="006B2EEC"/>
    <w:rsid w:val="006B2F53"/>
    <w:rsid w:val="006B2FAC"/>
    <w:rsid w:val="006B301B"/>
    <w:rsid w:val="006B3291"/>
    <w:rsid w:val="006B3797"/>
    <w:rsid w:val="006B397D"/>
    <w:rsid w:val="006B39BE"/>
    <w:rsid w:val="006B40E4"/>
    <w:rsid w:val="006B41C5"/>
    <w:rsid w:val="006B4333"/>
    <w:rsid w:val="006B4719"/>
    <w:rsid w:val="006B4A65"/>
    <w:rsid w:val="006B5086"/>
    <w:rsid w:val="006B50AC"/>
    <w:rsid w:val="006B5401"/>
    <w:rsid w:val="006B5607"/>
    <w:rsid w:val="006B5717"/>
    <w:rsid w:val="006B582F"/>
    <w:rsid w:val="006B5E9B"/>
    <w:rsid w:val="006B5EA6"/>
    <w:rsid w:val="006B6016"/>
    <w:rsid w:val="006B6309"/>
    <w:rsid w:val="006B6460"/>
    <w:rsid w:val="006B6711"/>
    <w:rsid w:val="006B69DB"/>
    <w:rsid w:val="006B6CC2"/>
    <w:rsid w:val="006B6E36"/>
    <w:rsid w:val="006B6F6E"/>
    <w:rsid w:val="006B7506"/>
    <w:rsid w:val="006B7748"/>
    <w:rsid w:val="006B791A"/>
    <w:rsid w:val="006B7A24"/>
    <w:rsid w:val="006B7CFF"/>
    <w:rsid w:val="006C005C"/>
    <w:rsid w:val="006C0153"/>
    <w:rsid w:val="006C024F"/>
    <w:rsid w:val="006C06C5"/>
    <w:rsid w:val="006C0817"/>
    <w:rsid w:val="006C0A86"/>
    <w:rsid w:val="006C0CEB"/>
    <w:rsid w:val="006C0D96"/>
    <w:rsid w:val="006C1820"/>
    <w:rsid w:val="006C1849"/>
    <w:rsid w:val="006C1C5C"/>
    <w:rsid w:val="006C1D26"/>
    <w:rsid w:val="006C20D8"/>
    <w:rsid w:val="006C2247"/>
    <w:rsid w:val="006C25E5"/>
    <w:rsid w:val="006C2938"/>
    <w:rsid w:val="006C29E6"/>
    <w:rsid w:val="006C2D6B"/>
    <w:rsid w:val="006C2E47"/>
    <w:rsid w:val="006C2F18"/>
    <w:rsid w:val="006C3061"/>
    <w:rsid w:val="006C3167"/>
    <w:rsid w:val="006C35F3"/>
    <w:rsid w:val="006C3666"/>
    <w:rsid w:val="006C398E"/>
    <w:rsid w:val="006C3A84"/>
    <w:rsid w:val="006C3AEF"/>
    <w:rsid w:val="006C3B1E"/>
    <w:rsid w:val="006C3CD8"/>
    <w:rsid w:val="006C4303"/>
    <w:rsid w:val="006C44EA"/>
    <w:rsid w:val="006C47FD"/>
    <w:rsid w:val="006C48EA"/>
    <w:rsid w:val="006C4D48"/>
    <w:rsid w:val="006C504A"/>
    <w:rsid w:val="006C51B7"/>
    <w:rsid w:val="006C53EF"/>
    <w:rsid w:val="006C54F7"/>
    <w:rsid w:val="006C594C"/>
    <w:rsid w:val="006C5C19"/>
    <w:rsid w:val="006C5E36"/>
    <w:rsid w:val="006C6342"/>
    <w:rsid w:val="006C6463"/>
    <w:rsid w:val="006C67CC"/>
    <w:rsid w:val="006C69E1"/>
    <w:rsid w:val="006C6A60"/>
    <w:rsid w:val="006C70A0"/>
    <w:rsid w:val="006C720E"/>
    <w:rsid w:val="006C74C5"/>
    <w:rsid w:val="006C7754"/>
    <w:rsid w:val="006C78FB"/>
    <w:rsid w:val="006C7AC1"/>
    <w:rsid w:val="006C7D36"/>
    <w:rsid w:val="006C7E9F"/>
    <w:rsid w:val="006C7F26"/>
    <w:rsid w:val="006D04DC"/>
    <w:rsid w:val="006D0576"/>
    <w:rsid w:val="006D0635"/>
    <w:rsid w:val="006D06A5"/>
    <w:rsid w:val="006D07A6"/>
    <w:rsid w:val="006D0AAF"/>
    <w:rsid w:val="006D0B5D"/>
    <w:rsid w:val="006D0ED7"/>
    <w:rsid w:val="006D0EF8"/>
    <w:rsid w:val="006D0F4D"/>
    <w:rsid w:val="006D1162"/>
    <w:rsid w:val="006D1187"/>
    <w:rsid w:val="006D134F"/>
    <w:rsid w:val="006D178E"/>
    <w:rsid w:val="006D18E9"/>
    <w:rsid w:val="006D1943"/>
    <w:rsid w:val="006D19B5"/>
    <w:rsid w:val="006D1B7A"/>
    <w:rsid w:val="006D1C82"/>
    <w:rsid w:val="006D1E6A"/>
    <w:rsid w:val="006D2370"/>
    <w:rsid w:val="006D274E"/>
    <w:rsid w:val="006D27CB"/>
    <w:rsid w:val="006D2A0E"/>
    <w:rsid w:val="006D2D98"/>
    <w:rsid w:val="006D2F08"/>
    <w:rsid w:val="006D2F43"/>
    <w:rsid w:val="006D30ED"/>
    <w:rsid w:val="006D32FD"/>
    <w:rsid w:val="006D344A"/>
    <w:rsid w:val="006D3D21"/>
    <w:rsid w:val="006D3DD2"/>
    <w:rsid w:val="006D47C0"/>
    <w:rsid w:val="006D4843"/>
    <w:rsid w:val="006D4871"/>
    <w:rsid w:val="006D4ABC"/>
    <w:rsid w:val="006D4CE8"/>
    <w:rsid w:val="006D5321"/>
    <w:rsid w:val="006D576C"/>
    <w:rsid w:val="006D5865"/>
    <w:rsid w:val="006D59EB"/>
    <w:rsid w:val="006D5A4F"/>
    <w:rsid w:val="006D5D04"/>
    <w:rsid w:val="006D5DFE"/>
    <w:rsid w:val="006D5FC0"/>
    <w:rsid w:val="006D620A"/>
    <w:rsid w:val="006D64BD"/>
    <w:rsid w:val="006D6594"/>
    <w:rsid w:val="006D6657"/>
    <w:rsid w:val="006D6D2F"/>
    <w:rsid w:val="006D70AE"/>
    <w:rsid w:val="006D718C"/>
    <w:rsid w:val="006D72FA"/>
    <w:rsid w:val="006D75BF"/>
    <w:rsid w:val="006D7665"/>
    <w:rsid w:val="006D7A3D"/>
    <w:rsid w:val="006D7BFC"/>
    <w:rsid w:val="006D7D65"/>
    <w:rsid w:val="006D7FCE"/>
    <w:rsid w:val="006E0071"/>
    <w:rsid w:val="006E0234"/>
    <w:rsid w:val="006E0256"/>
    <w:rsid w:val="006E0361"/>
    <w:rsid w:val="006E03E0"/>
    <w:rsid w:val="006E048F"/>
    <w:rsid w:val="006E07F5"/>
    <w:rsid w:val="006E0C19"/>
    <w:rsid w:val="006E0D63"/>
    <w:rsid w:val="006E0E7C"/>
    <w:rsid w:val="006E1022"/>
    <w:rsid w:val="006E113A"/>
    <w:rsid w:val="006E13BF"/>
    <w:rsid w:val="006E1486"/>
    <w:rsid w:val="006E161E"/>
    <w:rsid w:val="006E164C"/>
    <w:rsid w:val="006E1876"/>
    <w:rsid w:val="006E190F"/>
    <w:rsid w:val="006E1B4D"/>
    <w:rsid w:val="006E1C37"/>
    <w:rsid w:val="006E224B"/>
    <w:rsid w:val="006E2308"/>
    <w:rsid w:val="006E243C"/>
    <w:rsid w:val="006E29B3"/>
    <w:rsid w:val="006E2A2C"/>
    <w:rsid w:val="006E3445"/>
    <w:rsid w:val="006E3A31"/>
    <w:rsid w:val="006E3B5B"/>
    <w:rsid w:val="006E3C28"/>
    <w:rsid w:val="006E3E6C"/>
    <w:rsid w:val="006E4114"/>
    <w:rsid w:val="006E447B"/>
    <w:rsid w:val="006E4918"/>
    <w:rsid w:val="006E4B1B"/>
    <w:rsid w:val="006E4BE6"/>
    <w:rsid w:val="006E4C82"/>
    <w:rsid w:val="006E4D43"/>
    <w:rsid w:val="006E50FF"/>
    <w:rsid w:val="006E5115"/>
    <w:rsid w:val="006E520F"/>
    <w:rsid w:val="006E532D"/>
    <w:rsid w:val="006E5445"/>
    <w:rsid w:val="006E5A5E"/>
    <w:rsid w:val="006E5E42"/>
    <w:rsid w:val="006E61AA"/>
    <w:rsid w:val="006E61C3"/>
    <w:rsid w:val="006E622E"/>
    <w:rsid w:val="006E63D6"/>
    <w:rsid w:val="006E63FE"/>
    <w:rsid w:val="006E655A"/>
    <w:rsid w:val="006E6586"/>
    <w:rsid w:val="006E659B"/>
    <w:rsid w:val="006E6B6B"/>
    <w:rsid w:val="006E6BA8"/>
    <w:rsid w:val="006E6F28"/>
    <w:rsid w:val="006E6FB1"/>
    <w:rsid w:val="006E6FD0"/>
    <w:rsid w:val="006E727B"/>
    <w:rsid w:val="006E72F3"/>
    <w:rsid w:val="006E75C7"/>
    <w:rsid w:val="006E7737"/>
    <w:rsid w:val="006E787B"/>
    <w:rsid w:val="006E7B1C"/>
    <w:rsid w:val="006E7B70"/>
    <w:rsid w:val="006E7D15"/>
    <w:rsid w:val="006E7D93"/>
    <w:rsid w:val="006F012B"/>
    <w:rsid w:val="006F030F"/>
    <w:rsid w:val="006F0584"/>
    <w:rsid w:val="006F0649"/>
    <w:rsid w:val="006F0795"/>
    <w:rsid w:val="006F0930"/>
    <w:rsid w:val="006F09F6"/>
    <w:rsid w:val="006F0CF9"/>
    <w:rsid w:val="006F1051"/>
    <w:rsid w:val="006F11CA"/>
    <w:rsid w:val="006F149D"/>
    <w:rsid w:val="006F15F8"/>
    <w:rsid w:val="006F16FC"/>
    <w:rsid w:val="006F1CB1"/>
    <w:rsid w:val="006F29E6"/>
    <w:rsid w:val="006F2B02"/>
    <w:rsid w:val="006F2BAF"/>
    <w:rsid w:val="006F2EE1"/>
    <w:rsid w:val="006F30D7"/>
    <w:rsid w:val="006F31F5"/>
    <w:rsid w:val="006F3207"/>
    <w:rsid w:val="006F378F"/>
    <w:rsid w:val="006F3F88"/>
    <w:rsid w:val="006F41DF"/>
    <w:rsid w:val="006F41FB"/>
    <w:rsid w:val="006F43A3"/>
    <w:rsid w:val="006F4474"/>
    <w:rsid w:val="006F4547"/>
    <w:rsid w:val="006F4BEF"/>
    <w:rsid w:val="006F4C38"/>
    <w:rsid w:val="006F4F4C"/>
    <w:rsid w:val="006F542F"/>
    <w:rsid w:val="006F54B0"/>
    <w:rsid w:val="006F5607"/>
    <w:rsid w:val="006F5B0F"/>
    <w:rsid w:val="006F5E3B"/>
    <w:rsid w:val="006F61A3"/>
    <w:rsid w:val="006F6CD2"/>
    <w:rsid w:val="006F6D2D"/>
    <w:rsid w:val="006F7426"/>
    <w:rsid w:val="006F799C"/>
    <w:rsid w:val="006F7B07"/>
    <w:rsid w:val="006F7E0C"/>
    <w:rsid w:val="007000CD"/>
    <w:rsid w:val="00700221"/>
    <w:rsid w:val="0070084E"/>
    <w:rsid w:val="00700D18"/>
    <w:rsid w:val="007013A2"/>
    <w:rsid w:val="007015A8"/>
    <w:rsid w:val="00701676"/>
    <w:rsid w:val="007016FF"/>
    <w:rsid w:val="0070191A"/>
    <w:rsid w:val="00701F67"/>
    <w:rsid w:val="007024E3"/>
    <w:rsid w:val="0070256F"/>
    <w:rsid w:val="007029A3"/>
    <w:rsid w:val="00703070"/>
    <w:rsid w:val="00703C3B"/>
    <w:rsid w:val="00703DA1"/>
    <w:rsid w:val="00704992"/>
    <w:rsid w:val="00704CB6"/>
    <w:rsid w:val="00704E91"/>
    <w:rsid w:val="00704F39"/>
    <w:rsid w:val="00704F47"/>
    <w:rsid w:val="007053C8"/>
    <w:rsid w:val="007054DB"/>
    <w:rsid w:val="0070568B"/>
    <w:rsid w:val="007058B2"/>
    <w:rsid w:val="00705AC6"/>
    <w:rsid w:val="00705B0E"/>
    <w:rsid w:val="00705D55"/>
    <w:rsid w:val="00706004"/>
    <w:rsid w:val="007061DC"/>
    <w:rsid w:val="00706222"/>
    <w:rsid w:val="007066CF"/>
    <w:rsid w:val="0070673D"/>
    <w:rsid w:val="0070682A"/>
    <w:rsid w:val="007069F4"/>
    <w:rsid w:val="00706E4E"/>
    <w:rsid w:val="00707413"/>
    <w:rsid w:val="0070791C"/>
    <w:rsid w:val="00707D94"/>
    <w:rsid w:val="00710160"/>
    <w:rsid w:val="00710244"/>
    <w:rsid w:val="007103D3"/>
    <w:rsid w:val="0071080F"/>
    <w:rsid w:val="00710B9D"/>
    <w:rsid w:val="00710F7C"/>
    <w:rsid w:val="00711019"/>
    <w:rsid w:val="00711139"/>
    <w:rsid w:val="007115EB"/>
    <w:rsid w:val="007115F4"/>
    <w:rsid w:val="007116B2"/>
    <w:rsid w:val="0071176C"/>
    <w:rsid w:val="00711CAA"/>
    <w:rsid w:val="00711ED5"/>
    <w:rsid w:val="0071208E"/>
    <w:rsid w:val="00712192"/>
    <w:rsid w:val="007121CF"/>
    <w:rsid w:val="00712283"/>
    <w:rsid w:val="00712B57"/>
    <w:rsid w:val="00712CCF"/>
    <w:rsid w:val="00712D96"/>
    <w:rsid w:val="00712F74"/>
    <w:rsid w:val="007132A4"/>
    <w:rsid w:val="0071372D"/>
    <w:rsid w:val="0071374F"/>
    <w:rsid w:val="0071383C"/>
    <w:rsid w:val="00713D9D"/>
    <w:rsid w:val="007141A7"/>
    <w:rsid w:val="007143B8"/>
    <w:rsid w:val="00714539"/>
    <w:rsid w:val="007148BE"/>
    <w:rsid w:val="007148CA"/>
    <w:rsid w:val="0071499E"/>
    <w:rsid w:val="00714AD0"/>
    <w:rsid w:val="00714BBD"/>
    <w:rsid w:val="00714FD8"/>
    <w:rsid w:val="00715722"/>
    <w:rsid w:val="00715BB9"/>
    <w:rsid w:val="00715C79"/>
    <w:rsid w:val="0071684C"/>
    <w:rsid w:val="00716DE9"/>
    <w:rsid w:val="00716EBD"/>
    <w:rsid w:val="007170BC"/>
    <w:rsid w:val="007171FF"/>
    <w:rsid w:val="007174CE"/>
    <w:rsid w:val="007175E7"/>
    <w:rsid w:val="0071796B"/>
    <w:rsid w:val="00717CE2"/>
    <w:rsid w:val="00717DDD"/>
    <w:rsid w:val="007200C5"/>
    <w:rsid w:val="0072016A"/>
    <w:rsid w:val="0072031C"/>
    <w:rsid w:val="007206FF"/>
    <w:rsid w:val="0072087B"/>
    <w:rsid w:val="007208AE"/>
    <w:rsid w:val="007208D8"/>
    <w:rsid w:val="00720CC8"/>
    <w:rsid w:val="00720FC4"/>
    <w:rsid w:val="00721032"/>
    <w:rsid w:val="0072140C"/>
    <w:rsid w:val="0072144A"/>
    <w:rsid w:val="00721B55"/>
    <w:rsid w:val="00721D72"/>
    <w:rsid w:val="00721FB7"/>
    <w:rsid w:val="00722618"/>
    <w:rsid w:val="0072262E"/>
    <w:rsid w:val="007227D8"/>
    <w:rsid w:val="007229D3"/>
    <w:rsid w:val="00722CA9"/>
    <w:rsid w:val="00723205"/>
    <w:rsid w:val="007235CB"/>
    <w:rsid w:val="00723FFE"/>
    <w:rsid w:val="00724119"/>
    <w:rsid w:val="007242CB"/>
    <w:rsid w:val="007244B2"/>
    <w:rsid w:val="007246E7"/>
    <w:rsid w:val="0072518B"/>
    <w:rsid w:val="007251F1"/>
    <w:rsid w:val="00725322"/>
    <w:rsid w:val="00725675"/>
    <w:rsid w:val="00725754"/>
    <w:rsid w:val="00725C95"/>
    <w:rsid w:val="00725E28"/>
    <w:rsid w:val="00725FE8"/>
    <w:rsid w:val="007261F6"/>
    <w:rsid w:val="00726357"/>
    <w:rsid w:val="00726465"/>
    <w:rsid w:val="0072685A"/>
    <w:rsid w:val="007269A3"/>
    <w:rsid w:val="007269E8"/>
    <w:rsid w:val="00726CE4"/>
    <w:rsid w:val="00726D3C"/>
    <w:rsid w:val="00726DEC"/>
    <w:rsid w:val="00726F45"/>
    <w:rsid w:val="00727040"/>
    <w:rsid w:val="0072724B"/>
    <w:rsid w:val="007272E2"/>
    <w:rsid w:val="0072754E"/>
    <w:rsid w:val="00727699"/>
    <w:rsid w:val="0072787A"/>
    <w:rsid w:val="00727B57"/>
    <w:rsid w:val="00727C16"/>
    <w:rsid w:val="00727CBC"/>
    <w:rsid w:val="00727DD8"/>
    <w:rsid w:val="00727FEB"/>
    <w:rsid w:val="007300A5"/>
    <w:rsid w:val="00730291"/>
    <w:rsid w:val="007305A9"/>
    <w:rsid w:val="007306A2"/>
    <w:rsid w:val="00730994"/>
    <w:rsid w:val="00730A1C"/>
    <w:rsid w:val="00730E6E"/>
    <w:rsid w:val="00731991"/>
    <w:rsid w:val="00731E1C"/>
    <w:rsid w:val="007323E0"/>
    <w:rsid w:val="00732438"/>
    <w:rsid w:val="00732A3E"/>
    <w:rsid w:val="00732B30"/>
    <w:rsid w:val="007333AE"/>
    <w:rsid w:val="007333B9"/>
    <w:rsid w:val="00733499"/>
    <w:rsid w:val="0073352B"/>
    <w:rsid w:val="00733547"/>
    <w:rsid w:val="007335E1"/>
    <w:rsid w:val="007338FA"/>
    <w:rsid w:val="0073394E"/>
    <w:rsid w:val="00733B77"/>
    <w:rsid w:val="00734143"/>
    <w:rsid w:val="00734169"/>
    <w:rsid w:val="0073424B"/>
    <w:rsid w:val="007342CC"/>
    <w:rsid w:val="007344C4"/>
    <w:rsid w:val="00734EF8"/>
    <w:rsid w:val="00735161"/>
    <w:rsid w:val="007351C3"/>
    <w:rsid w:val="007355D4"/>
    <w:rsid w:val="007356DC"/>
    <w:rsid w:val="00735745"/>
    <w:rsid w:val="007357DD"/>
    <w:rsid w:val="00735AFD"/>
    <w:rsid w:val="00735B1B"/>
    <w:rsid w:val="00735CFC"/>
    <w:rsid w:val="00735E3C"/>
    <w:rsid w:val="00736258"/>
    <w:rsid w:val="007365BD"/>
    <w:rsid w:val="007366C8"/>
    <w:rsid w:val="00736757"/>
    <w:rsid w:val="00736A89"/>
    <w:rsid w:val="00736B02"/>
    <w:rsid w:val="00736CD8"/>
    <w:rsid w:val="00736F91"/>
    <w:rsid w:val="00737022"/>
    <w:rsid w:val="00737024"/>
    <w:rsid w:val="007370FE"/>
    <w:rsid w:val="00737694"/>
    <w:rsid w:val="007378B1"/>
    <w:rsid w:val="00737E47"/>
    <w:rsid w:val="00737F97"/>
    <w:rsid w:val="007404E8"/>
    <w:rsid w:val="007408DB"/>
    <w:rsid w:val="00740EAC"/>
    <w:rsid w:val="007410E7"/>
    <w:rsid w:val="00741182"/>
    <w:rsid w:val="007412CD"/>
    <w:rsid w:val="0074162F"/>
    <w:rsid w:val="0074173F"/>
    <w:rsid w:val="00741C2B"/>
    <w:rsid w:val="007422A4"/>
    <w:rsid w:val="00742671"/>
    <w:rsid w:val="00742870"/>
    <w:rsid w:val="00742AFC"/>
    <w:rsid w:val="00742B4C"/>
    <w:rsid w:val="00742CF1"/>
    <w:rsid w:val="00742E37"/>
    <w:rsid w:val="00742F16"/>
    <w:rsid w:val="00742F3E"/>
    <w:rsid w:val="0074304E"/>
    <w:rsid w:val="0074305A"/>
    <w:rsid w:val="007431F4"/>
    <w:rsid w:val="0074394E"/>
    <w:rsid w:val="00743BEF"/>
    <w:rsid w:val="00743C1E"/>
    <w:rsid w:val="00744060"/>
    <w:rsid w:val="007441EB"/>
    <w:rsid w:val="00744365"/>
    <w:rsid w:val="00744418"/>
    <w:rsid w:val="00744956"/>
    <w:rsid w:val="007449D0"/>
    <w:rsid w:val="00744A5E"/>
    <w:rsid w:val="00744F18"/>
    <w:rsid w:val="007450D4"/>
    <w:rsid w:val="00745710"/>
    <w:rsid w:val="00745810"/>
    <w:rsid w:val="00745A5C"/>
    <w:rsid w:val="00745A6F"/>
    <w:rsid w:val="00745A90"/>
    <w:rsid w:val="00745CC0"/>
    <w:rsid w:val="0074605F"/>
    <w:rsid w:val="00746463"/>
    <w:rsid w:val="007467F0"/>
    <w:rsid w:val="0074685D"/>
    <w:rsid w:val="007469FE"/>
    <w:rsid w:val="00746A75"/>
    <w:rsid w:val="00746CAB"/>
    <w:rsid w:val="00746F0C"/>
    <w:rsid w:val="00746F94"/>
    <w:rsid w:val="0074736F"/>
    <w:rsid w:val="007478DC"/>
    <w:rsid w:val="00747BD8"/>
    <w:rsid w:val="00747E94"/>
    <w:rsid w:val="0075013D"/>
    <w:rsid w:val="00750502"/>
    <w:rsid w:val="00750613"/>
    <w:rsid w:val="00750719"/>
    <w:rsid w:val="00750CEC"/>
    <w:rsid w:val="00750F05"/>
    <w:rsid w:val="007510CE"/>
    <w:rsid w:val="007512A4"/>
    <w:rsid w:val="00751342"/>
    <w:rsid w:val="00751534"/>
    <w:rsid w:val="007515BD"/>
    <w:rsid w:val="00751602"/>
    <w:rsid w:val="00751AEC"/>
    <w:rsid w:val="00751DC1"/>
    <w:rsid w:val="00751E5B"/>
    <w:rsid w:val="0075215F"/>
    <w:rsid w:val="0075246E"/>
    <w:rsid w:val="0075253B"/>
    <w:rsid w:val="007525E8"/>
    <w:rsid w:val="0075276B"/>
    <w:rsid w:val="007527BE"/>
    <w:rsid w:val="00752857"/>
    <w:rsid w:val="00752AA8"/>
    <w:rsid w:val="00752AB6"/>
    <w:rsid w:val="00752AD3"/>
    <w:rsid w:val="00752B03"/>
    <w:rsid w:val="00752F62"/>
    <w:rsid w:val="00752F6D"/>
    <w:rsid w:val="0075300A"/>
    <w:rsid w:val="0075302B"/>
    <w:rsid w:val="007534CC"/>
    <w:rsid w:val="007538FB"/>
    <w:rsid w:val="00753AEC"/>
    <w:rsid w:val="00753AFB"/>
    <w:rsid w:val="00753D44"/>
    <w:rsid w:val="00753E8C"/>
    <w:rsid w:val="00754111"/>
    <w:rsid w:val="007542A3"/>
    <w:rsid w:val="0075460D"/>
    <w:rsid w:val="007548BB"/>
    <w:rsid w:val="00754C83"/>
    <w:rsid w:val="00754D10"/>
    <w:rsid w:val="0075534E"/>
    <w:rsid w:val="00755459"/>
    <w:rsid w:val="00755BCE"/>
    <w:rsid w:val="00755E71"/>
    <w:rsid w:val="00756048"/>
    <w:rsid w:val="0075627F"/>
    <w:rsid w:val="00756463"/>
    <w:rsid w:val="00756566"/>
    <w:rsid w:val="007567E5"/>
    <w:rsid w:val="0075693F"/>
    <w:rsid w:val="00756974"/>
    <w:rsid w:val="00756DF6"/>
    <w:rsid w:val="007571E5"/>
    <w:rsid w:val="0075730F"/>
    <w:rsid w:val="00757389"/>
    <w:rsid w:val="0075739E"/>
    <w:rsid w:val="00757885"/>
    <w:rsid w:val="00760066"/>
    <w:rsid w:val="00760440"/>
    <w:rsid w:val="007609C9"/>
    <w:rsid w:val="00760C0F"/>
    <w:rsid w:val="00760D15"/>
    <w:rsid w:val="00760F8D"/>
    <w:rsid w:val="00761079"/>
    <w:rsid w:val="0076117F"/>
    <w:rsid w:val="00761B08"/>
    <w:rsid w:val="00761E91"/>
    <w:rsid w:val="00761EF8"/>
    <w:rsid w:val="0076275F"/>
    <w:rsid w:val="00762FBD"/>
    <w:rsid w:val="007633E1"/>
    <w:rsid w:val="00763477"/>
    <w:rsid w:val="0076347E"/>
    <w:rsid w:val="007634D6"/>
    <w:rsid w:val="0076358B"/>
    <w:rsid w:val="0076373B"/>
    <w:rsid w:val="0076382A"/>
    <w:rsid w:val="00763BC3"/>
    <w:rsid w:val="00763C91"/>
    <w:rsid w:val="00763D1C"/>
    <w:rsid w:val="00764028"/>
    <w:rsid w:val="00764154"/>
    <w:rsid w:val="007641B3"/>
    <w:rsid w:val="0076446D"/>
    <w:rsid w:val="00764684"/>
    <w:rsid w:val="00764915"/>
    <w:rsid w:val="00764AA4"/>
    <w:rsid w:val="00764E40"/>
    <w:rsid w:val="00765046"/>
    <w:rsid w:val="0076505D"/>
    <w:rsid w:val="007652CF"/>
    <w:rsid w:val="0076534E"/>
    <w:rsid w:val="00765A9D"/>
    <w:rsid w:val="00765BF1"/>
    <w:rsid w:val="00765C17"/>
    <w:rsid w:val="00765DF8"/>
    <w:rsid w:val="00765E77"/>
    <w:rsid w:val="00765F2B"/>
    <w:rsid w:val="00765F5E"/>
    <w:rsid w:val="00766243"/>
    <w:rsid w:val="00766391"/>
    <w:rsid w:val="00766504"/>
    <w:rsid w:val="0076664C"/>
    <w:rsid w:val="00766749"/>
    <w:rsid w:val="00766C33"/>
    <w:rsid w:val="00766D28"/>
    <w:rsid w:val="00767163"/>
    <w:rsid w:val="007677E6"/>
    <w:rsid w:val="007678D0"/>
    <w:rsid w:val="007678D1"/>
    <w:rsid w:val="007679AD"/>
    <w:rsid w:val="00767A2C"/>
    <w:rsid w:val="00767C1B"/>
    <w:rsid w:val="00767CAC"/>
    <w:rsid w:val="00767CEE"/>
    <w:rsid w:val="00767D09"/>
    <w:rsid w:val="00767DF9"/>
    <w:rsid w:val="00767E9E"/>
    <w:rsid w:val="0077013B"/>
    <w:rsid w:val="007701B8"/>
    <w:rsid w:val="007702B6"/>
    <w:rsid w:val="00770CB1"/>
    <w:rsid w:val="00771226"/>
    <w:rsid w:val="007714A9"/>
    <w:rsid w:val="007716AB"/>
    <w:rsid w:val="0077191D"/>
    <w:rsid w:val="00771F76"/>
    <w:rsid w:val="00772021"/>
    <w:rsid w:val="00772085"/>
    <w:rsid w:val="00772126"/>
    <w:rsid w:val="0077221D"/>
    <w:rsid w:val="007722B7"/>
    <w:rsid w:val="00772562"/>
    <w:rsid w:val="00772993"/>
    <w:rsid w:val="00772E93"/>
    <w:rsid w:val="00773BB7"/>
    <w:rsid w:val="00773D92"/>
    <w:rsid w:val="00773EC1"/>
    <w:rsid w:val="00773F01"/>
    <w:rsid w:val="00773FB7"/>
    <w:rsid w:val="00774216"/>
    <w:rsid w:val="0077443F"/>
    <w:rsid w:val="007748D9"/>
    <w:rsid w:val="0077499E"/>
    <w:rsid w:val="00774BB2"/>
    <w:rsid w:val="00774F5A"/>
    <w:rsid w:val="00774F88"/>
    <w:rsid w:val="00774FDB"/>
    <w:rsid w:val="007752B5"/>
    <w:rsid w:val="0077533E"/>
    <w:rsid w:val="00775560"/>
    <w:rsid w:val="0077559E"/>
    <w:rsid w:val="007756B4"/>
    <w:rsid w:val="00775A60"/>
    <w:rsid w:val="00775B4A"/>
    <w:rsid w:val="0077609B"/>
    <w:rsid w:val="0077647C"/>
    <w:rsid w:val="007764A2"/>
    <w:rsid w:val="007764EF"/>
    <w:rsid w:val="0077670E"/>
    <w:rsid w:val="00776862"/>
    <w:rsid w:val="00776AB0"/>
    <w:rsid w:val="00776BF2"/>
    <w:rsid w:val="00776C86"/>
    <w:rsid w:val="00776E08"/>
    <w:rsid w:val="007776F4"/>
    <w:rsid w:val="0077778E"/>
    <w:rsid w:val="007777FF"/>
    <w:rsid w:val="0077795D"/>
    <w:rsid w:val="0077797D"/>
    <w:rsid w:val="00777B6A"/>
    <w:rsid w:val="00777BA2"/>
    <w:rsid w:val="00777BBB"/>
    <w:rsid w:val="00777FDE"/>
    <w:rsid w:val="007800F2"/>
    <w:rsid w:val="00780118"/>
    <w:rsid w:val="00780282"/>
    <w:rsid w:val="0078030B"/>
    <w:rsid w:val="007803BD"/>
    <w:rsid w:val="00780790"/>
    <w:rsid w:val="00780803"/>
    <w:rsid w:val="00780AA5"/>
    <w:rsid w:val="00781202"/>
    <w:rsid w:val="00781408"/>
    <w:rsid w:val="0078141C"/>
    <w:rsid w:val="00781BEF"/>
    <w:rsid w:val="00781E49"/>
    <w:rsid w:val="00781FD0"/>
    <w:rsid w:val="007820EA"/>
    <w:rsid w:val="00782356"/>
    <w:rsid w:val="007825EB"/>
    <w:rsid w:val="007826D5"/>
    <w:rsid w:val="00782C1A"/>
    <w:rsid w:val="00782EA7"/>
    <w:rsid w:val="00782EB5"/>
    <w:rsid w:val="00782EFC"/>
    <w:rsid w:val="00783131"/>
    <w:rsid w:val="00783142"/>
    <w:rsid w:val="007831D1"/>
    <w:rsid w:val="007834C7"/>
    <w:rsid w:val="00783534"/>
    <w:rsid w:val="007835D5"/>
    <w:rsid w:val="00783FDC"/>
    <w:rsid w:val="00784268"/>
    <w:rsid w:val="007845B1"/>
    <w:rsid w:val="00784651"/>
    <w:rsid w:val="007846E9"/>
    <w:rsid w:val="00784C93"/>
    <w:rsid w:val="00784CCE"/>
    <w:rsid w:val="00784D29"/>
    <w:rsid w:val="00784DA7"/>
    <w:rsid w:val="00784F7F"/>
    <w:rsid w:val="0078533F"/>
    <w:rsid w:val="007853DD"/>
    <w:rsid w:val="0078544D"/>
    <w:rsid w:val="0078563E"/>
    <w:rsid w:val="007856A9"/>
    <w:rsid w:val="00785757"/>
    <w:rsid w:val="00785935"/>
    <w:rsid w:val="00785CFB"/>
    <w:rsid w:val="00785D4C"/>
    <w:rsid w:val="00785F7B"/>
    <w:rsid w:val="0078620C"/>
    <w:rsid w:val="00786538"/>
    <w:rsid w:val="0078681D"/>
    <w:rsid w:val="00786A4A"/>
    <w:rsid w:val="00786F04"/>
    <w:rsid w:val="0078767B"/>
    <w:rsid w:val="00787743"/>
    <w:rsid w:val="00787894"/>
    <w:rsid w:val="007878BD"/>
    <w:rsid w:val="00787C86"/>
    <w:rsid w:val="00787FBE"/>
    <w:rsid w:val="00790056"/>
    <w:rsid w:val="007903BD"/>
    <w:rsid w:val="00790752"/>
    <w:rsid w:val="0079085E"/>
    <w:rsid w:val="00790EDC"/>
    <w:rsid w:val="0079115B"/>
    <w:rsid w:val="0079118B"/>
    <w:rsid w:val="007912CB"/>
    <w:rsid w:val="007916F4"/>
    <w:rsid w:val="00791707"/>
    <w:rsid w:val="00791838"/>
    <w:rsid w:val="007918F7"/>
    <w:rsid w:val="007919E4"/>
    <w:rsid w:val="00791A35"/>
    <w:rsid w:val="00791C7D"/>
    <w:rsid w:val="00791DE0"/>
    <w:rsid w:val="00791F9A"/>
    <w:rsid w:val="007921CB"/>
    <w:rsid w:val="007921FB"/>
    <w:rsid w:val="0079276B"/>
    <w:rsid w:val="007929AB"/>
    <w:rsid w:val="00792DA3"/>
    <w:rsid w:val="00792F51"/>
    <w:rsid w:val="00793A9D"/>
    <w:rsid w:val="00793D8C"/>
    <w:rsid w:val="00793DFD"/>
    <w:rsid w:val="0079442E"/>
    <w:rsid w:val="00794490"/>
    <w:rsid w:val="007944CA"/>
    <w:rsid w:val="00794608"/>
    <w:rsid w:val="00794D0A"/>
    <w:rsid w:val="00794D1F"/>
    <w:rsid w:val="007951F8"/>
    <w:rsid w:val="00795A19"/>
    <w:rsid w:val="00795AFC"/>
    <w:rsid w:val="007961C4"/>
    <w:rsid w:val="007965E1"/>
    <w:rsid w:val="00796833"/>
    <w:rsid w:val="00796A02"/>
    <w:rsid w:val="00796C4C"/>
    <w:rsid w:val="00796F25"/>
    <w:rsid w:val="00797676"/>
    <w:rsid w:val="007976D2"/>
    <w:rsid w:val="00797933"/>
    <w:rsid w:val="00797B41"/>
    <w:rsid w:val="00797DFB"/>
    <w:rsid w:val="00797F18"/>
    <w:rsid w:val="007A00F3"/>
    <w:rsid w:val="007A0A16"/>
    <w:rsid w:val="007A0BBD"/>
    <w:rsid w:val="007A0ED8"/>
    <w:rsid w:val="007A0EDE"/>
    <w:rsid w:val="007A102F"/>
    <w:rsid w:val="007A1074"/>
    <w:rsid w:val="007A124C"/>
    <w:rsid w:val="007A13C1"/>
    <w:rsid w:val="007A17FB"/>
    <w:rsid w:val="007A1856"/>
    <w:rsid w:val="007A1AA8"/>
    <w:rsid w:val="007A1CF3"/>
    <w:rsid w:val="007A2098"/>
    <w:rsid w:val="007A23B5"/>
    <w:rsid w:val="007A241B"/>
    <w:rsid w:val="007A2435"/>
    <w:rsid w:val="007A2565"/>
    <w:rsid w:val="007A2748"/>
    <w:rsid w:val="007A27BB"/>
    <w:rsid w:val="007A2861"/>
    <w:rsid w:val="007A2A4C"/>
    <w:rsid w:val="007A2ADC"/>
    <w:rsid w:val="007A2B62"/>
    <w:rsid w:val="007A2E98"/>
    <w:rsid w:val="007A3263"/>
    <w:rsid w:val="007A3312"/>
    <w:rsid w:val="007A35DB"/>
    <w:rsid w:val="007A3772"/>
    <w:rsid w:val="007A3796"/>
    <w:rsid w:val="007A3BA3"/>
    <w:rsid w:val="007A3BEE"/>
    <w:rsid w:val="007A4188"/>
    <w:rsid w:val="007A443D"/>
    <w:rsid w:val="007A4F06"/>
    <w:rsid w:val="007A516D"/>
    <w:rsid w:val="007A51D1"/>
    <w:rsid w:val="007A52DC"/>
    <w:rsid w:val="007A53D4"/>
    <w:rsid w:val="007A556D"/>
    <w:rsid w:val="007A55F0"/>
    <w:rsid w:val="007A58D2"/>
    <w:rsid w:val="007A591B"/>
    <w:rsid w:val="007A6023"/>
    <w:rsid w:val="007A6268"/>
    <w:rsid w:val="007A635D"/>
    <w:rsid w:val="007A65E9"/>
    <w:rsid w:val="007A66F5"/>
    <w:rsid w:val="007A6CC0"/>
    <w:rsid w:val="007A6E64"/>
    <w:rsid w:val="007A7511"/>
    <w:rsid w:val="007A78A6"/>
    <w:rsid w:val="007A7B25"/>
    <w:rsid w:val="007A7B2A"/>
    <w:rsid w:val="007A7B97"/>
    <w:rsid w:val="007A7BF4"/>
    <w:rsid w:val="007A7FEC"/>
    <w:rsid w:val="007B0284"/>
    <w:rsid w:val="007B036D"/>
    <w:rsid w:val="007B0663"/>
    <w:rsid w:val="007B0700"/>
    <w:rsid w:val="007B0928"/>
    <w:rsid w:val="007B0B47"/>
    <w:rsid w:val="007B0BCC"/>
    <w:rsid w:val="007B111C"/>
    <w:rsid w:val="007B1159"/>
    <w:rsid w:val="007B1499"/>
    <w:rsid w:val="007B1654"/>
    <w:rsid w:val="007B1BBF"/>
    <w:rsid w:val="007B1BE0"/>
    <w:rsid w:val="007B1C64"/>
    <w:rsid w:val="007B1D63"/>
    <w:rsid w:val="007B1F1B"/>
    <w:rsid w:val="007B245B"/>
    <w:rsid w:val="007B258D"/>
    <w:rsid w:val="007B2960"/>
    <w:rsid w:val="007B2A05"/>
    <w:rsid w:val="007B2D5A"/>
    <w:rsid w:val="007B2F4F"/>
    <w:rsid w:val="007B300B"/>
    <w:rsid w:val="007B33EF"/>
    <w:rsid w:val="007B355D"/>
    <w:rsid w:val="007B38D6"/>
    <w:rsid w:val="007B3992"/>
    <w:rsid w:val="007B3BC2"/>
    <w:rsid w:val="007B3CFE"/>
    <w:rsid w:val="007B453C"/>
    <w:rsid w:val="007B4644"/>
    <w:rsid w:val="007B477C"/>
    <w:rsid w:val="007B4798"/>
    <w:rsid w:val="007B49F7"/>
    <w:rsid w:val="007B516E"/>
    <w:rsid w:val="007B521D"/>
    <w:rsid w:val="007B579C"/>
    <w:rsid w:val="007B5B9C"/>
    <w:rsid w:val="007B5D20"/>
    <w:rsid w:val="007B6741"/>
    <w:rsid w:val="007B6BA8"/>
    <w:rsid w:val="007B6E82"/>
    <w:rsid w:val="007B6FDC"/>
    <w:rsid w:val="007B7180"/>
    <w:rsid w:val="007B72A8"/>
    <w:rsid w:val="007B788C"/>
    <w:rsid w:val="007B792C"/>
    <w:rsid w:val="007B7980"/>
    <w:rsid w:val="007B79A3"/>
    <w:rsid w:val="007B79CC"/>
    <w:rsid w:val="007B7A0F"/>
    <w:rsid w:val="007B7B81"/>
    <w:rsid w:val="007C00B9"/>
    <w:rsid w:val="007C062C"/>
    <w:rsid w:val="007C0658"/>
    <w:rsid w:val="007C0715"/>
    <w:rsid w:val="007C0935"/>
    <w:rsid w:val="007C0ABA"/>
    <w:rsid w:val="007C0B07"/>
    <w:rsid w:val="007C0DEF"/>
    <w:rsid w:val="007C1251"/>
    <w:rsid w:val="007C1AD3"/>
    <w:rsid w:val="007C1B20"/>
    <w:rsid w:val="007C1C4E"/>
    <w:rsid w:val="007C297B"/>
    <w:rsid w:val="007C334C"/>
    <w:rsid w:val="007C3551"/>
    <w:rsid w:val="007C370C"/>
    <w:rsid w:val="007C3770"/>
    <w:rsid w:val="007C38DB"/>
    <w:rsid w:val="007C3ACA"/>
    <w:rsid w:val="007C3B13"/>
    <w:rsid w:val="007C3B76"/>
    <w:rsid w:val="007C3E9D"/>
    <w:rsid w:val="007C473A"/>
    <w:rsid w:val="007C47C1"/>
    <w:rsid w:val="007C49B5"/>
    <w:rsid w:val="007C4C45"/>
    <w:rsid w:val="007C528A"/>
    <w:rsid w:val="007C534F"/>
    <w:rsid w:val="007C5683"/>
    <w:rsid w:val="007C56B6"/>
    <w:rsid w:val="007C584F"/>
    <w:rsid w:val="007C58F2"/>
    <w:rsid w:val="007C5A32"/>
    <w:rsid w:val="007C5D5A"/>
    <w:rsid w:val="007C5FBA"/>
    <w:rsid w:val="007C607F"/>
    <w:rsid w:val="007C610F"/>
    <w:rsid w:val="007C613D"/>
    <w:rsid w:val="007C6141"/>
    <w:rsid w:val="007C62A7"/>
    <w:rsid w:val="007C633E"/>
    <w:rsid w:val="007C658E"/>
    <w:rsid w:val="007C6819"/>
    <w:rsid w:val="007C6885"/>
    <w:rsid w:val="007C711B"/>
    <w:rsid w:val="007C7777"/>
    <w:rsid w:val="007C77FF"/>
    <w:rsid w:val="007C788A"/>
    <w:rsid w:val="007C79DD"/>
    <w:rsid w:val="007C7CA0"/>
    <w:rsid w:val="007C7CD4"/>
    <w:rsid w:val="007C7D28"/>
    <w:rsid w:val="007D027A"/>
    <w:rsid w:val="007D05C3"/>
    <w:rsid w:val="007D0DFE"/>
    <w:rsid w:val="007D1128"/>
    <w:rsid w:val="007D12F2"/>
    <w:rsid w:val="007D14FA"/>
    <w:rsid w:val="007D15D8"/>
    <w:rsid w:val="007D161D"/>
    <w:rsid w:val="007D1A97"/>
    <w:rsid w:val="007D1D8A"/>
    <w:rsid w:val="007D1FB0"/>
    <w:rsid w:val="007D207C"/>
    <w:rsid w:val="007D22A2"/>
    <w:rsid w:val="007D243C"/>
    <w:rsid w:val="007D2582"/>
    <w:rsid w:val="007D26B6"/>
    <w:rsid w:val="007D2800"/>
    <w:rsid w:val="007D2CD4"/>
    <w:rsid w:val="007D2CD6"/>
    <w:rsid w:val="007D2F77"/>
    <w:rsid w:val="007D3063"/>
    <w:rsid w:val="007D3466"/>
    <w:rsid w:val="007D381B"/>
    <w:rsid w:val="007D3A08"/>
    <w:rsid w:val="007D3CEB"/>
    <w:rsid w:val="007D4112"/>
    <w:rsid w:val="007D4113"/>
    <w:rsid w:val="007D47D9"/>
    <w:rsid w:val="007D47F8"/>
    <w:rsid w:val="007D485C"/>
    <w:rsid w:val="007D4950"/>
    <w:rsid w:val="007D4AC7"/>
    <w:rsid w:val="007D4DAC"/>
    <w:rsid w:val="007D5127"/>
    <w:rsid w:val="007D5765"/>
    <w:rsid w:val="007D57F6"/>
    <w:rsid w:val="007D5C4C"/>
    <w:rsid w:val="007D5CB6"/>
    <w:rsid w:val="007D5E1F"/>
    <w:rsid w:val="007D5F04"/>
    <w:rsid w:val="007D5F3E"/>
    <w:rsid w:val="007D602D"/>
    <w:rsid w:val="007D659D"/>
    <w:rsid w:val="007D6628"/>
    <w:rsid w:val="007D6822"/>
    <w:rsid w:val="007D68B7"/>
    <w:rsid w:val="007D6BC8"/>
    <w:rsid w:val="007D7172"/>
    <w:rsid w:val="007D7271"/>
    <w:rsid w:val="007D7894"/>
    <w:rsid w:val="007D7A42"/>
    <w:rsid w:val="007D7B0F"/>
    <w:rsid w:val="007D7B61"/>
    <w:rsid w:val="007D7C29"/>
    <w:rsid w:val="007D7F41"/>
    <w:rsid w:val="007E005E"/>
    <w:rsid w:val="007E03EE"/>
    <w:rsid w:val="007E055A"/>
    <w:rsid w:val="007E06EA"/>
    <w:rsid w:val="007E08F4"/>
    <w:rsid w:val="007E0BAD"/>
    <w:rsid w:val="007E0D19"/>
    <w:rsid w:val="007E0F6C"/>
    <w:rsid w:val="007E12BE"/>
    <w:rsid w:val="007E12C2"/>
    <w:rsid w:val="007E12CE"/>
    <w:rsid w:val="007E13BA"/>
    <w:rsid w:val="007E1423"/>
    <w:rsid w:val="007E1431"/>
    <w:rsid w:val="007E1448"/>
    <w:rsid w:val="007E1478"/>
    <w:rsid w:val="007E14F4"/>
    <w:rsid w:val="007E175F"/>
    <w:rsid w:val="007E1860"/>
    <w:rsid w:val="007E18F0"/>
    <w:rsid w:val="007E1AEE"/>
    <w:rsid w:val="007E1FBE"/>
    <w:rsid w:val="007E2523"/>
    <w:rsid w:val="007E253F"/>
    <w:rsid w:val="007E268B"/>
    <w:rsid w:val="007E28B3"/>
    <w:rsid w:val="007E28C7"/>
    <w:rsid w:val="007E2B6A"/>
    <w:rsid w:val="007E2F91"/>
    <w:rsid w:val="007E311E"/>
    <w:rsid w:val="007E3413"/>
    <w:rsid w:val="007E38A4"/>
    <w:rsid w:val="007E42B2"/>
    <w:rsid w:val="007E4378"/>
    <w:rsid w:val="007E43E1"/>
    <w:rsid w:val="007E4700"/>
    <w:rsid w:val="007E4AAB"/>
    <w:rsid w:val="007E4B7B"/>
    <w:rsid w:val="007E4BBD"/>
    <w:rsid w:val="007E4E6A"/>
    <w:rsid w:val="007E50A5"/>
    <w:rsid w:val="007E5134"/>
    <w:rsid w:val="007E5187"/>
    <w:rsid w:val="007E55F4"/>
    <w:rsid w:val="007E5605"/>
    <w:rsid w:val="007E597F"/>
    <w:rsid w:val="007E5D97"/>
    <w:rsid w:val="007E6189"/>
    <w:rsid w:val="007E6519"/>
    <w:rsid w:val="007E65C0"/>
    <w:rsid w:val="007E6806"/>
    <w:rsid w:val="007E69B3"/>
    <w:rsid w:val="007E6B17"/>
    <w:rsid w:val="007E6EB1"/>
    <w:rsid w:val="007E7092"/>
    <w:rsid w:val="007E70A6"/>
    <w:rsid w:val="007E72B9"/>
    <w:rsid w:val="007E72FE"/>
    <w:rsid w:val="007E73B7"/>
    <w:rsid w:val="007E7683"/>
    <w:rsid w:val="007E79F8"/>
    <w:rsid w:val="007E7A0B"/>
    <w:rsid w:val="007E7ACE"/>
    <w:rsid w:val="007F003B"/>
    <w:rsid w:val="007F02F8"/>
    <w:rsid w:val="007F05B5"/>
    <w:rsid w:val="007F068B"/>
    <w:rsid w:val="007F0AD6"/>
    <w:rsid w:val="007F1017"/>
    <w:rsid w:val="007F10AD"/>
    <w:rsid w:val="007F1132"/>
    <w:rsid w:val="007F123E"/>
    <w:rsid w:val="007F1736"/>
    <w:rsid w:val="007F19E5"/>
    <w:rsid w:val="007F1A09"/>
    <w:rsid w:val="007F1AE9"/>
    <w:rsid w:val="007F1E93"/>
    <w:rsid w:val="007F28AE"/>
    <w:rsid w:val="007F3132"/>
    <w:rsid w:val="007F3368"/>
    <w:rsid w:val="007F3405"/>
    <w:rsid w:val="007F3687"/>
    <w:rsid w:val="007F3BE2"/>
    <w:rsid w:val="007F3F8C"/>
    <w:rsid w:val="007F42FF"/>
    <w:rsid w:val="007F450D"/>
    <w:rsid w:val="007F4754"/>
    <w:rsid w:val="007F496B"/>
    <w:rsid w:val="007F49FA"/>
    <w:rsid w:val="007F4F3F"/>
    <w:rsid w:val="007F511C"/>
    <w:rsid w:val="007F54C4"/>
    <w:rsid w:val="007F5539"/>
    <w:rsid w:val="007F5626"/>
    <w:rsid w:val="007F5823"/>
    <w:rsid w:val="007F5D61"/>
    <w:rsid w:val="007F5DB8"/>
    <w:rsid w:val="007F5F84"/>
    <w:rsid w:val="007F5FF6"/>
    <w:rsid w:val="007F63F9"/>
    <w:rsid w:val="007F6C4F"/>
    <w:rsid w:val="007F6E9A"/>
    <w:rsid w:val="007F70EB"/>
    <w:rsid w:val="007F7122"/>
    <w:rsid w:val="007F750B"/>
    <w:rsid w:val="007F77A0"/>
    <w:rsid w:val="007F7991"/>
    <w:rsid w:val="007F799A"/>
    <w:rsid w:val="007F7F3A"/>
    <w:rsid w:val="007F7FD0"/>
    <w:rsid w:val="00800647"/>
    <w:rsid w:val="00800A7F"/>
    <w:rsid w:val="008010CB"/>
    <w:rsid w:val="00801207"/>
    <w:rsid w:val="008012DB"/>
    <w:rsid w:val="00801A74"/>
    <w:rsid w:val="00801E32"/>
    <w:rsid w:val="0080223C"/>
    <w:rsid w:val="00802241"/>
    <w:rsid w:val="008023C1"/>
    <w:rsid w:val="008023EB"/>
    <w:rsid w:val="00802497"/>
    <w:rsid w:val="0080282C"/>
    <w:rsid w:val="00802DC1"/>
    <w:rsid w:val="00802E81"/>
    <w:rsid w:val="00803392"/>
    <w:rsid w:val="0080351D"/>
    <w:rsid w:val="008035F7"/>
    <w:rsid w:val="0080370A"/>
    <w:rsid w:val="00803C2F"/>
    <w:rsid w:val="0080400A"/>
    <w:rsid w:val="00804154"/>
    <w:rsid w:val="008041DB"/>
    <w:rsid w:val="008044B0"/>
    <w:rsid w:val="008044D2"/>
    <w:rsid w:val="008044D4"/>
    <w:rsid w:val="008045DC"/>
    <w:rsid w:val="0080461D"/>
    <w:rsid w:val="00804833"/>
    <w:rsid w:val="00804971"/>
    <w:rsid w:val="008049C5"/>
    <w:rsid w:val="00804B67"/>
    <w:rsid w:val="00804C21"/>
    <w:rsid w:val="00804DA8"/>
    <w:rsid w:val="00804FE5"/>
    <w:rsid w:val="0080503C"/>
    <w:rsid w:val="0080506C"/>
    <w:rsid w:val="008050E4"/>
    <w:rsid w:val="008058BF"/>
    <w:rsid w:val="0080603B"/>
    <w:rsid w:val="00806686"/>
    <w:rsid w:val="00806835"/>
    <w:rsid w:val="00806B2F"/>
    <w:rsid w:val="00807059"/>
    <w:rsid w:val="00807620"/>
    <w:rsid w:val="0080767F"/>
    <w:rsid w:val="00807B75"/>
    <w:rsid w:val="00807CB9"/>
    <w:rsid w:val="00807DE2"/>
    <w:rsid w:val="00807ED2"/>
    <w:rsid w:val="00810445"/>
    <w:rsid w:val="00810525"/>
    <w:rsid w:val="00810AB4"/>
    <w:rsid w:val="00810CDA"/>
    <w:rsid w:val="008111D8"/>
    <w:rsid w:val="00811683"/>
    <w:rsid w:val="0081172E"/>
    <w:rsid w:val="00811ADF"/>
    <w:rsid w:val="00812140"/>
    <w:rsid w:val="008121E9"/>
    <w:rsid w:val="0081299A"/>
    <w:rsid w:val="00812CB3"/>
    <w:rsid w:val="008131EB"/>
    <w:rsid w:val="008135E0"/>
    <w:rsid w:val="00813712"/>
    <w:rsid w:val="00813809"/>
    <w:rsid w:val="00813B6B"/>
    <w:rsid w:val="00813CCB"/>
    <w:rsid w:val="00813DA8"/>
    <w:rsid w:val="008140F7"/>
    <w:rsid w:val="00814272"/>
    <w:rsid w:val="008142E4"/>
    <w:rsid w:val="0081444A"/>
    <w:rsid w:val="00814452"/>
    <w:rsid w:val="0081474A"/>
    <w:rsid w:val="00814B62"/>
    <w:rsid w:val="00814CF1"/>
    <w:rsid w:val="00814D40"/>
    <w:rsid w:val="00814D4D"/>
    <w:rsid w:val="00814DA0"/>
    <w:rsid w:val="00815112"/>
    <w:rsid w:val="00815463"/>
    <w:rsid w:val="00815878"/>
    <w:rsid w:val="00815CD2"/>
    <w:rsid w:val="00815D46"/>
    <w:rsid w:val="00815E58"/>
    <w:rsid w:val="008161DE"/>
    <w:rsid w:val="008163AE"/>
    <w:rsid w:val="00816703"/>
    <w:rsid w:val="00816923"/>
    <w:rsid w:val="00817176"/>
    <w:rsid w:val="008171A2"/>
    <w:rsid w:val="0081737B"/>
    <w:rsid w:val="00817862"/>
    <w:rsid w:val="00817B56"/>
    <w:rsid w:val="00817DB8"/>
    <w:rsid w:val="00817DF1"/>
    <w:rsid w:val="008200CC"/>
    <w:rsid w:val="0082023C"/>
    <w:rsid w:val="00820B1D"/>
    <w:rsid w:val="00820EA0"/>
    <w:rsid w:val="00821113"/>
    <w:rsid w:val="00821645"/>
    <w:rsid w:val="00821994"/>
    <w:rsid w:val="00821A88"/>
    <w:rsid w:val="0082214D"/>
    <w:rsid w:val="00822330"/>
    <w:rsid w:val="0082264C"/>
    <w:rsid w:val="00822711"/>
    <w:rsid w:val="00822819"/>
    <w:rsid w:val="00822830"/>
    <w:rsid w:val="00822915"/>
    <w:rsid w:val="00822964"/>
    <w:rsid w:val="00822EEA"/>
    <w:rsid w:val="008233A7"/>
    <w:rsid w:val="008234B1"/>
    <w:rsid w:val="008238FA"/>
    <w:rsid w:val="008239E7"/>
    <w:rsid w:val="00823AF4"/>
    <w:rsid w:val="00823C1E"/>
    <w:rsid w:val="00823F9C"/>
    <w:rsid w:val="00823FB3"/>
    <w:rsid w:val="00824291"/>
    <w:rsid w:val="0082440C"/>
    <w:rsid w:val="00824744"/>
    <w:rsid w:val="0082495D"/>
    <w:rsid w:val="00824E79"/>
    <w:rsid w:val="00824F96"/>
    <w:rsid w:val="008255EA"/>
    <w:rsid w:val="00825AAC"/>
    <w:rsid w:val="00825B70"/>
    <w:rsid w:val="00825C58"/>
    <w:rsid w:val="00825C69"/>
    <w:rsid w:val="00825E73"/>
    <w:rsid w:val="00825F78"/>
    <w:rsid w:val="00825F8D"/>
    <w:rsid w:val="00825FA5"/>
    <w:rsid w:val="00826240"/>
    <w:rsid w:val="00826641"/>
    <w:rsid w:val="00826875"/>
    <w:rsid w:val="00826B12"/>
    <w:rsid w:val="00826B48"/>
    <w:rsid w:val="008271C5"/>
    <w:rsid w:val="00827223"/>
    <w:rsid w:val="00827819"/>
    <w:rsid w:val="008278FE"/>
    <w:rsid w:val="008279B2"/>
    <w:rsid w:val="00827CCE"/>
    <w:rsid w:val="00827ECA"/>
    <w:rsid w:val="00827F49"/>
    <w:rsid w:val="008300DC"/>
    <w:rsid w:val="008300F1"/>
    <w:rsid w:val="00830163"/>
    <w:rsid w:val="008303E9"/>
    <w:rsid w:val="008305CA"/>
    <w:rsid w:val="00830B72"/>
    <w:rsid w:val="00830C1C"/>
    <w:rsid w:val="00831133"/>
    <w:rsid w:val="00831199"/>
    <w:rsid w:val="008316D0"/>
    <w:rsid w:val="00831AC3"/>
    <w:rsid w:val="008320A3"/>
    <w:rsid w:val="008321DA"/>
    <w:rsid w:val="00832283"/>
    <w:rsid w:val="0083252D"/>
    <w:rsid w:val="008327B5"/>
    <w:rsid w:val="00832943"/>
    <w:rsid w:val="00832CC8"/>
    <w:rsid w:val="00832F27"/>
    <w:rsid w:val="008333AE"/>
    <w:rsid w:val="008333F6"/>
    <w:rsid w:val="00833401"/>
    <w:rsid w:val="00833486"/>
    <w:rsid w:val="008334DF"/>
    <w:rsid w:val="008334F7"/>
    <w:rsid w:val="0083362E"/>
    <w:rsid w:val="00833A64"/>
    <w:rsid w:val="00833CE3"/>
    <w:rsid w:val="008343CD"/>
    <w:rsid w:val="00834714"/>
    <w:rsid w:val="00834858"/>
    <w:rsid w:val="00834A60"/>
    <w:rsid w:val="008350AA"/>
    <w:rsid w:val="008351BE"/>
    <w:rsid w:val="00835321"/>
    <w:rsid w:val="00835516"/>
    <w:rsid w:val="008357C1"/>
    <w:rsid w:val="0083582F"/>
    <w:rsid w:val="008358AF"/>
    <w:rsid w:val="00835B1B"/>
    <w:rsid w:val="00835B8C"/>
    <w:rsid w:val="00835E98"/>
    <w:rsid w:val="008360E3"/>
    <w:rsid w:val="0083614A"/>
    <w:rsid w:val="00836180"/>
    <w:rsid w:val="00836444"/>
    <w:rsid w:val="0083652C"/>
    <w:rsid w:val="00836917"/>
    <w:rsid w:val="00836BD4"/>
    <w:rsid w:val="00836BEE"/>
    <w:rsid w:val="00836D7C"/>
    <w:rsid w:val="00836F0E"/>
    <w:rsid w:val="00836F27"/>
    <w:rsid w:val="008370E8"/>
    <w:rsid w:val="008371CC"/>
    <w:rsid w:val="0083739F"/>
    <w:rsid w:val="00837E8A"/>
    <w:rsid w:val="008402D6"/>
    <w:rsid w:val="00840579"/>
    <w:rsid w:val="008408FF"/>
    <w:rsid w:val="00840966"/>
    <w:rsid w:val="00840A6D"/>
    <w:rsid w:val="00840E03"/>
    <w:rsid w:val="008410C6"/>
    <w:rsid w:val="0084138C"/>
    <w:rsid w:val="008413A9"/>
    <w:rsid w:val="008415EF"/>
    <w:rsid w:val="00841827"/>
    <w:rsid w:val="00841D32"/>
    <w:rsid w:val="00841D41"/>
    <w:rsid w:val="00841EE3"/>
    <w:rsid w:val="00842071"/>
    <w:rsid w:val="0084242D"/>
    <w:rsid w:val="008424FA"/>
    <w:rsid w:val="0084259A"/>
    <w:rsid w:val="008428A7"/>
    <w:rsid w:val="008428E0"/>
    <w:rsid w:val="008428F8"/>
    <w:rsid w:val="00842CA1"/>
    <w:rsid w:val="00843027"/>
    <w:rsid w:val="00843160"/>
    <w:rsid w:val="008434D7"/>
    <w:rsid w:val="00843550"/>
    <w:rsid w:val="00843C96"/>
    <w:rsid w:val="00843E8B"/>
    <w:rsid w:val="00843EC1"/>
    <w:rsid w:val="0084401C"/>
    <w:rsid w:val="008441D8"/>
    <w:rsid w:val="008442E4"/>
    <w:rsid w:val="008444AE"/>
    <w:rsid w:val="008444F6"/>
    <w:rsid w:val="008445FB"/>
    <w:rsid w:val="00844615"/>
    <w:rsid w:val="008446E0"/>
    <w:rsid w:val="00844848"/>
    <w:rsid w:val="00844869"/>
    <w:rsid w:val="00844B52"/>
    <w:rsid w:val="00844FAD"/>
    <w:rsid w:val="008450FA"/>
    <w:rsid w:val="0084523B"/>
    <w:rsid w:val="0084530D"/>
    <w:rsid w:val="00845ABE"/>
    <w:rsid w:val="00845BC5"/>
    <w:rsid w:val="008460FB"/>
    <w:rsid w:val="008464F0"/>
    <w:rsid w:val="00846B03"/>
    <w:rsid w:val="00846B14"/>
    <w:rsid w:val="00846BC3"/>
    <w:rsid w:val="00846D44"/>
    <w:rsid w:val="0084740B"/>
    <w:rsid w:val="008474E3"/>
    <w:rsid w:val="0084769C"/>
    <w:rsid w:val="008477CF"/>
    <w:rsid w:val="0084784C"/>
    <w:rsid w:val="008478B4"/>
    <w:rsid w:val="00847C59"/>
    <w:rsid w:val="00847DBE"/>
    <w:rsid w:val="00847DCA"/>
    <w:rsid w:val="0085004E"/>
    <w:rsid w:val="008504DB"/>
    <w:rsid w:val="008506FD"/>
    <w:rsid w:val="008507E2"/>
    <w:rsid w:val="00850A15"/>
    <w:rsid w:val="00850A4B"/>
    <w:rsid w:val="00850AAB"/>
    <w:rsid w:val="00850D5F"/>
    <w:rsid w:val="00850DC3"/>
    <w:rsid w:val="00851C18"/>
    <w:rsid w:val="00851F3F"/>
    <w:rsid w:val="00851F6D"/>
    <w:rsid w:val="00852337"/>
    <w:rsid w:val="008523B8"/>
    <w:rsid w:val="00852665"/>
    <w:rsid w:val="00852C8A"/>
    <w:rsid w:val="00852E08"/>
    <w:rsid w:val="0085303F"/>
    <w:rsid w:val="008530D3"/>
    <w:rsid w:val="00853AAB"/>
    <w:rsid w:val="00853E3C"/>
    <w:rsid w:val="00853E51"/>
    <w:rsid w:val="00853FE1"/>
    <w:rsid w:val="008540D9"/>
    <w:rsid w:val="008540E9"/>
    <w:rsid w:val="00854343"/>
    <w:rsid w:val="00854387"/>
    <w:rsid w:val="008543DB"/>
    <w:rsid w:val="00854677"/>
    <w:rsid w:val="00854CE2"/>
    <w:rsid w:val="00854D88"/>
    <w:rsid w:val="00854F23"/>
    <w:rsid w:val="0085542A"/>
    <w:rsid w:val="00855E0A"/>
    <w:rsid w:val="00855F83"/>
    <w:rsid w:val="00856119"/>
    <w:rsid w:val="0085663C"/>
    <w:rsid w:val="00856665"/>
    <w:rsid w:val="00856A0D"/>
    <w:rsid w:val="00856C29"/>
    <w:rsid w:val="00856CF1"/>
    <w:rsid w:val="00856E1C"/>
    <w:rsid w:val="00856EDC"/>
    <w:rsid w:val="00857723"/>
    <w:rsid w:val="00857852"/>
    <w:rsid w:val="008579AB"/>
    <w:rsid w:val="008600BF"/>
    <w:rsid w:val="008600FC"/>
    <w:rsid w:val="008602F8"/>
    <w:rsid w:val="008606C8"/>
    <w:rsid w:val="00860A5A"/>
    <w:rsid w:val="00860AE2"/>
    <w:rsid w:val="00860C31"/>
    <w:rsid w:val="00860DF2"/>
    <w:rsid w:val="00860E87"/>
    <w:rsid w:val="00860E95"/>
    <w:rsid w:val="00860F70"/>
    <w:rsid w:val="00860FE8"/>
    <w:rsid w:val="008610D7"/>
    <w:rsid w:val="00861370"/>
    <w:rsid w:val="008614FE"/>
    <w:rsid w:val="008616F7"/>
    <w:rsid w:val="008618A9"/>
    <w:rsid w:val="00861AED"/>
    <w:rsid w:val="00861CD2"/>
    <w:rsid w:val="008623B5"/>
    <w:rsid w:val="008624E0"/>
    <w:rsid w:val="00862758"/>
    <w:rsid w:val="00862900"/>
    <w:rsid w:val="0086290F"/>
    <w:rsid w:val="00862B0E"/>
    <w:rsid w:val="00862B6F"/>
    <w:rsid w:val="00862DF4"/>
    <w:rsid w:val="00863251"/>
    <w:rsid w:val="00863342"/>
    <w:rsid w:val="0086351E"/>
    <w:rsid w:val="00863A8A"/>
    <w:rsid w:val="00863B49"/>
    <w:rsid w:val="00863CB0"/>
    <w:rsid w:val="00863CCC"/>
    <w:rsid w:val="00863D68"/>
    <w:rsid w:val="00863DA4"/>
    <w:rsid w:val="00863DCF"/>
    <w:rsid w:val="00863E31"/>
    <w:rsid w:val="00863E78"/>
    <w:rsid w:val="00863F47"/>
    <w:rsid w:val="008641A5"/>
    <w:rsid w:val="008643C3"/>
    <w:rsid w:val="0086445B"/>
    <w:rsid w:val="00864463"/>
    <w:rsid w:val="00864A2F"/>
    <w:rsid w:val="00864CAA"/>
    <w:rsid w:val="00864FEF"/>
    <w:rsid w:val="00865143"/>
    <w:rsid w:val="00865494"/>
    <w:rsid w:val="00865651"/>
    <w:rsid w:val="008656CF"/>
    <w:rsid w:val="008656D6"/>
    <w:rsid w:val="0086582B"/>
    <w:rsid w:val="00865B39"/>
    <w:rsid w:val="00866476"/>
    <w:rsid w:val="00866634"/>
    <w:rsid w:val="00866D3B"/>
    <w:rsid w:val="0086702B"/>
    <w:rsid w:val="008677DE"/>
    <w:rsid w:val="00867B5C"/>
    <w:rsid w:val="00867C96"/>
    <w:rsid w:val="00867EE8"/>
    <w:rsid w:val="008705FA"/>
    <w:rsid w:val="00870937"/>
    <w:rsid w:val="00870ABA"/>
    <w:rsid w:val="00870AFB"/>
    <w:rsid w:val="00870C2D"/>
    <w:rsid w:val="00870E53"/>
    <w:rsid w:val="00870F63"/>
    <w:rsid w:val="00870FA6"/>
    <w:rsid w:val="0087107B"/>
    <w:rsid w:val="008710E1"/>
    <w:rsid w:val="008712BC"/>
    <w:rsid w:val="008713AA"/>
    <w:rsid w:val="008716E5"/>
    <w:rsid w:val="008717CB"/>
    <w:rsid w:val="008720AB"/>
    <w:rsid w:val="008720FB"/>
    <w:rsid w:val="00872284"/>
    <w:rsid w:val="0087232C"/>
    <w:rsid w:val="008724DB"/>
    <w:rsid w:val="00872A8A"/>
    <w:rsid w:val="00872AFA"/>
    <w:rsid w:val="00872F04"/>
    <w:rsid w:val="008731FB"/>
    <w:rsid w:val="00873BC3"/>
    <w:rsid w:val="00873ED0"/>
    <w:rsid w:val="008743BE"/>
    <w:rsid w:val="008749FA"/>
    <w:rsid w:val="00874FB3"/>
    <w:rsid w:val="00874FEB"/>
    <w:rsid w:val="00875115"/>
    <w:rsid w:val="008752B3"/>
    <w:rsid w:val="0087540E"/>
    <w:rsid w:val="008754C7"/>
    <w:rsid w:val="00875697"/>
    <w:rsid w:val="00875861"/>
    <w:rsid w:val="0087589C"/>
    <w:rsid w:val="00875938"/>
    <w:rsid w:val="00875A0C"/>
    <w:rsid w:val="00875AEB"/>
    <w:rsid w:val="00875C5D"/>
    <w:rsid w:val="008765F6"/>
    <w:rsid w:val="008766C2"/>
    <w:rsid w:val="00876A2C"/>
    <w:rsid w:val="00876BF5"/>
    <w:rsid w:val="00876CC0"/>
    <w:rsid w:val="008773B4"/>
    <w:rsid w:val="00877515"/>
    <w:rsid w:val="008775B2"/>
    <w:rsid w:val="00877627"/>
    <w:rsid w:val="00877807"/>
    <w:rsid w:val="008778A6"/>
    <w:rsid w:val="008779D5"/>
    <w:rsid w:val="00877A7D"/>
    <w:rsid w:val="00877FF2"/>
    <w:rsid w:val="008800F9"/>
    <w:rsid w:val="00880180"/>
    <w:rsid w:val="00880204"/>
    <w:rsid w:val="00880248"/>
    <w:rsid w:val="008803FE"/>
    <w:rsid w:val="0088083A"/>
    <w:rsid w:val="00880DF5"/>
    <w:rsid w:val="00880F09"/>
    <w:rsid w:val="00880F8A"/>
    <w:rsid w:val="00881094"/>
    <w:rsid w:val="008812E7"/>
    <w:rsid w:val="008818A6"/>
    <w:rsid w:val="00881CA9"/>
    <w:rsid w:val="00881E4A"/>
    <w:rsid w:val="008822D5"/>
    <w:rsid w:val="008823DA"/>
    <w:rsid w:val="00882C33"/>
    <w:rsid w:val="00882E17"/>
    <w:rsid w:val="00883441"/>
    <w:rsid w:val="0088347D"/>
    <w:rsid w:val="00883511"/>
    <w:rsid w:val="00883628"/>
    <w:rsid w:val="00883A72"/>
    <w:rsid w:val="00883B95"/>
    <w:rsid w:val="00883E7F"/>
    <w:rsid w:val="00884089"/>
    <w:rsid w:val="008841D0"/>
    <w:rsid w:val="008843E8"/>
    <w:rsid w:val="0088444E"/>
    <w:rsid w:val="008846EB"/>
    <w:rsid w:val="0088477E"/>
    <w:rsid w:val="00884DC9"/>
    <w:rsid w:val="00884DF1"/>
    <w:rsid w:val="008854C3"/>
    <w:rsid w:val="00885544"/>
    <w:rsid w:val="008855C2"/>
    <w:rsid w:val="00886039"/>
    <w:rsid w:val="008862A9"/>
    <w:rsid w:val="0088634E"/>
    <w:rsid w:val="008863B5"/>
    <w:rsid w:val="008863B6"/>
    <w:rsid w:val="008867A7"/>
    <w:rsid w:val="00886BCC"/>
    <w:rsid w:val="008873B7"/>
    <w:rsid w:val="008874EC"/>
    <w:rsid w:val="00887644"/>
    <w:rsid w:val="0088767A"/>
    <w:rsid w:val="00887717"/>
    <w:rsid w:val="008877B6"/>
    <w:rsid w:val="00887A04"/>
    <w:rsid w:val="00887A6A"/>
    <w:rsid w:val="00887AC2"/>
    <w:rsid w:val="00887B0F"/>
    <w:rsid w:val="00887BC0"/>
    <w:rsid w:val="00887C01"/>
    <w:rsid w:val="00887EB0"/>
    <w:rsid w:val="00890124"/>
    <w:rsid w:val="0089037B"/>
    <w:rsid w:val="008907A1"/>
    <w:rsid w:val="008909A5"/>
    <w:rsid w:val="008909F8"/>
    <w:rsid w:val="00890A25"/>
    <w:rsid w:val="00890AD1"/>
    <w:rsid w:val="00890D09"/>
    <w:rsid w:val="00890D68"/>
    <w:rsid w:val="00890D6F"/>
    <w:rsid w:val="00890F31"/>
    <w:rsid w:val="00890FAA"/>
    <w:rsid w:val="008910C4"/>
    <w:rsid w:val="00891108"/>
    <w:rsid w:val="008911CF"/>
    <w:rsid w:val="00891269"/>
    <w:rsid w:val="0089137E"/>
    <w:rsid w:val="00891392"/>
    <w:rsid w:val="00891BA1"/>
    <w:rsid w:val="0089221C"/>
    <w:rsid w:val="00892441"/>
    <w:rsid w:val="00892897"/>
    <w:rsid w:val="00892B79"/>
    <w:rsid w:val="008938DE"/>
    <w:rsid w:val="00893AB8"/>
    <w:rsid w:val="00893DA2"/>
    <w:rsid w:val="00894245"/>
    <w:rsid w:val="00894562"/>
    <w:rsid w:val="0089456D"/>
    <w:rsid w:val="00894B28"/>
    <w:rsid w:val="00894C13"/>
    <w:rsid w:val="00894D74"/>
    <w:rsid w:val="00895439"/>
    <w:rsid w:val="00895713"/>
    <w:rsid w:val="008959AD"/>
    <w:rsid w:val="00895B92"/>
    <w:rsid w:val="00895BBC"/>
    <w:rsid w:val="00895D37"/>
    <w:rsid w:val="00895D88"/>
    <w:rsid w:val="008964D6"/>
    <w:rsid w:val="0089696A"/>
    <w:rsid w:val="00896BAC"/>
    <w:rsid w:val="00896CB6"/>
    <w:rsid w:val="00896E1C"/>
    <w:rsid w:val="0089706B"/>
    <w:rsid w:val="00897427"/>
    <w:rsid w:val="0089742B"/>
    <w:rsid w:val="00897D25"/>
    <w:rsid w:val="00897E53"/>
    <w:rsid w:val="00897EBE"/>
    <w:rsid w:val="008A01A0"/>
    <w:rsid w:val="008A04C8"/>
    <w:rsid w:val="008A08D8"/>
    <w:rsid w:val="008A0B01"/>
    <w:rsid w:val="008A0FFB"/>
    <w:rsid w:val="008A11E4"/>
    <w:rsid w:val="008A13E2"/>
    <w:rsid w:val="008A1478"/>
    <w:rsid w:val="008A1527"/>
    <w:rsid w:val="008A1555"/>
    <w:rsid w:val="008A1838"/>
    <w:rsid w:val="008A199D"/>
    <w:rsid w:val="008A1A2A"/>
    <w:rsid w:val="008A1AA9"/>
    <w:rsid w:val="008A1D3E"/>
    <w:rsid w:val="008A1D8B"/>
    <w:rsid w:val="008A1FCC"/>
    <w:rsid w:val="008A2164"/>
    <w:rsid w:val="008A21A4"/>
    <w:rsid w:val="008A2282"/>
    <w:rsid w:val="008A2387"/>
    <w:rsid w:val="008A2417"/>
    <w:rsid w:val="008A2740"/>
    <w:rsid w:val="008A29E2"/>
    <w:rsid w:val="008A2C2D"/>
    <w:rsid w:val="008A2CE1"/>
    <w:rsid w:val="008A310E"/>
    <w:rsid w:val="008A3150"/>
    <w:rsid w:val="008A3189"/>
    <w:rsid w:val="008A31E6"/>
    <w:rsid w:val="008A36DA"/>
    <w:rsid w:val="008A3933"/>
    <w:rsid w:val="008A3954"/>
    <w:rsid w:val="008A3C29"/>
    <w:rsid w:val="008A3C75"/>
    <w:rsid w:val="008A3F77"/>
    <w:rsid w:val="008A40B1"/>
    <w:rsid w:val="008A40B8"/>
    <w:rsid w:val="008A497B"/>
    <w:rsid w:val="008A4A0E"/>
    <w:rsid w:val="008A4A5F"/>
    <w:rsid w:val="008A4C36"/>
    <w:rsid w:val="008A508A"/>
    <w:rsid w:val="008A5560"/>
    <w:rsid w:val="008A5654"/>
    <w:rsid w:val="008A5A14"/>
    <w:rsid w:val="008A5BD0"/>
    <w:rsid w:val="008A5BE7"/>
    <w:rsid w:val="008A5CE5"/>
    <w:rsid w:val="008A6461"/>
    <w:rsid w:val="008A6603"/>
    <w:rsid w:val="008A6913"/>
    <w:rsid w:val="008A69FA"/>
    <w:rsid w:val="008A6A03"/>
    <w:rsid w:val="008A6B8A"/>
    <w:rsid w:val="008A6F3D"/>
    <w:rsid w:val="008A7644"/>
    <w:rsid w:val="008A766D"/>
    <w:rsid w:val="008A77A4"/>
    <w:rsid w:val="008A7B76"/>
    <w:rsid w:val="008A7D92"/>
    <w:rsid w:val="008B0279"/>
    <w:rsid w:val="008B02A6"/>
    <w:rsid w:val="008B0328"/>
    <w:rsid w:val="008B03FE"/>
    <w:rsid w:val="008B04DA"/>
    <w:rsid w:val="008B0AC9"/>
    <w:rsid w:val="008B0C76"/>
    <w:rsid w:val="008B0DEE"/>
    <w:rsid w:val="008B0F44"/>
    <w:rsid w:val="008B12DF"/>
    <w:rsid w:val="008B1311"/>
    <w:rsid w:val="008B1A75"/>
    <w:rsid w:val="008B1BC2"/>
    <w:rsid w:val="008B1CA4"/>
    <w:rsid w:val="008B1F99"/>
    <w:rsid w:val="008B1FCC"/>
    <w:rsid w:val="008B211A"/>
    <w:rsid w:val="008B22C5"/>
    <w:rsid w:val="008B2316"/>
    <w:rsid w:val="008B24C3"/>
    <w:rsid w:val="008B257B"/>
    <w:rsid w:val="008B28B0"/>
    <w:rsid w:val="008B2B2F"/>
    <w:rsid w:val="008B2C3F"/>
    <w:rsid w:val="008B3020"/>
    <w:rsid w:val="008B303A"/>
    <w:rsid w:val="008B31C6"/>
    <w:rsid w:val="008B3773"/>
    <w:rsid w:val="008B3780"/>
    <w:rsid w:val="008B37E3"/>
    <w:rsid w:val="008B39CC"/>
    <w:rsid w:val="008B3B0B"/>
    <w:rsid w:val="008B3EEB"/>
    <w:rsid w:val="008B426F"/>
    <w:rsid w:val="008B4559"/>
    <w:rsid w:val="008B48CC"/>
    <w:rsid w:val="008B4921"/>
    <w:rsid w:val="008B4A81"/>
    <w:rsid w:val="008B4B60"/>
    <w:rsid w:val="008B500B"/>
    <w:rsid w:val="008B50ED"/>
    <w:rsid w:val="008B5136"/>
    <w:rsid w:val="008B5168"/>
    <w:rsid w:val="008B5679"/>
    <w:rsid w:val="008B57CC"/>
    <w:rsid w:val="008B58B1"/>
    <w:rsid w:val="008B5BEB"/>
    <w:rsid w:val="008B5BF8"/>
    <w:rsid w:val="008B5C1E"/>
    <w:rsid w:val="008B5D16"/>
    <w:rsid w:val="008B6833"/>
    <w:rsid w:val="008B6C32"/>
    <w:rsid w:val="008B6ECD"/>
    <w:rsid w:val="008B6F4A"/>
    <w:rsid w:val="008B7078"/>
    <w:rsid w:val="008B70F3"/>
    <w:rsid w:val="008B71C4"/>
    <w:rsid w:val="008B76DF"/>
    <w:rsid w:val="008B77BF"/>
    <w:rsid w:val="008B78AF"/>
    <w:rsid w:val="008B78D9"/>
    <w:rsid w:val="008C0086"/>
    <w:rsid w:val="008C0297"/>
    <w:rsid w:val="008C034E"/>
    <w:rsid w:val="008C0480"/>
    <w:rsid w:val="008C05BE"/>
    <w:rsid w:val="008C07D0"/>
    <w:rsid w:val="008C089F"/>
    <w:rsid w:val="008C0D15"/>
    <w:rsid w:val="008C0F1F"/>
    <w:rsid w:val="008C10F4"/>
    <w:rsid w:val="008C1211"/>
    <w:rsid w:val="008C12B3"/>
    <w:rsid w:val="008C1435"/>
    <w:rsid w:val="008C1E54"/>
    <w:rsid w:val="008C2019"/>
    <w:rsid w:val="008C20BC"/>
    <w:rsid w:val="008C2207"/>
    <w:rsid w:val="008C226E"/>
    <w:rsid w:val="008C29CE"/>
    <w:rsid w:val="008C2ACA"/>
    <w:rsid w:val="008C2E1D"/>
    <w:rsid w:val="008C2FB9"/>
    <w:rsid w:val="008C3242"/>
    <w:rsid w:val="008C34AD"/>
    <w:rsid w:val="008C390E"/>
    <w:rsid w:val="008C3BCF"/>
    <w:rsid w:val="008C3C62"/>
    <w:rsid w:val="008C4219"/>
    <w:rsid w:val="008C44DD"/>
    <w:rsid w:val="008C4634"/>
    <w:rsid w:val="008C4757"/>
    <w:rsid w:val="008C4798"/>
    <w:rsid w:val="008C490A"/>
    <w:rsid w:val="008C5122"/>
    <w:rsid w:val="008C53F6"/>
    <w:rsid w:val="008C5833"/>
    <w:rsid w:val="008C61B7"/>
    <w:rsid w:val="008C6389"/>
    <w:rsid w:val="008C640E"/>
    <w:rsid w:val="008C65F7"/>
    <w:rsid w:val="008C6674"/>
    <w:rsid w:val="008C66C2"/>
    <w:rsid w:val="008C6D61"/>
    <w:rsid w:val="008C6FCE"/>
    <w:rsid w:val="008C717C"/>
    <w:rsid w:val="008C731A"/>
    <w:rsid w:val="008C74A4"/>
    <w:rsid w:val="008C752F"/>
    <w:rsid w:val="008C76B5"/>
    <w:rsid w:val="008C7725"/>
    <w:rsid w:val="008C7C77"/>
    <w:rsid w:val="008C7ECA"/>
    <w:rsid w:val="008D0125"/>
    <w:rsid w:val="008D0389"/>
    <w:rsid w:val="008D04BA"/>
    <w:rsid w:val="008D08DB"/>
    <w:rsid w:val="008D094F"/>
    <w:rsid w:val="008D0C09"/>
    <w:rsid w:val="008D0C2F"/>
    <w:rsid w:val="008D0DAE"/>
    <w:rsid w:val="008D10FA"/>
    <w:rsid w:val="008D148B"/>
    <w:rsid w:val="008D14A9"/>
    <w:rsid w:val="008D15BC"/>
    <w:rsid w:val="008D17B2"/>
    <w:rsid w:val="008D1B09"/>
    <w:rsid w:val="008D1CD6"/>
    <w:rsid w:val="008D1E9D"/>
    <w:rsid w:val="008D1F40"/>
    <w:rsid w:val="008D1FE9"/>
    <w:rsid w:val="008D21FC"/>
    <w:rsid w:val="008D2306"/>
    <w:rsid w:val="008D2392"/>
    <w:rsid w:val="008D2883"/>
    <w:rsid w:val="008D2BA4"/>
    <w:rsid w:val="008D2C91"/>
    <w:rsid w:val="008D2ECB"/>
    <w:rsid w:val="008D2F9F"/>
    <w:rsid w:val="008D3021"/>
    <w:rsid w:val="008D3118"/>
    <w:rsid w:val="008D319F"/>
    <w:rsid w:val="008D31BB"/>
    <w:rsid w:val="008D331E"/>
    <w:rsid w:val="008D375E"/>
    <w:rsid w:val="008D3E7B"/>
    <w:rsid w:val="008D3FDC"/>
    <w:rsid w:val="008D4183"/>
    <w:rsid w:val="008D47CE"/>
    <w:rsid w:val="008D4884"/>
    <w:rsid w:val="008D4926"/>
    <w:rsid w:val="008D5491"/>
    <w:rsid w:val="008D54A0"/>
    <w:rsid w:val="008D58AC"/>
    <w:rsid w:val="008D596D"/>
    <w:rsid w:val="008D6027"/>
    <w:rsid w:val="008D6184"/>
    <w:rsid w:val="008D65A3"/>
    <w:rsid w:val="008D6620"/>
    <w:rsid w:val="008D664E"/>
    <w:rsid w:val="008D6737"/>
    <w:rsid w:val="008D67AD"/>
    <w:rsid w:val="008D6A3E"/>
    <w:rsid w:val="008D6AAC"/>
    <w:rsid w:val="008D7241"/>
    <w:rsid w:val="008D7450"/>
    <w:rsid w:val="008D74BE"/>
    <w:rsid w:val="008D78B9"/>
    <w:rsid w:val="008D7C66"/>
    <w:rsid w:val="008D7F7A"/>
    <w:rsid w:val="008E072E"/>
    <w:rsid w:val="008E0D94"/>
    <w:rsid w:val="008E0FD5"/>
    <w:rsid w:val="008E0FDB"/>
    <w:rsid w:val="008E1145"/>
    <w:rsid w:val="008E18DD"/>
    <w:rsid w:val="008E1BC4"/>
    <w:rsid w:val="008E1EE8"/>
    <w:rsid w:val="008E20C3"/>
    <w:rsid w:val="008E2269"/>
    <w:rsid w:val="008E2B0A"/>
    <w:rsid w:val="008E2B10"/>
    <w:rsid w:val="008E2D22"/>
    <w:rsid w:val="008E2D5A"/>
    <w:rsid w:val="008E3089"/>
    <w:rsid w:val="008E32DB"/>
    <w:rsid w:val="008E3578"/>
    <w:rsid w:val="008E3660"/>
    <w:rsid w:val="008E3D4E"/>
    <w:rsid w:val="008E40E0"/>
    <w:rsid w:val="008E4106"/>
    <w:rsid w:val="008E418E"/>
    <w:rsid w:val="008E4500"/>
    <w:rsid w:val="008E4767"/>
    <w:rsid w:val="008E4A5B"/>
    <w:rsid w:val="008E546C"/>
    <w:rsid w:val="008E62B5"/>
    <w:rsid w:val="008E6685"/>
    <w:rsid w:val="008E6A97"/>
    <w:rsid w:val="008E6D05"/>
    <w:rsid w:val="008E7142"/>
    <w:rsid w:val="008E7319"/>
    <w:rsid w:val="008E7585"/>
    <w:rsid w:val="008E77B0"/>
    <w:rsid w:val="008E78DC"/>
    <w:rsid w:val="008E7A8C"/>
    <w:rsid w:val="008E7F61"/>
    <w:rsid w:val="008F03F4"/>
    <w:rsid w:val="008F041B"/>
    <w:rsid w:val="008F089F"/>
    <w:rsid w:val="008F0CFA"/>
    <w:rsid w:val="008F0D2F"/>
    <w:rsid w:val="008F0DA6"/>
    <w:rsid w:val="008F1305"/>
    <w:rsid w:val="008F1416"/>
    <w:rsid w:val="008F1982"/>
    <w:rsid w:val="008F1D98"/>
    <w:rsid w:val="008F1DC2"/>
    <w:rsid w:val="008F1F5D"/>
    <w:rsid w:val="008F2155"/>
    <w:rsid w:val="008F243E"/>
    <w:rsid w:val="008F2A30"/>
    <w:rsid w:val="008F2ABD"/>
    <w:rsid w:val="008F2CBC"/>
    <w:rsid w:val="008F2D70"/>
    <w:rsid w:val="008F2FD1"/>
    <w:rsid w:val="008F3280"/>
    <w:rsid w:val="008F3722"/>
    <w:rsid w:val="008F3780"/>
    <w:rsid w:val="008F3A62"/>
    <w:rsid w:val="008F3AF8"/>
    <w:rsid w:val="008F3F4F"/>
    <w:rsid w:val="008F401E"/>
    <w:rsid w:val="008F43EF"/>
    <w:rsid w:val="008F44F6"/>
    <w:rsid w:val="008F4D8E"/>
    <w:rsid w:val="008F50B8"/>
    <w:rsid w:val="008F512F"/>
    <w:rsid w:val="008F52D9"/>
    <w:rsid w:val="008F571A"/>
    <w:rsid w:val="008F5A7C"/>
    <w:rsid w:val="008F5DFB"/>
    <w:rsid w:val="008F5FBF"/>
    <w:rsid w:val="008F601F"/>
    <w:rsid w:val="008F602F"/>
    <w:rsid w:val="008F64F4"/>
    <w:rsid w:val="008F664E"/>
    <w:rsid w:val="008F68F5"/>
    <w:rsid w:val="008F69CE"/>
    <w:rsid w:val="008F6D6E"/>
    <w:rsid w:val="008F6DDD"/>
    <w:rsid w:val="008F6FE8"/>
    <w:rsid w:val="008F73D8"/>
    <w:rsid w:val="008F7686"/>
    <w:rsid w:val="008F77B1"/>
    <w:rsid w:val="008F7E77"/>
    <w:rsid w:val="00900648"/>
    <w:rsid w:val="00900992"/>
    <w:rsid w:val="009009FD"/>
    <w:rsid w:val="00900FB6"/>
    <w:rsid w:val="00901039"/>
    <w:rsid w:val="00901101"/>
    <w:rsid w:val="0090124D"/>
    <w:rsid w:val="009015DE"/>
    <w:rsid w:val="0090176D"/>
    <w:rsid w:val="00901BE1"/>
    <w:rsid w:val="00901C26"/>
    <w:rsid w:val="00901C9D"/>
    <w:rsid w:val="00901F9A"/>
    <w:rsid w:val="0090224F"/>
    <w:rsid w:val="00902596"/>
    <w:rsid w:val="00902989"/>
    <w:rsid w:val="00902D9B"/>
    <w:rsid w:val="00903166"/>
    <w:rsid w:val="00903285"/>
    <w:rsid w:val="009034B0"/>
    <w:rsid w:val="00903660"/>
    <w:rsid w:val="00903CE5"/>
    <w:rsid w:val="00904191"/>
    <w:rsid w:val="00904311"/>
    <w:rsid w:val="009043F0"/>
    <w:rsid w:val="009045F4"/>
    <w:rsid w:val="0090467E"/>
    <w:rsid w:val="009047D5"/>
    <w:rsid w:val="0090492F"/>
    <w:rsid w:val="00904AAD"/>
    <w:rsid w:val="00904E3E"/>
    <w:rsid w:val="00904E55"/>
    <w:rsid w:val="0090505F"/>
    <w:rsid w:val="009054E4"/>
    <w:rsid w:val="00905603"/>
    <w:rsid w:val="00905604"/>
    <w:rsid w:val="009059E2"/>
    <w:rsid w:val="00905A85"/>
    <w:rsid w:val="00905AAE"/>
    <w:rsid w:val="00905CBE"/>
    <w:rsid w:val="00905E00"/>
    <w:rsid w:val="00906152"/>
    <w:rsid w:val="00906717"/>
    <w:rsid w:val="00906975"/>
    <w:rsid w:val="00906B00"/>
    <w:rsid w:val="00906B66"/>
    <w:rsid w:val="00906BAB"/>
    <w:rsid w:val="00906F40"/>
    <w:rsid w:val="009070D9"/>
    <w:rsid w:val="0090731E"/>
    <w:rsid w:val="009073F3"/>
    <w:rsid w:val="009076CC"/>
    <w:rsid w:val="009078A6"/>
    <w:rsid w:val="009079DD"/>
    <w:rsid w:val="00907BD5"/>
    <w:rsid w:val="00907DBE"/>
    <w:rsid w:val="00910044"/>
    <w:rsid w:val="009101B5"/>
    <w:rsid w:val="009104A8"/>
    <w:rsid w:val="0091072D"/>
    <w:rsid w:val="00910738"/>
    <w:rsid w:val="0091099A"/>
    <w:rsid w:val="00910B21"/>
    <w:rsid w:val="00910BAB"/>
    <w:rsid w:val="00911260"/>
    <w:rsid w:val="009116B7"/>
    <w:rsid w:val="009117BF"/>
    <w:rsid w:val="00911DA3"/>
    <w:rsid w:val="009123A3"/>
    <w:rsid w:val="009126B7"/>
    <w:rsid w:val="0091279C"/>
    <w:rsid w:val="009127C7"/>
    <w:rsid w:val="00912927"/>
    <w:rsid w:val="00912CC4"/>
    <w:rsid w:val="00912F9C"/>
    <w:rsid w:val="00912FC2"/>
    <w:rsid w:val="0091309B"/>
    <w:rsid w:val="0091315D"/>
    <w:rsid w:val="009132D6"/>
    <w:rsid w:val="009133F7"/>
    <w:rsid w:val="00913721"/>
    <w:rsid w:val="00913845"/>
    <w:rsid w:val="00913A6C"/>
    <w:rsid w:val="00913BE8"/>
    <w:rsid w:val="00913C2B"/>
    <w:rsid w:val="00913DC4"/>
    <w:rsid w:val="00913F55"/>
    <w:rsid w:val="009140E1"/>
    <w:rsid w:val="00914114"/>
    <w:rsid w:val="00914176"/>
    <w:rsid w:val="009142E5"/>
    <w:rsid w:val="009143D1"/>
    <w:rsid w:val="00914760"/>
    <w:rsid w:val="00914AA3"/>
    <w:rsid w:val="00914AC2"/>
    <w:rsid w:val="00914DA6"/>
    <w:rsid w:val="00914F4F"/>
    <w:rsid w:val="009151E8"/>
    <w:rsid w:val="0091583D"/>
    <w:rsid w:val="00915A32"/>
    <w:rsid w:val="00915B1C"/>
    <w:rsid w:val="009162AA"/>
    <w:rsid w:val="009162DA"/>
    <w:rsid w:val="0091633E"/>
    <w:rsid w:val="0091652D"/>
    <w:rsid w:val="00916556"/>
    <w:rsid w:val="009167F1"/>
    <w:rsid w:val="0091696A"/>
    <w:rsid w:val="00916C98"/>
    <w:rsid w:val="009171B9"/>
    <w:rsid w:val="0091732B"/>
    <w:rsid w:val="009174F3"/>
    <w:rsid w:val="009178A6"/>
    <w:rsid w:val="0091797D"/>
    <w:rsid w:val="00917AA5"/>
    <w:rsid w:val="00917D06"/>
    <w:rsid w:val="0092010F"/>
    <w:rsid w:val="0092021D"/>
    <w:rsid w:val="00920839"/>
    <w:rsid w:val="00920BE9"/>
    <w:rsid w:val="00920D3D"/>
    <w:rsid w:val="0092114B"/>
    <w:rsid w:val="009212C7"/>
    <w:rsid w:val="00921643"/>
    <w:rsid w:val="00921980"/>
    <w:rsid w:val="00921A28"/>
    <w:rsid w:val="009220A5"/>
    <w:rsid w:val="00922434"/>
    <w:rsid w:val="00922689"/>
    <w:rsid w:val="009227D4"/>
    <w:rsid w:val="009228A1"/>
    <w:rsid w:val="009228B8"/>
    <w:rsid w:val="009228E1"/>
    <w:rsid w:val="009228EF"/>
    <w:rsid w:val="00922A00"/>
    <w:rsid w:val="00922B08"/>
    <w:rsid w:val="00922BC2"/>
    <w:rsid w:val="00922CF5"/>
    <w:rsid w:val="00922DF3"/>
    <w:rsid w:val="009232F1"/>
    <w:rsid w:val="009235F5"/>
    <w:rsid w:val="009238EF"/>
    <w:rsid w:val="00923CBA"/>
    <w:rsid w:val="00923DDC"/>
    <w:rsid w:val="00924191"/>
    <w:rsid w:val="009246FC"/>
    <w:rsid w:val="00924994"/>
    <w:rsid w:val="00924CC4"/>
    <w:rsid w:val="00924DDE"/>
    <w:rsid w:val="00924E88"/>
    <w:rsid w:val="00924F1E"/>
    <w:rsid w:val="00925362"/>
    <w:rsid w:val="009253CF"/>
    <w:rsid w:val="0092557D"/>
    <w:rsid w:val="00925599"/>
    <w:rsid w:val="009255AB"/>
    <w:rsid w:val="00925884"/>
    <w:rsid w:val="00925A06"/>
    <w:rsid w:val="00925F16"/>
    <w:rsid w:val="00925F78"/>
    <w:rsid w:val="00926054"/>
    <w:rsid w:val="0092618A"/>
    <w:rsid w:val="009261CD"/>
    <w:rsid w:val="00926339"/>
    <w:rsid w:val="009263D1"/>
    <w:rsid w:val="00926565"/>
    <w:rsid w:val="00926581"/>
    <w:rsid w:val="00926703"/>
    <w:rsid w:val="0092692C"/>
    <w:rsid w:val="00926F8E"/>
    <w:rsid w:val="0092703B"/>
    <w:rsid w:val="00927166"/>
    <w:rsid w:val="00927334"/>
    <w:rsid w:val="0092762A"/>
    <w:rsid w:val="00927691"/>
    <w:rsid w:val="00927734"/>
    <w:rsid w:val="0092792D"/>
    <w:rsid w:val="00927A5F"/>
    <w:rsid w:val="0093015A"/>
    <w:rsid w:val="0093015F"/>
    <w:rsid w:val="009301E9"/>
    <w:rsid w:val="009305E4"/>
    <w:rsid w:val="009307F1"/>
    <w:rsid w:val="00930A61"/>
    <w:rsid w:val="00930A6A"/>
    <w:rsid w:val="00930C9A"/>
    <w:rsid w:val="00931371"/>
    <w:rsid w:val="009316F9"/>
    <w:rsid w:val="00931921"/>
    <w:rsid w:val="00932058"/>
    <w:rsid w:val="0093226E"/>
    <w:rsid w:val="009324FE"/>
    <w:rsid w:val="00932575"/>
    <w:rsid w:val="0093278E"/>
    <w:rsid w:val="00932854"/>
    <w:rsid w:val="0093285F"/>
    <w:rsid w:val="00932A1F"/>
    <w:rsid w:val="00932BC3"/>
    <w:rsid w:val="00932E4E"/>
    <w:rsid w:val="00932E7D"/>
    <w:rsid w:val="00933248"/>
    <w:rsid w:val="00933517"/>
    <w:rsid w:val="009337DA"/>
    <w:rsid w:val="00934302"/>
    <w:rsid w:val="00934761"/>
    <w:rsid w:val="0093483E"/>
    <w:rsid w:val="00934BCB"/>
    <w:rsid w:val="00934D96"/>
    <w:rsid w:val="00934FD2"/>
    <w:rsid w:val="00935007"/>
    <w:rsid w:val="00935160"/>
    <w:rsid w:val="009352D4"/>
    <w:rsid w:val="009352E6"/>
    <w:rsid w:val="009352F7"/>
    <w:rsid w:val="009354DF"/>
    <w:rsid w:val="00935822"/>
    <w:rsid w:val="009358B1"/>
    <w:rsid w:val="00935B63"/>
    <w:rsid w:val="00935DE8"/>
    <w:rsid w:val="00935E4D"/>
    <w:rsid w:val="00935F0E"/>
    <w:rsid w:val="00935FCB"/>
    <w:rsid w:val="009361C2"/>
    <w:rsid w:val="009364D7"/>
    <w:rsid w:val="00936F87"/>
    <w:rsid w:val="0093732A"/>
    <w:rsid w:val="00937554"/>
    <w:rsid w:val="0093767E"/>
    <w:rsid w:val="00937D6F"/>
    <w:rsid w:val="00937E7C"/>
    <w:rsid w:val="009401E2"/>
    <w:rsid w:val="0094024C"/>
    <w:rsid w:val="00940326"/>
    <w:rsid w:val="009404B8"/>
    <w:rsid w:val="0094078F"/>
    <w:rsid w:val="00940D6C"/>
    <w:rsid w:val="00940DB8"/>
    <w:rsid w:val="00940FA3"/>
    <w:rsid w:val="00941188"/>
    <w:rsid w:val="009414CE"/>
    <w:rsid w:val="009414DF"/>
    <w:rsid w:val="0094159B"/>
    <w:rsid w:val="0094183F"/>
    <w:rsid w:val="0094186B"/>
    <w:rsid w:val="00941E22"/>
    <w:rsid w:val="00941FB0"/>
    <w:rsid w:val="0094229E"/>
    <w:rsid w:val="009425F5"/>
    <w:rsid w:val="00942667"/>
    <w:rsid w:val="009426D4"/>
    <w:rsid w:val="009426E9"/>
    <w:rsid w:val="00942743"/>
    <w:rsid w:val="0094284E"/>
    <w:rsid w:val="0094288A"/>
    <w:rsid w:val="00942A48"/>
    <w:rsid w:val="00942C13"/>
    <w:rsid w:val="00942EE3"/>
    <w:rsid w:val="009432FD"/>
    <w:rsid w:val="00943890"/>
    <w:rsid w:val="0094390D"/>
    <w:rsid w:val="00943A97"/>
    <w:rsid w:val="00943ABA"/>
    <w:rsid w:val="00943B09"/>
    <w:rsid w:val="00943B31"/>
    <w:rsid w:val="00943C4E"/>
    <w:rsid w:val="00943E03"/>
    <w:rsid w:val="00943FF9"/>
    <w:rsid w:val="00944118"/>
    <w:rsid w:val="0094426F"/>
    <w:rsid w:val="009444E6"/>
    <w:rsid w:val="00944618"/>
    <w:rsid w:val="00944719"/>
    <w:rsid w:val="00944E21"/>
    <w:rsid w:val="00944E5D"/>
    <w:rsid w:val="00944F0F"/>
    <w:rsid w:val="00944F3F"/>
    <w:rsid w:val="00944F44"/>
    <w:rsid w:val="00944FEE"/>
    <w:rsid w:val="00945637"/>
    <w:rsid w:val="00945686"/>
    <w:rsid w:val="009459C2"/>
    <w:rsid w:val="00945A0F"/>
    <w:rsid w:val="00945C4D"/>
    <w:rsid w:val="00945C4F"/>
    <w:rsid w:val="00945D0C"/>
    <w:rsid w:val="00946062"/>
    <w:rsid w:val="00946316"/>
    <w:rsid w:val="0094638E"/>
    <w:rsid w:val="009465F5"/>
    <w:rsid w:val="0094669F"/>
    <w:rsid w:val="0094696C"/>
    <w:rsid w:val="00946A6B"/>
    <w:rsid w:val="00947319"/>
    <w:rsid w:val="00947626"/>
    <w:rsid w:val="00947754"/>
    <w:rsid w:val="009477C8"/>
    <w:rsid w:val="00947927"/>
    <w:rsid w:val="00947A8E"/>
    <w:rsid w:val="00947B86"/>
    <w:rsid w:val="00947E20"/>
    <w:rsid w:val="00947EDD"/>
    <w:rsid w:val="00947F25"/>
    <w:rsid w:val="00947F88"/>
    <w:rsid w:val="00950159"/>
    <w:rsid w:val="00950636"/>
    <w:rsid w:val="009506D3"/>
    <w:rsid w:val="009509EF"/>
    <w:rsid w:val="00950ACD"/>
    <w:rsid w:val="0095141C"/>
    <w:rsid w:val="00951437"/>
    <w:rsid w:val="00951B3B"/>
    <w:rsid w:val="009520A3"/>
    <w:rsid w:val="009521F5"/>
    <w:rsid w:val="009527B2"/>
    <w:rsid w:val="00952B30"/>
    <w:rsid w:val="00952DF0"/>
    <w:rsid w:val="0095305D"/>
    <w:rsid w:val="0095317E"/>
    <w:rsid w:val="00953ACE"/>
    <w:rsid w:val="00953B3A"/>
    <w:rsid w:val="00953BB8"/>
    <w:rsid w:val="00953D65"/>
    <w:rsid w:val="009542FF"/>
    <w:rsid w:val="00954362"/>
    <w:rsid w:val="009543F7"/>
    <w:rsid w:val="00954440"/>
    <w:rsid w:val="009545E1"/>
    <w:rsid w:val="00954615"/>
    <w:rsid w:val="00954629"/>
    <w:rsid w:val="0095465F"/>
    <w:rsid w:val="00954816"/>
    <w:rsid w:val="00954847"/>
    <w:rsid w:val="0095490B"/>
    <w:rsid w:val="00954969"/>
    <w:rsid w:val="00954AB5"/>
    <w:rsid w:val="00954B8B"/>
    <w:rsid w:val="00954EBA"/>
    <w:rsid w:val="009554F2"/>
    <w:rsid w:val="00955709"/>
    <w:rsid w:val="0095594D"/>
    <w:rsid w:val="009566CB"/>
    <w:rsid w:val="00956756"/>
    <w:rsid w:val="0095686A"/>
    <w:rsid w:val="009568E7"/>
    <w:rsid w:val="00956914"/>
    <w:rsid w:val="009570E7"/>
    <w:rsid w:val="00957173"/>
    <w:rsid w:val="009572F0"/>
    <w:rsid w:val="00957BB1"/>
    <w:rsid w:val="00960667"/>
    <w:rsid w:val="00960783"/>
    <w:rsid w:val="00960A33"/>
    <w:rsid w:val="00960D1B"/>
    <w:rsid w:val="00960DF3"/>
    <w:rsid w:val="00960E40"/>
    <w:rsid w:val="009618D8"/>
    <w:rsid w:val="00961BC8"/>
    <w:rsid w:val="00961C0E"/>
    <w:rsid w:val="00961C8B"/>
    <w:rsid w:val="00961E3F"/>
    <w:rsid w:val="009622AB"/>
    <w:rsid w:val="00962493"/>
    <w:rsid w:val="00962912"/>
    <w:rsid w:val="00962925"/>
    <w:rsid w:val="00962DF3"/>
    <w:rsid w:val="009630BF"/>
    <w:rsid w:val="00963781"/>
    <w:rsid w:val="009637AD"/>
    <w:rsid w:val="00963CDA"/>
    <w:rsid w:val="00963DBC"/>
    <w:rsid w:val="00963F43"/>
    <w:rsid w:val="0096418D"/>
    <w:rsid w:val="0096499A"/>
    <w:rsid w:val="00964E90"/>
    <w:rsid w:val="00964F02"/>
    <w:rsid w:val="00965056"/>
    <w:rsid w:val="0096506E"/>
    <w:rsid w:val="00965368"/>
    <w:rsid w:val="009655EF"/>
    <w:rsid w:val="009658BD"/>
    <w:rsid w:val="009659AF"/>
    <w:rsid w:val="00965CE1"/>
    <w:rsid w:val="00965D44"/>
    <w:rsid w:val="00966009"/>
    <w:rsid w:val="00966517"/>
    <w:rsid w:val="009667DB"/>
    <w:rsid w:val="009669DE"/>
    <w:rsid w:val="00966A3B"/>
    <w:rsid w:val="00966B90"/>
    <w:rsid w:val="00966DE2"/>
    <w:rsid w:val="00966F98"/>
    <w:rsid w:val="00967519"/>
    <w:rsid w:val="0096774F"/>
    <w:rsid w:val="00967E70"/>
    <w:rsid w:val="009704FD"/>
    <w:rsid w:val="0097069C"/>
    <w:rsid w:val="00970B23"/>
    <w:rsid w:val="00970C4E"/>
    <w:rsid w:val="0097116F"/>
    <w:rsid w:val="00971403"/>
    <w:rsid w:val="00971432"/>
    <w:rsid w:val="00971914"/>
    <w:rsid w:val="009719CB"/>
    <w:rsid w:val="00971B69"/>
    <w:rsid w:val="00971DA8"/>
    <w:rsid w:val="00972052"/>
    <w:rsid w:val="00972098"/>
    <w:rsid w:val="009720EA"/>
    <w:rsid w:val="009724F4"/>
    <w:rsid w:val="0097259E"/>
    <w:rsid w:val="009726F9"/>
    <w:rsid w:val="009726FD"/>
    <w:rsid w:val="00972721"/>
    <w:rsid w:val="00972BE4"/>
    <w:rsid w:val="0097320E"/>
    <w:rsid w:val="00973240"/>
    <w:rsid w:val="0097336E"/>
    <w:rsid w:val="0097337E"/>
    <w:rsid w:val="00973A12"/>
    <w:rsid w:val="00973B6F"/>
    <w:rsid w:val="00973DEC"/>
    <w:rsid w:val="00973F64"/>
    <w:rsid w:val="00973FBC"/>
    <w:rsid w:val="00974363"/>
    <w:rsid w:val="009745F7"/>
    <w:rsid w:val="0097464D"/>
    <w:rsid w:val="00974A79"/>
    <w:rsid w:val="00974CE6"/>
    <w:rsid w:val="00974E97"/>
    <w:rsid w:val="00974F2E"/>
    <w:rsid w:val="0097528A"/>
    <w:rsid w:val="0097543D"/>
    <w:rsid w:val="0097563F"/>
    <w:rsid w:val="009759F5"/>
    <w:rsid w:val="00975A78"/>
    <w:rsid w:val="009761D7"/>
    <w:rsid w:val="009764C4"/>
    <w:rsid w:val="00976AD3"/>
    <w:rsid w:val="00976D51"/>
    <w:rsid w:val="00976F86"/>
    <w:rsid w:val="0097734E"/>
    <w:rsid w:val="009776EC"/>
    <w:rsid w:val="0098016D"/>
    <w:rsid w:val="0098032D"/>
    <w:rsid w:val="009808A7"/>
    <w:rsid w:val="00980ACD"/>
    <w:rsid w:val="00980B1A"/>
    <w:rsid w:val="00980C5E"/>
    <w:rsid w:val="00980EE9"/>
    <w:rsid w:val="00981306"/>
    <w:rsid w:val="009813D9"/>
    <w:rsid w:val="0098140B"/>
    <w:rsid w:val="009814FB"/>
    <w:rsid w:val="0098167E"/>
    <w:rsid w:val="00981898"/>
    <w:rsid w:val="00981A45"/>
    <w:rsid w:val="00981A66"/>
    <w:rsid w:val="00981AED"/>
    <w:rsid w:val="00981B4A"/>
    <w:rsid w:val="00981E05"/>
    <w:rsid w:val="00981F3A"/>
    <w:rsid w:val="0098204B"/>
    <w:rsid w:val="0098207E"/>
    <w:rsid w:val="00982A6F"/>
    <w:rsid w:val="00982A9F"/>
    <w:rsid w:val="00982C10"/>
    <w:rsid w:val="00982E91"/>
    <w:rsid w:val="00982F6C"/>
    <w:rsid w:val="00982FB7"/>
    <w:rsid w:val="00983301"/>
    <w:rsid w:val="00983391"/>
    <w:rsid w:val="009842B9"/>
    <w:rsid w:val="00984382"/>
    <w:rsid w:val="00984515"/>
    <w:rsid w:val="0098453B"/>
    <w:rsid w:val="0098475A"/>
    <w:rsid w:val="0098489D"/>
    <w:rsid w:val="009850D5"/>
    <w:rsid w:val="009853BF"/>
    <w:rsid w:val="0098544E"/>
    <w:rsid w:val="00985560"/>
    <w:rsid w:val="00985684"/>
    <w:rsid w:val="0098569B"/>
    <w:rsid w:val="00985817"/>
    <w:rsid w:val="00985FA1"/>
    <w:rsid w:val="00986663"/>
    <w:rsid w:val="009868D1"/>
    <w:rsid w:val="00986B07"/>
    <w:rsid w:val="00986B87"/>
    <w:rsid w:val="00986CF2"/>
    <w:rsid w:val="00986FD5"/>
    <w:rsid w:val="009870C5"/>
    <w:rsid w:val="009870FD"/>
    <w:rsid w:val="00987287"/>
    <w:rsid w:val="00987648"/>
    <w:rsid w:val="00987995"/>
    <w:rsid w:val="00987B06"/>
    <w:rsid w:val="00987B99"/>
    <w:rsid w:val="00987BA2"/>
    <w:rsid w:val="009906C8"/>
    <w:rsid w:val="009909CD"/>
    <w:rsid w:val="00990A0A"/>
    <w:rsid w:val="00990A4A"/>
    <w:rsid w:val="00990BB9"/>
    <w:rsid w:val="00990D9B"/>
    <w:rsid w:val="0099123E"/>
    <w:rsid w:val="009914A7"/>
    <w:rsid w:val="009914B8"/>
    <w:rsid w:val="00991742"/>
    <w:rsid w:val="00991C4F"/>
    <w:rsid w:val="00991CD9"/>
    <w:rsid w:val="00991F0F"/>
    <w:rsid w:val="0099226B"/>
    <w:rsid w:val="00992750"/>
    <w:rsid w:val="00992C8C"/>
    <w:rsid w:val="00992ECD"/>
    <w:rsid w:val="00992F7E"/>
    <w:rsid w:val="00993051"/>
    <w:rsid w:val="0099362C"/>
    <w:rsid w:val="00993721"/>
    <w:rsid w:val="0099383D"/>
    <w:rsid w:val="00993988"/>
    <w:rsid w:val="00993B23"/>
    <w:rsid w:val="00993C5C"/>
    <w:rsid w:val="00993D61"/>
    <w:rsid w:val="00993DCA"/>
    <w:rsid w:val="00993F1D"/>
    <w:rsid w:val="00993F64"/>
    <w:rsid w:val="00994536"/>
    <w:rsid w:val="00994722"/>
    <w:rsid w:val="0099491D"/>
    <w:rsid w:val="00994BA2"/>
    <w:rsid w:val="00994FC2"/>
    <w:rsid w:val="009950DC"/>
    <w:rsid w:val="0099510B"/>
    <w:rsid w:val="0099545C"/>
    <w:rsid w:val="009955CD"/>
    <w:rsid w:val="0099577C"/>
    <w:rsid w:val="009958BF"/>
    <w:rsid w:val="009958D5"/>
    <w:rsid w:val="0099617F"/>
    <w:rsid w:val="009962F3"/>
    <w:rsid w:val="0099663C"/>
    <w:rsid w:val="00996688"/>
    <w:rsid w:val="00996912"/>
    <w:rsid w:val="00996BB2"/>
    <w:rsid w:val="00996BEC"/>
    <w:rsid w:val="009970C6"/>
    <w:rsid w:val="009977B2"/>
    <w:rsid w:val="009978E7"/>
    <w:rsid w:val="00997BF0"/>
    <w:rsid w:val="009A0A4D"/>
    <w:rsid w:val="009A0C7E"/>
    <w:rsid w:val="009A117B"/>
    <w:rsid w:val="009A1484"/>
    <w:rsid w:val="009A163F"/>
    <w:rsid w:val="009A1A98"/>
    <w:rsid w:val="009A22D3"/>
    <w:rsid w:val="009A27C4"/>
    <w:rsid w:val="009A2C23"/>
    <w:rsid w:val="009A3217"/>
    <w:rsid w:val="009A3403"/>
    <w:rsid w:val="009A3544"/>
    <w:rsid w:val="009A36A6"/>
    <w:rsid w:val="009A37C8"/>
    <w:rsid w:val="009A384B"/>
    <w:rsid w:val="009A3876"/>
    <w:rsid w:val="009A3A7A"/>
    <w:rsid w:val="009A3F6E"/>
    <w:rsid w:val="009A41EC"/>
    <w:rsid w:val="009A42F6"/>
    <w:rsid w:val="009A435B"/>
    <w:rsid w:val="009A488C"/>
    <w:rsid w:val="009A4920"/>
    <w:rsid w:val="009A499C"/>
    <w:rsid w:val="009A4B8D"/>
    <w:rsid w:val="009A4B99"/>
    <w:rsid w:val="009A5147"/>
    <w:rsid w:val="009A5993"/>
    <w:rsid w:val="009A59A0"/>
    <w:rsid w:val="009A5A33"/>
    <w:rsid w:val="009A5E3F"/>
    <w:rsid w:val="009A5F1B"/>
    <w:rsid w:val="009A6025"/>
    <w:rsid w:val="009A62E1"/>
    <w:rsid w:val="009A685F"/>
    <w:rsid w:val="009A71B9"/>
    <w:rsid w:val="009A743D"/>
    <w:rsid w:val="009A7729"/>
    <w:rsid w:val="009A7BA4"/>
    <w:rsid w:val="009A7FC8"/>
    <w:rsid w:val="009A7FE9"/>
    <w:rsid w:val="009B0419"/>
    <w:rsid w:val="009B06CA"/>
    <w:rsid w:val="009B08C1"/>
    <w:rsid w:val="009B0918"/>
    <w:rsid w:val="009B0C98"/>
    <w:rsid w:val="009B1481"/>
    <w:rsid w:val="009B14F7"/>
    <w:rsid w:val="009B1B22"/>
    <w:rsid w:val="009B1CDB"/>
    <w:rsid w:val="009B1D79"/>
    <w:rsid w:val="009B2601"/>
    <w:rsid w:val="009B2F27"/>
    <w:rsid w:val="009B332A"/>
    <w:rsid w:val="009B3395"/>
    <w:rsid w:val="009B3A56"/>
    <w:rsid w:val="009B3A86"/>
    <w:rsid w:val="009B3B19"/>
    <w:rsid w:val="009B3DEB"/>
    <w:rsid w:val="009B4115"/>
    <w:rsid w:val="009B44A6"/>
    <w:rsid w:val="009B4511"/>
    <w:rsid w:val="009B488B"/>
    <w:rsid w:val="009B499C"/>
    <w:rsid w:val="009B4A47"/>
    <w:rsid w:val="009B4E9E"/>
    <w:rsid w:val="009B539A"/>
    <w:rsid w:val="009B5475"/>
    <w:rsid w:val="009B5490"/>
    <w:rsid w:val="009B587A"/>
    <w:rsid w:val="009B5885"/>
    <w:rsid w:val="009B5A37"/>
    <w:rsid w:val="009B5F4A"/>
    <w:rsid w:val="009B60A1"/>
    <w:rsid w:val="009B61E7"/>
    <w:rsid w:val="009B6273"/>
    <w:rsid w:val="009B637F"/>
    <w:rsid w:val="009B647E"/>
    <w:rsid w:val="009B6BA4"/>
    <w:rsid w:val="009B6BF0"/>
    <w:rsid w:val="009B6BFD"/>
    <w:rsid w:val="009B6DFA"/>
    <w:rsid w:val="009B70AB"/>
    <w:rsid w:val="009B723E"/>
    <w:rsid w:val="009B7745"/>
    <w:rsid w:val="009B7D14"/>
    <w:rsid w:val="009B7D58"/>
    <w:rsid w:val="009C042B"/>
    <w:rsid w:val="009C051D"/>
    <w:rsid w:val="009C0645"/>
    <w:rsid w:val="009C0761"/>
    <w:rsid w:val="009C098B"/>
    <w:rsid w:val="009C0AAF"/>
    <w:rsid w:val="009C0AF0"/>
    <w:rsid w:val="009C0BE6"/>
    <w:rsid w:val="009C0EA1"/>
    <w:rsid w:val="009C11AA"/>
    <w:rsid w:val="009C1338"/>
    <w:rsid w:val="009C1423"/>
    <w:rsid w:val="009C14DD"/>
    <w:rsid w:val="009C1690"/>
    <w:rsid w:val="009C194E"/>
    <w:rsid w:val="009C1F69"/>
    <w:rsid w:val="009C1F7A"/>
    <w:rsid w:val="009C2639"/>
    <w:rsid w:val="009C264A"/>
    <w:rsid w:val="009C2F7B"/>
    <w:rsid w:val="009C2FFE"/>
    <w:rsid w:val="009C32EB"/>
    <w:rsid w:val="009C3A09"/>
    <w:rsid w:val="009C3A74"/>
    <w:rsid w:val="009C3FA7"/>
    <w:rsid w:val="009C40B7"/>
    <w:rsid w:val="009C42E1"/>
    <w:rsid w:val="009C49F0"/>
    <w:rsid w:val="009C4FBA"/>
    <w:rsid w:val="009C4FBB"/>
    <w:rsid w:val="009C52A0"/>
    <w:rsid w:val="009C57BD"/>
    <w:rsid w:val="009C5A1C"/>
    <w:rsid w:val="009C60F1"/>
    <w:rsid w:val="009C6275"/>
    <w:rsid w:val="009C653D"/>
    <w:rsid w:val="009C65CB"/>
    <w:rsid w:val="009C6881"/>
    <w:rsid w:val="009C6BAD"/>
    <w:rsid w:val="009C6BE7"/>
    <w:rsid w:val="009C742B"/>
    <w:rsid w:val="009C7446"/>
    <w:rsid w:val="009C76CD"/>
    <w:rsid w:val="009C7759"/>
    <w:rsid w:val="009C7876"/>
    <w:rsid w:val="009C78CE"/>
    <w:rsid w:val="009C7A14"/>
    <w:rsid w:val="009C7B90"/>
    <w:rsid w:val="009D0090"/>
    <w:rsid w:val="009D030A"/>
    <w:rsid w:val="009D043D"/>
    <w:rsid w:val="009D07A8"/>
    <w:rsid w:val="009D07C8"/>
    <w:rsid w:val="009D0AFB"/>
    <w:rsid w:val="009D0C21"/>
    <w:rsid w:val="009D0E13"/>
    <w:rsid w:val="009D0EB7"/>
    <w:rsid w:val="009D12BF"/>
    <w:rsid w:val="009D1602"/>
    <w:rsid w:val="009D2498"/>
    <w:rsid w:val="009D25D7"/>
    <w:rsid w:val="009D29A1"/>
    <w:rsid w:val="009D2DE8"/>
    <w:rsid w:val="009D335A"/>
    <w:rsid w:val="009D3517"/>
    <w:rsid w:val="009D3560"/>
    <w:rsid w:val="009D382B"/>
    <w:rsid w:val="009D383C"/>
    <w:rsid w:val="009D3A67"/>
    <w:rsid w:val="009D3B58"/>
    <w:rsid w:val="009D3BE8"/>
    <w:rsid w:val="009D3C45"/>
    <w:rsid w:val="009D43AD"/>
    <w:rsid w:val="009D460C"/>
    <w:rsid w:val="009D46AD"/>
    <w:rsid w:val="009D4777"/>
    <w:rsid w:val="009D4A30"/>
    <w:rsid w:val="009D4C5C"/>
    <w:rsid w:val="009D4FAA"/>
    <w:rsid w:val="009D526D"/>
    <w:rsid w:val="009D54DB"/>
    <w:rsid w:val="009D564A"/>
    <w:rsid w:val="009D5DC9"/>
    <w:rsid w:val="009D5E37"/>
    <w:rsid w:val="009D60A9"/>
    <w:rsid w:val="009D61B0"/>
    <w:rsid w:val="009D643B"/>
    <w:rsid w:val="009D6A9B"/>
    <w:rsid w:val="009D6C54"/>
    <w:rsid w:val="009D6C71"/>
    <w:rsid w:val="009D6DCE"/>
    <w:rsid w:val="009D6E1D"/>
    <w:rsid w:val="009D6EE8"/>
    <w:rsid w:val="009D71FE"/>
    <w:rsid w:val="009D78A5"/>
    <w:rsid w:val="009D7A2A"/>
    <w:rsid w:val="009D7F3D"/>
    <w:rsid w:val="009E0370"/>
    <w:rsid w:val="009E0485"/>
    <w:rsid w:val="009E0577"/>
    <w:rsid w:val="009E0631"/>
    <w:rsid w:val="009E08B9"/>
    <w:rsid w:val="009E0B62"/>
    <w:rsid w:val="009E0CB3"/>
    <w:rsid w:val="009E0CDB"/>
    <w:rsid w:val="009E0F3F"/>
    <w:rsid w:val="009E0F86"/>
    <w:rsid w:val="009E12DE"/>
    <w:rsid w:val="009E13B7"/>
    <w:rsid w:val="009E14E5"/>
    <w:rsid w:val="009E16D0"/>
    <w:rsid w:val="009E17C0"/>
    <w:rsid w:val="009E1864"/>
    <w:rsid w:val="009E194D"/>
    <w:rsid w:val="009E1A61"/>
    <w:rsid w:val="009E1B6F"/>
    <w:rsid w:val="009E2173"/>
    <w:rsid w:val="009E21B6"/>
    <w:rsid w:val="009E2590"/>
    <w:rsid w:val="009E2FED"/>
    <w:rsid w:val="009E3063"/>
    <w:rsid w:val="009E31E5"/>
    <w:rsid w:val="009E330B"/>
    <w:rsid w:val="009E3473"/>
    <w:rsid w:val="009E3520"/>
    <w:rsid w:val="009E355E"/>
    <w:rsid w:val="009E38FD"/>
    <w:rsid w:val="009E4046"/>
    <w:rsid w:val="009E41C8"/>
    <w:rsid w:val="009E4543"/>
    <w:rsid w:val="009E461B"/>
    <w:rsid w:val="009E49C4"/>
    <w:rsid w:val="009E4B23"/>
    <w:rsid w:val="009E5037"/>
    <w:rsid w:val="009E528E"/>
    <w:rsid w:val="009E53C9"/>
    <w:rsid w:val="009E55F9"/>
    <w:rsid w:val="009E566A"/>
    <w:rsid w:val="009E56D0"/>
    <w:rsid w:val="009E5713"/>
    <w:rsid w:val="009E5E53"/>
    <w:rsid w:val="009E641E"/>
    <w:rsid w:val="009E66E1"/>
    <w:rsid w:val="009E6B9E"/>
    <w:rsid w:val="009E7038"/>
    <w:rsid w:val="009E7660"/>
    <w:rsid w:val="009E7AFD"/>
    <w:rsid w:val="009E7DDF"/>
    <w:rsid w:val="009E7F80"/>
    <w:rsid w:val="009F00C9"/>
    <w:rsid w:val="009F0108"/>
    <w:rsid w:val="009F01DC"/>
    <w:rsid w:val="009F02BC"/>
    <w:rsid w:val="009F05D1"/>
    <w:rsid w:val="009F07F5"/>
    <w:rsid w:val="009F0A1B"/>
    <w:rsid w:val="009F0DB3"/>
    <w:rsid w:val="009F0E82"/>
    <w:rsid w:val="009F0FF1"/>
    <w:rsid w:val="009F13D6"/>
    <w:rsid w:val="009F1456"/>
    <w:rsid w:val="009F1571"/>
    <w:rsid w:val="009F15B3"/>
    <w:rsid w:val="009F1673"/>
    <w:rsid w:val="009F2013"/>
    <w:rsid w:val="009F231F"/>
    <w:rsid w:val="009F249A"/>
    <w:rsid w:val="009F2884"/>
    <w:rsid w:val="009F2B5C"/>
    <w:rsid w:val="009F2F47"/>
    <w:rsid w:val="009F310D"/>
    <w:rsid w:val="009F3174"/>
    <w:rsid w:val="009F36F7"/>
    <w:rsid w:val="009F3BBB"/>
    <w:rsid w:val="009F4093"/>
    <w:rsid w:val="009F419A"/>
    <w:rsid w:val="009F4536"/>
    <w:rsid w:val="009F49A2"/>
    <w:rsid w:val="009F4A9E"/>
    <w:rsid w:val="009F4BAA"/>
    <w:rsid w:val="009F4C6B"/>
    <w:rsid w:val="009F5585"/>
    <w:rsid w:val="009F572F"/>
    <w:rsid w:val="009F5973"/>
    <w:rsid w:val="009F5E07"/>
    <w:rsid w:val="009F5E32"/>
    <w:rsid w:val="009F6560"/>
    <w:rsid w:val="009F658E"/>
    <w:rsid w:val="009F695A"/>
    <w:rsid w:val="009F6A3B"/>
    <w:rsid w:val="009F742F"/>
    <w:rsid w:val="009F774E"/>
    <w:rsid w:val="009F7777"/>
    <w:rsid w:val="009F78A8"/>
    <w:rsid w:val="009F794D"/>
    <w:rsid w:val="009F7B5D"/>
    <w:rsid w:val="009F7EB4"/>
    <w:rsid w:val="00A000C9"/>
    <w:rsid w:val="00A000D0"/>
    <w:rsid w:val="00A0010E"/>
    <w:rsid w:val="00A0013F"/>
    <w:rsid w:val="00A001ED"/>
    <w:rsid w:val="00A00203"/>
    <w:rsid w:val="00A003A5"/>
    <w:rsid w:val="00A0073F"/>
    <w:rsid w:val="00A0082E"/>
    <w:rsid w:val="00A00930"/>
    <w:rsid w:val="00A009BA"/>
    <w:rsid w:val="00A00C2F"/>
    <w:rsid w:val="00A00D1A"/>
    <w:rsid w:val="00A00D46"/>
    <w:rsid w:val="00A00E05"/>
    <w:rsid w:val="00A00F31"/>
    <w:rsid w:val="00A0146D"/>
    <w:rsid w:val="00A01611"/>
    <w:rsid w:val="00A01828"/>
    <w:rsid w:val="00A018EF"/>
    <w:rsid w:val="00A01A2B"/>
    <w:rsid w:val="00A01C5A"/>
    <w:rsid w:val="00A01EB5"/>
    <w:rsid w:val="00A02017"/>
    <w:rsid w:val="00A02176"/>
    <w:rsid w:val="00A02356"/>
    <w:rsid w:val="00A0288F"/>
    <w:rsid w:val="00A02AD6"/>
    <w:rsid w:val="00A02AE2"/>
    <w:rsid w:val="00A02D08"/>
    <w:rsid w:val="00A02E95"/>
    <w:rsid w:val="00A02F8C"/>
    <w:rsid w:val="00A02FE9"/>
    <w:rsid w:val="00A0369A"/>
    <w:rsid w:val="00A03B16"/>
    <w:rsid w:val="00A03B91"/>
    <w:rsid w:val="00A03DDA"/>
    <w:rsid w:val="00A03F53"/>
    <w:rsid w:val="00A04370"/>
    <w:rsid w:val="00A04572"/>
    <w:rsid w:val="00A045E5"/>
    <w:rsid w:val="00A04782"/>
    <w:rsid w:val="00A04A60"/>
    <w:rsid w:val="00A04D97"/>
    <w:rsid w:val="00A04E32"/>
    <w:rsid w:val="00A0514D"/>
    <w:rsid w:val="00A05874"/>
    <w:rsid w:val="00A05A01"/>
    <w:rsid w:val="00A061D5"/>
    <w:rsid w:val="00A06649"/>
    <w:rsid w:val="00A0668C"/>
    <w:rsid w:val="00A066FC"/>
    <w:rsid w:val="00A0686A"/>
    <w:rsid w:val="00A068F5"/>
    <w:rsid w:val="00A06C5D"/>
    <w:rsid w:val="00A06D46"/>
    <w:rsid w:val="00A06EF0"/>
    <w:rsid w:val="00A06F34"/>
    <w:rsid w:val="00A07096"/>
    <w:rsid w:val="00A0712F"/>
    <w:rsid w:val="00A07137"/>
    <w:rsid w:val="00A0713E"/>
    <w:rsid w:val="00A07318"/>
    <w:rsid w:val="00A07743"/>
    <w:rsid w:val="00A07C39"/>
    <w:rsid w:val="00A101B6"/>
    <w:rsid w:val="00A10505"/>
    <w:rsid w:val="00A106A7"/>
    <w:rsid w:val="00A106C6"/>
    <w:rsid w:val="00A106EC"/>
    <w:rsid w:val="00A10824"/>
    <w:rsid w:val="00A10BF6"/>
    <w:rsid w:val="00A10EED"/>
    <w:rsid w:val="00A11196"/>
    <w:rsid w:val="00A11370"/>
    <w:rsid w:val="00A11574"/>
    <w:rsid w:val="00A11969"/>
    <w:rsid w:val="00A11D08"/>
    <w:rsid w:val="00A11FAB"/>
    <w:rsid w:val="00A12C5B"/>
    <w:rsid w:val="00A12FE8"/>
    <w:rsid w:val="00A13290"/>
    <w:rsid w:val="00A13454"/>
    <w:rsid w:val="00A1346C"/>
    <w:rsid w:val="00A1347C"/>
    <w:rsid w:val="00A13531"/>
    <w:rsid w:val="00A138EE"/>
    <w:rsid w:val="00A13A98"/>
    <w:rsid w:val="00A13E17"/>
    <w:rsid w:val="00A14003"/>
    <w:rsid w:val="00A140B6"/>
    <w:rsid w:val="00A14194"/>
    <w:rsid w:val="00A1460F"/>
    <w:rsid w:val="00A14745"/>
    <w:rsid w:val="00A14BB7"/>
    <w:rsid w:val="00A15042"/>
    <w:rsid w:val="00A1557E"/>
    <w:rsid w:val="00A155FB"/>
    <w:rsid w:val="00A159F2"/>
    <w:rsid w:val="00A15BCE"/>
    <w:rsid w:val="00A15C39"/>
    <w:rsid w:val="00A15C44"/>
    <w:rsid w:val="00A15D52"/>
    <w:rsid w:val="00A16104"/>
    <w:rsid w:val="00A161DE"/>
    <w:rsid w:val="00A16630"/>
    <w:rsid w:val="00A1670B"/>
    <w:rsid w:val="00A16B1A"/>
    <w:rsid w:val="00A16C15"/>
    <w:rsid w:val="00A16D29"/>
    <w:rsid w:val="00A16FF9"/>
    <w:rsid w:val="00A1714A"/>
    <w:rsid w:val="00A172C0"/>
    <w:rsid w:val="00A1733A"/>
    <w:rsid w:val="00A17459"/>
    <w:rsid w:val="00A1766B"/>
    <w:rsid w:val="00A176D4"/>
    <w:rsid w:val="00A179D2"/>
    <w:rsid w:val="00A17AAE"/>
    <w:rsid w:val="00A17CCB"/>
    <w:rsid w:val="00A2003F"/>
    <w:rsid w:val="00A20302"/>
    <w:rsid w:val="00A20469"/>
    <w:rsid w:val="00A2079D"/>
    <w:rsid w:val="00A209E1"/>
    <w:rsid w:val="00A20F3A"/>
    <w:rsid w:val="00A21435"/>
    <w:rsid w:val="00A21694"/>
    <w:rsid w:val="00A216F3"/>
    <w:rsid w:val="00A21814"/>
    <w:rsid w:val="00A21C8E"/>
    <w:rsid w:val="00A21DD1"/>
    <w:rsid w:val="00A21F95"/>
    <w:rsid w:val="00A2215F"/>
    <w:rsid w:val="00A22166"/>
    <w:rsid w:val="00A224CE"/>
    <w:rsid w:val="00A22522"/>
    <w:rsid w:val="00A22809"/>
    <w:rsid w:val="00A2287E"/>
    <w:rsid w:val="00A22CB0"/>
    <w:rsid w:val="00A22F70"/>
    <w:rsid w:val="00A23147"/>
    <w:rsid w:val="00A23463"/>
    <w:rsid w:val="00A23941"/>
    <w:rsid w:val="00A23A67"/>
    <w:rsid w:val="00A23B40"/>
    <w:rsid w:val="00A23FB5"/>
    <w:rsid w:val="00A2440E"/>
    <w:rsid w:val="00A24446"/>
    <w:rsid w:val="00A24472"/>
    <w:rsid w:val="00A24AFD"/>
    <w:rsid w:val="00A24CFC"/>
    <w:rsid w:val="00A24DD5"/>
    <w:rsid w:val="00A24F5C"/>
    <w:rsid w:val="00A25038"/>
    <w:rsid w:val="00A2525C"/>
    <w:rsid w:val="00A252E5"/>
    <w:rsid w:val="00A2540C"/>
    <w:rsid w:val="00A25629"/>
    <w:rsid w:val="00A257F5"/>
    <w:rsid w:val="00A25816"/>
    <w:rsid w:val="00A259CA"/>
    <w:rsid w:val="00A25D99"/>
    <w:rsid w:val="00A2616B"/>
    <w:rsid w:val="00A2631D"/>
    <w:rsid w:val="00A264F3"/>
    <w:rsid w:val="00A2657F"/>
    <w:rsid w:val="00A267A8"/>
    <w:rsid w:val="00A26F89"/>
    <w:rsid w:val="00A272A4"/>
    <w:rsid w:val="00A275D9"/>
    <w:rsid w:val="00A27602"/>
    <w:rsid w:val="00A27742"/>
    <w:rsid w:val="00A277D5"/>
    <w:rsid w:val="00A27D30"/>
    <w:rsid w:val="00A30159"/>
    <w:rsid w:val="00A30730"/>
    <w:rsid w:val="00A30790"/>
    <w:rsid w:val="00A3090E"/>
    <w:rsid w:val="00A30B5B"/>
    <w:rsid w:val="00A30C58"/>
    <w:rsid w:val="00A30CFC"/>
    <w:rsid w:val="00A30DB7"/>
    <w:rsid w:val="00A310AD"/>
    <w:rsid w:val="00A31287"/>
    <w:rsid w:val="00A312EF"/>
    <w:rsid w:val="00A315E1"/>
    <w:rsid w:val="00A31926"/>
    <w:rsid w:val="00A32265"/>
    <w:rsid w:val="00A323F5"/>
    <w:rsid w:val="00A32932"/>
    <w:rsid w:val="00A32DD7"/>
    <w:rsid w:val="00A32F16"/>
    <w:rsid w:val="00A32F96"/>
    <w:rsid w:val="00A33429"/>
    <w:rsid w:val="00A33B4C"/>
    <w:rsid w:val="00A33CBB"/>
    <w:rsid w:val="00A33F90"/>
    <w:rsid w:val="00A341E4"/>
    <w:rsid w:val="00A3433F"/>
    <w:rsid w:val="00A3456F"/>
    <w:rsid w:val="00A34769"/>
    <w:rsid w:val="00A35100"/>
    <w:rsid w:val="00A35137"/>
    <w:rsid w:val="00A35507"/>
    <w:rsid w:val="00A35596"/>
    <w:rsid w:val="00A35AB2"/>
    <w:rsid w:val="00A35B03"/>
    <w:rsid w:val="00A35BE9"/>
    <w:rsid w:val="00A35E74"/>
    <w:rsid w:val="00A35F83"/>
    <w:rsid w:val="00A36118"/>
    <w:rsid w:val="00A36272"/>
    <w:rsid w:val="00A362EB"/>
    <w:rsid w:val="00A36B17"/>
    <w:rsid w:val="00A36B60"/>
    <w:rsid w:val="00A37111"/>
    <w:rsid w:val="00A3728F"/>
    <w:rsid w:val="00A3797A"/>
    <w:rsid w:val="00A37B4E"/>
    <w:rsid w:val="00A37CC8"/>
    <w:rsid w:val="00A37D0F"/>
    <w:rsid w:val="00A37F49"/>
    <w:rsid w:val="00A37F8D"/>
    <w:rsid w:val="00A403B2"/>
    <w:rsid w:val="00A407A1"/>
    <w:rsid w:val="00A40871"/>
    <w:rsid w:val="00A40D2F"/>
    <w:rsid w:val="00A4110D"/>
    <w:rsid w:val="00A412AB"/>
    <w:rsid w:val="00A41307"/>
    <w:rsid w:val="00A417D6"/>
    <w:rsid w:val="00A4193E"/>
    <w:rsid w:val="00A41F11"/>
    <w:rsid w:val="00A41F77"/>
    <w:rsid w:val="00A42082"/>
    <w:rsid w:val="00A4216F"/>
    <w:rsid w:val="00A42544"/>
    <w:rsid w:val="00A42BFF"/>
    <w:rsid w:val="00A42EE9"/>
    <w:rsid w:val="00A43006"/>
    <w:rsid w:val="00A43062"/>
    <w:rsid w:val="00A43223"/>
    <w:rsid w:val="00A43231"/>
    <w:rsid w:val="00A43459"/>
    <w:rsid w:val="00A435A4"/>
    <w:rsid w:val="00A436B1"/>
    <w:rsid w:val="00A43918"/>
    <w:rsid w:val="00A43F41"/>
    <w:rsid w:val="00A43F6E"/>
    <w:rsid w:val="00A440E0"/>
    <w:rsid w:val="00A442EF"/>
    <w:rsid w:val="00A4437B"/>
    <w:rsid w:val="00A443F4"/>
    <w:rsid w:val="00A452AC"/>
    <w:rsid w:val="00A4569B"/>
    <w:rsid w:val="00A45CCD"/>
    <w:rsid w:val="00A45F9A"/>
    <w:rsid w:val="00A465B9"/>
    <w:rsid w:val="00A466DC"/>
    <w:rsid w:val="00A46777"/>
    <w:rsid w:val="00A468C2"/>
    <w:rsid w:val="00A46ABC"/>
    <w:rsid w:val="00A46CC0"/>
    <w:rsid w:val="00A46D09"/>
    <w:rsid w:val="00A46E95"/>
    <w:rsid w:val="00A47099"/>
    <w:rsid w:val="00A47182"/>
    <w:rsid w:val="00A471FC"/>
    <w:rsid w:val="00A4733D"/>
    <w:rsid w:val="00A47A2E"/>
    <w:rsid w:val="00A47B4A"/>
    <w:rsid w:val="00A47CA1"/>
    <w:rsid w:val="00A47CB3"/>
    <w:rsid w:val="00A47F34"/>
    <w:rsid w:val="00A50C01"/>
    <w:rsid w:val="00A50C0F"/>
    <w:rsid w:val="00A50DDE"/>
    <w:rsid w:val="00A50F3C"/>
    <w:rsid w:val="00A513C2"/>
    <w:rsid w:val="00A514D0"/>
    <w:rsid w:val="00A5154C"/>
    <w:rsid w:val="00A51948"/>
    <w:rsid w:val="00A51D1A"/>
    <w:rsid w:val="00A52012"/>
    <w:rsid w:val="00A52046"/>
    <w:rsid w:val="00A523DD"/>
    <w:rsid w:val="00A5258F"/>
    <w:rsid w:val="00A52BEA"/>
    <w:rsid w:val="00A52C26"/>
    <w:rsid w:val="00A52E0D"/>
    <w:rsid w:val="00A53364"/>
    <w:rsid w:val="00A533DA"/>
    <w:rsid w:val="00A5378E"/>
    <w:rsid w:val="00A53871"/>
    <w:rsid w:val="00A53BF8"/>
    <w:rsid w:val="00A5418D"/>
    <w:rsid w:val="00A54553"/>
    <w:rsid w:val="00A5474E"/>
    <w:rsid w:val="00A5493C"/>
    <w:rsid w:val="00A549A1"/>
    <w:rsid w:val="00A54AA9"/>
    <w:rsid w:val="00A54D1F"/>
    <w:rsid w:val="00A54E97"/>
    <w:rsid w:val="00A54F21"/>
    <w:rsid w:val="00A5503E"/>
    <w:rsid w:val="00A55071"/>
    <w:rsid w:val="00A550A7"/>
    <w:rsid w:val="00A5541A"/>
    <w:rsid w:val="00A55B38"/>
    <w:rsid w:val="00A55BE8"/>
    <w:rsid w:val="00A55CFF"/>
    <w:rsid w:val="00A563AF"/>
    <w:rsid w:val="00A564F0"/>
    <w:rsid w:val="00A566E0"/>
    <w:rsid w:val="00A56C27"/>
    <w:rsid w:val="00A56D57"/>
    <w:rsid w:val="00A56FF3"/>
    <w:rsid w:val="00A5710E"/>
    <w:rsid w:val="00A57494"/>
    <w:rsid w:val="00A5770A"/>
    <w:rsid w:val="00A57817"/>
    <w:rsid w:val="00A578BC"/>
    <w:rsid w:val="00A57BD1"/>
    <w:rsid w:val="00A57C83"/>
    <w:rsid w:val="00A57D79"/>
    <w:rsid w:val="00A57DBC"/>
    <w:rsid w:val="00A57FD3"/>
    <w:rsid w:val="00A60109"/>
    <w:rsid w:val="00A60139"/>
    <w:rsid w:val="00A60217"/>
    <w:rsid w:val="00A60407"/>
    <w:rsid w:val="00A6055C"/>
    <w:rsid w:val="00A60704"/>
    <w:rsid w:val="00A6115C"/>
    <w:rsid w:val="00A6123C"/>
    <w:rsid w:val="00A6130D"/>
    <w:rsid w:val="00A616C4"/>
    <w:rsid w:val="00A61702"/>
    <w:rsid w:val="00A61888"/>
    <w:rsid w:val="00A618E5"/>
    <w:rsid w:val="00A61B50"/>
    <w:rsid w:val="00A61BF0"/>
    <w:rsid w:val="00A61DC3"/>
    <w:rsid w:val="00A6207F"/>
    <w:rsid w:val="00A621A4"/>
    <w:rsid w:val="00A6229E"/>
    <w:rsid w:val="00A62767"/>
    <w:rsid w:val="00A627EC"/>
    <w:rsid w:val="00A62FE0"/>
    <w:rsid w:val="00A636A8"/>
    <w:rsid w:val="00A63ABB"/>
    <w:rsid w:val="00A63C99"/>
    <w:rsid w:val="00A63D04"/>
    <w:rsid w:val="00A63F2A"/>
    <w:rsid w:val="00A64015"/>
    <w:rsid w:val="00A6415F"/>
    <w:rsid w:val="00A641F6"/>
    <w:rsid w:val="00A64234"/>
    <w:rsid w:val="00A642AF"/>
    <w:rsid w:val="00A6444F"/>
    <w:rsid w:val="00A648DF"/>
    <w:rsid w:val="00A64A14"/>
    <w:rsid w:val="00A64DB5"/>
    <w:rsid w:val="00A64DF0"/>
    <w:rsid w:val="00A64EA1"/>
    <w:rsid w:val="00A65018"/>
    <w:rsid w:val="00A6505D"/>
    <w:rsid w:val="00A6506C"/>
    <w:rsid w:val="00A650D6"/>
    <w:rsid w:val="00A650FF"/>
    <w:rsid w:val="00A65C7B"/>
    <w:rsid w:val="00A65ED8"/>
    <w:rsid w:val="00A661F0"/>
    <w:rsid w:val="00A664D1"/>
    <w:rsid w:val="00A66631"/>
    <w:rsid w:val="00A666B6"/>
    <w:rsid w:val="00A66C3A"/>
    <w:rsid w:val="00A66D2F"/>
    <w:rsid w:val="00A66E8D"/>
    <w:rsid w:val="00A66F9E"/>
    <w:rsid w:val="00A66FFA"/>
    <w:rsid w:val="00A6709A"/>
    <w:rsid w:val="00A67202"/>
    <w:rsid w:val="00A674A0"/>
    <w:rsid w:val="00A674DB"/>
    <w:rsid w:val="00A67865"/>
    <w:rsid w:val="00A6797B"/>
    <w:rsid w:val="00A679F9"/>
    <w:rsid w:val="00A704DE"/>
    <w:rsid w:val="00A705CE"/>
    <w:rsid w:val="00A705DE"/>
    <w:rsid w:val="00A7095E"/>
    <w:rsid w:val="00A70ADF"/>
    <w:rsid w:val="00A70E19"/>
    <w:rsid w:val="00A70F47"/>
    <w:rsid w:val="00A713EB"/>
    <w:rsid w:val="00A7142C"/>
    <w:rsid w:val="00A71466"/>
    <w:rsid w:val="00A716B7"/>
    <w:rsid w:val="00A716C2"/>
    <w:rsid w:val="00A7188C"/>
    <w:rsid w:val="00A71B72"/>
    <w:rsid w:val="00A71B9E"/>
    <w:rsid w:val="00A71C8E"/>
    <w:rsid w:val="00A71F20"/>
    <w:rsid w:val="00A71F80"/>
    <w:rsid w:val="00A7210B"/>
    <w:rsid w:val="00A72323"/>
    <w:rsid w:val="00A724E7"/>
    <w:rsid w:val="00A7265D"/>
    <w:rsid w:val="00A7267B"/>
    <w:rsid w:val="00A729C8"/>
    <w:rsid w:val="00A72CCF"/>
    <w:rsid w:val="00A72E2C"/>
    <w:rsid w:val="00A72FCA"/>
    <w:rsid w:val="00A7326F"/>
    <w:rsid w:val="00A734CE"/>
    <w:rsid w:val="00A736D2"/>
    <w:rsid w:val="00A73B27"/>
    <w:rsid w:val="00A73B50"/>
    <w:rsid w:val="00A7403A"/>
    <w:rsid w:val="00A743A9"/>
    <w:rsid w:val="00A74AB4"/>
    <w:rsid w:val="00A74B5E"/>
    <w:rsid w:val="00A751E5"/>
    <w:rsid w:val="00A751F7"/>
    <w:rsid w:val="00A75AAF"/>
    <w:rsid w:val="00A75C9A"/>
    <w:rsid w:val="00A76048"/>
    <w:rsid w:val="00A76060"/>
    <w:rsid w:val="00A7610E"/>
    <w:rsid w:val="00A763AF"/>
    <w:rsid w:val="00A767B7"/>
    <w:rsid w:val="00A76A7A"/>
    <w:rsid w:val="00A770EF"/>
    <w:rsid w:val="00A77F9A"/>
    <w:rsid w:val="00A8003C"/>
    <w:rsid w:val="00A80046"/>
    <w:rsid w:val="00A801C0"/>
    <w:rsid w:val="00A802B9"/>
    <w:rsid w:val="00A804CD"/>
    <w:rsid w:val="00A805ED"/>
    <w:rsid w:val="00A80825"/>
    <w:rsid w:val="00A808E3"/>
    <w:rsid w:val="00A8114F"/>
    <w:rsid w:val="00A81687"/>
    <w:rsid w:val="00A817AC"/>
    <w:rsid w:val="00A81BBE"/>
    <w:rsid w:val="00A81BED"/>
    <w:rsid w:val="00A81EC4"/>
    <w:rsid w:val="00A81FA7"/>
    <w:rsid w:val="00A82080"/>
    <w:rsid w:val="00A82114"/>
    <w:rsid w:val="00A82359"/>
    <w:rsid w:val="00A82792"/>
    <w:rsid w:val="00A82B6B"/>
    <w:rsid w:val="00A82C91"/>
    <w:rsid w:val="00A82CB9"/>
    <w:rsid w:val="00A82D22"/>
    <w:rsid w:val="00A82D58"/>
    <w:rsid w:val="00A82D6F"/>
    <w:rsid w:val="00A82F70"/>
    <w:rsid w:val="00A83045"/>
    <w:rsid w:val="00A83A48"/>
    <w:rsid w:val="00A83EC0"/>
    <w:rsid w:val="00A84037"/>
    <w:rsid w:val="00A840B3"/>
    <w:rsid w:val="00A843A1"/>
    <w:rsid w:val="00A84865"/>
    <w:rsid w:val="00A848D1"/>
    <w:rsid w:val="00A84AF8"/>
    <w:rsid w:val="00A84B8B"/>
    <w:rsid w:val="00A84EFB"/>
    <w:rsid w:val="00A8508F"/>
    <w:rsid w:val="00A8581E"/>
    <w:rsid w:val="00A85C73"/>
    <w:rsid w:val="00A8617E"/>
    <w:rsid w:val="00A8645B"/>
    <w:rsid w:val="00A864FE"/>
    <w:rsid w:val="00A86859"/>
    <w:rsid w:val="00A86898"/>
    <w:rsid w:val="00A86FF1"/>
    <w:rsid w:val="00A874CF"/>
    <w:rsid w:val="00A874FA"/>
    <w:rsid w:val="00A8766A"/>
    <w:rsid w:val="00A87709"/>
    <w:rsid w:val="00A87823"/>
    <w:rsid w:val="00A87915"/>
    <w:rsid w:val="00A901C5"/>
    <w:rsid w:val="00A9043E"/>
    <w:rsid w:val="00A907B4"/>
    <w:rsid w:val="00A90818"/>
    <w:rsid w:val="00A9095D"/>
    <w:rsid w:val="00A90ABF"/>
    <w:rsid w:val="00A90BBD"/>
    <w:rsid w:val="00A90C90"/>
    <w:rsid w:val="00A90E25"/>
    <w:rsid w:val="00A90E9D"/>
    <w:rsid w:val="00A90FBE"/>
    <w:rsid w:val="00A9119B"/>
    <w:rsid w:val="00A9171C"/>
    <w:rsid w:val="00A91783"/>
    <w:rsid w:val="00A9179C"/>
    <w:rsid w:val="00A9185A"/>
    <w:rsid w:val="00A918E9"/>
    <w:rsid w:val="00A919EC"/>
    <w:rsid w:val="00A91C26"/>
    <w:rsid w:val="00A91D86"/>
    <w:rsid w:val="00A9222D"/>
    <w:rsid w:val="00A9228A"/>
    <w:rsid w:val="00A92511"/>
    <w:rsid w:val="00A927C4"/>
    <w:rsid w:val="00A928C3"/>
    <w:rsid w:val="00A928DE"/>
    <w:rsid w:val="00A92E12"/>
    <w:rsid w:val="00A9310F"/>
    <w:rsid w:val="00A9339E"/>
    <w:rsid w:val="00A93743"/>
    <w:rsid w:val="00A93E0D"/>
    <w:rsid w:val="00A9407E"/>
    <w:rsid w:val="00A9438F"/>
    <w:rsid w:val="00A94B1A"/>
    <w:rsid w:val="00A94BBB"/>
    <w:rsid w:val="00A9506F"/>
    <w:rsid w:val="00A95558"/>
    <w:rsid w:val="00A955CA"/>
    <w:rsid w:val="00A9571E"/>
    <w:rsid w:val="00A9579B"/>
    <w:rsid w:val="00A95A30"/>
    <w:rsid w:val="00A95A97"/>
    <w:rsid w:val="00A95E54"/>
    <w:rsid w:val="00A96482"/>
    <w:rsid w:val="00A967FD"/>
    <w:rsid w:val="00A96A07"/>
    <w:rsid w:val="00A96B14"/>
    <w:rsid w:val="00A96B2C"/>
    <w:rsid w:val="00A96CF8"/>
    <w:rsid w:val="00A9736E"/>
    <w:rsid w:val="00A97546"/>
    <w:rsid w:val="00A97701"/>
    <w:rsid w:val="00A97CE3"/>
    <w:rsid w:val="00A97E6D"/>
    <w:rsid w:val="00AA0262"/>
    <w:rsid w:val="00AA043F"/>
    <w:rsid w:val="00AA048F"/>
    <w:rsid w:val="00AA099C"/>
    <w:rsid w:val="00AA0B53"/>
    <w:rsid w:val="00AA0BDC"/>
    <w:rsid w:val="00AA11CB"/>
    <w:rsid w:val="00AA1507"/>
    <w:rsid w:val="00AA1577"/>
    <w:rsid w:val="00AA15BC"/>
    <w:rsid w:val="00AA15F2"/>
    <w:rsid w:val="00AA1709"/>
    <w:rsid w:val="00AA1CF5"/>
    <w:rsid w:val="00AA2525"/>
    <w:rsid w:val="00AA26B9"/>
    <w:rsid w:val="00AA275D"/>
    <w:rsid w:val="00AA2798"/>
    <w:rsid w:val="00AA2A9B"/>
    <w:rsid w:val="00AA2C1F"/>
    <w:rsid w:val="00AA2C3D"/>
    <w:rsid w:val="00AA2F83"/>
    <w:rsid w:val="00AA322C"/>
    <w:rsid w:val="00AA3298"/>
    <w:rsid w:val="00AA3412"/>
    <w:rsid w:val="00AA3F52"/>
    <w:rsid w:val="00AA4184"/>
    <w:rsid w:val="00AA41F1"/>
    <w:rsid w:val="00AA43F2"/>
    <w:rsid w:val="00AA4530"/>
    <w:rsid w:val="00AA45B0"/>
    <w:rsid w:val="00AA48A0"/>
    <w:rsid w:val="00AA4917"/>
    <w:rsid w:val="00AA52DE"/>
    <w:rsid w:val="00AA5321"/>
    <w:rsid w:val="00AA595B"/>
    <w:rsid w:val="00AA5F3D"/>
    <w:rsid w:val="00AA60B1"/>
    <w:rsid w:val="00AA619E"/>
    <w:rsid w:val="00AA62A7"/>
    <w:rsid w:val="00AA64AA"/>
    <w:rsid w:val="00AA64B0"/>
    <w:rsid w:val="00AA67CA"/>
    <w:rsid w:val="00AA6963"/>
    <w:rsid w:val="00AA6D3C"/>
    <w:rsid w:val="00AA6E3B"/>
    <w:rsid w:val="00AA6EE0"/>
    <w:rsid w:val="00AA7077"/>
    <w:rsid w:val="00AA746A"/>
    <w:rsid w:val="00AA7770"/>
    <w:rsid w:val="00AA7811"/>
    <w:rsid w:val="00AA7A03"/>
    <w:rsid w:val="00AA7D4C"/>
    <w:rsid w:val="00AB00AD"/>
    <w:rsid w:val="00AB0175"/>
    <w:rsid w:val="00AB0340"/>
    <w:rsid w:val="00AB044A"/>
    <w:rsid w:val="00AB0F5A"/>
    <w:rsid w:val="00AB156C"/>
    <w:rsid w:val="00AB15A7"/>
    <w:rsid w:val="00AB1A67"/>
    <w:rsid w:val="00AB1B67"/>
    <w:rsid w:val="00AB1C92"/>
    <w:rsid w:val="00AB1F7F"/>
    <w:rsid w:val="00AB1FE2"/>
    <w:rsid w:val="00AB2100"/>
    <w:rsid w:val="00AB2A15"/>
    <w:rsid w:val="00AB2C20"/>
    <w:rsid w:val="00AB2C7D"/>
    <w:rsid w:val="00AB2F9E"/>
    <w:rsid w:val="00AB3938"/>
    <w:rsid w:val="00AB3BD2"/>
    <w:rsid w:val="00AB3EDB"/>
    <w:rsid w:val="00AB477D"/>
    <w:rsid w:val="00AB4A4F"/>
    <w:rsid w:val="00AB4CCA"/>
    <w:rsid w:val="00AB4E9B"/>
    <w:rsid w:val="00AB52F0"/>
    <w:rsid w:val="00AB5442"/>
    <w:rsid w:val="00AB55F3"/>
    <w:rsid w:val="00AB5635"/>
    <w:rsid w:val="00AB57E5"/>
    <w:rsid w:val="00AB584F"/>
    <w:rsid w:val="00AB5B44"/>
    <w:rsid w:val="00AB5B9A"/>
    <w:rsid w:val="00AB5DA2"/>
    <w:rsid w:val="00AB6735"/>
    <w:rsid w:val="00AB6814"/>
    <w:rsid w:val="00AB734B"/>
    <w:rsid w:val="00AB77C0"/>
    <w:rsid w:val="00AB7813"/>
    <w:rsid w:val="00AC004B"/>
    <w:rsid w:val="00AC03A7"/>
    <w:rsid w:val="00AC0444"/>
    <w:rsid w:val="00AC04BA"/>
    <w:rsid w:val="00AC06CC"/>
    <w:rsid w:val="00AC074A"/>
    <w:rsid w:val="00AC0B61"/>
    <w:rsid w:val="00AC0BDE"/>
    <w:rsid w:val="00AC0CB4"/>
    <w:rsid w:val="00AC0D30"/>
    <w:rsid w:val="00AC0E39"/>
    <w:rsid w:val="00AC12C6"/>
    <w:rsid w:val="00AC15AB"/>
    <w:rsid w:val="00AC18A9"/>
    <w:rsid w:val="00AC1BD7"/>
    <w:rsid w:val="00AC201C"/>
    <w:rsid w:val="00AC20B4"/>
    <w:rsid w:val="00AC22D2"/>
    <w:rsid w:val="00AC2377"/>
    <w:rsid w:val="00AC2382"/>
    <w:rsid w:val="00AC24F7"/>
    <w:rsid w:val="00AC2500"/>
    <w:rsid w:val="00AC2AED"/>
    <w:rsid w:val="00AC2DE1"/>
    <w:rsid w:val="00AC2E21"/>
    <w:rsid w:val="00AC30C8"/>
    <w:rsid w:val="00AC35F5"/>
    <w:rsid w:val="00AC3804"/>
    <w:rsid w:val="00AC3945"/>
    <w:rsid w:val="00AC3D61"/>
    <w:rsid w:val="00AC3D96"/>
    <w:rsid w:val="00AC3F51"/>
    <w:rsid w:val="00AC4159"/>
    <w:rsid w:val="00AC4205"/>
    <w:rsid w:val="00AC437D"/>
    <w:rsid w:val="00AC4812"/>
    <w:rsid w:val="00AC4A08"/>
    <w:rsid w:val="00AC5133"/>
    <w:rsid w:val="00AC560D"/>
    <w:rsid w:val="00AC5626"/>
    <w:rsid w:val="00AC568A"/>
    <w:rsid w:val="00AC56CC"/>
    <w:rsid w:val="00AC5716"/>
    <w:rsid w:val="00AC586D"/>
    <w:rsid w:val="00AC58B8"/>
    <w:rsid w:val="00AC5D88"/>
    <w:rsid w:val="00AC631A"/>
    <w:rsid w:val="00AC6376"/>
    <w:rsid w:val="00AC65C6"/>
    <w:rsid w:val="00AC691E"/>
    <w:rsid w:val="00AC69B8"/>
    <w:rsid w:val="00AC6A99"/>
    <w:rsid w:val="00AC7336"/>
    <w:rsid w:val="00AC7578"/>
    <w:rsid w:val="00AC7712"/>
    <w:rsid w:val="00AC77E5"/>
    <w:rsid w:val="00AC7A62"/>
    <w:rsid w:val="00AC7D4B"/>
    <w:rsid w:val="00AC7EE0"/>
    <w:rsid w:val="00AC7EF0"/>
    <w:rsid w:val="00AD0355"/>
    <w:rsid w:val="00AD035B"/>
    <w:rsid w:val="00AD0483"/>
    <w:rsid w:val="00AD07D6"/>
    <w:rsid w:val="00AD0BC6"/>
    <w:rsid w:val="00AD0EEB"/>
    <w:rsid w:val="00AD1671"/>
    <w:rsid w:val="00AD1AAE"/>
    <w:rsid w:val="00AD1C00"/>
    <w:rsid w:val="00AD1C50"/>
    <w:rsid w:val="00AD1F56"/>
    <w:rsid w:val="00AD21B3"/>
    <w:rsid w:val="00AD277F"/>
    <w:rsid w:val="00AD27F0"/>
    <w:rsid w:val="00AD283A"/>
    <w:rsid w:val="00AD2D42"/>
    <w:rsid w:val="00AD2D90"/>
    <w:rsid w:val="00AD2FEE"/>
    <w:rsid w:val="00AD3082"/>
    <w:rsid w:val="00AD3213"/>
    <w:rsid w:val="00AD32B4"/>
    <w:rsid w:val="00AD32C9"/>
    <w:rsid w:val="00AD35B8"/>
    <w:rsid w:val="00AD36FA"/>
    <w:rsid w:val="00AD38A0"/>
    <w:rsid w:val="00AD38D9"/>
    <w:rsid w:val="00AD3ABC"/>
    <w:rsid w:val="00AD3D79"/>
    <w:rsid w:val="00AD3F59"/>
    <w:rsid w:val="00AD3F86"/>
    <w:rsid w:val="00AD4087"/>
    <w:rsid w:val="00AD4192"/>
    <w:rsid w:val="00AD45CD"/>
    <w:rsid w:val="00AD4835"/>
    <w:rsid w:val="00AD4AD0"/>
    <w:rsid w:val="00AD4C4E"/>
    <w:rsid w:val="00AD52B7"/>
    <w:rsid w:val="00AD5347"/>
    <w:rsid w:val="00AD5379"/>
    <w:rsid w:val="00AD5436"/>
    <w:rsid w:val="00AD563A"/>
    <w:rsid w:val="00AD5DBF"/>
    <w:rsid w:val="00AD60CD"/>
    <w:rsid w:val="00AD63FA"/>
    <w:rsid w:val="00AD650E"/>
    <w:rsid w:val="00AD6ACE"/>
    <w:rsid w:val="00AD6AD3"/>
    <w:rsid w:val="00AD6C8C"/>
    <w:rsid w:val="00AD6D0F"/>
    <w:rsid w:val="00AD7013"/>
    <w:rsid w:val="00AD70A7"/>
    <w:rsid w:val="00AD733D"/>
    <w:rsid w:val="00AD7577"/>
    <w:rsid w:val="00AD789E"/>
    <w:rsid w:val="00AD7E5A"/>
    <w:rsid w:val="00AD7F28"/>
    <w:rsid w:val="00AD7F8F"/>
    <w:rsid w:val="00AE0017"/>
    <w:rsid w:val="00AE0256"/>
    <w:rsid w:val="00AE048E"/>
    <w:rsid w:val="00AE04D3"/>
    <w:rsid w:val="00AE091D"/>
    <w:rsid w:val="00AE0C82"/>
    <w:rsid w:val="00AE0C89"/>
    <w:rsid w:val="00AE0E83"/>
    <w:rsid w:val="00AE0FC6"/>
    <w:rsid w:val="00AE19C9"/>
    <w:rsid w:val="00AE1FBF"/>
    <w:rsid w:val="00AE2594"/>
    <w:rsid w:val="00AE271C"/>
    <w:rsid w:val="00AE28C1"/>
    <w:rsid w:val="00AE2ABA"/>
    <w:rsid w:val="00AE2C61"/>
    <w:rsid w:val="00AE2C7C"/>
    <w:rsid w:val="00AE2CB0"/>
    <w:rsid w:val="00AE31E2"/>
    <w:rsid w:val="00AE31ED"/>
    <w:rsid w:val="00AE3446"/>
    <w:rsid w:val="00AE3B60"/>
    <w:rsid w:val="00AE3BF5"/>
    <w:rsid w:val="00AE3CA3"/>
    <w:rsid w:val="00AE3E97"/>
    <w:rsid w:val="00AE3EEF"/>
    <w:rsid w:val="00AE42E2"/>
    <w:rsid w:val="00AE4753"/>
    <w:rsid w:val="00AE48E5"/>
    <w:rsid w:val="00AE4965"/>
    <w:rsid w:val="00AE4B32"/>
    <w:rsid w:val="00AE4BCA"/>
    <w:rsid w:val="00AE4D67"/>
    <w:rsid w:val="00AE4EFA"/>
    <w:rsid w:val="00AE5049"/>
    <w:rsid w:val="00AE5160"/>
    <w:rsid w:val="00AE53A1"/>
    <w:rsid w:val="00AE5657"/>
    <w:rsid w:val="00AE5744"/>
    <w:rsid w:val="00AE5A22"/>
    <w:rsid w:val="00AE5C53"/>
    <w:rsid w:val="00AE5DFA"/>
    <w:rsid w:val="00AE5E25"/>
    <w:rsid w:val="00AE63A3"/>
    <w:rsid w:val="00AE6453"/>
    <w:rsid w:val="00AE6B23"/>
    <w:rsid w:val="00AE71F5"/>
    <w:rsid w:val="00AE74CF"/>
    <w:rsid w:val="00AE7615"/>
    <w:rsid w:val="00AE7619"/>
    <w:rsid w:val="00AE778C"/>
    <w:rsid w:val="00AE7FD8"/>
    <w:rsid w:val="00AF01AF"/>
    <w:rsid w:val="00AF01BC"/>
    <w:rsid w:val="00AF01C0"/>
    <w:rsid w:val="00AF07B6"/>
    <w:rsid w:val="00AF0880"/>
    <w:rsid w:val="00AF0AB3"/>
    <w:rsid w:val="00AF1090"/>
    <w:rsid w:val="00AF110B"/>
    <w:rsid w:val="00AF123A"/>
    <w:rsid w:val="00AF12B6"/>
    <w:rsid w:val="00AF1598"/>
    <w:rsid w:val="00AF19BE"/>
    <w:rsid w:val="00AF242D"/>
    <w:rsid w:val="00AF2462"/>
    <w:rsid w:val="00AF2484"/>
    <w:rsid w:val="00AF2962"/>
    <w:rsid w:val="00AF29A8"/>
    <w:rsid w:val="00AF2E71"/>
    <w:rsid w:val="00AF2E87"/>
    <w:rsid w:val="00AF3168"/>
    <w:rsid w:val="00AF316F"/>
    <w:rsid w:val="00AF3299"/>
    <w:rsid w:val="00AF32E1"/>
    <w:rsid w:val="00AF3348"/>
    <w:rsid w:val="00AF3361"/>
    <w:rsid w:val="00AF39F2"/>
    <w:rsid w:val="00AF3B68"/>
    <w:rsid w:val="00AF3F8B"/>
    <w:rsid w:val="00AF41BF"/>
    <w:rsid w:val="00AF4AFD"/>
    <w:rsid w:val="00AF4B4F"/>
    <w:rsid w:val="00AF4C03"/>
    <w:rsid w:val="00AF4CD2"/>
    <w:rsid w:val="00AF4D09"/>
    <w:rsid w:val="00AF4D4E"/>
    <w:rsid w:val="00AF4E02"/>
    <w:rsid w:val="00AF5350"/>
    <w:rsid w:val="00AF5601"/>
    <w:rsid w:val="00AF6067"/>
    <w:rsid w:val="00AF637E"/>
    <w:rsid w:val="00AF63E7"/>
    <w:rsid w:val="00AF65F1"/>
    <w:rsid w:val="00AF668D"/>
    <w:rsid w:val="00AF675B"/>
    <w:rsid w:val="00AF6C4C"/>
    <w:rsid w:val="00AF6DCC"/>
    <w:rsid w:val="00AF6DFE"/>
    <w:rsid w:val="00AF6E17"/>
    <w:rsid w:val="00AF6F78"/>
    <w:rsid w:val="00AF712E"/>
    <w:rsid w:val="00AF78CE"/>
    <w:rsid w:val="00AF798F"/>
    <w:rsid w:val="00AF7C6C"/>
    <w:rsid w:val="00AF7DDA"/>
    <w:rsid w:val="00AF7F33"/>
    <w:rsid w:val="00B00C17"/>
    <w:rsid w:val="00B010BE"/>
    <w:rsid w:val="00B0118C"/>
    <w:rsid w:val="00B0141C"/>
    <w:rsid w:val="00B0165D"/>
    <w:rsid w:val="00B01AA6"/>
    <w:rsid w:val="00B01AAE"/>
    <w:rsid w:val="00B01B60"/>
    <w:rsid w:val="00B01B7A"/>
    <w:rsid w:val="00B02062"/>
    <w:rsid w:val="00B02225"/>
    <w:rsid w:val="00B02262"/>
    <w:rsid w:val="00B02631"/>
    <w:rsid w:val="00B026E8"/>
    <w:rsid w:val="00B02919"/>
    <w:rsid w:val="00B02C86"/>
    <w:rsid w:val="00B02D7B"/>
    <w:rsid w:val="00B0312B"/>
    <w:rsid w:val="00B03167"/>
    <w:rsid w:val="00B031F3"/>
    <w:rsid w:val="00B03328"/>
    <w:rsid w:val="00B03387"/>
    <w:rsid w:val="00B03491"/>
    <w:rsid w:val="00B034B7"/>
    <w:rsid w:val="00B03F03"/>
    <w:rsid w:val="00B041D6"/>
    <w:rsid w:val="00B042D3"/>
    <w:rsid w:val="00B0461E"/>
    <w:rsid w:val="00B04876"/>
    <w:rsid w:val="00B048F0"/>
    <w:rsid w:val="00B04C47"/>
    <w:rsid w:val="00B04C52"/>
    <w:rsid w:val="00B04F39"/>
    <w:rsid w:val="00B05171"/>
    <w:rsid w:val="00B051DA"/>
    <w:rsid w:val="00B052A4"/>
    <w:rsid w:val="00B053C9"/>
    <w:rsid w:val="00B06799"/>
    <w:rsid w:val="00B073B2"/>
    <w:rsid w:val="00B07AB4"/>
    <w:rsid w:val="00B07FB5"/>
    <w:rsid w:val="00B1008C"/>
    <w:rsid w:val="00B100D4"/>
    <w:rsid w:val="00B10397"/>
    <w:rsid w:val="00B103E5"/>
    <w:rsid w:val="00B108F7"/>
    <w:rsid w:val="00B10C91"/>
    <w:rsid w:val="00B10D7E"/>
    <w:rsid w:val="00B10E52"/>
    <w:rsid w:val="00B10EA1"/>
    <w:rsid w:val="00B11010"/>
    <w:rsid w:val="00B11728"/>
    <w:rsid w:val="00B125DE"/>
    <w:rsid w:val="00B12C6F"/>
    <w:rsid w:val="00B13426"/>
    <w:rsid w:val="00B1350D"/>
    <w:rsid w:val="00B13695"/>
    <w:rsid w:val="00B136B3"/>
    <w:rsid w:val="00B138EF"/>
    <w:rsid w:val="00B13A1C"/>
    <w:rsid w:val="00B13EB7"/>
    <w:rsid w:val="00B13FDD"/>
    <w:rsid w:val="00B14903"/>
    <w:rsid w:val="00B14A59"/>
    <w:rsid w:val="00B14BFD"/>
    <w:rsid w:val="00B14D15"/>
    <w:rsid w:val="00B14DB9"/>
    <w:rsid w:val="00B14E2B"/>
    <w:rsid w:val="00B15496"/>
    <w:rsid w:val="00B15596"/>
    <w:rsid w:val="00B1578F"/>
    <w:rsid w:val="00B15AC3"/>
    <w:rsid w:val="00B15C40"/>
    <w:rsid w:val="00B15CB0"/>
    <w:rsid w:val="00B160DF"/>
    <w:rsid w:val="00B16411"/>
    <w:rsid w:val="00B16F68"/>
    <w:rsid w:val="00B171E2"/>
    <w:rsid w:val="00B1721A"/>
    <w:rsid w:val="00B172A2"/>
    <w:rsid w:val="00B172CE"/>
    <w:rsid w:val="00B17745"/>
    <w:rsid w:val="00B17B8B"/>
    <w:rsid w:val="00B17DC7"/>
    <w:rsid w:val="00B17E46"/>
    <w:rsid w:val="00B17EC9"/>
    <w:rsid w:val="00B2030F"/>
    <w:rsid w:val="00B20AFA"/>
    <w:rsid w:val="00B20CDD"/>
    <w:rsid w:val="00B20DBD"/>
    <w:rsid w:val="00B20F51"/>
    <w:rsid w:val="00B211D1"/>
    <w:rsid w:val="00B21312"/>
    <w:rsid w:val="00B2132C"/>
    <w:rsid w:val="00B213F2"/>
    <w:rsid w:val="00B2171A"/>
    <w:rsid w:val="00B21945"/>
    <w:rsid w:val="00B21CBE"/>
    <w:rsid w:val="00B22392"/>
    <w:rsid w:val="00B225AD"/>
    <w:rsid w:val="00B227BB"/>
    <w:rsid w:val="00B228E5"/>
    <w:rsid w:val="00B22921"/>
    <w:rsid w:val="00B22D6C"/>
    <w:rsid w:val="00B22EB2"/>
    <w:rsid w:val="00B2318D"/>
    <w:rsid w:val="00B23326"/>
    <w:rsid w:val="00B2342D"/>
    <w:rsid w:val="00B2366E"/>
    <w:rsid w:val="00B236A8"/>
    <w:rsid w:val="00B23C44"/>
    <w:rsid w:val="00B245F5"/>
    <w:rsid w:val="00B2469C"/>
    <w:rsid w:val="00B24775"/>
    <w:rsid w:val="00B247A2"/>
    <w:rsid w:val="00B24A60"/>
    <w:rsid w:val="00B24BBE"/>
    <w:rsid w:val="00B24CB5"/>
    <w:rsid w:val="00B252AE"/>
    <w:rsid w:val="00B252FB"/>
    <w:rsid w:val="00B25372"/>
    <w:rsid w:val="00B2551A"/>
    <w:rsid w:val="00B2598A"/>
    <w:rsid w:val="00B259A7"/>
    <w:rsid w:val="00B26561"/>
    <w:rsid w:val="00B265BE"/>
    <w:rsid w:val="00B269A2"/>
    <w:rsid w:val="00B26C75"/>
    <w:rsid w:val="00B26CA1"/>
    <w:rsid w:val="00B26F66"/>
    <w:rsid w:val="00B272EA"/>
    <w:rsid w:val="00B27442"/>
    <w:rsid w:val="00B27564"/>
    <w:rsid w:val="00B27572"/>
    <w:rsid w:val="00B275EF"/>
    <w:rsid w:val="00B27749"/>
    <w:rsid w:val="00B27758"/>
    <w:rsid w:val="00B277BF"/>
    <w:rsid w:val="00B277CB"/>
    <w:rsid w:val="00B27A4D"/>
    <w:rsid w:val="00B27D78"/>
    <w:rsid w:val="00B301D2"/>
    <w:rsid w:val="00B304E3"/>
    <w:rsid w:val="00B3091D"/>
    <w:rsid w:val="00B30C47"/>
    <w:rsid w:val="00B30DBE"/>
    <w:rsid w:val="00B310DE"/>
    <w:rsid w:val="00B31167"/>
    <w:rsid w:val="00B31195"/>
    <w:rsid w:val="00B3132A"/>
    <w:rsid w:val="00B313F3"/>
    <w:rsid w:val="00B31453"/>
    <w:rsid w:val="00B31774"/>
    <w:rsid w:val="00B31AB7"/>
    <w:rsid w:val="00B31BF0"/>
    <w:rsid w:val="00B31DB9"/>
    <w:rsid w:val="00B31EC3"/>
    <w:rsid w:val="00B32491"/>
    <w:rsid w:val="00B329D8"/>
    <w:rsid w:val="00B32BB9"/>
    <w:rsid w:val="00B32E98"/>
    <w:rsid w:val="00B3343F"/>
    <w:rsid w:val="00B33497"/>
    <w:rsid w:val="00B337BB"/>
    <w:rsid w:val="00B3388E"/>
    <w:rsid w:val="00B339D1"/>
    <w:rsid w:val="00B33AE1"/>
    <w:rsid w:val="00B33B81"/>
    <w:rsid w:val="00B33CBB"/>
    <w:rsid w:val="00B33E10"/>
    <w:rsid w:val="00B33F5C"/>
    <w:rsid w:val="00B3401B"/>
    <w:rsid w:val="00B340C4"/>
    <w:rsid w:val="00B3413E"/>
    <w:rsid w:val="00B34298"/>
    <w:rsid w:val="00B34424"/>
    <w:rsid w:val="00B34591"/>
    <w:rsid w:val="00B34887"/>
    <w:rsid w:val="00B34BDB"/>
    <w:rsid w:val="00B350D0"/>
    <w:rsid w:val="00B35476"/>
    <w:rsid w:val="00B35517"/>
    <w:rsid w:val="00B35588"/>
    <w:rsid w:val="00B3571E"/>
    <w:rsid w:val="00B35964"/>
    <w:rsid w:val="00B35C92"/>
    <w:rsid w:val="00B35EE1"/>
    <w:rsid w:val="00B35F17"/>
    <w:rsid w:val="00B3611C"/>
    <w:rsid w:val="00B3622F"/>
    <w:rsid w:val="00B362E3"/>
    <w:rsid w:val="00B36417"/>
    <w:rsid w:val="00B365F8"/>
    <w:rsid w:val="00B36722"/>
    <w:rsid w:val="00B370A5"/>
    <w:rsid w:val="00B3792E"/>
    <w:rsid w:val="00B379AE"/>
    <w:rsid w:val="00B37A05"/>
    <w:rsid w:val="00B37C38"/>
    <w:rsid w:val="00B37E82"/>
    <w:rsid w:val="00B400BC"/>
    <w:rsid w:val="00B40400"/>
    <w:rsid w:val="00B405C6"/>
    <w:rsid w:val="00B40807"/>
    <w:rsid w:val="00B4081A"/>
    <w:rsid w:val="00B40967"/>
    <w:rsid w:val="00B40C53"/>
    <w:rsid w:val="00B40CDC"/>
    <w:rsid w:val="00B40D1E"/>
    <w:rsid w:val="00B40D3B"/>
    <w:rsid w:val="00B40EBB"/>
    <w:rsid w:val="00B41517"/>
    <w:rsid w:val="00B41691"/>
    <w:rsid w:val="00B416A9"/>
    <w:rsid w:val="00B417A7"/>
    <w:rsid w:val="00B41819"/>
    <w:rsid w:val="00B4186E"/>
    <w:rsid w:val="00B41A26"/>
    <w:rsid w:val="00B41FC9"/>
    <w:rsid w:val="00B4219C"/>
    <w:rsid w:val="00B426B6"/>
    <w:rsid w:val="00B42751"/>
    <w:rsid w:val="00B427E2"/>
    <w:rsid w:val="00B4288C"/>
    <w:rsid w:val="00B42A32"/>
    <w:rsid w:val="00B42C41"/>
    <w:rsid w:val="00B42DE9"/>
    <w:rsid w:val="00B42EF1"/>
    <w:rsid w:val="00B4303B"/>
    <w:rsid w:val="00B430A1"/>
    <w:rsid w:val="00B430B6"/>
    <w:rsid w:val="00B43262"/>
    <w:rsid w:val="00B43510"/>
    <w:rsid w:val="00B43D42"/>
    <w:rsid w:val="00B43D9D"/>
    <w:rsid w:val="00B43FB0"/>
    <w:rsid w:val="00B44100"/>
    <w:rsid w:val="00B44378"/>
    <w:rsid w:val="00B446A2"/>
    <w:rsid w:val="00B4480C"/>
    <w:rsid w:val="00B4483C"/>
    <w:rsid w:val="00B4487F"/>
    <w:rsid w:val="00B4490D"/>
    <w:rsid w:val="00B44CDC"/>
    <w:rsid w:val="00B45323"/>
    <w:rsid w:val="00B45575"/>
    <w:rsid w:val="00B457D3"/>
    <w:rsid w:val="00B45C75"/>
    <w:rsid w:val="00B45D94"/>
    <w:rsid w:val="00B45DAB"/>
    <w:rsid w:val="00B45DDC"/>
    <w:rsid w:val="00B45FDA"/>
    <w:rsid w:val="00B46043"/>
    <w:rsid w:val="00B46273"/>
    <w:rsid w:val="00B465C9"/>
    <w:rsid w:val="00B466BB"/>
    <w:rsid w:val="00B468E4"/>
    <w:rsid w:val="00B46CBA"/>
    <w:rsid w:val="00B46F94"/>
    <w:rsid w:val="00B47664"/>
    <w:rsid w:val="00B47C14"/>
    <w:rsid w:val="00B47E30"/>
    <w:rsid w:val="00B500A3"/>
    <w:rsid w:val="00B500E7"/>
    <w:rsid w:val="00B50415"/>
    <w:rsid w:val="00B504E5"/>
    <w:rsid w:val="00B50B67"/>
    <w:rsid w:val="00B50C3D"/>
    <w:rsid w:val="00B50E5B"/>
    <w:rsid w:val="00B50E67"/>
    <w:rsid w:val="00B514B8"/>
    <w:rsid w:val="00B51774"/>
    <w:rsid w:val="00B519AC"/>
    <w:rsid w:val="00B520AA"/>
    <w:rsid w:val="00B521E5"/>
    <w:rsid w:val="00B522E5"/>
    <w:rsid w:val="00B52324"/>
    <w:rsid w:val="00B523A3"/>
    <w:rsid w:val="00B523F5"/>
    <w:rsid w:val="00B52687"/>
    <w:rsid w:val="00B52691"/>
    <w:rsid w:val="00B52756"/>
    <w:rsid w:val="00B52B51"/>
    <w:rsid w:val="00B52B62"/>
    <w:rsid w:val="00B52BCF"/>
    <w:rsid w:val="00B52D8F"/>
    <w:rsid w:val="00B532A0"/>
    <w:rsid w:val="00B538B0"/>
    <w:rsid w:val="00B53E99"/>
    <w:rsid w:val="00B53F89"/>
    <w:rsid w:val="00B54015"/>
    <w:rsid w:val="00B5403D"/>
    <w:rsid w:val="00B541B7"/>
    <w:rsid w:val="00B5473E"/>
    <w:rsid w:val="00B54889"/>
    <w:rsid w:val="00B548F2"/>
    <w:rsid w:val="00B54A82"/>
    <w:rsid w:val="00B54C06"/>
    <w:rsid w:val="00B55256"/>
    <w:rsid w:val="00B55387"/>
    <w:rsid w:val="00B55977"/>
    <w:rsid w:val="00B55BED"/>
    <w:rsid w:val="00B55C13"/>
    <w:rsid w:val="00B56445"/>
    <w:rsid w:val="00B5645B"/>
    <w:rsid w:val="00B56580"/>
    <w:rsid w:val="00B565D4"/>
    <w:rsid w:val="00B56938"/>
    <w:rsid w:val="00B56FA4"/>
    <w:rsid w:val="00B571FB"/>
    <w:rsid w:val="00B57277"/>
    <w:rsid w:val="00B572AE"/>
    <w:rsid w:val="00B5738F"/>
    <w:rsid w:val="00B573F3"/>
    <w:rsid w:val="00B574FA"/>
    <w:rsid w:val="00B57D57"/>
    <w:rsid w:val="00B57DC3"/>
    <w:rsid w:val="00B6003C"/>
    <w:rsid w:val="00B600C3"/>
    <w:rsid w:val="00B609F1"/>
    <w:rsid w:val="00B60A66"/>
    <w:rsid w:val="00B60B0A"/>
    <w:rsid w:val="00B60B11"/>
    <w:rsid w:val="00B60BFA"/>
    <w:rsid w:val="00B60C30"/>
    <w:rsid w:val="00B60EF2"/>
    <w:rsid w:val="00B61158"/>
    <w:rsid w:val="00B616D9"/>
    <w:rsid w:val="00B617A0"/>
    <w:rsid w:val="00B61BC7"/>
    <w:rsid w:val="00B61E9E"/>
    <w:rsid w:val="00B61EEF"/>
    <w:rsid w:val="00B61F03"/>
    <w:rsid w:val="00B61FC1"/>
    <w:rsid w:val="00B6218E"/>
    <w:rsid w:val="00B62247"/>
    <w:rsid w:val="00B62345"/>
    <w:rsid w:val="00B626E4"/>
    <w:rsid w:val="00B6279C"/>
    <w:rsid w:val="00B62C35"/>
    <w:rsid w:val="00B62C6B"/>
    <w:rsid w:val="00B62FA6"/>
    <w:rsid w:val="00B634AC"/>
    <w:rsid w:val="00B636E4"/>
    <w:rsid w:val="00B637A2"/>
    <w:rsid w:val="00B637E2"/>
    <w:rsid w:val="00B63BC6"/>
    <w:rsid w:val="00B63D09"/>
    <w:rsid w:val="00B63D54"/>
    <w:rsid w:val="00B63F44"/>
    <w:rsid w:val="00B6413D"/>
    <w:rsid w:val="00B64157"/>
    <w:rsid w:val="00B642AC"/>
    <w:rsid w:val="00B643C0"/>
    <w:rsid w:val="00B64428"/>
    <w:rsid w:val="00B64B87"/>
    <w:rsid w:val="00B64C88"/>
    <w:rsid w:val="00B64CCC"/>
    <w:rsid w:val="00B64D3E"/>
    <w:rsid w:val="00B64EBB"/>
    <w:rsid w:val="00B65068"/>
    <w:rsid w:val="00B65231"/>
    <w:rsid w:val="00B65737"/>
    <w:rsid w:val="00B6601F"/>
    <w:rsid w:val="00B6657D"/>
    <w:rsid w:val="00B667FE"/>
    <w:rsid w:val="00B66BF5"/>
    <w:rsid w:val="00B67426"/>
    <w:rsid w:val="00B674E2"/>
    <w:rsid w:val="00B6778B"/>
    <w:rsid w:val="00B67A08"/>
    <w:rsid w:val="00B67A16"/>
    <w:rsid w:val="00B67A39"/>
    <w:rsid w:val="00B67B75"/>
    <w:rsid w:val="00B67C99"/>
    <w:rsid w:val="00B709BF"/>
    <w:rsid w:val="00B70F87"/>
    <w:rsid w:val="00B7106E"/>
    <w:rsid w:val="00B712AC"/>
    <w:rsid w:val="00B7138A"/>
    <w:rsid w:val="00B713D4"/>
    <w:rsid w:val="00B71550"/>
    <w:rsid w:val="00B717B0"/>
    <w:rsid w:val="00B717E0"/>
    <w:rsid w:val="00B71932"/>
    <w:rsid w:val="00B71A37"/>
    <w:rsid w:val="00B71AFE"/>
    <w:rsid w:val="00B72000"/>
    <w:rsid w:val="00B72261"/>
    <w:rsid w:val="00B727E9"/>
    <w:rsid w:val="00B72C4A"/>
    <w:rsid w:val="00B72DB2"/>
    <w:rsid w:val="00B72F4A"/>
    <w:rsid w:val="00B73097"/>
    <w:rsid w:val="00B73252"/>
    <w:rsid w:val="00B7330F"/>
    <w:rsid w:val="00B73366"/>
    <w:rsid w:val="00B73554"/>
    <w:rsid w:val="00B735F5"/>
    <w:rsid w:val="00B7372D"/>
    <w:rsid w:val="00B7374B"/>
    <w:rsid w:val="00B73910"/>
    <w:rsid w:val="00B73957"/>
    <w:rsid w:val="00B73A3F"/>
    <w:rsid w:val="00B73CFE"/>
    <w:rsid w:val="00B73D8C"/>
    <w:rsid w:val="00B7404B"/>
    <w:rsid w:val="00B747E1"/>
    <w:rsid w:val="00B74891"/>
    <w:rsid w:val="00B74C92"/>
    <w:rsid w:val="00B74E7A"/>
    <w:rsid w:val="00B74EC3"/>
    <w:rsid w:val="00B74F45"/>
    <w:rsid w:val="00B74F54"/>
    <w:rsid w:val="00B75087"/>
    <w:rsid w:val="00B751E9"/>
    <w:rsid w:val="00B755AE"/>
    <w:rsid w:val="00B75618"/>
    <w:rsid w:val="00B75775"/>
    <w:rsid w:val="00B75A6C"/>
    <w:rsid w:val="00B75AC2"/>
    <w:rsid w:val="00B760AC"/>
    <w:rsid w:val="00B767BF"/>
    <w:rsid w:val="00B7681C"/>
    <w:rsid w:val="00B7699E"/>
    <w:rsid w:val="00B76F6D"/>
    <w:rsid w:val="00B7707C"/>
    <w:rsid w:val="00B771EC"/>
    <w:rsid w:val="00B77201"/>
    <w:rsid w:val="00B77341"/>
    <w:rsid w:val="00B773C4"/>
    <w:rsid w:val="00B77507"/>
    <w:rsid w:val="00B77544"/>
    <w:rsid w:val="00B77611"/>
    <w:rsid w:val="00B777C0"/>
    <w:rsid w:val="00B77EFD"/>
    <w:rsid w:val="00B77FC2"/>
    <w:rsid w:val="00B801AB"/>
    <w:rsid w:val="00B80390"/>
    <w:rsid w:val="00B80555"/>
    <w:rsid w:val="00B80595"/>
    <w:rsid w:val="00B8075A"/>
    <w:rsid w:val="00B810A2"/>
    <w:rsid w:val="00B81138"/>
    <w:rsid w:val="00B81565"/>
    <w:rsid w:val="00B815D9"/>
    <w:rsid w:val="00B819BE"/>
    <w:rsid w:val="00B81A45"/>
    <w:rsid w:val="00B81A4B"/>
    <w:rsid w:val="00B81E1C"/>
    <w:rsid w:val="00B81E4E"/>
    <w:rsid w:val="00B81E7C"/>
    <w:rsid w:val="00B82069"/>
    <w:rsid w:val="00B82340"/>
    <w:rsid w:val="00B82D2E"/>
    <w:rsid w:val="00B82F05"/>
    <w:rsid w:val="00B830D0"/>
    <w:rsid w:val="00B8339F"/>
    <w:rsid w:val="00B83559"/>
    <w:rsid w:val="00B83A2D"/>
    <w:rsid w:val="00B83C27"/>
    <w:rsid w:val="00B83CC4"/>
    <w:rsid w:val="00B83EE3"/>
    <w:rsid w:val="00B83F8F"/>
    <w:rsid w:val="00B84002"/>
    <w:rsid w:val="00B84288"/>
    <w:rsid w:val="00B842B0"/>
    <w:rsid w:val="00B843DB"/>
    <w:rsid w:val="00B8446F"/>
    <w:rsid w:val="00B84700"/>
    <w:rsid w:val="00B84904"/>
    <w:rsid w:val="00B84965"/>
    <w:rsid w:val="00B84A97"/>
    <w:rsid w:val="00B84BC3"/>
    <w:rsid w:val="00B84BDD"/>
    <w:rsid w:val="00B84DB2"/>
    <w:rsid w:val="00B851E3"/>
    <w:rsid w:val="00B85367"/>
    <w:rsid w:val="00B864BB"/>
    <w:rsid w:val="00B86678"/>
    <w:rsid w:val="00B86739"/>
    <w:rsid w:val="00B86855"/>
    <w:rsid w:val="00B868CB"/>
    <w:rsid w:val="00B86C35"/>
    <w:rsid w:val="00B870EF"/>
    <w:rsid w:val="00B872B3"/>
    <w:rsid w:val="00B87646"/>
    <w:rsid w:val="00B8783C"/>
    <w:rsid w:val="00B8785F"/>
    <w:rsid w:val="00B87E7C"/>
    <w:rsid w:val="00B90022"/>
    <w:rsid w:val="00B90133"/>
    <w:rsid w:val="00B9014C"/>
    <w:rsid w:val="00B90398"/>
    <w:rsid w:val="00B9054D"/>
    <w:rsid w:val="00B90820"/>
    <w:rsid w:val="00B90D53"/>
    <w:rsid w:val="00B91085"/>
    <w:rsid w:val="00B91108"/>
    <w:rsid w:val="00B911B1"/>
    <w:rsid w:val="00B911D6"/>
    <w:rsid w:val="00B91314"/>
    <w:rsid w:val="00B913A1"/>
    <w:rsid w:val="00B91637"/>
    <w:rsid w:val="00B91765"/>
    <w:rsid w:val="00B91958"/>
    <w:rsid w:val="00B9195F"/>
    <w:rsid w:val="00B91BFC"/>
    <w:rsid w:val="00B91DFA"/>
    <w:rsid w:val="00B91E6C"/>
    <w:rsid w:val="00B92022"/>
    <w:rsid w:val="00B920E4"/>
    <w:rsid w:val="00B92141"/>
    <w:rsid w:val="00B9217D"/>
    <w:rsid w:val="00B925D4"/>
    <w:rsid w:val="00B926A1"/>
    <w:rsid w:val="00B92812"/>
    <w:rsid w:val="00B929B9"/>
    <w:rsid w:val="00B92D2A"/>
    <w:rsid w:val="00B93233"/>
    <w:rsid w:val="00B932A5"/>
    <w:rsid w:val="00B93616"/>
    <w:rsid w:val="00B937C5"/>
    <w:rsid w:val="00B93ED6"/>
    <w:rsid w:val="00B9470D"/>
    <w:rsid w:val="00B94C86"/>
    <w:rsid w:val="00B94EA5"/>
    <w:rsid w:val="00B9500F"/>
    <w:rsid w:val="00B950E2"/>
    <w:rsid w:val="00B95326"/>
    <w:rsid w:val="00B95841"/>
    <w:rsid w:val="00B959D2"/>
    <w:rsid w:val="00B959EB"/>
    <w:rsid w:val="00B95A41"/>
    <w:rsid w:val="00B95AAA"/>
    <w:rsid w:val="00B962CD"/>
    <w:rsid w:val="00B96762"/>
    <w:rsid w:val="00B969FE"/>
    <w:rsid w:val="00B96C20"/>
    <w:rsid w:val="00B96C56"/>
    <w:rsid w:val="00B96DBC"/>
    <w:rsid w:val="00B96DFD"/>
    <w:rsid w:val="00B97161"/>
    <w:rsid w:val="00B971FB"/>
    <w:rsid w:val="00B972B4"/>
    <w:rsid w:val="00B973D7"/>
    <w:rsid w:val="00B97667"/>
    <w:rsid w:val="00B977A2"/>
    <w:rsid w:val="00BA00C6"/>
    <w:rsid w:val="00BA046F"/>
    <w:rsid w:val="00BA0673"/>
    <w:rsid w:val="00BA0749"/>
    <w:rsid w:val="00BA09A8"/>
    <w:rsid w:val="00BA0E51"/>
    <w:rsid w:val="00BA1324"/>
    <w:rsid w:val="00BA1590"/>
    <w:rsid w:val="00BA181B"/>
    <w:rsid w:val="00BA183E"/>
    <w:rsid w:val="00BA1E66"/>
    <w:rsid w:val="00BA1E87"/>
    <w:rsid w:val="00BA2069"/>
    <w:rsid w:val="00BA2178"/>
    <w:rsid w:val="00BA2395"/>
    <w:rsid w:val="00BA2490"/>
    <w:rsid w:val="00BA25B3"/>
    <w:rsid w:val="00BA25DD"/>
    <w:rsid w:val="00BA2679"/>
    <w:rsid w:val="00BA26FE"/>
    <w:rsid w:val="00BA2D2E"/>
    <w:rsid w:val="00BA2D4A"/>
    <w:rsid w:val="00BA2F81"/>
    <w:rsid w:val="00BA34A4"/>
    <w:rsid w:val="00BA37AD"/>
    <w:rsid w:val="00BA3A28"/>
    <w:rsid w:val="00BA3BE0"/>
    <w:rsid w:val="00BA3D67"/>
    <w:rsid w:val="00BA3D87"/>
    <w:rsid w:val="00BA4032"/>
    <w:rsid w:val="00BA40F1"/>
    <w:rsid w:val="00BA446C"/>
    <w:rsid w:val="00BA48AA"/>
    <w:rsid w:val="00BA4904"/>
    <w:rsid w:val="00BA498C"/>
    <w:rsid w:val="00BA49E4"/>
    <w:rsid w:val="00BA4C87"/>
    <w:rsid w:val="00BA5127"/>
    <w:rsid w:val="00BA5226"/>
    <w:rsid w:val="00BA5537"/>
    <w:rsid w:val="00BA5740"/>
    <w:rsid w:val="00BA5945"/>
    <w:rsid w:val="00BA5A20"/>
    <w:rsid w:val="00BA5DA7"/>
    <w:rsid w:val="00BA5EB0"/>
    <w:rsid w:val="00BA6010"/>
    <w:rsid w:val="00BA6711"/>
    <w:rsid w:val="00BA6B87"/>
    <w:rsid w:val="00BA6FB0"/>
    <w:rsid w:val="00BA7272"/>
    <w:rsid w:val="00BA72BD"/>
    <w:rsid w:val="00BA7A2D"/>
    <w:rsid w:val="00BA7AE9"/>
    <w:rsid w:val="00BB02F7"/>
    <w:rsid w:val="00BB048E"/>
    <w:rsid w:val="00BB06BC"/>
    <w:rsid w:val="00BB08FD"/>
    <w:rsid w:val="00BB0B09"/>
    <w:rsid w:val="00BB111D"/>
    <w:rsid w:val="00BB1239"/>
    <w:rsid w:val="00BB1258"/>
    <w:rsid w:val="00BB1416"/>
    <w:rsid w:val="00BB14AB"/>
    <w:rsid w:val="00BB14F7"/>
    <w:rsid w:val="00BB1511"/>
    <w:rsid w:val="00BB1907"/>
    <w:rsid w:val="00BB1BF6"/>
    <w:rsid w:val="00BB1CDE"/>
    <w:rsid w:val="00BB2245"/>
    <w:rsid w:val="00BB23E5"/>
    <w:rsid w:val="00BB2944"/>
    <w:rsid w:val="00BB2A90"/>
    <w:rsid w:val="00BB303E"/>
    <w:rsid w:val="00BB362D"/>
    <w:rsid w:val="00BB38F9"/>
    <w:rsid w:val="00BB396A"/>
    <w:rsid w:val="00BB3B22"/>
    <w:rsid w:val="00BB3B79"/>
    <w:rsid w:val="00BB3D2D"/>
    <w:rsid w:val="00BB40CC"/>
    <w:rsid w:val="00BB44EF"/>
    <w:rsid w:val="00BB4594"/>
    <w:rsid w:val="00BB45A1"/>
    <w:rsid w:val="00BB46A4"/>
    <w:rsid w:val="00BB471B"/>
    <w:rsid w:val="00BB4B2C"/>
    <w:rsid w:val="00BB4EA4"/>
    <w:rsid w:val="00BB4FBE"/>
    <w:rsid w:val="00BB4FD9"/>
    <w:rsid w:val="00BB5233"/>
    <w:rsid w:val="00BB5301"/>
    <w:rsid w:val="00BB5498"/>
    <w:rsid w:val="00BB5904"/>
    <w:rsid w:val="00BB5DB1"/>
    <w:rsid w:val="00BB5F42"/>
    <w:rsid w:val="00BB6070"/>
    <w:rsid w:val="00BB6309"/>
    <w:rsid w:val="00BB63CE"/>
    <w:rsid w:val="00BB6428"/>
    <w:rsid w:val="00BB6634"/>
    <w:rsid w:val="00BB66B6"/>
    <w:rsid w:val="00BB6A24"/>
    <w:rsid w:val="00BB6D81"/>
    <w:rsid w:val="00BB6DB5"/>
    <w:rsid w:val="00BB7187"/>
    <w:rsid w:val="00BB7328"/>
    <w:rsid w:val="00BB7686"/>
    <w:rsid w:val="00BB788D"/>
    <w:rsid w:val="00BB7908"/>
    <w:rsid w:val="00BB7915"/>
    <w:rsid w:val="00BB7C04"/>
    <w:rsid w:val="00BC015C"/>
    <w:rsid w:val="00BC096C"/>
    <w:rsid w:val="00BC0B6C"/>
    <w:rsid w:val="00BC0C4A"/>
    <w:rsid w:val="00BC0D00"/>
    <w:rsid w:val="00BC0D50"/>
    <w:rsid w:val="00BC0E4C"/>
    <w:rsid w:val="00BC0FAE"/>
    <w:rsid w:val="00BC119F"/>
    <w:rsid w:val="00BC14C2"/>
    <w:rsid w:val="00BC1967"/>
    <w:rsid w:val="00BC1B76"/>
    <w:rsid w:val="00BC1FF2"/>
    <w:rsid w:val="00BC20E7"/>
    <w:rsid w:val="00BC23F9"/>
    <w:rsid w:val="00BC264D"/>
    <w:rsid w:val="00BC29AF"/>
    <w:rsid w:val="00BC2CDC"/>
    <w:rsid w:val="00BC324A"/>
    <w:rsid w:val="00BC3396"/>
    <w:rsid w:val="00BC33FD"/>
    <w:rsid w:val="00BC3421"/>
    <w:rsid w:val="00BC365A"/>
    <w:rsid w:val="00BC38F8"/>
    <w:rsid w:val="00BC4222"/>
    <w:rsid w:val="00BC429C"/>
    <w:rsid w:val="00BC4376"/>
    <w:rsid w:val="00BC496E"/>
    <w:rsid w:val="00BC5180"/>
    <w:rsid w:val="00BC545E"/>
    <w:rsid w:val="00BC55D6"/>
    <w:rsid w:val="00BC5942"/>
    <w:rsid w:val="00BC5A43"/>
    <w:rsid w:val="00BC5CC2"/>
    <w:rsid w:val="00BC629D"/>
    <w:rsid w:val="00BC673B"/>
    <w:rsid w:val="00BC6798"/>
    <w:rsid w:val="00BC67AF"/>
    <w:rsid w:val="00BC6B8C"/>
    <w:rsid w:val="00BC6DDD"/>
    <w:rsid w:val="00BC6E0F"/>
    <w:rsid w:val="00BC732C"/>
    <w:rsid w:val="00BC738B"/>
    <w:rsid w:val="00BC769E"/>
    <w:rsid w:val="00BC7702"/>
    <w:rsid w:val="00BC7708"/>
    <w:rsid w:val="00BC79B9"/>
    <w:rsid w:val="00BC7F0B"/>
    <w:rsid w:val="00BD058E"/>
    <w:rsid w:val="00BD0C06"/>
    <w:rsid w:val="00BD12F0"/>
    <w:rsid w:val="00BD1600"/>
    <w:rsid w:val="00BD186B"/>
    <w:rsid w:val="00BD189F"/>
    <w:rsid w:val="00BD18A5"/>
    <w:rsid w:val="00BD1F65"/>
    <w:rsid w:val="00BD2194"/>
    <w:rsid w:val="00BD21CB"/>
    <w:rsid w:val="00BD2593"/>
    <w:rsid w:val="00BD28D6"/>
    <w:rsid w:val="00BD2B64"/>
    <w:rsid w:val="00BD2EEB"/>
    <w:rsid w:val="00BD2FD1"/>
    <w:rsid w:val="00BD2FE6"/>
    <w:rsid w:val="00BD30B6"/>
    <w:rsid w:val="00BD34F1"/>
    <w:rsid w:val="00BD36DA"/>
    <w:rsid w:val="00BD3820"/>
    <w:rsid w:val="00BD39BC"/>
    <w:rsid w:val="00BD3CF9"/>
    <w:rsid w:val="00BD3F2B"/>
    <w:rsid w:val="00BD4259"/>
    <w:rsid w:val="00BD4301"/>
    <w:rsid w:val="00BD4D2A"/>
    <w:rsid w:val="00BD4D90"/>
    <w:rsid w:val="00BD4E1C"/>
    <w:rsid w:val="00BD528D"/>
    <w:rsid w:val="00BD54CD"/>
    <w:rsid w:val="00BD5862"/>
    <w:rsid w:val="00BD5B28"/>
    <w:rsid w:val="00BD5B2C"/>
    <w:rsid w:val="00BD60E3"/>
    <w:rsid w:val="00BD6168"/>
    <w:rsid w:val="00BD6AED"/>
    <w:rsid w:val="00BD6BEB"/>
    <w:rsid w:val="00BD6CAB"/>
    <w:rsid w:val="00BD726D"/>
    <w:rsid w:val="00BD734F"/>
    <w:rsid w:val="00BD73AB"/>
    <w:rsid w:val="00BD73C0"/>
    <w:rsid w:val="00BD7424"/>
    <w:rsid w:val="00BD7F04"/>
    <w:rsid w:val="00BE0423"/>
    <w:rsid w:val="00BE0482"/>
    <w:rsid w:val="00BE07A9"/>
    <w:rsid w:val="00BE0B30"/>
    <w:rsid w:val="00BE0B4F"/>
    <w:rsid w:val="00BE0BC1"/>
    <w:rsid w:val="00BE13F4"/>
    <w:rsid w:val="00BE17DB"/>
    <w:rsid w:val="00BE194D"/>
    <w:rsid w:val="00BE1B55"/>
    <w:rsid w:val="00BE1C25"/>
    <w:rsid w:val="00BE1E1D"/>
    <w:rsid w:val="00BE204D"/>
    <w:rsid w:val="00BE2203"/>
    <w:rsid w:val="00BE2580"/>
    <w:rsid w:val="00BE266D"/>
    <w:rsid w:val="00BE2789"/>
    <w:rsid w:val="00BE291C"/>
    <w:rsid w:val="00BE2C02"/>
    <w:rsid w:val="00BE2CC9"/>
    <w:rsid w:val="00BE2DC0"/>
    <w:rsid w:val="00BE3070"/>
    <w:rsid w:val="00BE38BD"/>
    <w:rsid w:val="00BE3938"/>
    <w:rsid w:val="00BE3A32"/>
    <w:rsid w:val="00BE3A94"/>
    <w:rsid w:val="00BE43B6"/>
    <w:rsid w:val="00BE4890"/>
    <w:rsid w:val="00BE4C11"/>
    <w:rsid w:val="00BE4D67"/>
    <w:rsid w:val="00BE4FB5"/>
    <w:rsid w:val="00BE514A"/>
    <w:rsid w:val="00BE5616"/>
    <w:rsid w:val="00BE5676"/>
    <w:rsid w:val="00BE5811"/>
    <w:rsid w:val="00BE59BE"/>
    <w:rsid w:val="00BE65FF"/>
    <w:rsid w:val="00BE6916"/>
    <w:rsid w:val="00BE6AAD"/>
    <w:rsid w:val="00BE6F4A"/>
    <w:rsid w:val="00BE71C0"/>
    <w:rsid w:val="00BE7323"/>
    <w:rsid w:val="00BE74D5"/>
    <w:rsid w:val="00BE75A7"/>
    <w:rsid w:val="00BE79EE"/>
    <w:rsid w:val="00BE7AFE"/>
    <w:rsid w:val="00BE7F94"/>
    <w:rsid w:val="00BF0252"/>
    <w:rsid w:val="00BF0863"/>
    <w:rsid w:val="00BF0ED1"/>
    <w:rsid w:val="00BF1606"/>
    <w:rsid w:val="00BF1D21"/>
    <w:rsid w:val="00BF2007"/>
    <w:rsid w:val="00BF204E"/>
    <w:rsid w:val="00BF25CB"/>
    <w:rsid w:val="00BF26C5"/>
    <w:rsid w:val="00BF30C2"/>
    <w:rsid w:val="00BF3437"/>
    <w:rsid w:val="00BF346D"/>
    <w:rsid w:val="00BF3786"/>
    <w:rsid w:val="00BF3D4A"/>
    <w:rsid w:val="00BF3E0B"/>
    <w:rsid w:val="00BF3EC0"/>
    <w:rsid w:val="00BF42A0"/>
    <w:rsid w:val="00BF456C"/>
    <w:rsid w:val="00BF4768"/>
    <w:rsid w:val="00BF4BFF"/>
    <w:rsid w:val="00BF4E58"/>
    <w:rsid w:val="00BF527D"/>
    <w:rsid w:val="00BF546C"/>
    <w:rsid w:val="00BF5593"/>
    <w:rsid w:val="00BF5B47"/>
    <w:rsid w:val="00BF5FD2"/>
    <w:rsid w:val="00BF610C"/>
    <w:rsid w:val="00BF6675"/>
    <w:rsid w:val="00BF674C"/>
    <w:rsid w:val="00BF68F9"/>
    <w:rsid w:val="00BF6938"/>
    <w:rsid w:val="00BF6B26"/>
    <w:rsid w:val="00BF6CEA"/>
    <w:rsid w:val="00BF728D"/>
    <w:rsid w:val="00BF7348"/>
    <w:rsid w:val="00BF76BC"/>
    <w:rsid w:val="00BF77F7"/>
    <w:rsid w:val="00BF78ED"/>
    <w:rsid w:val="00BF7A33"/>
    <w:rsid w:val="00BF7D9F"/>
    <w:rsid w:val="00C00396"/>
    <w:rsid w:val="00C004CD"/>
    <w:rsid w:val="00C0060B"/>
    <w:rsid w:val="00C0067C"/>
    <w:rsid w:val="00C0070D"/>
    <w:rsid w:val="00C013A6"/>
    <w:rsid w:val="00C013BE"/>
    <w:rsid w:val="00C01A27"/>
    <w:rsid w:val="00C01A6A"/>
    <w:rsid w:val="00C01CCB"/>
    <w:rsid w:val="00C01D18"/>
    <w:rsid w:val="00C02056"/>
    <w:rsid w:val="00C0236C"/>
    <w:rsid w:val="00C02512"/>
    <w:rsid w:val="00C02605"/>
    <w:rsid w:val="00C02759"/>
    <w:rsid w:val="00C0277D"/>
    <w:rsid w:val="00C02BF4"/>
    <w:rsid w:val="00C02C2A"/>
    <w:rsid w:val="00C02CD4"/>
    <w:rsid w:val="00C02DED"/>
    <w:rsid w:val="00C02ED1"/>
    <w:rsid w:val="00C02F47"/>
    <w:rsid w:val="00C03302"/>
    <w:rsid w:val="00C0336E"/>
    <w:rsid w:val="00C03871"/>
    <w:rsid w:val="00C03A0C"/>
    <w:rsid w:val="00C03BF4"/>
    <w:rsid w:val="00C03C27"/>
    <w:rsid w:val="00C03F65"/>
    <w:rsid w:val="00C040A1"/>
    <w:rsid w:val="00C0442E"/>
    <w:rsid w:val="00C0454F"/>
    <w:rsid w:val="00C046FB"/>
    <w:rsid w:val="00C0487A"/>
    <w:rsid w:val="00C0488E"/>
    <w:rsid w:val="00C04A62"/>
    <w:rsid w:val="00C04AFD"/>
    <w:rsid w:val="00C04CE8"/>
    <w:rsid w:val="00C04FC0"/>
    <w:rsid w:val="00C05267"/>
    <w:rsid w:val="00C0526F"/>
    <w:rsid w:val="00C0539D"/>
    <w:rsid w:val="00C053A1"/>
    <w:rsid w:val="00C05934"/>
    <w:rsid w:val="00C05D37"/>
    <w:rsid w:val="00C05D74"/>
    <w:rsid w:val="00C05DF9"/>
    <w:rsid w:val="00C05FB9"/>
    <w:rsid w:val="00C0647F"/>
    <w:rsid w:val="00C06614"/>
    <w:rsid w:val="00C0685A"/>
    <w:rsid w:val="00C06C24"/>
    <w:rsid w:val="00C06D75"/>
    <w:rsid w:val="00C06F21"/>
    <w:rsid w:val="00C06F98"/>
    <w:rsid w:val="00C070D8"/>
    <w:rsid w:val="00C073D9"/>
    <w:rsid w:val="00C0799F"/>
    <w:rsid w:val="00C07B32"/>
    <w:rsid w:val="00C07B39"/>
    <w:rsid w:val="00C10118"/>
    <w:rsid w:val="00C10368"/>
    <w:rsid w:val="00C107F5"/>
    <w:rsid w:val="00C1097D"/>
    <w:rsid w:val="00C10A83"/>
    <w:rsid w:val="00C10B00"/>
    <w:rsid w:val="00C10DEF"/>
    <w:rsid w:val="00C10EF3"/>
    <w:rsid w:val="00C10FF3"/>
    <w:rsid w:val="00C110E2"/>
    <w:rsid w:val="00C1152D"/>
    <w:rsid w:val="00C11B58"/>
    <w:rsid w:val="00C11E22"/>
    <w:rsid w:val="00C11FCB"/>
    <w:rsid w:val="00C12084"/>
    <w:rsid w:val="00C12183"/>
    <w:rsid w:val="00C12207"/>
    <w:rsid w:val="00C12545"/>
    <w:rsid w:val="00C1270E"/>
    <w:rsid w:val="00C12720"/>
    <w:rsid w:val="00C12737"/>
    <w:rsid w:val="00C12F50"/>
    <w:rsid w:val="00C12F75"/>
    <w:rsid w:val="00C1325F"/>
    <w:rsid w:val="00C132A1"/>
    <w:rsid w:val="00C13349"/>
    <w:rsid w:val="00C137B9"/>
    <w:rsid w:val="00C13DD6"/>
    <w:rsid w:val="00C1475E"/>
    <w:rsid w:val="00C14ABE"/>
    <w:rsid w:val="00C14AD3"/>
    <w:rsid w:val="00C14DAE"/>
    <w:rsid w:val="00C14F95"/>
    <w:rsid w:val="00C1500C"/>
    <w:rsid w:val="00C1531A"/>
    <w:rsid w:val="00C1569B"/>
    <w:rsid w:val="00C156C6"/>
    <w:rsid w:val="00C1576A"/>
    <w:rsid w:val="00C15BA7"/>
    <w:rsid w:val="00C15BB6"/>
    <w:rsid w:val="00C15CC6"/>
    <w:rsid w:val="00C15D07"/>
    <w:rsid w:val="00C15D46"/>
    <w:rsid w:val="00C15FC3"/>
    <w:rsid w:val="00C16198"/>
    <w:rsid w:val="00C16893"/>
    <w:rsid w:val="00C168DE"/>
    <w:rsid w:val="00C16949"/>
    <w:rsid w:val="00C16D34"/>
    <w:rsid w:val="00C16F12"/>
    <w:rsid w:val="00C171A0"/>
    <w:rsid w:val="00C17368"/>
    <w:rsid w:val="00C174A4"/>
    <w:rsid w:val="00C17D32"/>
    <w:rsid w:val="00C17DA2"/>
    <w:rsid w:val="00C17E8C"/>
    <w:rsid w:val="00C200E3"/>
    <w:rsid w:val="00C20270"/>
    <w:rsid w:val="00C203C1"/>
    <w:rsid w:val="00C204E9"/>
    <w:rsid w:val="00C206D9"/>
    <w:rsid w:val="00C2083D"/>
    <w:rsid w:val="00C208C3"/>
    <w:rsid w:val="00C20C9A"/>
    <w:rsid w:val="00C21030"/>
    <w:rsid w:val="00C21167"/>
    <w:rsid w:val="00C213F2"/>
    <w:rsid w:val="00C216DC"/>
    <w:rsid w:val="00C21909"/>
    <w:rsid w:val="00C21912"/>
    <w:rsid w:val="00C21AD3"/>
    <w:rsid w:val="00C21B53"/>
    <w:rsid w:val="00C21C92"/>
    <w:rsid w:val="00C21F4C"/>
    <w:rsid w:val="00C2204C"/>
    <w:rsid w:val="00C22313"/>
    <w:rsid w:val="00C228CB"/>
    <w:rsid w:val="00C22ED2"/>
    <w:rsid w:val="00C232CA"/>
    <w:rsid w:val="00C2354F"/>
    <w:rsid w:val="00C23651"/>
    <w:rsid w:val="00C23659"/>
    <w:rsid w:val="00C2367E"/>
    <w:rsid w:val="00C23C75"/>
    <w:rsid w:val="00C23E35"/>
    <w:rsid w:val="00C23F9E"/>
    <w:rsid w:val="00C2417D"/>
    <w:rsid w:val="00C24269"/>
    <w:rsid w:val="00C242FE"/>
    <w:rsid w:val="00C24A53"/>
    <w:rsid w:val="00C254B9"/>
    <w:rsid w:val="00C25658"/>
    <w:rsid w:val="00C25A23"/>
    <w:rsid w:val="00C25BE2"/>
    <w:rsid w:val="00C260DF"/>
    <w:rsid w:val="00C260F5"/>
    <w:rsid w:val="00C26173"/>
    <w:rsid w:val="00C2668B"/>
    <w:rsid w:val="00C26F3C"/>
    <w:rsid w:val="00C27140"/>
    <w:rsid w:val="00C2734E"/>
    <w:rsid w:val="00C27491"/>
    <w:rsid w:val="00C27695"/>
    <w:rsid w:val="00C27E21"/>
    <w:rsid w:val="00C30372"/>
    <w:rsid w:val="00C3071A"/>
    <w:rsid w:val="00C307E4"/>
    <w:rsid w:val="00C30939"/>
    <w:rsid w:val="00C30B26"/>
    <w:rsid w:val="00C30FEE"/>
    <w:rsid w:val="00C3158F"/>
    <w:rsid w:val="00C31685"/>
    <w:rsid w:val="00C3186E"/>
    <w:rsid w:val="00C319E5"/>
    <w:rsid w:val="00C32064"/>
    <w:rsid w:val="00C32455"/>
    <w:rsid w:val="00C327A6"/>
    <w:rsid w:val="00C32A63"/>
    <w:rsid w:val="00C32B3F"/>
    <w:rsid w:val="00C32FE4"/>
    <w:rsid w:val="00C33021"/>
    <w:rsid w:val="00C33176"/>
    <w:rsid w:val="00C33447"/>
    <w:rsid w:val="00C33A37"/>
    <w:rsid w:val="00C33A82"/>
    <w:rsid w:val="00C33B66"/>
    <w:rsid w:val="00C33CDD"/>
    <w:rsid w:val="00C34362"/>
    <w:rsid w:val="00C345B7"/>
    <w:rsid w:val="00C347F6"/>
    <w:rsid w:val="00C34A05"/>
    <w:rsid w:val="00C34F65"/>
    <w:rsid w:val="00C355ED"/>
    <w:rsid w:val="00C35611"/>
    <w:rsid w:val="00C3564A"/>
    <w:rsid w:val="00C35901"/>
    <w:rsid w:val="00C35920"/>
    <w:rsid w:val="00C3593B"/>
    <w:rsid w:val="00C35A25"/>
    <w:rsid w:val="00C35ABF"/>
    <w:rsid w:val="00C35D99"/>
    <w:rsid w:val="00C35ED7"/>
    <w:rsid w:val="00C3603E"/>
    <w:rsid w:val="00C3604C"/>
    <w:rsid w:val="00C363A3"/>
    <w:rsid w:val="00C364F1"/>
    <w:rsid w:val="00C36500"/>
    <w:rsid w:val="00C36639"/>
    <w:rsid w:val="00C3665E"/>
    <w:rsid w:val="00C367FC"/>
    <w:rsid w:val="00C36C96"/>
    <w:rsid w:val="00C36CF6"/>
    <w:rsid w:val="00C36D46"/>
    <w:rsid w:val="00C371D2"/>
    <w:rsid w:val="00C374B2"/>
    <w:rsid w:val="00C374D1"/>
    <w:rsid w:val="00C37768"/>
    <w:rsid w:val="00C37AE0"/>
    <w:rsid w:val="00C37E1E"/>
    <w:rsid w:val="00C37F80"/>
    <w:rsid w:val="00C37FDF"/>
    <w:rsid w:val="00C400F4"/>
    <w:rsid w:val="00C401A8"/>
    <w:rsid w:val="00C402AC"/>
    <w:rsid w:val="00C4032F"/>
    <w:rsid w:val="00C4034C"/>
    <w:rsid w:val="00C404E9"/>
    <w:rsid w:val="00C40619"/>
    <w:rsid w:val="00C40717"/>
    <w:rsid w:val="00C407B7"/>
    <w:rsid w:val="00C4094F"/>
    <w:rsid w:val="00C40966"/>
    <w:rsid w:val="00C409CA"/>
    <w:rsid w:val="00C40E65"/>
    <w:rsid w:val="00C4176F"/>
    <w:rsid w:val="00C41F76"/>
    <w:rsid w:val="00C42025"/>
    <w:rsid w:val="00C42276"/>
    <w:rsid w:val="00C42991"/>
    <w:rsid w:val="00C429D4"/>
    <w:rsid w:val="00C42A48"/>
    <w:rsid w:val="00C42BCF"/>
    <w:rsid w:val="00C42C15"/>
    <w:rsid w:val="00C42C28"/>
    <w:rsid w:val="00C42D6A"/>
    <w:rsid w:val="00C42DD8"/>
    <w:rsid w:val="00C43153"/>
    <w:rsid w:val="00C432D7"/>
    <w:rsid w:val="00C433AB"/>
    <w:rsid w:val="00C434D5"/>
    <w:rsid w:val="00C436E3"/>
    <w:rsid w:val="00C4388A"/>
    <w:rsid w:val="00C43A99"/>
    <w:rsid w:val="00C43CE0"/>
    <w:rsid w:val="00C43D45"/>
    <w:rsid w:val="00C43D9C"/>
    <w:rsid w:val="00C43DE9"/>
    <w:rsid w:val="00C43E52"/>
    <w:rsid w:val="00C4400B"/>
    <w:rsid w:val="00C44047"/>
    <w:rsid w:val="00C443C7"/>
    <w:rsid w:val="00C4441C"/>
    <w:rsid w:val="00C44770"/>
    <w:rsid w:val="00C44903"/>
    <w:rsid w:val="00C44A78"/>
    <w:rsid w:val="00C44E73"/>
    <w:rsid w:val="00C45155"/>
    <w:rsid w:val="00C45182"/>
    <w:rsid w:val="00C45395"/>
    <w:rsid w:val="00C458EA"/>
    <w:rsid w:val="00C45AA4"/>
    <w:rsid w:val="00C462B0"/>
    <w:rsid w:val="00C4637D"/>
    <w:rsid w:val="00C4678B"/>
    <w:rsid w:val="00C4694C"/>
    <w:rsid w:val="00C469C7"/>
    <w:rsid w:val="00C46BF3"/>
    <w:rsid w:val="00C4797E"/>
    <w:rsid w:val="00C47FC4"/>
    <w:rsid w:val="00C50103"/>
    <w:rsid w:val="00C502AA"/>
    <w:rsid w:val="00C5033F"/>
    <w:rsid w:val="00C50635"/>
    <w:rsid w:val="00C50A4C"/>
    <w:rsid w:val="00C50B4E"/>
    <w:rsid w:val="00C50CD1"/>
    <w:rsid w:val="00C5109E"/>
    <w:rsid w:val="00C51606"/>
    <w:rsid w:val="00C51923"/>
    <w:rsid w:val="00C5192A"/>
    <w:rsid w:val="00C52030"/>
    <w:rsid w:val="00C52474"/>
    <w:rsid w:val="00C52619"/>
    <w:rsid w:val="00C5294F"/>
    <w:rsid w:val="00C52964"/>
    <w:rsid w:val="00C52A58"/>
    <w:rsid w:val="00C52A8F"/>
    <w:rsid w:val="00C52C07"/>
    <w:rsid w:val="00C52C11"/>
    <w:rsid w:val="00C53047"/>
    <w:rsid w:val="00C53383"/>
    <w:rsid w:val="00C533F4"/>
    <w:rsid w:val="00C5369F"/>
    <w:rsid w:val="00C53C74"/>
    <w:rsid w:val="00C543D2"/>
    <w:rsid w:val="00C5498F"/>
    <w:rsid w:val="00C54BEA"/>
    <w:rsid w:val="00C54DE0"/>
    <w:rsid w:val="00C550A2"/>
    <w:rsid w:val="00C550F4"/>
    <w:rsid w:val="00C55235"/>
    <w:rsid w:val="00C55263"/>
    <w:rsid w:val="00C55361"/>
    <w:rsid w:val="00C55387"/>
    <w:rsid w:val="00C555C5"/>
    <w:rsid w:val="00C55690"/>
    <w:rsid w:val="00C55AEC"/>
    <w:rsid w:val="00C55B52"/>
    <w:rsid w:val="00C55D1D"/>
    <w:rsid w:val="00C55D45"/>
    <w:rsid w:val="00C55DF6"/>
    <w:rsid w:val="00C55E57"/>
    <w:rsid w:val="00C56000"/>
    <w:rsid w:val="00C564E1"/>
    <w:rsid w:val="00C56526"/>
    <w:rsid w:val="00C565B9"/>
    <w:rsid w:val="00C565BB"/>
    <w:rsid w:val="00C56673"/>
    <w:rsid w:val="00C567B9"/>
    <w:rsid w:val="00C568CD"/>
    <w:rsid w:val="00C569F1"/>
    <w:rsid w:val="00C56B65"/>
    <w:rsid w:val="00C56B71"/>
    <w:rsid w:val="00C56E61"/>
    <w:rsid w:val="00C56F4D"/>
    <w:rsid w:val="00C57226"/>
    <w:rsid w:val="00C57519"/>
    <w:rsid w:val="00C5782B"/>
    <w:rsid w:val="00C57888"/>
    <w:rsid w:val="00C5788B"/>
    <w:rsid w:val="00C57B45"/>
    <w:rsid w:val="00C57BF6"/>
    <w:rsid w:val="00C57EFE"/>
    <w:rsid w:val="00C57F57"/>
    <w:rsid w:val="00C603C6"/>
    <w:rsid w:val="00C603FF"/>
    <w:rsid w:val="00C604FC"/>
    <w:rsid w:val="00C607F4"/>
    <w:rsid w:val="00C60ADF"/>
    <w:rsid w:val="00C60F01"/>
    <w:rsid w:val="00C61075"/>
    <w:rsid w:val="00C61187"/>
    <w:rsid w:val="00C613A3"/>
    <w:rsid w:val="00C61717"/>
    <w:rsid w:val="00C61727"/>
    <w:rsid w:val="00C61B31"/>
    <w:rsid w:val="00C61ED6"/>
    <w:rsid w:val="00C61F6B"/>
    <w:rsid w:val="00C61FD4"/>
    <w:rsid w:val="00C62009"/>
    <w:rsid w:val="00C620A6"/>
    <w:rsid w:val="00C62588"/>
    <w:rsid w:val="00C62E0B"/>
    <w:rsid w:val="00C63BD8"/>
    <w:rsid w:val="00C63BEC"/>
    <w:rsid w:val="00C64561"/>
    <w:rsid w:val="00C6464C"/>
    <w:rsid w:val="00C648D6"/>
    <w:rsid w:val="00C64CD0"/>
    <w:rsid w:val="00C64E1C"/>
    <w:rsid w:val="00C6573A"/>
    <w:rsid w:val="00C6595A"/>
    <w:rsid w:val="00C65B01"/>
    <w:rsid w:val="00C65E88"/>
    <w:rsid w:val="00C65F15"/>
    <w:rsid w:val="00C6611A"/>
    <w:rsid w:val="00C66453"/>
    <w:rsid w:val="00C664E9"/>
    <w:rsid w:val="00C6684F"/>
    <w:rsid w:val="00C66850"/>
    <w:rsid w:val="00C66ADD"/>
    <w:rsid w:val="00C66FA9"/>
    <w:rsid w:val="00C671A6"/>
    <w:rsid w:val="00C67429"/>
    <w:rsid w:val="00C675FF"/>
    <w:rsid w:val="00C67AF6"/>
    <w:rsid w:val="00C67BC0"/>
    <w:rsid w:val="00C67DDB"/>
    <w:rsid w:val="00C67E91"/>
    <w:rsid w:val="00C70630"/>
    <w:rsid w:val="00C70674"/>
    <w:rsid w:val="00C7077C"/>
    <w:rsid w:val="00C7089C"/>
    <w:rsid w:val="00C70997"/>
    <w:rsid w:val="00C70E70"/>
    <w:rsid w:val="00C70ECD"/>
    <w:rsid w:val="00C70FBF"/>
    <w:rsid w:val="00C710F7"/>
    <w:rsid w:val="00C7153A"/>
    <w:rsid w:val="00C72148"/>
    <w:rsid w:val="00C72265"/>
    <w:rsid w:val="00C7245A"/>
    <w:rsid w:val="00C72A4C"/>
    <w:rsid w:val="00C72BF9"/>
    <w:rsid w:val="00C73416"/>
    <w:rsid w:val="00C737A9"/>
    <w:rsid w:val="00C73D17"/>
    <w:rsid w:val="00C73FDD"/>
    <w:rsid w:val="00C749D7"/>
    <w:rsid w:val="00C74ACC"/>
    <w:rsid w:val="00C74ADE"/>
    <w:rsid w:val="00C74B41"/>
    <w:rsid w:val="00C74CA1"/>
    <w:rsid w:val="00C74D77"/>
    <w:rsid w:val="00C75BFD"/>
    <w:rsid w:val="00C75E8C"/>
    <w:rsid w:val="00C75EC8"/>
    <w:rsid w:val="00C75F8D"/>
    <w:rsid w:val="00C75FC0"/>
    <w:rsid w:val="00C76383"/>
    <w:rsid w:val="00C765F9"/>
    <w:rsid w:val="00C7660A"/>
    <w:rsid w:val="00C76C17"/>
    <w:rsid w:val="00C76C36"/>
    <w:rsid w:val="00C76DB6"/>
    <w:rsid w:val="00C76E06"/>
    <w:rsid w:val="00C7711E"/>
    <w:rsid w:val="00C77380"/>
    <w:rsid w:val="00C775FE"/>
    <w:rsid w:val="00C77641"/>
    <w:rsid w:val="00C7787A"/>
    <w:rsid w:val="00C77B91"/>
    <w:rsid w:val="00C77D22"/>
    <w:rsid w:val="00C80011"/>
    <w:rsid w:val="00C8006F"/>
    <w:rsid w:val="00C800C5"/>
    <w:rsid w:val="00C8016E"/>
    <w:rsid w:val="00C8052B"/>
    <w:rsid w:val="00C8072E"/>
    <w:rsid w:val="00C808DB"/>
    <w:rsid w:val="00C80B90"/>
    <w:rsid w:val="00C80BAC"/>
    <w:rsid w:val="00C80F98"/>
    <w:rsid w:val="00C81143"/>
    <w:rsid w:val="00C81327"/>
    <w:rsid w:val="00C8181C"/>
    <w:rsid w:val="00C818C5"/>
    <w:rsid w:val="00C81934"/>
    <w:rsid w:val="00C81AB6"/>
    <w:rsid w:val="00C81B09"/>
    <w:rsid w:val="00C81DDB"/>
    <w:rsid w:val="00C8209A"/>
    <w:rsid w:val="00C82167"/>
    <w:rsid w:val="00C82255"/>
    <w:rsid w:val="00C82472"/>
    <w:rsid w:val="00C82984"/>
    <w:rsid w:val="00C82C7D"/>
    <w:rsid w:val="00C82D02"/>
    <w:rsid w:val="00C83799"/>
    <w:rsid w:val="00C837A5"/>
    <w:rsid w:val="00C83864"/>
    <w:rsid w:val="00C83887"/>
    <w:rsid w:val="00C83A57"/>
    <w:rsid w:val="00C83B47"/>
    <w:rsid w:val="00C83C71"/>
    <w:rsid w:val="00C84162"/>
    <w:rsid w:val="00C84314"/>
    <w:rsid w:val="00C84323"/>
    <w:rsid w:val="00C84495"/>
    <w:rsid w:val="00C8473C"/>
    <w:rsid w:val="00C84E52"/>
    <w:rsid w:val="00C85003"/>
    <w:rsid w:val="00C8570C"/>
    <w:rsid w:val="00C85767"/>
    <w:rsid w:val="00C859C3"/>
    <w:rsid w:val="00C86356"/>
    <w:rsid w:val="00C86834"/>
    <w:rsid w:val="00C86924"/>
    <w:rsid w:val="00C86A25"/>
    <w:rsid w:val="00C86A3B"/>
    <w:rsid w:val="00C86BA1"/>
    <w:rsid w:val="00C86BE9"/>
    <w:rsid w:val="00C8721B"/>
    <w:rsid w:val="00C87342"/>
    <w:rsid w:val="00C8737C"/>
    <w:rsid w:val="00C873E0"/>
    <w:rsid w:val="00C87936"/>
    <w:rsid w:val="00C879B4"/>
    <w:rsid w:val="00C87EF3"/>
    <w:rsid w:val="00C901EF"/>
    <w:rsid w:val="00C90475"/>
    <w:rsid w:val="00C90A45"/>
    <w:rsid w:val="00C90D8B"/>
    <w:rsid w:val="00C90E70"/>
    <w:rsid w:val="00C910E5"/>
    <w:rsid w:val="00C91243"/>
    <w:rsid w:val="00C91793"/>
    <w:rsid w:val="00C917A7"/>
    <w:rsid w:val="00C918BD"/>
    <w:rsid w:val="00C918FF"/>
    <w:rsid w:val="00C919C5"/>
    <w:rsid w:val="00C91C17"/>
    <w:rsid w:val="00C91D2A"/>
    <w:rsid w:val="00C91D35"/>
    <w:rsid w:val="00C92115"/>
    <w:rsid w:val="00C92124"/>
    <w:rsid w:val="00C9230E"/>
    <w:rsid w:val="00C92594"/>
    <w:rsid w:val="00C9302C"/>
    <w:rsid w:val="00C93139"/>
    <w:rsid w:val="00C932C4"/>
    <w:rsid w:val="00C9390F"/>
    <w:rsid w:val="00C939D5"/>
    <w:rsid w:val="00C93AF7"/>
    <w:rsid w:val="00C93BF6"/>
    <w:rsid w:val="00C93C1C"/>
    <w:rsid w:val="00C93D35"/>
    <w:rsid w:val="00C93E03"/>
    <w:rsid w:val="00C94409"/>
    <w:rsid w:val="00C94652"/>
    <w:rsid w:val="00C948F5"/>
    <w:rsid w:val="00C94AA8"/>
    <w:rsid w:val="00C94AE9"/>
    <w:rsid w:val="00C94B42"/>
    <w:rsid w:val="00C94FF4"/>
    <w:rsid w:val="00C951D7"/>
    <w:rsid w:val="00C95221"/>
    <w:rsid w:val="00C9538A"/>
    <w:rsid w:val="00C958B8"/>
    <w:rsid w:val="00C958F9"/>
    <w:rsid w:val="00C95B03"/>
    <w:rsid w:val="00C96325"/>
    <w:rsid w:val="00C96647"/>
    <w:rsid w:val="00C9672C"/>
    <w:rsid w:val="00C96A25"/>
    <w:rsid w:val="00C96C3D"/>
    <w:rsid w:val="00C96CB4"/>
    <w:rsid w:val="00C96D02"/>
    <w:rsid w:val="00C96E1B"/>
    <w:rsid w:val="00C96E84"/>
    <w:rsid w:val="00C97182"/>
    <w:rsid w:val="00C97736"/>
    <w:rsid w:val="00C9783C"/>
    <w:rsid w:val="00C979DB"/>
    <w:rsid w:val="00C97ADF"/>
    <w:rsid w:val="00C97D22"/>
    <w:rsid w:val="00CA01D5"/>
    <w:rsid w:val="00CA0245"/>
    <w:rsid w:val="00CA03C3"/>
    <w:rsid w:val="00CA049A"/>
    <w:rsid w:val="00CA0DFC"/>
    <w:rsid w:val="00CA109C"/>
    <w:rsid w:val="00CA1319"/>
    <w:rsid w:val="00CA13F7"/>
    <w:rsid w:val="00CA1628"/>
    <w:rsid w:val="00CA17F1"/>
    <w:rsid w:val="00CA1C47"/>
    <w:rsid w:val="00CA26C9"/>
    <w:rsid w:val="00CA289D"/>
    <w:rsid w:val="00CA28A9"/>
    <w:rsid w:val="00CA29A1"/>
    <w:rsid w:val="00CA2E02"/>
    <w:rsid w:val="00CA3025"/>
    <w:rsid w:val="00CA3054"/>
    <w:rsid w:val="00CA31F0"/>
    <w:rsid w:val="00CA32F1"/>
    <w:rsid w:val="00CA3436"/>
    <w:rsid w:val="00CA345A"/>
    <w:rsid w:val="00CA3C2B"/>
    <w:rsid w:val="00CA3CCA"/>
    <w:rsid w:val="00CA3D5A"/>
    <w:rsid w:val="00CA3DBE"/>
    <w:rsid w:val="00CA3FF4"/>
    <w:rsid w:val="00CA4108"/>
    <w:rsid w:val="00CA45D7"/>
    <w:rsid w:val="00CA46C1"/>
    <w:rsid w:val="00CA470C"/>
    <w:rsid w:val="00CA4858"/>
    <w:rsid w:val="00CA4931"/>
    <w:rsid w:val="00CA4F05"/>
    <w:rsid w:val="00CA501F"/>
    <w:rsid w:val="00CA524D"/>
    <w:rsid w:val="00CA55D8"/>
    <w:rsid w:val="00CA55FB"/>
    <w:rsid w:val="00CA57F5"/>
    <w:rsid w:val="00CA5A31"/>
    <w:rsid w:val="00CA5A4E"/>
    <w:rsid w:val="00CA5E24"/>
    <w:rsid w:val="00CA5FD2"/>
    <w:rsid w:val="00CA61E2"/>
    <w:rsid w:val="00CA6207"/>
    <w:rsid w:val="00CA636C"/>
    <w:rsid w:val="00CA668C"/>
    <w:rsid w:val="00CA6804"/>
    <w:rsid w:val="00CA6AA5"/>
    <w:rsid w:val="00CA6DC3"/>
    <w:rsid w:val="00CA6ED9"/>
    <w:rsid w:val="00CA71C5"/>
    <w:rsid w:val="00CA72D5"/>
    <w:rsid w:val="00CA76C8"/>
    <w:rsid w:val="00CA7B45"/>
    <w:rsid w:val="00CB0040"/>
    <w:rsid w:val="00CB011E"/>
    <w:rsid w:val="00CB0353"/>
    <w:rsid w:val="00CB050D"/>
    <w:rsid w:val="00CB074E"/>
    <w:rsid w:val="00CB087E"/>
    <w:rsid w:val="00CB0963"/>
    <w:rsid w:val="00CB0E53"/>
    <w:rsid w:val="00CB0ED4"/>
    <w:rsid w:val="00CB1226"/>
    <w:rsid w:val="00CB1255"/>
    <w:rsid w:val="00CB14D5"/>
    <w:rsid w:val="00CB1AA5"/>
    <w:rsid w:val="00CB1D22"/>
    <w:rsid w:val="00CB1DCC"/>
    <w:rsid w:val="00CB1E82"/>
    <w:rsid w:val="00CB2223"/>
    <w:rsid w:val="00CB2374"/>
    <w:rsid w:val="00CB24A1"/>
    <w:rsid w:val="00CB2B01"/>
    <w:rsid w:val="00CB2B41"/>
    <w:rsid w:val="00CB2CC1"/>
    <w:rsid w:val="00CB368F"/>
    <w:rsid w:val="00CB373C"/>
    <w:rsid w:val="00CB40F1"/>
    <w:rsid w:val="00CB4118"/>
    <w:rsid w:val="00CB42C1"/>
    <w:rsid w:val="00CB4753"/>
    <w:rsid w:val="00CB4BA8"/>
    <w:rsid w:val="00CB4C45"/>
    <w:rsid w:val="00CB4E08"/>
    <w:rsid w:val="00CB5253"/>
    <w:rsid w:val="00CB52D7"/>
    <w:rsid w:val="00CB5716"/>
    <w:rsid w:val="00CB5836"/>
    <w:rsid w:val="00CB5884"/>
    <w:rsid w:val="00CB60AE"/>
    <w:rsid w:val="00CB6389"/>
    <w:rsid w:val="00CB64EC"/>
    <w:rsid w:val="00CB6776"/>
    <w:rsid w:val="00CB687F"/>
    <w:rsid w:val="00CB6E97"/>
    <w:rsid w:val="00CB7381"/>
    <w:rsid w:val="00CB7AD5"/>
    <w:rsid w:val="00CB7CF7"/>
    <w:rsid w:val="00CB7FDA"/>
    <w:rsid w:val="00CC0069"/>
    <w:rsid w:val="00CC0240"/>
    <w:rsid w:val="00CC0445"/>
    <w:rsid w:val="00CC06D8"/>
    <w:rsid w:val="00CC06DD"/>
    <w:rsid w:val="00CC09B2"/>
    <w:rsid w:val="00CC09F5"/>
    <w:rsid w:val="00CC0A68"/>
    <w:rsid w:val="00CC0B2B"/>
    <w:rsid w:val="00CC108B"/>
    <w:rsid w:val="00CC10E9"/>
    <w:rsid w:val="00CC1371"/>
    <w:rsid w:val="00CC15B2"/>
    <w:rsid w:val="00CC17B7"/>
    <w:rsid w:val="00CC18D6"/>
    <w:rsid w:val="00CC1E13"/>
    <w:rsid w:val="00CC1E17"/>
    <w:rsid w:val="00CC1F37"/>
    <w:rsid w:val="00CC1FAD"/>
    <w:rsid w:val="00CC2127"/>
    <w:rsid w:val="00CC2196"/>
    <w:rsid w:val="00CC24F8"/>
    <w:rsid w:val="00CC2508"/>
    <w:rsid w:val="00CC296A"/>
    <w:rsid w:val="00CC29F0"/>
    <w:rsid w:val="00CC2D74"/>
    <w:rsid w:val="00CC2EFB"/>
    <w:rsid w:val="00CC2FB3"/>
    <w:rsid w:val="00CC2FD5"/>
    <w:rsid w:val="00CC3332"/>
    <w:rsid w:val="00CC342E"/>
    <w:rsid w:val="00CC36C2"/>
    <w:rsid w:val="00CC38CA"/>
    <w:rsid w:val="00CC3CBB"/>
    <w:rsid w:val="00CC3FC1"/>
    <w:rsid w:val="00CC4931"/>
    <w:rsid w:val="00CC4D1B"/>
    <w:rsid w:val="00CC4D60"/>
    <w:rsid w:val="00CC4D77"/>
    <w:rsid w:val="00CC5191"/>
    <w:rsid w:val="00CC5474"/>
    <w:rsid w:val="00CC5B35"/>
    <w:rsid w:val="00CC5B97"/>
    <w:rsid w:val="00CC5BEB"/>
    <w:rsid w:val="00CC5C49"/>
    <w:rsid w:val="00CC5C65"/>
    <w:rsid w:val="00CC61D5"/>
    <w:rsid w:val="00CC6732"/>
    <w:rsid w:val="00CC6950"/>
    <w:rsid w:val="00CC6D4C"/>
    <w:rsid w:val="00CC6E47"/>
    <w:rsid w:val="00CC726D"/>
    <w:rsid w:val="00CC7472"/>
    <w:rsid w:val="00CC78AD"/>
    <w:rsid w:val="00CC7EFE"/>
    <w:rsid w:val="00CD0046"/>
    <w:rsid w:val="00CD05C2"/>
    <w:rsid w:val="00CD06CC"/>
    <w:rsid w:val="00CD0952"/>
    <w:rsid w:val="00CD0A1B"/>
    <w:rsid w:val="00CD12F0"/>
    <w:rsid w:val="00CD1463"/>
    <w:rsid w:val="00CD14E2"/>
    <w:rsid w:val="00CD16DE"/>
    <w:rsid w:val="00CD16E1"/>
    <w:rsid w:val="00CD17DD"/>
    <w:rsid w:val="00CD1AF0"/>
    <w:rsid w:val="00CD1E47"/>
    <w:rsid w:val="00CD20C4"/>
    <w:rsid w:val="00CD225B"/>
    <w:rsid w:val="00CD2603"/>
    <w:rsid w:val="00CD3180"/>
    <w:rsid w:val="00CD31AA"/>
    <w:rsid w:val="00CD32BA"/>
    <w:rsid w:val="00CD35A7"/>
    <w:rsid w:val="00CD3A81"/>
    <w:rsid w:val="00CD3AA6"/>
    <w:rsid w:val="00CD3AD4"/>
    <w:rsid w:val="00CD3B55"/>
    <w:rsid w:val="00CD3BDA"/>
    <w:rsid w:val="00CD3EAA"/>
    <w:rsid w:val="00CD4145"/>
    <w:rsid w:val="00CD444C"/>
    <w:rsid w:val="00CD4566"/>
    <w:rsid w:val="00CD459E"/>
    <w:rsid w:val="00CD45E0"/>
    <w:rsid w:val="00CD47B3"/>
    <w:rsid w:val="00CD494A"/>
    <w:rsid w:val="00CD4A5B"/>
    <w:rsid w:val="00CD5270"/>
    <w:rsid w:val="00CD553F"/>
    <w:rsid w:val="00CD5625"/>
    <w:rsid w:val="00CD56D5"/>
    <w:rsid w:val="00CD598A"/>
    <w:rsid w:val="00CD5A8C"/>
    <w:rsid w:val="00CD5AE7"/>
    <w:rsid w:val="00CD5C5B"/>
    <w:rsid w:val="00CD6124"/>
    <w:rsid w:val="00CD61C3"/>
    <w:rsid w:val="00CD69F5"/>
    <w:rsid w:val="00CD6F0A"/>
    <w:rsid w:val="00CD6F92"/>
    <w:rsid w:val="00CD7056"/>
    <w:rsid w:val="00CD70A3"/>
    <w:rsid w:val="00CD7244"/>
    <w:rsid w:val="00CD72D5"/>
    <w:rsid w:val="00CD732D"/>
    <w:rsid w:val="00CD77BB"/>
    <w:rsid w:val="00CD7A87"/>
    <w:rsid w:val="00CD7B72"/>
    <w:rsid w:val="00CD7B9F"/>
    <w:rsid w:val="00CE00C9"/>
    <w:rsid w:val="00CE04A3"/>
    <w:rsid w:val="00CE09FE"/>
    <w:rsid w:val="00CE0B46"/>
    <w:rsid w:val="00CE1123"/>
    <w:rsid w:val="00CE1133"/>
    <w:rsid w:val="00CE14EB"/>
    <w:rsid w:val="00CE193C"/>
    <w:rsid w:val="00CE1CCF"/>
    <w:rsid w:val="00CE1D8A"/>
    <w:rsid w:val="00CE22BC"/>
    <w:rsid w:val="00CE2733"/>
    <w:rsid w:val="00CE27B4"/>
    <w:rsid w:val="00CE287D"/>
    <w:rsid w:val="00CE2B49"/>
    <w:rsid w:val="00CE2D6C"/>
    <w:rsid w:val="00CE2E9C"/>
    <w:rsid w:val="00CE3083"/>
    <w:rsid w:val="00CE315E"/>
    <w:rsid w:val="00CE33EA"/>
    <w:rsid w:val="00CE36AE"/>
    <w:rsid w:val="00CE38E8"/>
    <w:rsid w:val="00CE3944"/>
    <w:rsid w:val="00CE3A28"/>
    <w:rsid w:val="00CE3C15"/>
    <w:rsid w:val="00CE3C2E"/>
    <w:rsid w:val="00CE3C4D"/>
    <w:rsid w:val="00CE3C96"/>
    <w:rsid w:val="00CE3CC3"/>
    <w:rsid w:val="00CE3EF0"/>
    <w:rsid w:val="00CE4127"/>
    <w:rsid w:val="00CE42A2"/>
    <w:rsid w:val="00CE45B3"/>
    <w:rsid w:val="00CE46BA"/>
    <w:rsid w:val="00CE4B7C"/>
    <w:rsid w:val="00CE4E75"/>
    <w:rsid w:val="00CE51A8"/>
    <w:rsid w:val="00CE54A7"/>
    <w:rsid w:val="00CE5571"/>
    <w:rsid w:val="00CE57BD"/>
    <w:rsid w:val="00CE5A89"/>
    <w:rsid w:val="00CE5C85"/>
    <w:rsid w:val="00CE6032"/>
    <w:rsid w:val="00CE60C9"/>
    <w:rsid w:val="00CE63EC"/>
    <w:rsid w:val="00CE6D4A"/>
    <w:rsid w:val="00CE7637"/>
    <w:rsid w:val="00CE7AC8"/>
    <w:rsid w:val="00CE7E15"/>
    <w:rsid w:val="00CE7E46"/>
    <w:rsid w:val="00CF0219"/>
    <w:rsid w:val="00CF081A"/>
    <w:rsid w:val="00CF0ABA"/>
    <w:rsid w:val="00CF0C7C"/>
    <w:rsid w:val="00CF12B2"/>
    <w:rsid w:val="00CF14DF"/>
    <w:rsid w:val="00CF189A"/>
    <w:rsid w:val="00CF193D"/>
    <w:rsid w:val="00CF1A20"/>
    <w:rsid w:val="00CF1BE6"/>
    <w:rsid w:val="00CF1CCC"/>
    <w:rsid w:val="00CF1EC4"/>
    <w:rsid w:val="00CF1EEC"/>
    <w:rsid w:val="00CF1FEF"/>
    <w:rsid w:val="00CF22C7"/>
    <w:rsid w:val="00CF26B7"/>
    <w:rsid w:val="00CF2969"/>
    <w:rsid w:val="00CF29B2"/>
    <w:rsid w:val="00CF2D87"/>
    <w:rsid w:val="00CF2DA2"/>
    <w:rsid w:val="00CF322E"/>
    <w:rsid w:val="00CF369B"/>
    <w:rsid w:val="00CF3D41"/>
    <w:rsid w:val="00CF3DB3"/>
    <w:rsid w:val="00CF4010"/>
    <w:rsid w:val="00CF40E5"/>
    <w:rsid w:val="00CF4683"/>
    <w:rsid w:val="00CF46D4"/>
    <w:rsid w:val="00CF496A"/>
    <w:rsid w:val="00CF4F74"/>
    <w:rsid w:val="00CF505E"/>
    <w:rsid w:val="00CF5365"/>
    <w:rsid w:val="00CF53EA"/>
    <w:rsid w:val="00CF55DE"/>
    <w:rsid w:val="00CF58FB"/>
    <w:rsid w:val="00CF5999"/>
    <w:rsid w:val="00CF5CBA"/>
    <w:rsid w:val="00CF6242"/>
    <w:rsid w:val="00CF62F3"/>
    <w:rsid w:val="00CF66CF"/>
    <w:rsid w:val="00CF69E3"/>
    <w:rsid w:val="00CF6ED1"/>
    <w:rsid w:val="00CF7198"/>
    <w:rsid w:val="00CF75B8"/>
    <w:rsid w:val="00CF78E4"/>
    <w:rsid w:val="00CF7A91"/>
    <w:rsid w:val="00CF7A9D"/>
    <w:rsid w:val="00CF7B42"/>
    <w:rsid w:val="00CF7C7A"/>
    <w:rsid w:val="00CF7DA3"/>
    <w:rsid w:val="00CF7EF4"/>
    <w:rsid w:val="00D00412"/>
    <w:rsid w:val="00D004A3"/>
    <w:rsid w:val="00D006B1"/>
    <w:rsid w:val="00D00BC3"/>
    <w:rsid w:val="00D00E28"/>
    <w:rsid w:val="00D00FCC"/>
    <w:rsid w:val="00D012B1"/>
    <w:rsid w:val="00D01D55"/>
    <w:rsid w:val="00D01DA7"/>
    <w:rsid w:val="00D01E2E"/>
    <w:rsid w:val="00D02159"/>
    <w:rsid w:val="00D0227D"/>
    <w:rsid w:val="00D022FC"/>
    <w:rsid w:val="00D02662"/>
    <w:rsid w:val="00D0269E"/>
    <w:rsid w:val="00D028F7"/>
    <w:rsid w:val="00D02B2C"/>
    <w:rsid w:val="00D032A4"/>
    <w:rsid w:val="00D034B2"/>
    <w:rsid w:val="00D038FC"/>
    <w:rsid w:val="00D04000"/>
    <w:rsid w:val="00D0415C"/>
    <w:rsid w:val="00D045E1"/>
    <w:rsid w:val="00D045F3"/>
    <w:rsid w:val="00D046EC"/>
    <w:rsid w:val="00D04970"/>
    <w:rsid w:val="00D04A40"/>
    <w:rsid w:val="00D04A5A"/>
    <w:rsid w:val="00D04F2B"/>
    <w:rsid w:val="00D0518C"/>
    <w:rsid w:val="00D051C8"/>
    <w:rsid w:val="00D0536D"/>
    <w:rsid w:val="00D055D0"/>
    <w:rsid w:val="00D05932"/>
    <w:rsid w:val="00D05A8D"/>
    <w:rsid w:val="00D05D6C"/>
    <w:rsid w:val="00D05F1A"/>
    <w:rsid w:val="00D06279"/>
    <w:rsid w:val="00D065C2"/>
    <w:rsid w:val="00D0698A"/>
    <w:rsid w:val="00D06996"/>
    <w:rsid w:val="00D06A5D"/>
    <w:rsid w:val="00D06C1E"/>
    <w:rsid w:val="00D0707E"/>
    <w:rsid w:val="00D07167"/>
    <w:rsid w:val="00D07192"/>
    <w:rsid w:val="00D0778B"/>
    <w:rsid w:val="00D07A20"/>
    <w:rsid w:val="00D10280"/>
    <w:rsid w:val="00D104E9"/>
    <w:rsid w:val="00D109C3"/>
    <w:rsid w:val="00D10B05"/>
    <w:rsid w:val="00D110FC"/>
    <w:rsid w:val="00D11182"/>
    <w:rsid w:val="00D111DE"/>
    <w:rsid w:val="00D1134B"/>
    <w:rsid w:val="00D11706"/>
    <w:rsid w:val="00D11951"/>
    <w:rsid w:val="00D11D4B"/>
    <w:rsid w:val="00D121FB"/>
    <w:rsid w:val="00D123E8"/>
    <w:rsid w:val="00D127FC"/>
    <w:rsid w:val="00D12899"/>
    <w:rsid w:val="00D12BB1"/>
    <w:rsid w:val="00D12C70"/>
    <w:rsid w:val="00D131B7"/>
    <w:rsid w:val="00D13358"/>
    <w:rsid w:val="00D13BC8"/>
    <w:rsid w:val="00D13C95"/>
    <w:rsid w:val="00D13EA3"/>
    <w:rsid w:val="00D13FC5"/>
    <w:rsid w:val="00D14082"/>
    <w:rsid w:val="00D143F0"/>
    <w:rsid w:val="00D14434"/>
    <w:rsid w:val="00D146B1"/>
    <w:rsid w:val="00D147AD"/>
    <w:rsid w:val="00D1493B"/>
    <w:rsid w:val="00D15191"/>
    <w:rsid w:val="00D15256"/>
    <w:rsid w:val="00D1527A"/>
    <w:rsid w:val="00D153E0"/>
    <w:rsid w:val="00D15810"/>
    <w:rsid w:val="00D158D6"/>
    <w:rsid w:val="00D159D8"/>
    <w:rsid w:val="00D15CCF"/>
    <w:rsid w:val="00D161DF"/>
    <w:rsid w:val="00D162CB"/>
    <w:rsid w:val="00D16385"/>
    <w:rsid w:val="00D1638A"/>
    <w:rsid w:val="00D16411"/>
    <w:rsid w:val="00D169BA"/>
    <w:rsid w:val="00D169D9"/>
    <w:rsid w:val="00D16A11"/>
    <w:rsid w:val="00D16BEB"/>
    <w:rsid w:val="00D16D4E"/>
    <w:rsid w:val="00D16FE3"/>
    <w:rsid w:val="00D170B9"/>
    <w:rsid w:val="00D171C8"/>
    <w:rsid w:val="00D17557"/>
    <w:rsid w:val="00D17AA1"/>
    <w:rsid w:val="00D17C22"/>
    <w:rsid w:val="00D2004B"/>
    <w:rsid w:val="00D200FA"/>
    <w:rsid w:val="00D20753"/>
    <w:rsid w:val="00D208F2"/>
    <w:rsid w:val="00D20965"/>
    <w:rsid w:val="00D210EA"/>
    <w:rsid w:val="00D2115C"/>
    <w:rsid w:val="00D21C04"/>
    <w:rsid w:val="00D21CF9"/>
    <w:rsid w:val="00D21E49"/>
    <w:rsid w:val="00D22297"/>
    <w:rsid w:val="00D22560"/>
    <w:rsid w:val="00D22603"/>
    <w:rsid w:val="00D22AFB"/>
    <w:rsid w:val="00D22CAE"/>
    <w:rsid w:val="00D22D9F"/>
    <w:rsid w:val="00D22DCF"/>
    <w:rsid w:val="00D22F79"/>
    <w:rsid w:val="00D2321C"/>
    <w:rsid w:val="00D232C0"/>
    <w:rsid w:val="00D23863"/>
    <w:rsid w:val="00D23871"/>
    <w:rsid w:val="00D23B04"/>
    <w:rsid w:val="00D23EA9"/>
    <w:rsid w:val="00D23F2E"/>
    <w:rsid w:val="00D2475C"/>
    <w:rsid w:val="00D24786"/>
    <w:rsid w:val="00D24A52"/>
    <w:rsid w:val="00D24E0D"/>
    <w:rsid w:val="00D24E23"/>
    <w:rsid w:val="00D24EC9"/>
    <w:rsid w:val="00D24ECA"/>
    <w:rsid w:val="00D25046"/>
    <w:rsid w:val="00D25492"/>
    <w:rsid w:val="00D254CD"/>
    <w:rsid w:val="00D2553A"/>
    <w:rsid w:val="00D2594A"/>
    <w:rsid w:val="00D25B7C"/>
    <w:rsid w:val="00D25F9B"/>
    <w:rsid w:val="00D26163"/>
    <w:rsid w:val="00D263A8"/>
    <w:rsid w:val="00D265A5"/>
    <w:rsid w:val="00D267CF"/>
    <w:rsid w:val="00D26845"/>
    <w:rsid w:val="00D2689B"/>
    <w:rsid w:val="00D268FF"/>
    <w:rsid w:val="00D26AF2"/>
    <w:rsid w:val="00D27095"/>
    <w:rsid w:val="00D2732D"/>
    <w:rsid w:val="00D27770"/>
    <w:rsid w:val="00D277F3"/>
    <w:rsid w:val="00D27EE4"/>
    <w:rsid w:val="00D27F25"/>
    <w:rsid w:val="00D27F41"/>
    <w:rsid w:val="00D27F67"/>
    <w:rsid w:val="00D3059D"/>
    <w:rsid w:val="00D306D3"/>
    <w:rsid w:val="00D30865"/>
    <w:rsid w:val="00D30AEF"/>
    <w:rsid w:val="00D31129"/>
    <w:rsid w:val="00D311B2"/>
    <w:rsid w:val="00D31322"/>
    <w:rsid w:val="00D315CE"/>
    <w:rsid w:val="00D3165D"/>
    <w:rsid w:val="00D320C0"/>
    <w:rsid w:val="00D322AE"/>
    <w:rsid w:val="00D325B2"/>
    <w:rsid w:val="00D32654"/>
    <w:rsid w:val="00D327FD"/>
    <w:rsid w:val="00D32DC0"/>
    <w:rsid w:val="00D32E04"/>
    <w:rsid w:val="00D33077"/>
    <w:rsid w:val="00D33644"/>
    <w:rsid w:val="00D336BB"/>
    <w:rsid w:val="00D336F8"/>
    <w:rsid w:val="00D33813"/>
    <w:rsid w:val="00D339FD"/>
    <w:rsid w:val="00D33B10"/>
    <w:rsid w:val="00D34107"/>
    <w:rsid w:val="00D34140"/>
    <w:rsid w:val="00D344FD"/>
    <w:rsid w:val="00D34760"/>
    <w:rsid w:val="00D34788"/>
    <w:rsid w:val="00D34806"/>
    <w:rsid w:val="00D3495C"/>
    <w:rsid w:val="00D34C68"/>
    <w:rsid w:val="00D34C8B"/>
    <w:rsid w:val="00D34F4F"/>
    <w:rsid w:val="00D357B4"/>
    <w:rsid w:val="00D35A66"/>
    <w:rsid w:val="00D35A83"/>
    <w:rsid w:val="00D35B2C"/>
    <w:rsid w:val="00D35B32"/>
    <w:rsid w:val="00D35C27"/>
    <w:rsid w:val="00D35ECC"/>
    <w:rsid w:val="00D36085"/>
    <w:rsid w:val="00D36441"/>
    <w:rsid w:val="00D365CA"/>
    <w:rsid w:val="00D36DCE"/>
    <w:rsid w:val="00D3708E"/>
    <w:rsid w:val="00D37548"/>
    <w:rsid w:val="00D377B1"/>
    <w:rsid w:val="00D37927"/>
    <w:rsid w:val="00D37C78"/>
    <w:rsid w:val="00D37DC6"/>
    <w:rsid w:val="00D4014B"/>
    <w:rsid w:val="00D40321"/>
    <w:rsid w:val="00D4064E"/>
    <w:rsid w:val="00D40975"/>
    <w:rsid w:val="00D409F6"/>
    <w:rsid w:val="00D40D18"/>
    <w:rsid w:val="00D4102A"/>
    <w:rsid w:val="00D411B9"/>
    <w:rsid w:val="00D41227"/>
    <w:rsid w:val="00D4180B"/>
    <w:rsid w:val="00D420AD"/>
    <w:rsid w:val="00D42185"/>
    <w:rsid w:val="00D423BA"/>
    <w:rsid w:val="00D42441"/>
    <w:rsid w:val="00D4263E"/>
    <w:rsid w:val="00D42788"/>
    <w:rsid w:val="00D42D90"/>
    <w:rsid w:val="00D42F3A"/>
    <w:rsid w:val="00D431CC"/>
    <w:rsid w:val="00D4327C"/>
    <w:rsid w:val="00D433F2"/>
    <w:rsid w:val="00D4390B"/>
    <w:rsid w:val="00D440E8"/>
    <w:rsid w:val="00D44420"/>
    <w:rsid w:val="00D4447A"/>
    <w:rsid w:val="00D447F5"/>
    <w:rsid w:val="00D4486A"/>
    <w:rsid w:val="00D4494E"/>
    <w:rsid w:val="00D44A3B"/>
    <w:rsid w:val="00D44B2D"/>
    <w:rsid w:val="00D44CDA"/>
    <w:rsid w:val="00D44CDE"/>
    <w:rsid w:val="00D44E9B"/>
    <w:rsid w:val="00D45071"/>
    <w:rsid w:val="00D455AB"/>
    <w:rsid w:val="00D456EC"/>
    <w:rsid w:val="00D45F05"/>
    <w:rsid w:val="00D45FDA"/>
    <w:rsid w:val="00D4603F"/>
    <w:rsid w:val="00D46295"/>
    <w:rsid w:val="00D46D0F"/>
    <w:rsid w:val="00D46D79"/>
    <w:rsid w:val="00D46F26"/>
    <w:rsid w:val="00D47117"/>
    <w:rsid w:val="00D47205"/>
    <w:rsid w:val="00D4726B"/>
    <w:rsid w:val="00D47533"/>
    <w:rsid w:val="00D475C7"/>
    <w:rsid w:val="00D47775"/>
    <w:rsid w:val="00D4786E"/>
    <w:rsid w:val="00D47AEB"/>
    <w:rsid w:val="00D47C89"/>
    <w:rsid w:val="00D47E9D"/>
    <w:rsid w:val="00D47F6A"/>
    <w:rsid w:val="00D501D0"/>
    <w:rsid w:val="00D504C5"/>
    <w:rsid w:val="00D50A45"/>
    <w:rsid w:val="00D50DB9"/>
    <w:rsid w:val="00D50E8A"/>
    <w:rsid w:val="00D50FE7"/>
    <w:rsid w:val="00D51062"/>
    <w:rsid w:val="00D512E8"/>
    <w:rsid w:val="00D51302"/>
    <w:rsid w:val="00D5156F"/>
    <w:rsid w:val="00D515B5"/>
    <w:rsid w:val="00D5184E"/>
    <w:rsid w:val="00D51B44"/>
    <w:rsid w:val="00D51E35"/>
    <w:rsid w:val="00D51E46"/>
    <w:rsid w:val="00D51FFF"/>
    <w:rsid w:val="00D520B3"/>
    <w:rsid w:val="00D5246F"/>
    <w:rsid w:val="00D52B7D"/>
    <w:rsid w:val="00D52C43"/>
    <w:rsid w:val="00D52F13"/>
    <w:rsid w:val="00D5330A"/>
    <w:rsid w:val="00D53B9A"/>
    <w:rsid w:val="00D53E9B"/>
    <w:rsid w:val="00D53F9B"/>
    <w:rsid w:val="00D54277"/>
    <w:rsid w:val="00D544D7"/>
    <w:rsid w:val="00D54969"/>
    <w:rsid w:val="00D54F09"/>
    <w:rsid w:val="00D55052"/>
    <w:rsid w:val="00D55B26"/>
    <w:rsid w:val="00D55D49"/>
    <w:rsid w:val="00D56126"/>
    <w:rsid w:val="00D56202"/>
    <w:rsid w:val="00D562D1"/>
    <w:rsid w:val="00D562EB"/>
    <w:rsid w:val="00D56A3C"/>
    <w:rsid w:val="00D56A97"/>
    <w:rsid w:val="00D579BF"/>
    <w:rsid w:val="00D57BEF"/>
    <w:rsid w:val="00D57DA8"/>
    <w:rsid w:val="00D60261"/>
    <w:rsid w:val="00D618B4"/>
    <w:rsid w:val="00D61D06"/>
    <w:rsid w:val="00D61EDE"/>
    <w:rsid w:val="00D62359"/>
    <w:rsid w:val="00D624D1"/>
    <w:rsid w:val="00D6253E"/>
    <w:rsid w:val="00D625D0"/>
    <w:rsid w:val="00D62868"/>
    <w:rsid w:val="00D62ABE"/>
    <w:rsid w:val="00D63276"/>
    <w:rsid w:val="00D6330F"/>
    <w:rsid w:val="00D63526"/>
    <w:rsid w:val="00D639A8"/>
    <w:rsid w:val="00D6403B"/>
    <w:rsid w:val="00D640FA"/>
    <w:rsid w:val="00D64ACF"/>
    <w:rsid w:val="00D64D8E"/>
    <w:rsid w:val="00D64DDF"/>
    <w:rsid w:val="00D6507F"/>
    <w:rsid w:val="00D651D6"/>
    <w:rsid w:val="00D652F0"/>
    <w:rsid w:val="00D6546E"/>
    <w:rsid w:val="00D6580E"/>
    <w:rsid w:val="00D659EA"/>
    <w:rsid w:val="00D65A4D"/>
    <w:rsid w:val="00D65B4A"/>
    <w:rsid w:val="00D66004"/>
    <w:rsid w:val="00D6667D"/>
    <w:rsid w:val="00D66739"/>
    <w:rsid w:val="00D6681F"/>
    <w:rsid w:val="00D66846"/>
    <w:rsid w:val="00D67223"/>
    <w:rsid w:val="00D67A77"/>
    <w:rsid w:val="00D70590"/>
    <w:rsid w:val="00D70C57"/>
    <w:rsid w:val="00D70DE0"/>
    <w:rsid w:val="00D7100B"/>
    <w:rsid w:val="00D71068"/>
    <w:rsid w:val="00D71281"/>
    <w:rsid w:val="00D71607"/>
    <w:rsid w:val="00D718B3"/>
    <w:rsid w:val="00D71E3B"/>
    <w:rsid w:val="00D71EFA"/>
    <w:rsid w:val="00D72028"/>
    <w:rsid w:val="00D72626"/>
    <w:rsid w:val="00D72881"/>
    <w:rsid w:val="00D72CD2"/>
    <w:rsid w:val="00D72E39"/>
    <w:rsid w:val="00D730BC"/>
    <w:rsid w:val="00D731AB"/>
    <w:rsid w:val="00D731B9"/>
    <w:rsid w:val="00D735FC"/>
    <w:rsid w:val="00D73786"/>
    <w:rsid w:val="00D73912"/>
    <w:rsid w:val="00D739BA"/>
    <w:rsid w:val="00D73C5A"/>
    <w:rsid w:val="00D73FDF"/>
    <w:rsid w:val="00D741F2"/>
    <w:rsid w:val="00D74381"/>
    <w:rsid w:val="00D745DF"/>
    <w:rsid w:val="00D7473B"/>
    <w:rsid w:val="00D74AE7"/>
    <w:rsid w:val="00D74C0B"/>
    <w:rsid w:val="00D74D64"/>
    <w:rsid w:val="00D74DF0"/>
    <w:rsid w:val="00D74E8E"/>
    <w:rsid w:val="00D7505C"/>
    <w:rsid w:val="00D75274"/>
    <w:rsid w:val="00D752FC"/>
    <w:rsid w:val="00D754D4"/>
    <w:rsid w:val="00D75871"/>
    <w:rsid w:val="00D7587C"/>
    <w:rsid w:val="00D759A4"/>
    <w:rsid w:val="00D759BB"/>
    <w:rsid w:val="00D75AB9"/>
    <w:rsid w:val="00D75C57"/>
    <w:rsid w:val="00D75DF6"/>
    <w:rsid w:val="00D75DFD"/>
    <w:rsid w:val="00D76132"/>
    <w:rsid w:val="00D7615C"/>
    <w:rsid w:val="00D7642D"/>
    <w:rsid w:val="00D76607"/>
    <w:rsid w:val="00D76885"/>
    <w:rsid w:val="00D76EC8"/>
    <w:rsid w:val="00D7711D"/>
    <w:rsid w:val="00D7755E"/>
    <w:rsid w:val="00D775E8"/>
    <w:rsid w:val="00D7794C"/>
    <w:rsid w:val="00D77E51"/>
    <w:rsid w:val="00D77F04"/>
    <w:rsid w:val="00D800B4"/>
    <w:rsid w:val="00D8013A"/>
    <w:rsid w:val="00D8016D"/>
    <w:rsid w:val="00D80390"/>
    <w:rsid w:val="00D806CB"/>
    <w:rsid w:val="00D8075C"/>
    <w:rsid w:val="00D80A22"/>
    <w:rsid w:val="00D80CCD"/>
    <w:rsid w:val="00D80F4A"/>
    <w:rsid w:val="00D81171"/>
    <w:rsid w:val="00D811F1"/>
    <w:rsid w:val="00D814CE"/>
    <w:rsid w:val="00D81850"/>
    <w:rsid w:val="00D818E9"/>
    <w:rsid w:val="00D81A45"/>
    <w:rsid w:val="00D81EAB"/>
    <w:rsid w:val="00D82061"/>
    <w:rsid w:val="00D8220E"/>
    <w:rsid w:val="00D823F5"/>
    <w:rsid w:val="00D8263D"/>
    <w:rsid w:val="00D82C96"/>
    <w:rsid w:val="00D82D08"/>
    <w:rsid w:val="00D82DC6"/>
    <w:rsid w:val="00D8349B"/>
    <w:rsid w:val="00D83A9B"/>
    <w:rsid w:val="00D83DFE"/>
    <w:rsid w:val="00D83FF7"/>
    <w:rsid w:val="00D842C8"/>
    <w:rsid w:val="00D8460D"/>
    <w:rsid w:val="00D84904"/>
    <w:rsid w:val="00D84CFA"/>
    <w:rsid w:val="00D84DCC"/>
    <w:rsid w:val="00D8506D"/>
    <w:rsid w:val="00D85226"/>
    <w:rsid w:val="00D856FF"/>
    <w:rsid w:val="00D8596E"/>
    <w:rsid w:val="00D85B20"/>
    <w:rsid w:val="00D85BE8"/>
    <w:rsid w:val="00D861D9"/>
    <w:rsid w:val="00D862E3"/>
    <w:rsid w:val="00D866EF"/>
    <w:rsid w:val="00D868F4"/>
    <w:rsid w:val="00D86AAD"/>
    <w:rsid w:val="00D86E61"/>
    <w:rsid w:val="00D872D3"/>
    <w:rsid w:val="00D8757A"/>
    <w:rsid w:val="00D8773B"/>
    <w:rsid w:val="00D877B7"/>
    <w:rsid w:val="00D8781E"/>
    <w:rsid w:val="00D87A2C"/>
    <w:rsid w:val="00D87B94"/>
    <w:rsid w:val="00D87D34"/>
    <w:rsid w:val="00D87DF5"/>
    <w:rsid w:val="00D87E10"/>
    <w:rsid w:val="00D900BB"/>
    <w:rsid w:val="00D9015A"/>
    <w:rsid w:val="00D90255"/>
    <w:rsid w:val="00D904DC"/>
    <w:rsid w:val="00D90558"/>
    <w:rsid w:val="00D9087F"/>
    <w:rsid w:val="00D9088B"/>
    <w:rsid w:val="00D90A85"/>
    <w:rsid w:val="00D90D77"/>
    <w:rsid w:val="00D90F28"/>
    <w:rsid w:val="00D90F94"/>
    <w:rsid w:val="00D9128F"/>
    <w:rsid w:val="00D9140A"/>
    <w:rsid w:val="00D91A40"/>
    <w:rsid w:val="00D91A77"/>
    <w:rsid w:val="00D91CDA"/>
    <w:rsid w:val="00D91DB4"/>
    <w:rsid w:val="00D91F4D"/>
    <w:rsid w:val="00D921A6"/>
    <w:rsid w:val="00D928A1"/>
    <w:rsid w:val="00D92954"/>
    <w:rsid w:val="00D92D49"/>
    <w:rsid w:val="00D92E3D"/>
    <w:rsid w:val="00D92EC1"/>
    <w:rsid w:val="00D9313A"/>
    <w:rsid w:val="00D9316E"/>
    <w:rsid w:val="00D9352E"/>
    <w:rsid w:val="00D93549"/>
    <w:rsid w:val="00D9366A"/>
    <w:rsid w:val="00D936EF"/>
    <w:rsid w:val="00D93CDF"/>
    <w:rsid w:val="00D94151"/>
    <w:rsid w:val="00D94717"/>
    <w:rsid w:val="00D9474C"/>
    <w:rsid w:val="00D948B2"/>
    <w:rsid w:val="00D94934"/>
    <w:rsid w:val="00D94CDD"/>
    <w:rsid w:val="00D94F8A"/>
    <w:rsid w:val="00D94F91"/>
    <w:rsid w:val="00D9539D"/>
    <w:rsid w:val="00D95467"/>
    <w:rsid w:val="00D954EC"/>
    <w:rsid w:val="00D95C8C"/>
    <w:rsid w:val="00D96081"/>
    <w:rsid w:val="00D9633D"/>
    <w:rsid w:val="00D96800"/>
    <w:rsid w:val="00D96DEA"/>
    <w:rsid w:val="00D96EDA"/>
    <w:rsid w:val="00D96F8C"/>
    <w:rsid w:val="00D970E3"/>
    <w:rsid w:val="00D9739D"/>
    <w:rsid w:val="00D973E8"/>
    <w:rsid w:val="00D97440"/>
    <w:rsid w:val="00D97808"/>
    <w:rsid w:val="00D978B1"/>
    <w:rsid w:val="00D97A62"/>
    <w:rsid w:val="00D97C2D"/>
    <w:rsid w:val="00D97C3D"/>
    <w:rsid w:val="00DA046D"/>
    <w:rsid w:val="00DA05E7"/>
    <w:rsid w:val="00DA075E"/>
    <w:rsid w:val="00DA07D2"/>
    <w:rsid w:val="00DA0918"/>
    <w:rsid w:val="00DA0DC2"/>
    <w:rsid w:val="00DA0E52"/>
    <w:rsid w:val="00DA1499"/>
    <w:rsid w:val="00DA170E"/>
    <w:rsid w:val="00DA1731"/>
    <w:rsid w:val="00DA17D8"/>
    <w:rsid w:val="00DA186F"/>
    <w:rsid w:val="00DA191A"/>
    <w:rsid w:val="00DA1C7E"/>
    <w:rsid w:val="00DA1F1B"/>
    <w:rsid w:val="00DA2077"/>
    <w:rsid w:val="00DA2132"/>
    <w:rsid w:val="00DA221E"/>
    <w:rsid w:val="00DA2442"/>
    <w:rsid w:val="00DA279E"/>
    <w:rsid w:val="00DA2894"/>
    <w:rsid w:val="00DA29A6"/>
    <w:rsid w:val="00DA2A39"/>
    <w:rsid w:val="00DA33AA"/>
    <w:rsid w:val="00DA33AD"/>
    <w:rsid w:val="00DA342C"/>
    <w:rsid w:val="00DA3629"/>
    <w:rsid w:val="00DA3731"/>
    <w:rsid w:val="00DA3C27"/>
    <w:rsid w:val="00DA3CE7"/>
    <w:rsid w:val="00DA3DB4"/>
    <w:rsid w:val="00DA3E52"/>
    <w:rsid w:val="00DA41D4"/>
    <w:rsid w:val="00DA4290"/>
    <w:rsid w:val="00DA4309"/>
    <w:rsid w:val="00DA4557"/>
    <w:rsid w:val="00DA45F0"/>
    <w:rsid w:val="00DA460E"/>
    <w:rsid w:val="00DA49BF"/>
    <w:rsid w:val="00DA4A50"/>
    <w:rsid w:val="00DA4B21"/>
    <w:rsid w:val="00DA4CD9"/>
    <w:rsid w:val="00DA4E41"/>
    <w:rsid w:val="00DA5144"/>
    <w:rsid w:val="00DA5353"/>
    <w:rsid w:val="00DA54E0"/>
    <w:rsid w:val="00DA5600"/>
    <w:rsid w:val="00DA5870"/>
    <w:rsid w:val="00DA5F73"/>
    <w:rsid w:val="00DA63F8"/>
    <w:rsid w:val="00DA681F"/>
    <w:rsid w:val="00DA6A5B"/>
    <w:rsid w:val="00DA6C00"/>
    <w:rsid w:val="00DA6E73"/>
    <w:rsid w:val="00DA7276"/>
    <w:rsid w:val="00DA747B"/>
    <w:rsid w:val="00DA7873"/>
    <w:rsid w:val="00DA7D88"/>
    <w:rsid w:val="00DB04B9"/>
    <w:rsid w:val="00DB0695"/>
    <w:rsid w:val="00DB084D"/>
    <w:rsid w:val="00DB09D1"/>
    <w:rsid w:val="00DB0A03"/>
    <w:rsid w:val="00DB0CFD"/>
    <w:rsid w:val="00DB0E22"/>
    <w:rsid w:val="00DB0ECD"/>
    <w:rsid w:val="00DB0FAD"/>
    <w:rsid w:val="00DB102A"/>
    <w:rsid w:val="00DB1151"/>
    <w:rsid w:val="00DB117A"/>
    <w:rsid w:val="00DB1551"/>
    <w:rsid w:val="00DB1A38"/>
    <w:rsid w:val="00DB1A48"/>
    <w:rsid w:val="00DB1B52"/>
    <w:rsid w:val="00DB1B8C"/>
    <w:rsid w:val="00DB1C0F"/>
    <w:rsid w:val="00DB1EF9"/>
    <w:rsid w:val="00DB2320"/>
    <w:rsid w:val="00DB28D7"/>
    <w:rsid w:val="00DB2964"/>
    <w:rsid w:val="00DB299E"/>
    <w:rsid w:val="00DB2AE8"/>
    <w:rsid w:val="00DB2AF9"/>
    <w:rsid w:val="00DB2C5A"/>
    <w:rsid w:val="00DB2D6B"/>
    <w:rsid w:val="00DB2DD5"/>
    <w:rsid w:val="00DB317A"/>
    <w:rsid w:val="00DB3402"/>
    <w:rsid w:val="00DB34DD"/>
    <w:rsid w:val="00DB357F"/>
    <w:rsid w:val="00DB3896"/>
    <w:rsid w:val="00DB3B87"/>
    <w:rsid w:val="00DB3C7E"/>
    <w:rsid w:val="00DB41FF"/>
    <w:rsid w:val="00DB4374"/>
    <w:rsid w:val="00DB478B"/>
    <w:rsid w:val="00DB48D7"/>
    <w:rsid w:val="00DB4E97"/>
    <w:rsid w:val="00DB4EE6"/>
    <w:rsid w:val="00DB5173"/>
    <w:rsid w:val="00DB534D"/>
    <w:rsid w:val="00DB5A42"/>
    <w:rsid w:val="00DB5EAA"/>
    <w:rsid w:val="00DB62A6"/>
    <w:rsid w:val="00DB6391"/>
    <w:rsid w:val="00DB68CE"/>
    <w:rsid w:val="00DB69B8"/>
    <w:rsid w:val="00DB6D24"/>
    <w:rsid w:val="00DB72D8"/>
    <w:rsid w:val="00DB770E"/>
    <w:rsid w:val="00DB7873"/>
    <w:rsid w:val="00DB78F2"/>
    <w:rsid w:val="00DB7A77"/>
    <w:rsid w:val="00DC032C"/>
    <w:rsid w:val="00DC0D4D"/>
    <w:rsid w:val="00DC0E27"/>
    <w:rsid w:val="00DC0E9A"/>
    <w:rsid w:val="00DC1046"/>
    <w:rsid w:val="00DC107D"/>
    <w:rsid w:val="00DC151C"/>
    <w:rsid w:val="00DC187B"/>
    <w:rsid w:val="00DC1B29"/>
    <w:rsid w:val="00DC1CA2"/>
    <w:rsid w:val="00DC1E11"/>
    <w:rsid w:val="00DC21BD"/>
    <w:rsid w:val="00DC2627"/>
    <w:rsid w:val="00DC26B6"/>
    <w:rsid w:val="00DC2776"/>
    <w:rsid w:val="00DC281E"/>
    <w:rsid w:val="00DC2994"/>
    <w:rsid w:val="00DC2FCE"/>
    <w:rsid w:val="00DC33F7"/>
    <w:rsid w:val="00DC3548"/>
    <w:rsid w:val="00DC3581"/>
    <w:rsid w:val="00DC41D9"/>
    <w:rsid w:val="00DC46A6"/>
    <w:rsid w:val="00DC49D4"/>
    <w:rsid w:val="00DC4C97"/>
    <w:rsid w:val="00DC4EB3"/>
    <w:rsid w:val="00DC544A"/>
    <w:rsid w:val="00DC54D4"/>
    <w:rsid w:val="00DC5583"/>
    <w:rsid w:val="00DC56D5"/>
    <w:rsid w:val="00DC57CF"/>
    <w:rsid w:val="00DC5A3F"/>
    <w:rsid w:val="00DC5E3C"/>
    <w:rsid w:val="00DC61D7"/>
    <w:rsid w:val="00DC630C"/>
    <w:rsid w:val="00DC6691"/>
    <w:rsid w:val="00DC670C"/>
    <w:rsid w:val="00DC674A"/>
    <w:rsid w:val="00DC69E3"/>
    <w:rsid w:val="00DC6BF8"/>
    <w:rsid w:val="00DC6EA0"/>
    <w:rsid w:val="00DC72D4"/>
    <w:rsid w:val="00DC7457"/>
    <w:rsid w:val="00DC77F5"/>
    <w:rsid w:val="00DC7966"/>
    <w:rsid w:val="00DC7DC2"/>
    <w:rsid w:val="00DD0405"/>
    <w:rsid w:val="00DD0555"/>
    <w:rsid w:val="00DD058F"/>
    <w:rsid w:val="00DD0770"/>
    <w:rsid w:val="00DD0AA7"/>
    <w:rsid w:val="00DD0E1A"/>
    <w:rsid w:val="00DD1124"/>
    <w:rsid w:val="00DD1130"/>
    <w:rsid w:val="00DD12BD"/>
    <w:rsid w:val="00DD151B"/>
    <w:rsid w:val="00DD1649"/>
    <w:rsid w:val="00DD201B"/>
    <w:rsid w:val="00DD21A7"/>
    <w:rsid w:val="00DD2667"/>
    <w:rsid w:val="00DD279F"/>
    <w:rsid w:val="00DD27BF"/>
    <w:rsid w:val="00DD28E0"/>
    <w:rsid w:val="00DD2959"/>
    <w:rsid w:val="00DD2E57"/>
    <w:rsid w:val="00DD3044"/>
    <w:rsid w:val="00DD32B6"/>
    <w:rsid w:val="00DD3350"/>
    <w:rsid w:val="00DD355D"/>
    <w:rsid w:val="00DD3658"/>
    <w:rsid w:val="00DD393F"/>
    <w:rsid w:val="00DD3BC6"/>
    <w:rsid w:val="00DD3FC5"/>
    <w:rsid w:val="00DD4079"/>
    <w:rsid w:val="00DD43C0"/>
    <w:rsid w:val="00DD43DE"/>
    <w:rsid w:val="00DD457C"/>
    <w:rsid w:val="00DD45D7"/>
    <w:rsid w:val="00DD489A"/>
    <w:rsid w:val="00DD4AA4"/>
    <w:rsid w:val="00DD4E64"/>
    <w:rsid w:val="00DD50F2"/>
    <w:rsid w:val="00DD54C6"/>
    <w:rsid w:val="00DD59F3"/>
    <w:rsid w:val="00DD639C"/>
    <w:rsid w:val="00DD642F"/>
    <w:rsid w:val="00DD6A6F"/>
    <w:rsid w:val="00DD6E02"/>
    <w:rsid w:val="00DD6EF5"/>
    <w:rsid w:val="00DD71D5"/>
    <w:rsid w:val="00DD73C2"/>
    <w:rsid w:val="00DD7452"/>
    <w:rsid w:val="00DD775B"/>
    <w:rsid w:val="00DD7D6F"/>
    <w:rsid w:val="00DE05DB"/>
    <w:rsid w:val="00DE073E"/>
    <w:rsid w:val="00DE0802"/>
    <w:rsid w:val="00DE0828"/>
    <w:rsid w:val="00DE09E8"/>
    <w:rsid w:val="00DE0A59"/>
    <w:rsid w:val="00DE0DA3"/>
    <w:rsid w:val="00DE0F39"/>
    <w:rsid w:val="00DE10A1"/>
    <w:rsid w:val="00DE1229"/>
    <w:rsid w:val="00DE1330"/>
    <w:rsid w:val="00DE14D6"/>
    <w:rsid w:val="00DE158F"/>
    <w:rsid w:val="00DE19AA"/>
    <w:rsid w:val="00DE2074"/>
    <w:rsid w:val="00DE2961"/>
    <w:rsid w:val="00DE2DE9"/>
    <w:rsid w:val="00DE3004"/>
    <w:rsid w:val="00DE319B"/>
    <w:rsid w:val="00DE3A1A"/>
    <w:rsid w:val="00DE3DC4"/>
    <w:rsid w:val="00DE3DD4"/>
    <w:rsid w:val="00DE3EAD"/>
    <w:rsid w:val="00DE4017"/>
    <w:rsid w:val="00DE4575"/>
    <w:rsid w:val="00DE464B"/>
    <w:rsid w:val="00DE479E"/>
    <w:rsid w:val="00DE4A93"/>
    <w:rsid w:val="00DE501B"/>
    <w:rsid w:val="00DE5413"/>
    <w:rsid w:val="00DE585C"/>
    <w:rsid w:val="00DE5C10"/>
    <w:rsid w:val="00DE5C44"/>
    <w:rsid w:val="00DE5CBC"/>
    <w:rsid w:val="00DE5F26"/>
    <w:rsid w:val="00DE646F"/>
    <w:rsid w:val="00DE65F3"/>
    <w:rsid w:val="00DE6730"/>
    <w:rsid w:val="00DE6912"/>
    <w:rsid w:val="00DE694D"/>
    <w:rsid w:val="00DE69A6"/>
    <w:rsid w:val="00DE69E5"/>
    <w:rsid w:val="00DE6A9D"/>
    <w:rsid w:val="00DE6C8C"/>
    <w:rsid w:val="00DE71E0"/>
    <w:rsid w:val="00DE74D8"/>
    <w:rsid w:val="00DE760F"/>
    <w:rsid w:val="00DE77D0"/>
    <w:rsid w:val="00DE780F"/>
    <w:rsid w:val="00DE7F23"/>
    <w:rsid w:val="00DF0031"/>
    <w:rsid w:val="00DF0112"/>
    <w:rsid w:val="00DF02C9"/>
    <w:rsid w:val="00DF085D"/>
    <w:rsid w:val="00DF088E"/>
    <w:rsid w:val="00DF0C7D"/>
    <w:rsid w:val="00DF0E0A"/>
    <w:rsid w:val="00DF0E95"/>
    <w:rsid w:val="00DF13E9"/>
    <w:rsid w:val="00DF17EE"/>
    <w:rsid w:val="00DF1842"/>
    <w:rsid w:val="00DF1AC1"/>
    <w:rsid w:val="00DF1BA4"/>
    <w:rsid w:val="00DF1E33"/>
    <w:rsid w:val="00DF2022"/>
    <w:rsid w:val="00DF26F8"/>
    <w:rsid w:val="00DF28CE"/>
    <w:rsid w:val="00DF30FE"/>
    <w:rsid w:val="00DF32B7"/>
    <w:rsid w:val="00DF34FE"/>
    <w:rsid w:val="00DF369F"/>
    <w:rsid w:val="00DF3812"/>
    <w:rsid w:val="00DF3972"/>
    <w:rsid w:val="00DF3A88"/>
    <w:rsid w:val="00DF3BE0"/>
    <w:rsid w:val="00DF40FA"/>
    <w:rsid w:val="00DF42EB"/>
    <w:rsid w:val="00DF43B1"/>
    <w:rsid w:val="00DF4521"/>
    <w:rsid w:val="00DF4DEE"/>
    <w:rsid w:val="00DF56AA"/>
    <w:rsid w:val="00DF56AF"/>
    <w:rsid w:val="00DF5C0F"/>
    <w:rsid w:val="00DF5CB9"/>
    <w:rsid w:val="00DF5DFF"/>
    <w:rsid w:val="00DF6126"/>
    <w:rsid w:val="00DF61E8"/>
    <w:rsid w:val="00DF6334"/>
    <w:rsid w:val="00DF6336"/>
    <w:rsid w:val="00DF6388"/>
    <w:rsid w:val="00DF6416"/>
    <w:rsid w:val="00DF6CB3"/>
    <w:rsid w:val="00DF6CE2"/>
    <w:rsid w:val="00DF6DAB"/>
    <w:rsid w:val="00DF6DDF"/>
    <w:rsid w:val="00DF6E45"/>
    <w:rsid w:val="00DF6F32"/>
    <w:rsid w:val="00DF706E"/>
    <w:rsid w:val="00DF78E7"/>
    <w:rsid w:val="00DF7D0E"/>
    <w:rsid w:val="00DF7F0C"/>
    <w:rsid w:val="00E004B6"/>
    <w:rsid w:val="00E00578"/>
    <w:rsid w:val="00E00813"/>
    <w:rsid w:val="00E00864"/>
    <w:rsid w:val="00E00889"/>
    <w:rsid w:val="00E00A7B"/>
    <w:rsid w:val="00E00B33"/>
    <w:rsid w:val="00E0141F"/>
    <w:rsid w:val="00E0178A"/>
    <w:rsid w:val="00E01F54"/>
    <w:rsid w:val="00E02187"/>
    <w:rsid w:val="00E022B4"/>
    <w:rsid w:val="00E027D3"/>
    <w:rsid w:val="00E029D8"/>
    <w:rsid w:val="00E02D46"/>
    <w:rsid w:val="00E02D62"/>
    <w:rsid w:val="00E02ED8"/>
    <w:rsid w:val="00E03185"/>
    <w:rsid w:val="00E03470"/>
    <w:rsid w:val="00E03672"/>
    <w:rsid w:val="00E037C5"/>
    <w:rsid w:val="00E03BAF"/>
    <w:rsid w:val="00E043D9"/>
    <w:rsid w:val="00E04770"/>
    <w:rsid w:val="00E04BD9"/>
    <w:rsid w:val="00E04E4D"/>
    <w:rsid w:val="00E04EC9"/>
    <w:rsid w:val="00E0549C"/>
    <w:rsid w:val="00E0570C"/>
    <w:rsid w:val="00E05718"/>
    <w:rsid w:val="00E059A6"/>
    <w:rsid w:val="00E05A35"/>
    <w:rsid w:val="00E05B96"/>
    <w:rsid w:val="00E05C48"/>
    <w:rsid w:val="00E05C8C"/>
    <w:rsid w:val="00E05D14"/>
    <w:rsid w:val="00E064B5"/>
    <w:rsid w:val="00E0663D"/>
    <w:rsid w:val="00E06763"/>
    <w:rsid w:val="00E06849"/>
    <w:rsid w:val="00E06919"/>
    <w:rsid w:val="00E06AA5"/>
    <w:rsid w:val="00E06BE1"/>
    <w:rsid w:val="00E06C1C"/>
    <w:rsid w:val="00E06FBB"/>
    <w:rsid w:val="00E0708F"/>
    <w:rsid w:val="00E071B6"/>
    <w:rsid w:val="00E0724C"/>
    <w:rsid w:val="00E07819"/>
    <w:rsid w:val="00E07A0B"/>
    <w:rsid w:val="00E07BBD"/>
    <w:rsid w:val="00E07CF7"/>
    <w:rsid w:val="00E07E2D"/>
    <w:rsid w:val="00E07FB1"/>
    <w:rsid w:val="00E07FBF"/>
    <w:rsid w:val="00E10160"/>
    <w:rsid w:val="00E1085C"/>
    <w:rsid w:val="00E10A1D"/>
    <w:rsid w:val="00E10A3B"/>
    <w:rsid w:val="00E10BEF"/>
    <w:rsid w:val="00E10FE3"/>
    <w:rsid w:val="00E110E0"/>
    <w:rsid w:val="00E11811"/>
    <w:rsid w:val="00E1198A"/>
    <w:rsid w:val="00E11CEA"/>
    <w:rsid w:val="00E11DED"/>
    <w:rsid w:val="00E11E5E"/>
    <w:rsid w:val="00E12399"/>
    <w:rsid w:val="00E123A9"/>
    <w:rsid w:val="00E12457"/>
    <w:rsid w:val="00E12491"/>
    <w:rsid w:val="00E1249B"/>
    <w:rsid w:val="00E1258A"/>
    <w:rsid w:val="00E129A4"/>
    <w:rsid w:val="00E12AB7"/>
    <w:rsid w:val="00E12E28"/>
    <w:rsid w:val="00E12E45"/>
    <w:rsid w:val="00E12E64"/>
    <w:rsid w:val="00E131EB"/>
    <w:rsid w:val="00E1361A"/>
    <w:rsid w:val="00E13A22"/>
    <w:rsid w:val="00E14131"/>
    <w:rsid w:val="00E14206"/>
    <w:rsid w:val="00E14287"/>
    <w:rsid w:val="00E14596"/>
    <w:rsid w:val="00E14A5D"/>
    <w:rsid w:val="00E14D67"/>
    <w:rsid w:val="00E15179"/>
    <w:rsid w:val="00E15371"/>
    <w:rsid w:val="00E1591D"/>
    <w:rsid w:val="00E15A42"/>
    <w:rsid w:val="00E15B45"/>
    <w:rsid w:val="00E15B72"/>
    <w:rsid w:val="00E1639D"/>
    <w:rsid w:val="00E1661D"/>
    <w:rsid w:val="00E16777"/>
    <w:rsid w:val="00E16D5C"/>
    <w:rsid w:val="00E17616"/>
    <w:rsid w:val="00E17CE7"/>
    <w:rsid w:val="00E17DAB"/>
    <w:rsid w:val="00E17E82"/>
    <w:rsid w:val="00E2004A"/>
    <w:rsid w:val="00E20297"/>
    <w:rsid w:val="00E202E2"/>
    <w:rsid w:val="00E207F6"/>
    <w:rsid w:val="00E20815"/>
    <w:rsid w:val="00E209A7"/>
    <w:rsid w:val="00E209FC"/>
    <w:rsid w:val="00E20A7E"/>
    <w:rsid w:val="00E20ACF"/>
    <w:rsid w:val="00E20AFE"/>
    <w:rsid w:val="00E20C6B"/>
    <w:rsid w:val="00E20CB7"/>
    <w:rsid w:val="00E20EBC"/>
    <w:rsid w:val="00E213D0"/>
    <w:rsid w:val="00E21672"/>
    <w:rsid w:val="00E21698"/>
    <w:rsid w:val="00E217F2"/>
    <w:rsid w:val="00E2191F"/>
    <w:rsid w:val="00E219BE"/>
    <w:rsid w:val="00E21B3C"/>
    <w:rsid w:val="00E21D73"/>
    <w:rsid w:val="00E2210B"/>
    <w:rsid w:val="00E222FC"/>
    <w:rsid w:val="00E2262A"/>
    <w:rsid w:val="00E22757"/>
    <w:rsid w:val="00E22A5B"/>
    <w:rsid w:val="00E22D9C"/>
    <w:rsid w:val="00E23074"/>
    <w:rsid w:val="00E237B8"/>
    <w:rsid w:val="00E238EE"/>
    <w:rsid w:val="00E23C08"/>
    <w:rsid w:val="00E24104"/>
    <w:rsid w:val="00E24427"/>
    <w:rsid w:val="00E246E6"/>
    <w:rsid w:val="00E2513B"/>
    <w:rsid w:val="00E25156"/>
    <w:rsid w:val="00E25275"/>
    <w:rsid w:val="00E25277"/>
    <w:rsid w:val="00E256A1"/>
    <w:rsid w:val="00E257A9"/>
    <w:rsid w:val="00E2592E"/>
    <w:rsid w:val="00E259DA"/>
    <w:rsid w:val="00E25D3F"/>
    <w:rsid w:val="00E25D6E"/>
    <w:rsid w:val="00E261B2"/>
    <w:rsid w:val="00E26672"/>
    <w:rsid w:val="00E266AD"/>
    <w:rsid w:val="00E27627"/>
    <w:rsid w:val="00E27DF3"/>
    <w:rsid w:val="00E301E2"/>
    <w:rsid w:val="00E302D0"/>
    <w:rsid w:val="00E305B5"/>
    <w:rsid w:val="00E305BF"/>
    <w:rsid w:val="00E30764"/>
    <w:rsid w:val="00E309B2"/>
    <w:rsid w:val="00E309DB"/>
    <w:rsid w:val="00E30A83"/>
    <w:rsid w:val="00E30B1D"/>
    <w:rsid w:val="00E30D4B"/>
    <w:rsid w:val="00E31005"/>
    <w:rsid w:val="00E31793"/>
    <w:rsid w:val="00E31F05"/>
    <w:rsid w:val="00E3200E"/>
    <w:rsid w:val="00E32217"/>
    <w:rsid w:val="00E324C9"/>
    <w:rsid w:val="00E325A7"/>
    <w:rsid w:val="00E329DE"/>
    <w:rsid w:val="00E32F31"/>
    <w:rsid w:val="00E330F9"/>
    <w:rsid w:val="00E3328B"/>
    <w:rsid w:val="00E335C3"/>
    <w:rsid w:val="00E337A4"/>
    <w:rsid w:val="00E33885"/>
    <w:rsid w:val="00E33D37"/>
    <w:rsid w:val="00E33F33"/>
    <w:rsid w:val="00E341CA"/>
    <w:rsid w:val="00E34315"/>
    <w:rsid w:val="00E343C5"/>
    <w:rsid w:val="00E34733"/>
    <w:rsid w:val="00E351F4"/>
    <w:rsid w:val="00E35707"/>
    <w:rsid w:val="00E357D0"/>
    <w:rsid w:val="00E35E3C"/>
    <w:rsid w:val="00E35FF8"/>
    <w:rsid w:val="00E363C0"/>
    <w:rsid w:val="00E36449"/>
    <w:rsid w:val="00E364F0"/>
    <w:rsid w:val="00E36513"/>
    <w:rsid w:val="00E36754"/>
    <w:rsid w:val="00E36872"/>
    <w:rsid w:val="00E36AA1"/>
    <w:rsid w:val="00E37007"/>
    <w:rsid w:val="00E375A5"/>
    <w:rsid w:val="00E375DA"/>
    <w:rsid w:val="00E377FF"/>
    <w:rsid w:val="00E37A68"/>
    <w:rsid w:val="00E37CCA"/>
    <w:rsid w:val="00E402DA"/>
    <w:rsid w:val="00E4040D"/>
    <w:rsid w:val="00E40423"/>
    <w:rsid w:val="00E40D12"/>
    <w:rsid w:val="00E40FDF"/>
    <w:rsid w:val="00E41124"/>
    <w:rsid w:val="00E41275"/>
    <w:rsid w:val="00E412B1"/>
    <w:rsid w:val="00E41300"/>
    <w:rsid w:val="00E41328"/>
    <w:rsid w:val="00E41464"/>
    <w:rsid w:val="00E4159B"/>
    <w:rsid w:val="00E416C3"/>
    <w:rsid w:val="00E41902"/>
    <w:rsid w:val="00E41A5D"/>
    <w:rsid w:val="00E41ECB"/>
    <w:rsid w:val="00E41F03"/>
    <w:rsid w:val="00E420D8"/>
    <w:rsid w:val="00E4210C"/>
    <w:rsid w:val="00E42A87"/>
    <w:rsid w:val="00E42F71"/>
    <w:rsid w:val="00E43225"/>
    <w:rsid w:val="00E433C2"/>
    <w:rsid w:val="00E43565"/>
    <w:rsid w:val="00E437ED"/>
    <w:rsid w:val="00E43978"/>
    <w:rsid w:val="00E43AB2"/>
    <w:rsid w:val="00E43B6A"/>
    <w:rsid w:val="00E43CB7"/>
    <w:rsid w:val="00E4400D"/>
    <w:rsid w:val="00E445B2"/>
    <w:rsid w:val="00E44815"/>
    <w:rsid w:val="00E44D04"/>
    <w:rsid w:val="00E44D4A"/>
    <w:rsid w:val="00E450FA"/>
    <w:rsid w:val="00E45387"/>
    <w:rsid w:val="00E45424"/>
    <w:rsid w:val="00E456AC"/>
    <w:rsid w:val="00E4595A"/>
    <w:rsid w:val="00E45CF3"/>
    <w:rsid w:val="00E45DC4"/>
    <w:rsid w:val="00E460CF"/>
    <w:rsid w:val="00E463B3"/>
    <w:rsid w:val="00E467E4"/>
    <w:rsid w:val="00E4682B"/>
    <w:rsid w:val="00E46B0D"/>
    <w:rsid w:val="00E46F7B"/>
    <w:rsid w:val="00E47212"/>
    <w:rsid w:val="00E478C4"/>
    <w:rsid w:val="00E47AFA"/>
    <w:rsid w:val="00E47BC0"/>
    <w:rsid w:val="00E47E3F"/>
    <w:rsid w:val="00E50079"/>
    <w:rsid w:val="00E504AE"/>
    <w:rsid w:val="00E50661"/>
    <w:rsid w:val="00E51489"/>
    <w:rsid w:val="00E5180E"/>
    <w:rsid w:val="00E519D9"/>
    <w:rsid w:val="00E51A3F"/>
    <w:rsid w:val="00E5220E"/>
    <w:rsid w:val="00E5227B"/>
    <w:rsid w:val="00E52414"/>
    <w:rsid w:val="00E52616"/>
    <w:rsid w:val="00E527A0"/>
    <w:rsid w:val="00E529C4"/>
    <w:rsid w:val="00E52C08"/>
    <w:rsid w:val="00E5300F"/>
    <w:rsid w:val="00E53030"/>
    <w:rsid w:val="00E5304E"/>
    <w:rsid w:val="00E5311C"/>
    <w:rsid w:val="00E534DE"/>
    <w:rsid w:val="00E5351E"/>
    <w:rsid w:val="00E53A2F"/>
    <w:rsid w:val="00E53A96"/>
    <w:rsid w:val="00E53CF1"/>
    <w:rsid w:val="00E54808"/>
    <w:rsid w:val="00E54C54"/>
    <w:rsid w:val="00E54D6D"/>
    <w:rsid w:val="00E54F03"/>
    <w:rsid w:val="00E54FDB"/>
    <w:rsid w:val="00E5542A"/>
    <w:rsid w:val="00E555CD"/>
    <w:rsid w:val="00E55A66"/>
    <w:rsid w:val="00E55A86"/>
    <w:rsid w:val="00E55DD6"/>
    <w:rsid w:val="00E5617D"/>
    <w:rsid w:val="00E562D8"/>
    <w:rsid w:val="00E5638E"/>
    <w:rsid w:val="00E563D7"/>
    <w:rsid w:val="00E56528"/>
    <w:rsid w:val="00E5686D"/>
    <w:rsid w:val="00E56874"/>
    <w:rsid w:val="00E569FA"/>
    <w:rsid w:val="00E56C90"/>
    <w:rsid w:val="00E56F45"/>
    <w:rsid w:val="00E57108"/>
    <w:rsid w:val="00E57489"/>
    <w:rsid w:val="00E576D3"/>
    <w:rsid w:val="00E57965"/>
    <w:rsid w:val="00E57BD4"/>
    <w:rsid w:val="00E57E43"/>
    <w:rsid w:val="00E57E5C"/>
    <w:rsid w:val="00E602B1"/>
    <w:rsid w:val="00E602CB"/>
    <w:rsid w:val="00E605E5"/>
    <w:rsid w:val="00E60636"/>
    <w:rsid w:val="00E6078C"/>
    <w:rsid w:val="00E608AD"/>
    <w:rsid w:val="00E60C05"/>
    <w:rsid w:val="00E617C3"/>
    <w:rsid w:val="00E61F35"/>
    <w:rsid w:val="00E62342"/>
    <w:rsid w:val="00E62380"/>
    <w:rsid w:val="00E623B5"/>
    <w:rsid w:val="00E62627"/>
    <w:rsid w:val="00E6270F"/>
    <w:rsid w:val="00E628D4"/>
    <w:rsid w:val="00E62AA8"/>
    <w:rsid w:val="00E62E57"/>
    <w:rsid w:val="00E62F4C"/>
    <w:rsid w:val="00E62FA4"/>
    <w:rsid w:val="00E631AF"/>
    <w:rsid w:val="00E6324D"/>
    <w:rsid w:val="00E6326B"/>
    <w:rsid w:val="00E63300"/>
    <w:rsid w:val="00E6355E"/>
    <w:rsid w:val="00E6359C"/>
    <w:rsid w:val="00E635EB"/>
    <w:rsid w:val="00E6363D"/>
    <w:rsid w:val="00E63741"/>
    <w:rsid w:val="00E63BF5"/>
    <w:rsid w:val="00E643CE"/>
    <w:rsid w:val="00E6441F"/>
    <w:rsid w:val="00E64AAD"/>
    <w:rsid w:val="00E64C55"/>
    <w:rsid w:val="00E64CF7"/>
    <w:rsid w:val="00E64F42"/>
    <w:rsid w:val="00E64F8E"/>
    <w:rsid w:val="00E655B6"/>
    <w:rsid w:val="00E662CD"/>
    <w:rsid w:val="00E66335"/>
    <w:rsid w:val="00E663F4"/>
    <w:rsid w:val="00E66578"/>
    <w:rsid w:val="00E666C8"/>
    <w:rsid w:val="00E666F2"/>
    <w:rsid w:val="00E66711"/>
    <w:rsid w:val="00E6674F"/>
    <w:rsid w:val="00E6685A"/>
    <w:rsid w:val="00E66CD5"/>
    <w:rsid w:val="00E66D57"/>
    <w:rsid w:val="00E66DD4"/>
    <w:rsid w:val="00E66F03"/>
    <w:rsid w:val="00E66FDC"/>
    <w:rsid w:val="00E6710B"/>
    <w:rsid w:val="00E674CE"/>
    <w:rsid w:val="00E67726"/>
    <w:rsid w:val="00E678B7"/>
    <w:rsid w:val="00E679F2"/>
    <w:rsid w:val="00E67DB8"/>
    <w:rsid w:val="00E70110"/>
    <w:rsid w:val="00E7016E"/>
    <w:rsid w:val="00E703CA"/>
    <w:rsid w:val="00E704A4"/>
    <w:rsid w:val="00E706F9"/>
    <w:rsid w:val="00E70708"/>
    <w:rsid w:val="00E709AF"/>
    <w:rsid w:val="00E70C08"/>
    <w:rsid w:val="00E70C34"/>
    <w:rsid w:val="00E70F23"/>
    <w:rsid w:val="00E71067"/>
    <w:rsid w:val="00E71503"/>
    <w:rsid w:val="00E7150A"/>
    <w:rsid w:val="00E71617"/>
    <w:rsid w:val="00E7194A"/>
    <w:rsid w:val="00E71992"/>
    <w:rsid w:val="00E71C54"/>
    <w:rsid w:val="00E71CA9"/>
    <w:rsid w:val="00E71DBC"/>
    <w:rsid w:val="00E72334"/>
    <w:rsid w:val="00E72591"/>
    <w:rsid w:val="00E72675"/>
    <w:rsid w:val="00E7272E"/>
    <w:rsid w:val="00E730C8"/>
    <w:rsid w:val="00E734FC"/>
    <w:rsid w:val="00E7355E"/>
    <w:rsid w:val="00E736A5"/>
    <w:rsid w:val="00E737FD"/>
    <w:rsid w:val="00E73908"/>
    <w:rsid w:val="00E73975"/>
    <w:rsid w:val="00E739FB"/>
    <w:rsid w:val="00E73C74"/>
    <w:rsid w:val="00E7417D"/>
    <w:rsid w:val="00E743C9"/>
    <w:rsid w:val="00E744C2"/>
    <w:rsid w:val="00E748CC"/>
    <w:rsid w:val="00E74917"/>
    <w:rsid w:val="00E74B57"/>
    <w:rsid w:val="00E74C98"/>
    <w:rsid w:val="00E74E18"/>
    <w:rsid w:val="00E74EE6"/>
    <w:rsid w:val="00E74F77"/>
    <w:rsid w:val="00E74FFE"/>
    <w:rsid w:val="00E750AD"/>
    <w:rsid w:val="00E751B8"/>
    <w:rsid w:val="00E75415"/>
    <w:rsid w:val="00E75468"/>
    <w:rsid w:val="00E758E0"/>
    <w:rsid w:val="00E76074"/>
    <w:rsid w:val="00E76085"/>
    <w:rsid w:val="00E768BB"/>
    <w:rsid w:val="00E76BBB"/>
    <w:rsid w:val="00E76BC0"/>
    <w:rsid w:val="00E76FC5"/>
    <w:rsid w:val="00E77352"/>
    <w:rsid w:val="00E773DF"/>
    <w:rsid w:val="00E774C9"/>
    <w:rsid w:val="00E7756F"/>
    <w:rsid w:val="00E775B1"/>
    <w:rsid w:val="00E775F9"/>
    <w:rsid w:val="00E77A5E"/>
    <w:rsid w:val="00E77C71"/>
    <w:rsid w:val="00E77DF6"/>
    <w:rsid w:val="00E77F3C"/>
    <w:rsid w:val="00E80126"/>
    <w:rsid w:val="00E803B3"/>
    <w:rsid w:val="00E804A8"/>
    <w:rsid w:val="00E807D5"/>
    <w:rsid w:val="00E809F8"/>
    <w:rsid w:val="00E80AF4"/>
    <w:rsid w:val="00E80BF9"/>
    <w:rsid w:val="00E8112A"/>
    <w:rsid w:val="00E81431"/>
    <w:rsid w:val="00E8152A"/>
    <w:rsid w:val="00E81806"/>
    <w:rsid w:val="00E81D00"/>
    <w:rsid w:val="00E8232F"/>
    <w:rsid w:val="00E827C8"/>
    <w:rsid w:val="00E82CDB"/>
    <w:rsid w:val="00E82D2F"/>
    <w:rsid w:val="00E82F73"/>
    <w:rsid w:val="00E83041"/>
    <w:rsid w:val="00E830BA"/>
    <w:rsid w:val="00E8328C"/>
    <w:rsid w:val="00E83BC7"/>
    <w:rsid w:val="00E83BF0"/>
    <w:rsid w:val="00E83DB1"/>
    <w:rsid w:val="00E83FCF"/>
    <w:rsid w:val="00E83FE1"/>
    <w:rsid w:val="00E8426B"/>
    <w:rsid w:val="00E845F2"/>
    <w:rsid w:val="00E8467A"/>
    <w:rsid w:val="00E848EB"/>
    <w:rsid w:val="00E849D5"/>
    <w:rsid w:val="00E84AB7"/>
    <w:rsid w:val="00E84B24"/>
    <w:rsid w:val="00E84FA5"/>
    <w:rsid w:val="00E85270"/>
    <w:rsid w:val="00E854AC"/>
    <w:rsid w:val="00E865D5"/>
    <w:rsid w:val="00E86613"/>
    <w:rsid w:val="00E86884"/>
    <w:rsid w:val="00E86CCE"/>
    <w:rsid w:val="00E86F46"/>
    <w:rsid w:val="00E87316"/>
    <w:rsid w:val="00E87379"/>
    <w:rsid w:val="00E874F1"/>
    <w:rsid w:val="00E875FC"/>
    <w:rsid w:val="00E87C0B"/>
    <w:rsid w:val="00E87F7D"/>
    <w:rsid w:val="00E87F90"/>
    <w:rsid w:val="00E9008E"/>
    <w:rsid w:val="00E90150"/>
    <w:rsid w:val="00E902FF"/>
    <w:rsid w:val="00E905AE"/>
    <w:rsid w:val="00E90748"/>
    <w:rsid w:val="00E91061"/>
    <w:rsid w:val="00E91165"/>
    <w:rsid w:val="00E911A8"/>
    <w:rsid w:val="00E914BC"/>
    <w:rsid w:val="00E91567"/>
    <w:rsid w:val="00E91F7A"/>
    <w:rsid w:val="00E920EB"/>
    <w:rsid w:val="00E92115"/>
    <w:rsid w:val="00E92242"/>
    <w:rsid w:val="00E92458"/>
    <w:rsid w:val="00E92791"/>
    <w:rsid w:val="00E92C0F"/>
    <w:rsid w:val="00E92C6D"/>
    <w:rsid w:val="00E92E20"/>
    <w:rsid w:val="00E9320C"/>
    <w:rsid w:val="00E933E2"/>
    <w:rsid w:val="00E93629"/>
    <w:rsid w:val="00E936AC"/>
    <w:rsid w:val="00E937D1"/>
    <w:rsid w:val="00E93A04"/>
    <w:rsid w:val="00E93B5C"/>
    <w:rsid w:val="00E93BD6"/>
    <w:rsid w:val="00E94117"/>
    <w:rsid w:val="00E9436B"/>
    <w:rsid w:val="00E94604"/>
    <w:rsid w:val="00E94AFE"/>
    <w:rsid w:val="00E94CEC"/>
    <w:rsid w:val="00E94DC0"/>
    <w:rsid w:val="00E94F3E"/>
    <w:rsid w:val="00E95720"/>
    <w:rsid w:val="00E95880"/>
    <w:rsid w:val="00E9596A"/>
    <w:rsid w:val="00E95B07"/>
    <w:rsid w:val="00E95C4C"/>
    <w:rsid w:val="00E96017"/>
    <w:rsid w:val="00E966D2"/>
    <w:rsid w:val="00E96900"/>
    <w:rsid w:val="00E96A64"/>
    <w:rsid w:val="00E96B09"/>
    <w:rsid w:val="00E96BE7"/>
    <w:rsid w:val="00E972C7"/>
    <w:rsid w:val="00E9739F"/>
    <w:rsid w:val="00E97423"/>
    <w:rsid w:val="00E9785C"/>
    <w:rsid w:val="00E97880"/>
    <w:rsid w:val="00E9794E"/>
    <w:rsid w:val="00E97B29"/>
    <w:rsid w:val="00E97BE0"/>
    <w:rsid w:val="00EA01BB"/>
    <w:rsid w:val="00EA03E8"/>
    <w:rsid w:val="00EA04EF"/>
    <w:rsid w:val="00EA0641"/>
    <w:rsid w:val="00EA0960"/>
    <w:rsid w:val="00EA0B8B"/>
    <w:rsid w:val="00EA0BF5"/>
    <w:rsid w:val="00EA0D73"/>
    <w:rsid w:val="00EA1059"/>
    <w:rsid w:val="00EA1182"/>
    <w:rsid w:val="00EA135C"/>
    <w:rsid w:val="00EA18CC"/>
    <w:rsid w:val="00EA1A65"/>
    <w:rsid w:val="00EA1B63"/>
    <w:rsid w:val="00EA1B89"/>
    <w:rsid w:val="00EA1EDC"/>
    <w:rsid w:val="00EA28B4"/>
    <w:rsid w:val="00EA2941"/>
    <w:rsid w:val="00EA2A36"/>
    <w:rsid w:val="00EA2F63"/>
    <w:rsid w:val="00EA300A"/>
    <w:rsid w:val="00EA305B"/>
    <w:rsid w:val="00EA31A4"/>
    <w:rsid w:val="00EA31AB"/>
    <w:rsid w:val="00EA3407"/>
    <w:rsid w:val="00EA3953"/>
    <w:rsid w:val="00EA3999"/>
    <w:rsid w:val="00EA3C40"/>
    <w:rsid w:val="00EA3CFC"/>
    <w:rsid w:val="00EA3F9E"/>
    <w:rsid w:val="00EA418C"/>
    <w:rsid w:val="00EA41DD"/>
    <w:rsid w:val="00EA493D"/>
    <w:rsid w:val="00EA52A2"/>
    <w:rsid w:val="00EA52D5"/>
    <w:rsid w:val="00EA54D5"/>
    <w:rsid w:val="00EA56AB"/>
    <w:rsid w:val="00EA59BF"/>
    <w:rsid w:val="00EA5B17"/>
    <w:rsid w:val="00EA5FAC"/>
    <w:rsid w:val="00EA60DE"/>
    <w:rsid w:val="00EA62D2"/>
    <w:rsid w:val="00EA6495"/>
    <w:rsid w:val="00EA64AB"/>
    <w:rsid w:val="00EA687B"/>
    <w:rsid w:val="00EA6BBC"/>
    <w:rsid w:val="00EA6D18"/>
    <w:rsid w:val="00EA6DEF"/>
    <w:rsid w:val="00EA6F19"/>
    <w:rsid w:val="00EA73F4"/>
    <w:rsid w:val="00EA7A6D"/>
    <w:rsid w:val="00EA7ABB"/>
    <w:rsid w:val="00EA7BDA"/>
    <w:rsid w:val="00EA7FD9"/>
    <w:rsid w:val="00EB0167"/>
    <w:rsid w:val="00EB056A"/>
    <w:rsid w:val="00EB067A"/>
    <w:rsid w:val="00EB0B5E"/>
    <w:rsid w:val="00EB0B92"/>
    <w:rsid w:val="00EB0CCD"/>
    <w:rsid w:val="00EB0F5A"/>
    <w:rsid w:val="00EB1009"/>
    <w:rsid w:val="00EB1156"/>
    <w:rsid w:val="00EB11B8"/>
    <w:rsid w:val="00EB14A1"/>
    <w:rsid w:val="00EB167D"/>
    <w:rsid w:val="00EB16DB"/>
    <w:rsid w:val="00EB1A90"/>
    <w:rsid w:val="00EB1FDB"/>
    <w:rsid w:val="00EB229F"/>
    <w:rsid w:val="00EB22C2"/>
    <w:rsid w:val="00EB2600"/>
    <w:rsid w:val="00EB293C"/>
    <w:rsid w:val="00EB2A56"/>
    <w:rsid w:val="00EB2F1B"/>
    <w:rsid w:val="00EB338D"/>
    <w:rsid w:val="00EB3509"/>
    <w:rsid w:val="00EB36B4"/>
    <w:rsid w:val="00EB3BB3"/>
    <w:rsid w:val="00EB3C47"/>
    <w:rsid w:val="00EB3C74"/>
    <w:rsid w:val="00EB3D99"/>
    <w:rsid w:val="00EB3E8B"/>
    <w:rsid w:val="00EB414F"/>
    <w:rsid w:val="00EB4153"/>
    <w:rsid w:val="00EB43D2"/>
    <w:rsid w:val="00EB452E"/>
    <w:rsid w:val="00EB5146"/>
    <w:rsid w:val="00EB53BC"/>
    <w:rsid w:val="00EB5605"/>
    <w:rsid w:val="00EB57F6"/>
    <w:rsid w:val="00EB5CC9"/>
    <w:rsid w:val="00EB60F5"/>
    <w:rsid w:val="00EB63FC"/>
    <w:rsid w:val="00EB6507"/>
    <w:rsid w:val="00EB66D1"/>
    <w:rsid w:val="00EB67FF"/>
    <w:rsid w:val="00EB697A"/>
    <w:rsid w:val="00EB6C22"/>
    <w:rsid w:val="00EB6D74"/>
    <w:rsid w:val="00EB7076"/>
    <w:rsid w:val="00EB7090"/>
    <w:rsid w:val="00EB7167"/>
    <w:rsid w:val="00EB7535"/>
    <w:rsid w:val="00EB7555"/>
    <w:rsid w:val="00EB7670"/>
    <w:rsid w:val="00EB78D9"/>
    <w:rsid w:val="00EB7C3D"/>
    <w:rsid w:val="00EC0268"/>
    <w:rsid w:val="00EC0405"/>
    <w:rsid w:val="00EC0565"/>
    <w:rsid w:val="00EC06A3"/>
    <w:rsid w:val="00EC06F4"/>
    <w:rsid w:val="00EC0A4D"/>
    <w:rsid w:val="00EC0B2F"/>
    <w:rsid w:val="00EC10F9"/>
    <w:rsid w:val="00EC13FB"/>
    <w:rsid w:val="00EC1440"/>
    <w:rsid w:val="00EC1474"/>
    <w:rsid w:val="00EC147F"/>
    <w:rsid w:val="00EC1B8E"/>
    <w:rsid w:val="00EC1BBE"/>
    <w:rsid w:val="00EC22DC"/>
    <w:rsid w:val="00EC269D"/>
    <w:rsid w:val="00EC279C"/>
    <w:rsid w:val="00EC2A5C"/>
    <w:rsid w:val="00EC2CF8"/>
    <w:rsid w:val="00EC2F66"/>
    <w:rsid w:val="00EC38FB"/>
    <w:rsid w:val="00EC396D"/>
    <w:rsid w:val="00EC3E4D"/>
    <w:rsid w:val="00EC42B6"/>
    <w:rsid w:val="00EC46D9"/>
    <w:rsid w:val="00EC46E7"/>
    <w:rsid w:val="00EC4994"/>
    <w:rsid w:val="00EC4B07"/>
    <w:rsid w:val="00EC4BDA"/>
    <w:rsid w:val="00EC4D23"/>
    <w:rsid w:val="00EC4DC7"/>
    <w:rsid w:val="00EC4E71"/>
    <w:rsid w:val="00EC5388"/>
    <w:rsid w:val="00EC564D"/>
    <w:rsid w:val="00EC58F7"/>
    <w:rsid w:val="00EC5982"/>
    <w:rsid w:val="00EC59C9"/>
    <w:rsid w:val="00EC5C76"/>
    <w:rsid w:val="00EC5CD7"/>
    <w:rsid w:val="00EC5D59"/>
    <w:rsid w:val="00EC6499"/>
    <w:rsid w:val="00EC656B"/>
    <w:rsid w:val="00EC6848"/>
    <w:rsid w:val="00EC71E9"/>
    <w:rsid w:val="00EC7211"/>
    <w:rsid w:val="00EC7850"/>
    <w:rsid w:val="00EC7879"/>
    <w:rsid w:val="00EC7994"/>
    <w:rsid w:val="00EC7BC6"/>
    <w:rsid w:val="00EC7CC4"/>
    <w:rsid w:val="00EC7CEC"/>
    <w:rsid w:val="00EC7DAD"/>
    <w:rsid w:val="00EC7E9E"/>
    <w:rsid w:val="00EC7F5D"/>
    <w:rsid w:val="00EC7FE5"/>
    <w:rsid w:val="00ED028C"/>
    <w:rsid w:val="00ED02B0"/>
    <w:rsid w:val="00ED04BA"/>
    <w:rsid w:val="00ED05A4"/>
    <w:rsid w:val="00ED0624"/>
    <w:rsid w:val="00ED0641"/>
    <w:rsid w:val="00ED0A23"/>
    <w:rsid w:val="00ED1160"/>
    <w:rsid w:val="00ED1542"/>
    <w:rsid w:val="00ED161A"/>
    <w:rsid w:val="00ED163C"/>
    <w:rsid w:val="00ED1A8E"/>
    <w:rsid w:val="00ED1B7A"/>
    <w:rsid w:val="00ED1CCA"/>
    <w:rsid w:val="00ED201B"/>
    <w:rsid w:val="00ED28B7"/>
    <w:rsid w:val="00ED377B"/>
    <w:rsid w:val="00ED3804"/>
    <w:rsid w:val="00ED3944"/>
    <w:rsid w:val="00ED3A77"/>
    <w:rsid w:val="00ED3C52"/>
    <w:rsid w:val="00ED4005"/>
    <w:rsid w:val="00ED410D"/>
    <w:rsid w:val="00ED4281"/>
    <w:rsid w:val="00ED468C"/>
    <w:rsid w:val="00ED477B"/>
    <w:rsid w:val="00ED4A2B"/>
    <w:rsid w:val="00ED4AC9"/>
    <w:rsid w:val="00ED4B30"/>
    <w:rsid w:val="00ED4C1D"/>
    <w:rsid w:val="00ED4C8A"/>
    <w:rsid w:val="00ED4E90"/>
    <w:rsid w:val="00ED4FE2"/>
    <w:rsid w:val="00ED5001"/>
    <w:rsid w:val="00ED52AD"/>
    <w:rsid w:val="00ED53EC"/>
    <w:rsid w:val="00ED5406"/>
    <w:rsid w:val="00ED5658"/>
    <w:rsid w:val="00ED59E3"/>
    <w:rsid w:val="00ED5F43"/>
    <w:rsid w:val="00ED6027"/>
    <w:rsid w:val="00ED61F8"/>
    <w:rsid w:val="00ED6272"/>
    <w:rsid w:val="00ED67AC"/>
    <w:rsid w:val="00ED67AD"/>
    <w:rsid w:val="00ED6893"/>
    <w:rsid w:val="00ED68B1"/>
    <w:rsid w:val="00ED6B0D"/>
    <w:rsid w:val="00ED7ADE"/>
    <w:rsid w:val="00EE00C9"/>
    <w:rsid w:val="00EE022E"/>
    <w:rsid w:val="00EE0258"/>
    <w:rsid w:val="00EE0639"/>
    <w:rsid w:val="00EE08CA"/>
    <w:rsid w:val="00EE08DD"/>
    <w:rsid w:val="00EE0BFC"/>
    <w:rsid w:val="00EE1182"/>
    <w:rsid w:val="00EE12B1"/>
    <w:rsid w:val="00EE153D"/>
    <w:rsid w:val="00EE170F"/>
    <w:rsid w:val="00EE175A"/>
    <w:rsid w:val="00EE1971"/>
    <w:rsid w:val="00EE1BBE"/>
    <w:rsid w:val="00EE296C"/>
    <w:rsid w:val="00EE298A"/>
    <w:rsid w:val="00EE2A84"/>
    <w:rsid w:val="00EE2FDD"/>
    <w:rsid w:val="00EE318C"/>
    <w:rsid w:val="00EE35DA"/>
    <w:rsid w:val="00EE37A3"/>
    <w:rsid w:val="00EE3C7B"/>
    <w:rsid w:val="00EE3D90"/>
    <w:rsid w:val="00EE3EFE"/>
    <w:rsid w:val="00EE434A"/>
    <w:rsid w:val="00EE4410"/>
    <w:rsid w:val="00EE47F5"/>
    <w:rsid w:val="00EE49BB"/>
    <w:rsid w:val="00EE49F6"/>
    <w:rsid w:val="00EE4CA0"/>
    <w:rsid w:val="00EE53DD"/>
    <w:rsid w:val="00EE57A6"/>
    <w:rsid w:val="00EE58EA"/>
    <w:rsid w:val="00EE5A6A"/>
    <w:rsid w:val="00EE5EF8"/>
    <w:rsid w:val="00EE5FB3"/>
    <w:rsid w:val="00EE6079"/>
    <w:rsid w:val="00EE6120"/>
    <w:rsid w:val="00EE627A"/>
    <w:rsid w:val="00EE6863"/>
    <w:rsid w:val="00EE6E57"/>
    <w:rsid w:val="00EE6E9B"/>
    <w:rsid w:val="00EE70EA"/>
    <w:rsid w:val="00EE710F"/>
    <w:rsid w:val="00EE7514"/>
    <w:rsid w:val="00EE7591"/>
    <w:rsid w:val="00EE7718"/>
    <w:rsid w:val="00EE7A0D"/>
    <w:rsid w:val="00EE7AE9"/>
    <w:rsid w:val="00EE7E08"/>
    <w:rsid w:val="00EE7F79"/>
    <w:rsid w:val="00EE7FAC"/>
    <w:rsid w:val="00EF0223"/>
    <w:rsid w:val="00EF0431"/>
    <w:rsid w:val="00EF06DC"/>
    <w:rsid w:val="00EF095F"/>
    <w:rsid w:val="00EF0E54"/>
    <w:rsid w:val="00EF0E76"/>
    <w:rsid w:val="00EF0F26"/>
    <w:rsid w:val="00EF0F5D"/>
    <w:rsid w:val="00EF1004"/>
    <w:rsid w:val="00EF1162"/>
    <w:rsid w:val="00EF15F5"/>
    <w:rsid w:val="00EF1999"/>
    <w:rsid w:val="00EF1B0A"/>
    <w:rsid w:val="00EF1BC8"/>
    <w:rsid w:val="00EF1E20"/>
    <w:rsid w:val="00EF1F2C"/>
    <w:rsid w:val="00EF20BA"/>
    <w:rsid w:val="00EF20E4"/>
    <w:rsid w:val="00EF2595"/>
    <w:rsid w:val="00EF2D3F"/>
    <w:rsid w:val="00EF3174"/>
    <w:rsid w:val="00EF31DA"/>
    <w:rsid w:val="00EF334B"/>
    <w:rsid w:val="00EF3808"/>
    <w:rsid w:val="00EF3A10"/>
    <w:rsid w:val="00EF3D1A"/>
    <w:rsid w:val="00EF3F72"/>
    <w:rsid w:val="00EF4037"/>
    <w:rsid w:val="00EF404A"/>
    <w:rsid w:val="00EF48AB"/>
    <w:rsid w:val="00EF4987"/>
    <w:rsid w:val="00EF4C9E"/>
    <w:rsid w:val="00EF4E6C"/>
    <w:rsid w:val="00EF5C96"/>
    <w:rsid w:val="00EF5F9E"/>
    <w:rsid w:val="00EF6022"/>
    <w:rsid w:val="00EF622A"/>
    <w:rsid w:val="00EF62E5"/>
    <w:rsid w:val="00EF65D2"/>
    <w:rsid w:val="00EF6BBE"/>
    <w:rsid w:val="00EF6C63"/>
    <w:rsid w:val="00EF6CD9"/>
    <w:rsid w:val="00EF6E43"/>
    <w:rsid w:val="00EF6E77"/>
    <w:rsid w:val="00EF6F9B"/>
    <w:rsid w:val="00EF6FD5"/>
    <w:rsid w:val="00EF715A"/>
    <w:rsid w:val="00EF716D"/>
    <w:rsid w:val="00EF7904"/>
    <w:rsid w:val="00EF7BD9"/>
    <w:rsid w:val="00EF7FAE"/>
    <w:rsid w:val="00F003FB"/>
    <w:rsid w:val="00F00490"/>
    <w:rsid w:val="00F0061D"/>
    <w:rsid w:val="00F00875"/>
    <w:rsid w:val="00F0087E"/>
    <w:rsid w:val="00F00ADC"/>
    <w:rsid w:val="00F00E00"/>
    <w:rsid w:val="00F00F18"/>
    <w:rsid w:val="00F012F0"/>
    <w:rsid w:val="00F0151A"/>
    <w:rsid w:val="00F015D2"/>
    <w:rsid w:val="00F01663"/>
    <w:rsid w:val="00F01781"/>
    <w:rsid w:val="00F017EC"/>
    <w:rsid w:val="00F0187E"/>
    <w:rsid w:val="00F01A56"/>
    <w:rsid w:val="00F01CB1"/>
    <w:rsid w:val="00F01E2C"/>
    <w:rsid w:val="00F021A4"/>
    <w:rsid w:val="00F024BE"/>
    <w:rsid w:val="00F025B7"/>
    <w:rsid w:val="00F029CD"/>
    <w:rsid w:val="00F02D54"/>
    <w:rsid w:val="00F030F1"/>
    <w:rsid w:val="00F03207"/>
    <w:rsid w:val="00F03699"/>
    <w:rsid w:val="00F037E5"/>
    <w:rsid w:val="00F039A1"/>
    <w:rsid w:val="00F03A14"/>
    <w:rsid w:val="00F03D7F"/>
    <w:rsid w:val="00F03DE8"/>
    <w:rsid w:val="00F042EC"/>
    <w:rsid w:val="00F04402"/>
    <w:rsid w:val="00F044E1"/>
    <w:rsid w:val="00F048AB"/>
    <w:rsid w:val="00F04C10"/>
    <w:rsid w:val="00F04CB9"/>
    <w:rsid w:val="00F04CE6"/>
    <w:rsid w:val="00F04FB3"/>
    <w:rsid w:val="00F051AD"/>
    <w:rsid w:val="00F0544F"/>
    <w:rsid w:val="00F054F9"/>
    <w:rsid w:val="00F05912"/>
    <w:rsid w:val="00F05E18"/>
    <w:rsid w:val="00F05FB5"/>
    <w:rsid w:val="00F06154"/>
    <w:rsid w:val="00F063CB"/>
    <w:rsid w:val="00F06540"/>
    <w:rsid w:val="00F066BB"/>
    <w:rsid w:val="00F06A84"/>
    <w:rsid w:val="00F06E14"/>
    <w:rsid w:val="00F06FD6"/>
    <w:rsid w:val="00F06FF5"/>
    <w:rsid w:val="00F072DF"/>
    <w:rsid w:val="00F07402"/>
    <w:rsid w:val="00F07492"/>
    <w:rsid w:val="00F0754A"/>
    <w:rsid w:val="00F07591"/>
    <w:rsid w:val="00F07755"/>
    <w:rsid w:val="00F07D72"/>
    <w:rsid w:val="00F104EE"/>
    <w:rsid w:val="00F10540"/>
    <w:rsid w:val="00F10CE5"/>
    <w:rsid w:val="00F11121"/>
    <w:rsid w:val="00F11130"/>
    <w:rsid w:val="00F11148"/>
    <w:rsid w:val="00F11660"/>
    <w:rsid w:val="00F116D3"/>
    <w:rsid w:val="00F11809"/>
    <w:rsid w:val="00F1180D"/>
    <w:rsid w:val="00F118C1"/>
    <w:rsid w:val="00F11F65"/>
    <w:rsid w:val="00F12066"/>
    <w:rsid w:val="00F12557"/>
    <w:rsid w:val="00F13068"/>
    <w:rsid w:val="00F13186"/>
    <w:rsid w:val="00F131C4"/>
    <w:rsid w:val="00F13664"/>
    <w:rsid w:val="00F14296"/>
    <w:rsid w:val="00F14472"/>
    <w:rsid w:val="00F146BD"/>
    <w:rsid w:val="00F14910"/>
    <w:rsid w:val="00F14C74"/>
    <w:rsid w:val="00F14DED"/>
    <w:rsid w:val="00F14E81"/>
    <w:rsid w:val="00F1556F"/>
    <w:rsid w:val="00F157C9"/>
    <w:rsid w:val="00F15806"/>
    <w:rsid w:val="00F15BFE"/>
    <w:rsid w:val="00F15C88"/>
    <w:rsid w:val="00F15DAC"/>
    <w:rsid w:val="00F15EAF"/>
    <w:rsid w:val="00F15FDF"/>
    <w:rsid w:val="00F16026"/>
    <w:rsid w:val="00F163A2"/>
    <w:rsid w:val="00F16497"/>
    <w:rsid w:val="00F166A6"/>
    <w:rsid w:val="00F16D44"/>
    <w:rsid w:val="00F16F31"/>
    <w:rsid w:val="00F173B6"/>
    <w:rsid w:val="00F17532"/>
    <w:rsid w:val="00F17549"/>
    <w:rsid w:val="00F179D4"/>
    <w:rsid w:val="00F17D97"/>
    <w:rsid w:val="00F20448"/>
    <w:rsid w:val="00F205E5"/>
    <w:rsid w:val="00F20627"/>
    <w:rsid w:val="00F20650"/>
    <w:rsid w:val="00F208C7"/>
    <w:rsid w:val="00F20A70"/>
    <w:rsid w:val="00F20CED"/>
    <w:rsid w:val="00F20D2E"/>
    <w:rsid w:val="00F210C0"/>
    <w:rsid w:val="00F21574"/>
    <w:rsid w:val="00F215BB"/>
    <w:rsid w:val="00F218C5"/>
    <w:rsid w:val="00F21914"/>
    <w:rsid w:val="00F21F53"/>
    <w:rsid w:val="00F223BA"/>
    <w:rsid w:val="00F22648"/>
    <w:rsid w:val="00F22681"/>
    <w:rsid w:val="00F2271D"/>
    <w:rsid w:val="00F22FDB"/>
    <w:rsid w:val="00F23170"/>
    <w:rsid w:val="00F23532"/>
    <w:rsid w:val="00F23BAE"/>
    <w:rsid w:val="00F23C27"/>
    <w:rsid w:val="00F23C47"/>
    <w:rsid w:val="00F23FE4"/>
    <w:rsid w:val="00F2455D"/>
    <w:rsid w:val="00F24C85"/>
    <w:rsid w:val="00F24C8A"/>
    <w:rsid w:val="00F24CC6"/>
    <w:rsid w:val="00F24DE9"/>
    <w:rsid w:val="00F255D8"/>
    <w:rsid w:val="00F25634"/>
    <w:rsid w:val="00F25AAF"/>
    <w:rsid w:val="00F25B26"/>
    <w:rsid w:val="00F25D66"/>
    <w:rsid w:val="00F25DAD"/>
    <w:rsid w:val="00F25EBB"/>
    <w:rsid w:val="00F25F7B"/>
    <w:rsid w:val="00F25FD3"/>
    <w:rsid w:val="00F26154"/>
    <w:rsid w:val="00F268C4"/>
    <w:rsid w:val="00F2691D"/>
    <w:rsid w:val="00F26959"/>
    <w:rsid w:val="00F26968"/>
    <w:rsid w:val="00F26BE1"/>
    <w:rsid w:val="00F26CF0"/>
    <w:rsid w:val="00F26EB2"/>
    <w:rsid w:val="00F26F04"/>
    <w:rsid w:val="00F2704B"/>
    <w:rsid w:val="00F27541"/>
    <w:rsid w:val="00F27917"/>
    <w:rsid w:val="00F2797B"/>
    <w:rsid w:val="00F27C8F"/>
    <w:rsid w:val="00F27C9F"/>
    <w:rsid w:val="00F303CF"/>
    <w:rsid w:val="00F30B2D"/>
    <w:rsid w:val="00F30CA2"/>
    <w:rsid w:val="00F30CA4"/>
    <w:rsid w:val="00F30CCA"/>
    <w:rsid w:val="00F30F2C"/>
    <w:rsid w:val="00F318FB"/>
    <w:rsid w:val="00F31F27"/>
    <w:rsid w:val="00F32001"/>
    <w:rsid w:val="00F3212E"/>
    <w:rsid w:val="00F32235"/>
    <w:rsid w:val="00F327DE"/>
    <w:rsid w:val="00F3282E"/>
    <w:rsid w:val="00F32A93"/>
    <w:rsid w:val="00F32B0B"/>
    <w:rsid w:val="00F32B25"/>
    <w:rsid w:val="00F32B5C"/>
    <w:rsid w:val="00F33071"/>
    <w:rsid w:val="00F336EB"/>
    <w:rsid w:val="00F339F7"/>
    <w:rsid w:val="00F33B1D"/>
    <w:rsid w:val="00F33B85"/>
    <w:rsid w:val="00F33C56"/>
    <w:rsid w:val="00F33C6F"/>
    <w:rsid w:val="00F33C89"/>
    <w:rsid w:val="00F33D0F"/>
    <w:rsid w:val="00F33E86"/>
    <w:rsid w:val="00F342D2"/>
    <w:rsid w:val="00F3437F"/>
    <w:rsid w:val="00F344F9"/>
    <w:rsid w:val="00F346D9"/>
    <w:rsid w:val="00F347C7"/>
    <w:rsid w:val="00F347D6"/>
    <w:rsid w:val="00F347E5"/>
    <w:rsid w:val="00F34848"/>
    <w:rsid w:val="00F34880"/>
    <w:rsid w:val="00F349AA"/>
    <w:rsid w:val="00F349E0"/>
    <w:rsid w:val="00F34A96"/>
    <w:rsid w:val="00F35B00"/>
    <w:rsid w:val="00F35D15"/>
    <w:rsid w:val="00F35DEF"/>
    <w:rsid w:val="00F35E93"/>
    <w:rsid w:val="00F3621E"/>
    <w:rsid w:val="00F362C0"/>
    <w:rsid w:val="00F36525"/>
    <w:rsid w:val="00F36893"/>
    <w:rsid w:val="00F3696E"/>
    <w:rsid w:val="00F369CE"/>
    <w:rsid w:val="00F36AB5"/>
    <w:rsid w:val="00F36B41"/>
    <w:rsid w:val="00F37565"/>
    <w:rsid w:val="00F375E4"/>
    <w:rsid w:val="00F40063"/>
    <w:rsid w:val="00F4057E"/>
    <w:rsid w:val="00F407AD"/>
    <w:rsid w:val="00F407B0"/>
    <w:rsid w:val="00F40B01"/>
    <w:rsid w:val="00F40BC9"/>
    <w:rsid w:val="00F40F62"/>
    <w:rsid w:val="00F410B0"/>
    <w:rsid w:val="00F413C8"/>
    <w:rsid w:val="00F41648"/>
    <w:rsid w:val="00F41680"/>
    <w:rsid w:val="00F419EC"/>
    <w:rsid w:val="00F41A04"/>
    <w:rsid w:val="00F41B02"/>
    <w:rsid w:val="00F41C31"/>
    <w:rsid w:val="00F41CDB"/>
    <w:rsid w:val="00F41DA1"/>
    <w:rsid w:val="00F41E17"/>
    <w:rsid w:val="00F41F3B"/>
    <w:rsid w:val="00F41F89"/>
    <w:rsid w:val="00F4202B"/>
    <w:rsid w:val="00F42222"/>
    <w:rsid w:val="00F423B4"/>
    <w:rsid w:val="00F42585"/>
    <w:rsid w:val="00F427AE"/>
    <w:rsid w:val="00F42AB8"/>
    <w:rsid w:val="00F42B63"/>
    <w:rsid w:val="00F42C38"/>
    <w:rsid w:val="00F42D46"/>
    <w:rsid w:val="00F42D7C"/>
    <w:rsid w:val="00F42E07"/>
    <w:rsid w:val="00F4360B"/>
    <w:rsid w:val="00F43889"/>
    <w:rsid w:val="00F43EB6"/>
    <w:rsid w:val="00F4438E"/>
    <w:rsid w:val="00F4496C"/>
    <w:rsid w:val="00F449B0"/>
    <w:rsid w:val="00F44BA3"/>
    <w:rsid w:val="00F44C24"/>
    <w:rsid w:val="00F44F3A"/>
    <w:rsid w:val="00F44F65"/>
    <w:rsid w:val="00F45196"/>
    <w:rsid w:val="00F45B50"/>
    <w:rsid w:val="00F45C16"/>
    <w:rsid w:val="00F45DF9"/>
    <w:rsid w:val="00F4620B"/>
    <w:rsid w:val="00F462A5"/>
    <w:rsid w:val="00F462AE"/>
    <w:rsid w:val="00F465B8"/>
    <w:rsid w:val="00F466FE"/>
    <w:rsid w:val="00F46B37"/>
    <w:rsid w:val="00F46C9A"/>
    <w:rsid w:val="00F46E49"/>
    <w:rsid w:val="00F46EA9"/>
    <w:rsid w:val="00F46FC9"/>
    <w:rsid w:val="00F470D3"/>
    <w:rsid w:val="00F473CD"/>
    <w:rsid w:val="00F47A45"/>
    <w:rsid w:val="00F502CE"/>
    <w:rsid w:val="00F503AE"/>
    <w:rsid w:val="00F503D3"/>
    <w:rsid w:val="00F50437"/>
    <w:rsid w:val="00F5063F"/>
    <w:rsid w:val="00F50D32"/>
    <w:rsid w:val="00F5133E"/>
    <w:rsid w:val="00F514AC"/>
    <w:rsid w:val="00F518C8"/>
    <w:rsid w:val="00F51C53"/>
    <w:rsid w:val="00F51F10"/>
    <w:rsid w:val="00F522DC"/>
    <w:rsid w:val="00F524E9"/>
    <w:rsid w:val="00F5271E"/>
    <w:rsid w:val="00F5278A"/>
    <w:rsid w:val="00F529A5"/>
    <w:rsid w:val="00F52BA0"/>
    <w:rsid w:val="00F52F12"/>
    <w:rsid w:val="00F53773"/>
    <w:rsid w:val="00F53E2A"/>
    <w:rsid w:val="00F53FEE"/>
    <w:rsid w:val="00F54608"/>
    <w:rsid w:val="00F546AF"/>
    <w:rsid w:val="00F54B2A"/>
    <w:rsid w:val="00F54C2A"/>
    <w:rsid w:val="00F553B1"/>
    <w:rsid w:val="00F554A2"/>
    <w:rsid w:val="00F5577A"/>
    <w:rsid w:val="00F55837"/>
    <w:rsid w:val="00F55892"/>
    <w:rsid w:val="00F5589A"/>
    <w:rsid w:val="00F55B3C"/>
    <w:rsid w:val="00F55CD9"/>
    <w:rsid w:val="00F55CE1"/>
    <w:rsid w:val="00F56121"/>
    <w:rsid w:val="00F5658F"/>
    <w:rsid w:val="00F56B00"/>
    <w:rsid w:val="00F56D4C"/>
    <w:rsid w:val="00F56EE6"/>
    <w:rsid w:val="00F57206"/>
    <w:rsid w:val="00F57787"/>
    <w:rsid w:val="00F579F9"/>
    <w:rsid w:val="00F60020"/>
    <w:rsid w:val="00F60027"/>
    <w:rsid w:val="00F602BF"/>
    <w:rsid w:val="00F60352"/>
    <w:rsid w:val="00F603AA"/>
    <w:rsid w:val="00F60BF4"/>
    <w:rsid w:val="00F60DD9"/>
    <w:rsid w:val="00F60F00"/>
    <w:rsid w:val="00F610C4"/>
    <w:rsid w:val="00F6121B"/>
    <w:rsid w:val="00F614C0"/>
    <w:rsid w:val="00F61895"/>
    <w:rsid w:val="00F6198B"/>
    <w:rsid w:val="00F61A4E"/>
    <w:rsid w:val="00F61B33"/>
    <w:rsid w:val="00F61BE2"/>
    <w:rsid w:val="00F62040"/>
    <w:rsid w:val="00F6223E"/>
    <w:rsid w:val="00F62361"/>
    <w:rsid w:val="00F62C05"/>
    <w:rsid w:val="00F63016"/>
    <w:rsid w:val="00F63049"/>
    <w:rsid w:val="00F6321A"/>
    <w:rsid w:val="00F633E0"/>
    <w:rsid w:val="00F6369F"/>
    <w:rsid w:val="00F636A9"/>
    <w:rsid w:val="00F639FA"/>
    <w:rsid w:val="00F63A10"/>
    <w:rsid w:val="00F63A99"/>
    <w:rsid w:val="00F640C7"/>
    <w:rsid w:val="00F64116"/>
    <w:rsid w:val="00F64144"/>
    <w:rsid w:val="00F64215"/>
    <w:rsid w:val="00F642DB"/>
    <w:rsid w:val="00F64528"/>
    <w:rsid w:val="00F646F2"/>
    <w:rsid w:val="00F648AD"/>
    <w:rsid w:val="00F64AFA"/>
    <w:rsid w:val="00F64B58"/>
    <w:rsid w:val="00F64F79"/>
    <w:rsid w:val="00F65481"/>
    <w:rsid w:val="00F656B5"/>
    <w:rsid w:val="00F657A8"/>
    <w:rsid w:val="00F65810"/>
    <w:rsid w:val="00F659B2"/>
    <w:rsid w:val="00F659F8"/>
    <w:rsid w:val="00F65D31"/>
    <w:rsid w:val="00F65DA1"/>
    <w:rsid w:val="00F65DE1"/>
    <w:rsid w:val="00F65E2C"/>
    <w:rsid w:val="00F65E8D"/>
    <w:rsid w:val="00F65F83"/>
    <w:rsid w:val="00F66522"/>
    <w:rsid w:val="00F6692E"/>
    <w:rsid w:val="00F66E28"/>
    <w:rsid w:val="00F67B0F"/>
    <w:rsid w:val="00F67B2D"/>
    <w:rsid w:val="00F67C41"/>
    <w:rsid w:val="00F67D15"/>
    <w:rsid w:val="00F67E85"/>
    <w:rsid w:val="00F70009"/>
    <w:rsid w:val="00F70039"/>
    <w:rsid w:val="00F70900"/>
    <w:rsid w:val="00F7099C"/>
    <w:rsid w:val="00F70A22"/>
    <w:rsid w:val="00F70B3D"/>
    <w:rsid w:val="00F70F09"/>
    <w:rsid w:val="00F714CC"/>
    <w:rsid w:val="00F716B2"/>
    <w:rsid w:val="00F716FB"/>
    <w:rsid w:val="00F71D33"/>
    <w:rsid w:val="00F71E22"/>
    <w:rsid w:val="00F720EE"/>
    <w:rsid w:val="00F722A0"/>
    <w:rsid w:val="00F7244F"/>
    <w:rsid w:val="00F72652"/>
    <w:rsid w:val="00F72A72"/>
    <w:rsid w:val="00F72E39"/>
    <w:rsid w:val="00F72F31"/>
    <w:rsid w:val="00F72FE9"/>
    <w:rsid w:val="00F7333F"/>
    <w:rsid w:val="00F73393"/>
    <w:rsid w:val="00F73809"/>
    <w:rsid w:val="00F74066"/>
    <w:rsid w:val="00F7439E"/>
    <w:rsid w:val="00F74531"/>
    <w:rsid w:val="00F74A08"/>
    <w:rsid w:val="00F74B7B"/>
    <w:rsid w:val="00F74C20"/>
    <w:rsid w:val="00F74E38"/>
    <w:rsid w:val="00F74E41"/>
    <w:rsid w:val="00F74E46"/>
    <w:rsid w:val="00F74ED6"/>
    <w:rsid w:val="00F7514C"/>
    <w:rsid w:val="00F75211"/>
    <w:rsid w:val="00F75E23"/>
    <w:rsid w:val="00F76422"/>
    <w:rsid w:val="00F76785"/>
    <w:rsid w:val="00F7696C"/>
    <w:rsid w:val="00F76FC6"/>
    <w:rsid w:val="00F7709E"/>
    <w:rsid w:val="00F774CF"/>
    <w:rsid w:val="00F775E0"/>
    <w:rsid w:val="00F776B0"/>
    <w:rsid w:val="00F776CD"/>
    <w:rsid w:val="00F77764"/>
    <w:rsid w:val="00F778D5"/>
    <w:rsid w:val="00F779D8"/>
    <w:rsid w:val="00F77D56"/>
    <w:rsid w:val="00F77EAE"/>
    <w:rsid w:val="00F77FA7"/>
    <w:rsid w:val="00F801A6"/>
    <w:rsid w:val="00F807DE"/>
    <w:rsid w:val="00F808AA"/>
    <w:rsid w:val="00F809F7"/>
    <w:rsid w:val="00F80BB1"/>
    <w:rsid w:val="00F80D9D"/>
    <w:rsid w:val="00F80E09"/>
    <w:rsid w:val="00F80EBC"/>
    <w:rsid w:val="00F80FB1"/>
    <w:rsid w:val="00F81204"/>
    <w:rsid w:val="00F81829"/>
    <w:rsid w:val="00F81889"/>
    <w:rsid w:val="00F81975"/>
    <w:rsid w:val="00F81C86"/>
    <w:rsid w:val="00F81DC1"/>
    <w:rsid w:val="00F81E4E"/>
    <w:rsid w:val="00F8245F"/>
    <w:rsid w:val="00F82669"/>
    <w:rsid w:val="00F829BB"/>
    <w:rsid w:val="00F82C7C"/>
    <w:rsid w:val="00F831CE"/>
    <w:rsid w:val="00F83240"/>
    <w:rsid w:val="00F83848"/>
    <w:rsid w:val="00F83901"/>
    <w:rsid w:val="00F83914"/>
    <w:rsid w:val="00F83EBA"/>
    <w:rsid w:val="00F83FE6"/>
    <w:rsid w:val="00F844CF"/>
    <w:rsid w:val="00F84899"/>
    <w:rsid w:val="00F84A8F"/>
    <w:rsid w:val="00F84D70"/>
    <w:rsid w:val="00F84DD4"/>
    <w:rsid w:val="00F850E7"/>
    <w:rsid w:val="00F85181"/>
    <w:rsid w:val="00F85529"/>
    <w:rsid w:val="00F85642"/>
    <w:rsid w:val="00F85852"/>
    <w:rsid w:val="00F85992"/>
    <w:rsid w:val="00F85BF5"/>
    <w:rsid w:val="00F85D01"/>
    <w:rsid w:val="00F86111"/>
    <w:rsid w:val="00F866D7"/>
    <w:rsid w:val="00F868F2"/>
    <w:rsid w:val="00F86A10"/>
    <w:rsid w:val="00F86BE2"/>
    <w:rsid w:val="00F86C22"/>
    <w:rsid w:val="00F86D06"/>
    <w:rsid w:val="00F86D67"/>
    <w:rsid w:val="00F86DFB"/>
    <w:rsid w:val="00F87041"/>
    <w:rsid w:val="00F871E4"/>
    <w:rsid w:val="00F8748A"/>
    <w:rsid w:val="00F87685"/>
    <w:rsid w:val="00F87691"/>
    <w:rsid w:val="00F87DDA"/>
    <w:rsid w:val="00F87F42"/>
    <w:rsid w:val="00F9002B"/>
    <w:rsid w:val="00F9032D"/>
    <w:rsid w:val="00F90B3E"/>
    <w:rsid w:val="00F90BA2"/>
    <w:rsid w:val="00F90D3F"/>
    <w:rsid w:val="00F90E59"/>
    <w:rsid w:val="00F9107A"/>
    <w:rsid w:val="00F91327"/>
    <w:rsid w:val="00F914C9"/>
    <w:rsid w:val="00F91902"/>
    <w:rsid w:val="00F91A30"/>
    <w:rsid w:val="00F91E56"/>
    <w:rsid w:val="00F9206E"/>
    <w:rsid w:val="00F92394"/>
    <w:rsid w:val="00F92598"/>
    <w:rsid w:val="00F92620"/>
    <w:rsid w:val="00F927E8"/>
    <w:rsid w:val="00F9289F"/>
    <w:rsid w:val="00F92AB7"/>
    <w:rsid w:val="00F932A0"/>
    <w:rsid w:val="00F93372"/>
    <w:rsid w:val="00F933F7"/>
    <w:rsid w:val="00F935DC"/>
    <w:rsid w:val="00F93787"/>
    <w:rsid w:val="00F938A7"/>
    <w:rsid w:val="00F9397B"/>
    <w:rsid w:val="00F93C6E"/>
    <w:rsid w:val="00F93E07"/>
    <w:rsid w:val="00F94E92"/>
    <w:rsid w:val="00F95170"/>
    <w:rsid w:val="00F95552"/>
    <w:rsid w:val="00F9560D"/>
    <w:rsid w:val="00F956C9"/>
    <w:rsid w:val="00F95E53"/>
    <w:rsid w:val="00F95F64"/>
    <w:rsid w:val="00F96BE2"/>
    <w:rsid w:val="00F9709B"/>
    <w:rsid w:val="00F97173"/>
    <w:rsid w:val="00F97214"/>
    <w:rsid w:val="00F97496"/>
    <w:rsid w:val="00F975E9"/>
    <w:rsid w:val="00F9779D"/>
    <w:rsid w:val="00F97D59"/>
    <w:rsid w:val="00FA0355"/>
    <w:rsid w:val="00FA0552"/>
    <w:rsid w:val="00FA0B97"/>
    <w:rsid w:val="00FA0C87"/>
    <w:rsid w:val="00FA1030"/>
    <w:rsid w:val="00FA118F"/>
    <w:rsid w:val="00FA13BB"/>
    <w:rsid w:val="00FA18FD"/>
    <w:rsid w:val="00FA1B7D"/>
    <w:rsid w:val="00FA1E97"/>
    <w:rsid w:val="00FA20BF"/>
    <w:rsid w:val="00FA21FD"/>
    <w:rsid w:val="00FA230E"/>
    <w:rsid w:val="00FA25A8"/>
    <w:rsid w:val="00FA268B"/>
    <w:rsid w:val="00FA2957"/>
    <w:rsid w:val="00FA29D1"/>
    <w:rsid w:val="00FA2AD7"/>
    <w:rsid w:val="00FA2EAB"/>
    <w:rsid w:val="00FA350F"/>
    <w:rsid w:val="00FA3867"/>
    <w:rsid w:val="00FA3993"/>
    <w:rsid w:val="00FA3ABA"/>
    <w:rsid w:val="00FA3BFB"/>
    <w:rsid w:val="00FA3E71"/>
    <w:rsid w:val="00FA44DA"/>
    <w:rsid w:val="00FA47F2"/>
    <w:rsid w:val="00FA484C"/>
    <w:rsid w:val="00FA4F5E"/>
    <w:rsid w:val="00FA512F"/>
    <w:rsid w:val="00FA5669"/>
    <w:rsid w:val="00FA581F"/>
    <w:rsid w:val="00FA5ADE"/>
    <w:rsid w:val="00FA5B45"/>
    <w:rsid w:val="00FA5B95"/>
    <w:rsid w:val="00FA5C7E"/>
    <w:rsid w:val="00FA620C"/>
    <w:rsid w:val="00FA6324"/>
    <w:rsid w:val="00FA6739"/>
    <w:rsid w:val="00FA6800"/>
    <w:rsid w:val="00FA6837"/>
    <w:rsid w:val="00FA6981"/>
    <w:rsid w:val="00FA6B5B"/>
    <w:rsid w:val="00FA6BEC"/>
    <w:rsid w:val="00FA6FE0"/>
    <w:rsid w:val="00FA7157"/>
    <w:rsid w:val="00FA73CF"/>
    <w:rsid w:val="00FA7446"/>
    <w:rsid w:val="00FA752D"/>
    <w:rsid w:val="00FA7A83"/>
    <w:rsid w:val="00FA7B20"/>
    <w:rsid w:val="00FA7BA9"/>
    <w:rsid w:val="00FA7F13"/>
    <w:rsid w:val="00FB0028"/>
    <w:rsid w:val="00FB0083"/>
    <w:rsid w:val="00FB034F"/>
    <w:rsid w:val="00FB0427"/>
    <w:rsid w:val="00FB05C9"/>
    <w:rsid w:val="00FB090E"/>
    <w:rsid w:val="00FB0E4A"/>
    <w:rsid w:val="00FB0E88"/>
    <w:rsid w:val="00FB1204"/>
    <w:rsid w:val="00FB14AF"/>
    <w:rsid w:val="00FB1D8C"/>
    <w:rsid w:val="00FB22D2"/>
    <w:rsid w:val="00FB22F6"/>
    <w:rsid w:val="00FB2521"/>
    <w:rsid w:val="00FB25A4"/>
    <w:rsid w:val="00FB2845"/>
    <w:rsid w:val="00FB2846"/>
    <w:rsid w:val="00FB338B"/>
    <w:rsid w:val="00FB3467"/>
    <w:rsid w:val="00FB3DD3"/>
    <w:rsid w:val="00FB4044"/>
    <w:rsid w:val="00FB4BAF"/>
    <w:rsid w:val="00FB4E4D"/>
    <w:rsid w:val="00FB4F24"/>
    <w:rsid w:val="00FB5096"/>
    <w:rsid w:val="00FB53B9"/>
    <w:rsid w:val="00FB53DF"/>
    <w:rsid w:val="00FB5756"/>
    <w:rsid w:val="00FB5888"/>
    <w:rsid w:val="00FB5947"/>
    <w:rsid w:val="00FB5D27"/>
    <w:rsid w:val="00FB68CB"/>
    <w:rsid w:val="00FB6979"/>
    <w:rsid w:val="00FB6AD1"/>
    <w:rsid w:val="00FB6B0A"/>
    <w:rsid w:val="00FB6D20"/>
    <w:rsid w:val="00FB6D24"/>
    <w:rsid w:val="00FB6E7E"/>
    <w:rsid w:val="00FB7006"/>
    <w:rsid w:val="00FB70A5"/>
    <w:rsid w:val="00FB73BB"/>
    <w:rsid w:val="00FB741A"/>
    <w:rsid w:val="00FB742D"/>
    <w:rsid w:val="00FB75A6"/>
    <w:rsid w:val="00FB7724"/>
    <w:rsid w:val="00FB7790"/>
    <w:rsid w:val="00FB7A73"/>
    <w:rsid w:val="00FB7B9D"/>
    <w:rsid w:val="00FB7E3E"/>
    <w:rsid w:val="00FC023E"/>
    <w:rsid w:val="00FC06E0"/>
    <w:rsid w:val="00FC07B9"/>
    <w:rsid w:val="00FC0E1E"/>
    <w:rsid w:val="00FC0F56"/>
    <w:rsid w:val="00FC0F78"/>
    <w:rsid w:val="00FC1306"/>
    <w:rsid w:val="00FC15A7"/>
    <w:rsid w:val="00FC18FA"/>
    <w:rsid w:val="00FC1D23"/>
    <w:rsid w:val="00FC1E04"/>
    <w:rsid w:val="00FC205F"/>
    <w:rsid w:val="00FC20F1"/>
    <w:rsid w:val="00FC268E"/>
    <w:rsid w:val="00FC273D"/>
    <w:rsid w:val="00FC2781"/>
    <w:rsid w:val="00FC29EF"/>
    <w:rsid w:val="00FC2C04"/>
    <w:rsid w:val="00FC2DE9"/>
    <w:rsid w:val="00FC2E4A"/>
    <w:rsid w:val="00FC2E86"/>
    <w:rsid w:val="00FC30B4"/>
    <w:rsid w:val="00FC315A"/>
    <w:rsid w:val="00FC31D7"/>
    <w:rsid w:val="00FC330D"/>
    <w:rsid w:val="00FC37E2"/>
    <w:rsid w:val="00FC384C"/>
    <w:rsid w:val="00FC3C76"/>
    <w:rsid w:val="00FC3F81"/>
    <w:rsid w:val="00FC3FEC"/>
    <w:rsid w:val="00FC42EE"/>
    <w:rsid w:val="00FC4487"/>
    <w:rsid w:val="00FC44D3"/>
    <w:rsid w:val="00FC4512"/>
    <w:rsid w:val="00FC46BF"/>
    <w:rsid w:val="00FC48EA"/>
    <w:rsid w:val="00FC49FB"/>
    <w:rsid w:val="00FC4E21"/>
    <w:rsid w:val="00FC4F03"/>
    <w:rsid w:val="00FC5A44"/>
    <w:rsid w:val="00FC5CF7"/>
    <w:rsid w:val="00FC5D2F"/>
    <w:rsid w:val="00FC5F1B"/>
    <w:rsid w:val="00FC5F6D"/>
    <w:rsid w:val="00FC6008"/>
    <w:rsid w:val="00FC601E"/>
    <w:rsid w:val="00FC654E"/>
    <w:rsid w:val="00FC6AAE"/>
    <w:rsid w:val="00FC6AD2"/>
    <w:rsid w:val="00FC6C32"/>
    <w:rsid w:val="00FC6EF0"/>
    <w:rsid w:val="00FC7423"/>
    <w:rsid w:val="00FC743B"/>
    <w:rsid w:val="00FC7663"/>
    <w:rsid w:val="00FD0107"/>
    <w:rsid w:val="00FD05B5"/>
    <w:rsid w:val="00FD0666"/>
    <w:rsid w:val="00FD07DC"/>
    <w:rsid w:val="00FD0856"/>
    <w:rsid w:val="00FD0986"/>
    <w:rsid w:val="00FD12BA"/>
    <w:rsid w:val="00FD13E4"/>
    <w:rsid w:val="00FD147A"/>
    <w:rsid w:val="00FD15C4"/>
    <w:rsid w:val="00FD182C"/>
    <w:rsid w:val="00FD1F2A"/>
    <w:rsid w:val="00FD214F"/>
    <w:rsid w:val="00FD218A"/>
    <w:rsid w:val="00FD2362"/>
    <w:rsid w:val="00FD25FD"/>
    <w:rsid w:val="00FD2611"/>
    <w:rsid w:val="00FD2C2F"/>
    <w:rsid w:val="00FD3A80"/>
    <w:rsid w:val="00FD3B31"/>
    <w:rsid w:val="00FD3D58"/>
    <w:rsid w:val="00FD3EA3"/>
    <w:rsid w:val="00FD47C3"/>
    <w:rsid w:val="00FD4AB6"/>
    <w:rsid w:val="00FD4AB9"/>
    <w:rsid w:val="00FD4D91"/>
    <w:rsid w:val="00FD52F9"/>
    <w:rsid w:val="00FD5750"/>
    <w:rsid w:val="00FD5A69"/>
    <w:rsid w:val="00FD5CC7"/>
    <w:rsid w:val="00FD62FA"/>
    <w:rsid w:val="00FD6356"/>
    <w:rsid w:val="00FD64D4"/>
    <w:rsid w:val="00FD6502"/>
    <w:rsid w:val="00FD665A"/>
    <w:rsid w:val="00FD67B3"/>
    <w:rsid w:val="00FD67D3"/>
    <w:rsid w:val="00FD6949"/>
    <w:rsid w:val="00FD6F03"/>
    <w:rsid w:val="00FD6F84"/>
    <w:rsid w:val="00FD7093"/>
    <w:rsid w:val="00FD7182"/>
    <w:rsid w:val="00FD7639"/>
    <w:rsid w:val="00FD79AD"/>
    <w:rsid w:val="00FD7A51"/>
    <w:rsid w:val="00FD7FDC"/>
    <w:rsid w:val="00FE0089"/>
    <w:rsid w:val="00FE00F0"/>
    <w:rsid w:val="00FE010A"/>
    <w:rsid w:val="00FE0565"/>
    <w:rsid w:val="00FE059D"/>
    <w:rsid w:val="00FE05B7"/>
    <w:rsid w:val="00FE05EF"/>
    <w:rsid w:val="00FE086D"/>
    <w:rsid w:val="00FE0D39"/>
    <w:rsid w:val="00FE15F4"/>
    <w:rsid w:val="00FE1823"/>
    <w:rsid w:val="00FE1A99"/>
    <w:rsid w:val="00FE2525"/>
    <w:rsid w:val="00FE2566"/>
    <w:rsid w:val="00FE2593"/>
    <w:rsid w:val="00FE2994"/>
    <w:rsid w:val="00FE2BE0"/>
    <w:rsid w:val="00FE2E4B"/>
    <w:rsid w:val="00FE2F73"/>
    <w:rsid w:val="00FE2F8A"/>
    <w:rsid w:val="00FE31F4"/>
    <w:rsid w:val="00FE34CB"/>
    <w:rsid w:val="00FE3587"/>
    <w:rsid w:val="00FE36EC"/>
    <w:rsid w:val="00FE36FA"/>
    <w:rsid w:val="00FE385F"/>
    <w:rsid w:val="00FE38BE"/>
    <w:rsid w:val="00FE3D2B"/>
    <w:rsid w:val="00FE3F76"/>
    <w:rsid w:val="00FE4003"/>
    <w:rsid w:val="00FE459E"/>
    <w:rsid w:val="00FE465D"/>
    <w:rsid w:val="00FE4764"/>
    <w:rsid w:val="00FE487A"/>
    <w:rsid w:val="00FE4905"/>
    <w:rsid w:val="00FE49E2"/>
    <w:rsid w:val="00FE4E15"/>
    <w:rsid w:val="00FE4E90"/>
    <w:rsid w:val="00FE518D"/>
    <w:rsid w:val="00FE5A5D"/>
    <w:rsid w:val="00FE5EF5"/>
    <w:rsid w:val="00FE5F71"/>
    <w:rsid w:val="00FE6142"/>
    <w:rsid w:val="00FE66E0"/>
    <w:rsid w:val="00FE6935"/>
    <w:rsid w:val="00FE6972"/>
    <w:rsid w:val="00FE7029"/>
    <w:rsid w:val="00FE74C7"/>
    <w:rsid w:val="00FE75BB"/>
    <w:rsid w:val="00FE77BD"/>
    <w:rsid w:val="00FE7C23"/>
    <w:rsid w:val="00FE7F9D"/>
    <w:rsid w:val="00FF01E8"/>
    <w:rsid w:val="00FF050F"/>
    <w:rsid w:val="00FF0569"/>
    <w:rsid w:val="00FF0A45"/>
    <w:rsid w:val="00FF0C2E"/>
    <w:rsid w:val="00FF1179"/>
    <w:rsid w:val="00FF131C"/>
    <w:rsid w:val="00FF147C"/>
    <w:rsid w:val="00FF15AE"/>
    <w:rsid w:val="00FF172F"/>
    <w:rsid w:val="00FF193F"/>
    <w:rsid w:val="00FF1B88"/>
    <w:rsid w:val="00FF1D35"/>
    <w:rsid w:val="00FF206E"/>
    <w:rsid w:val="00FF21B8"/>
    <w:rsid w:val="00FF2485"/>
    <w:rsid w:val="00FF24F5"/>
    <w:rsid w:val="00FF2671"/>
    <w:rsid w:val="00FF289F"/>
    <w:rsid w:val="00FF28DD"/>
    <w:rsid w:val="00FF2943"/>
    <w:rsid w:val="00FF2CF2"/>
    <w:rsid w:val="00FF2E22"/>
    <w:rsid w:val="00FF308E"/>
    <w:rsid w:val="00FF3332"/>
    <w:rsid w:val="00FF33D5"/>
    <w:rsid w:val="00FF3492"/>
    <w:rsid w:val="00FF36D0"/>
    <w:rsid w:val="00FF37AC"/>
    <w:rsid w:val="00FF3B1A"/>
    <w:rsid w:val="00FF3B30"/>
    <w:rsid w:val="00FF3C69"/>
    <w:rsid w:val="00FF3CA0"/>
    <w:rsid w:val="00FF3EFD"/>
    <w:rsid w:val="00FF4080"/>
    <w:rsid w:val="00FF40A8"/>
    <w:rsid w:val="00FF4136"/>
    <w:rsid w:val="00FF4735"/>
    <w:rsid w:val="00FF4B9C"/>
    <w:rsid w:val="00FF4DB3"/>
    <w:rsid w:val="00FF4EF2"/>
    <w:rsid w:val="00FF53B4"/>
    <w:rsid w:val="00FF5819"/>
    <w:rsid w:val="00FF5949"/>
    <w:rsid w:val="00FF5B14"/>
    <w:rsid w:val="00FF5C07"/>
    <w:rsid w:val="00FF5DDF"/>
    <w:rsid w:val="00FF6214"/>
    <w:rsid w:val="00FF64D7"/>
    <w:rsid w:val="00FF6587"/>
    <w:rsid w:val="00FF6747"/>
    <w:rsid w:val="00FF6AD4"/>
    <w:rsid w:val="00FF6B75"/>
    <w:rsid w:val="00FF6BAF"/>
    <w:rsid w:val="00FF6E0A"/>
    <w:rsid w:val="00FF6E2D"/>
    <w:rsid w:val="00FF71C0"/>
    <w:rsid w:val="00FF71C3"/>
    <w:rsid w:val="00FF748D"/>
    <w:rsid w:val="00FF77BB"/>
    <w:rsid w:val="00FF78AC"/>
    <w:rsid w:val="00FF7AA0"/>
    <w:rsid w:val="00FF7BA8"/>
    <w:rsid w:val="00FF7E28"/>
    <w:rsid w:val="1FB00A4B"/>
    <w:rsid w:val="335082C7"/>
    <w:rsid w:val="607E97F2"/>
    <w:rsid w:val="77D015E7"/>
    <w:rsid w:val="788C58C1"/>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290BA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uiPriority="67"/>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Emphasis" w:uiPriority="21" w:qFormat="1"/>
    <w:lsdException w:name="Bibliography" w:semiHidden="1" w:unhideWhenUsed="1"/>
    <w:lsdException w:name="TOC Heading" w:semiHidden="1" w:uiPriority="39"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uiPriority w:val="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E25277"/>
    <w:pPr>
      <w:keepNext/>
      <w:spacing w:before="60" w:after="60"/>
      <w:outlineLvl w:val="2"/>
    </w:pPr>
    <w:rPr>
      <w:rFonts w:cs="Arial"/>
      <w:b/>
      <w:bCs/>
      <w:sz w:val="22"/>
      <w:szCs w:val="26"/>
    </w:rPr>
  </w:style>
  <w:style w:type="paragraph" w:styleId="Heading4">
    <w:name w:val="heading 4"/>
    <w:basedOn w:val="BodySubHeader"/>
    <w:next w:val="Normal"/>
    <w:link w:val="Heading4Char"/>
    <w:qFormat/>
    <w:rsid w:val="007E311E"/>
    <w:pPr>
      <w:outlineLvl w:val="3"/>
    </w:pPr>
  </w:style>
  <w:style w:type="paragraph" w:styleId="Heading5">
    <w:name w:val="heading 5"/>
    <w:basedOn w:val="Normal"/>
    <w:next w:val="Normal"/>
    <w:link w:val="Heading5Char"/>
    <w:qFormat/>
    <w:rsid w:val="00E25277"/>
    <w:pPr>
      <w:keepNext/>
      <w:spacing w:before="240" w:after="60"/>
      <w:outlineLvl w:val="4"/>
    </w:pPr>
    <w:rPr>
      <w:b/>
      <w:bCs/>
      <w:iCs/>
      <w:szCs w:val="18"/>
    </w:rPr>
  </w:style>
  <w:style w:type="paragraph" w:styleId="Heading6">
    <w:name w:val="heading 6"/>
    <w:basedOn w:val="Normal"/>
    <w:next w:val="Normal"/>
    <w:link w:val="Heading6Char"/>
    <w:qFormat/>
    <w:rsid w:val="00AD5436"/>
    <w:pPr>
      <w:spacing w:before="240" w:after="60"/>
      <w:ind w:left="1152" w:hanging="432"/>
      <w:outlineLvl w:val="5"/>
    </w:pPr>
    <w:rPr>
      <w:rFonts w:ascii="Times New Roman" w:hAnsi="Times New Roman"/>
      <w:b/>
      <w:bCs/>
      <w:sz w:val="22"/>
      <w:szCs w:val="22"/>
    </w:rPr>
  </w:style>
  <w:style w:type="paragraph" w:styleId="Heading7">
    <w:name w:val="heading 7"/>
    <w:basedOn w:val="Normal"/>
    <w:next w:val="Normal"/>
    <w:link w:val="Heading7Char"/>
    <w:qFormat/>
    <w:rsid w:val="00AD5436"/>
    <w:pPr>
      <w:spacing w:before="240" w:after="60"/>
      <w:ind w:left="1296" w:hanging="288"/>
      <w:outlineLvl w:val="6"/>
    </w:pPr>
    <w:rPr>
      <w:rFonts w:ascii="Times New Roman" w:hAnsi="Times New Roman"/>
      <w:sz w:val="24"/>
    </w:rPr>
  </w:style>
  <w:style w:type="paragraph" w:styleId="Heading8">
    <w:name w:val="heading 8"/>
    <w:basedOn w:val="Normal"/>
    <w:next w:val="Normal"/>
    <w:semiHidden/>
    <w:qFormat/>
    <w:rsid w:val="00AD5436"/>
    <w:pPr>
      <w:spacing w:before="240" w:after="60"/>
      <w:ind w:left="1440" w:hanging="432"/>
      <w:outlineLvl w:val="7"/>
    </w:pPr>
    <w:rPr>
      <w:rFonts w:ascii="Times New Roman" w:hAnsi="Times New Roman"/>
      <w:i/>
      <w:iCs/>
      <w:sz w:val="24"/>
    </w:rPr>
  </w:style>
  <w:style w:type="paragraph" w:styleId="Heading9">
    <w:name w:val="heading 9"/>
    <w:basedOn w:val="Normal"/>
    <w:next w:val="Normal"/>
    <w:semiHidden/>
    <w:qFormat/>
    <w:rsid w:val="00AD5436"/>
    <w:pPr>
      <w:spacing w:before="240" w:after="60"/>
      <w:ind w:left="1584" w:hanging="144"/>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5321"/>
    <w:rPr>
      <w:rFonts w:ascii="Arial" w:hAnsi="Arial" w:cs="Arial"/>
      <w:bCs/>
      <w:color w:val="323232"/>
      <w:kern w:val="32"/>
      <w:sz w:val="53"/>
      <w:szCs w:val="32"/>
    </w:rPr>
  </w:style>
  <w:style w:type="character" w:customStyle="1" w:styleId="Heading2Char">
    <w:name w:val="Heading 2 Char"/>
    <w:basedOn w:val="DefaultParagraphFont"/>
    <w:link w:val="Heading2"/>
    <w:rsid w:val="00835321"/>
    <w:rPr>
      <w:rFonts w:ascii="Arial" w:hAnsi="Arial" w:cs="Arial"/>
      <w:b/>
      <w:bCs/>
      <w:iCs/>
      <w:sz w:val="28"/>
      <w:szCs w:val="28"/>
    </w:rPr>
  </w:style>
  <w:style w:type="character" w:customStyle="1" w:styleId="Heading3Char">
    <w:name w:val="Heading 3 Char"/>
    <w:basedOn w:val="DefaultParagraphFont"/>
    <w:link w:val="Heading3"/>
    <w:rsid w:val="00E25277"/>
    <w:rPr>
      <w:rFonts w:ascii="Arial" w:hAnsi="Arial" w:cs="Arial"/>
      <w:b/>
      <w:bCs/>
      <w:sz w:val="22"/>
      <w:szCs w:val="26"/>
    </w:rPr>
  </w:style>
  <w:style w:type="paragraph" w:customStyle="1" w:styleId="BodySubHeader">
    <w:name w:val="BodySubHeader"/>
    <w:basedOn w:val="Normal"/>
    <w:next w:val="Normal"/>
    <w:qFormat/>
    <w:rsid w:val="00146CE6"/>
    <w:pPr>
      <w:spacing w:before="240" w:after="0"/>
    </w:pPr>
    <w:rPr>
      <w:b/>
      <w:i/>
    </w:rPr>
  </w:style>
  <w:style w:type="character" w:customStyle="1" w:styleId="Heading4Char">
    <w:name w:val="Heading 4 Char"/>
    <w:basedOn w:val="DefaultParagraphFont"/>
    <w:link w:val="Heading4"/>
    <w:rsid w:val="007E311E"/>
    <w:rPr>
      <w:rFonts w:ascii="Arial" w:hAnsi="Arial"/>
      <w:b/>
      <w:i/>
      <w:sz w:val="20"/>
    </w:rPr>
  </w:style>
  <w:style w:type="character" w:customStyle="1" w:styleId="Heading5Char">
    <w:name w:val="Heading 5 Char"/>
    <w:basedOn w:val="DefaultParagraphFont"/>
    <w:link w:val="Heading5"/>
    <w:rsid w:val="00E25277"/>
    <w:rPr>
      <w:rFonts w:ascii="Arial" w:hAnsi="Arial"/>
      <w:b/>
      <w:bCs/>
      <w:iCs/>
      <w:sz w:val="20"/>
      <w:szCs w:val="18"/>
    </w:rPr>
  </w:style>
  <w:style w:type="character" w:customStyle="1" w:styleId="Heading6Char">
    <w:name w:val="Heading 6 Char"/>
    <w:basedOn w:val="DefaultParagraphFont"/>
    <w:link w:val="Heading6"/>
    <w:rsid w:val="00B94C86"/>
    <w:rPr>
      <w:b/>
      <w:bCs/>
      <w:sz w:val="22"/>
      <w:szCs w:val="22"/>
    </w:rPr>
  </w:style>
  <w:style w:type="character" w:customStyle="1" w:styleId="Heading7Char">
    <w:name w:val="Heading 7 Char"/>
    <w:basedOn w:val="DefaultParagraphFont"/>
    <w:link w:val="Heading7"/>
    <w:rsid w:val="00B94C86"/>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character" w:customStyle="1" w:styleId="HeaderChar">
    <w:name w:val="Header Char"/>
    <w:link w:val="Header"/>
    <w:uiPriority w:val="99"/>
    <w:rsid w:val="00971914"/>
    <w:rPr>
      <w:rFonts w:ascii="Arial" w:hAnsi="Arial"/>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B747E1"/>
    <w:pPr>
      <w:keepNext/>
      <w:keepLines/>
      <w:spacing w:after="0"/>
    </w:pPr>
    <w:rPr>
      <w:b/>
      <w:color w:val="FFFFFF" w:themeColor="background1"/>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4"/>
      </w:numPr>
      <w:spacing w:after="0"/>
    </w:pPr>
    <w:rPr>
      <w:b/>
      <w:bCs/>
      <w:color w:val="323232"/>
      <w:szCs w:val="20"/>
    </w:rPr>
  </w:style>
  <w:style w:type="character" w:customStyle="1" w:styleId="CaptionChar">
    <w:name w:val="Caption Char"/>
    <w:aliases w:val="Caption table Char"/>
    <w:basedOn w:val="DefaultParagraphFont"/>
    <w:link w:val="Caption"/>
    <w:rsid w:val="00B94C86"/>
    <w:rPr>
      <w:rFonts w:ascii="Arial" w:hAnsi="Arial"/>
      <w:b/>
      <w:bCs/>
      <w:color w:val="323232"/>
      <w:sz w:val="20"/>
      <w:szCs w:val="20"/>
    </w:rPr>
  </w:style>
  <w:style w:type="paragraph" w:styleId="ListBullet">
    <w:name w:val="List Bullet"/>
    <w:aliases w:val="List Bullet 1"/>
    <w:basedOn w:val="Normal"/>
    <w:link w:val="ListBulletChar"/>
    <w:uiPriority w:val="99"/>
    <w:qFormat/>
    <w:rsid w:val="004F0100"/>
    <w:pPr>
      <w:keepNext/>
      <w:keepLines/>
      <w:numPr>
        <w:numId w:val="277"/>
      </w:numPr>
      <w:spacing w:after="80"/>
    </w:pPr>
  </w:style>
  <w:style w:type="character" w:customStyle="1" w:styleId="ListBulletChar">
    <w:name w:val="List Bullet Char"/>
    <w:aliases w:val="List Bullet 1 Char"/>
    <w:basedOn w:val="DefaultParagraphFont"/>
    <w:link w:val="ListBullet"/>
    <w:rsid w:val="004F0100"/>
    <w:rPr>
      <w:rFonts w:ascii="Arial" w:hAnsi="Arial"/>
      <w:sz w:val="20"/>
    </w:rPr>
  </w:style>
  <w:style w:type="paragraph" w:styleId="ListBullet2">
    <w:name w:val="List Bullet 2"/>
    <w:basedOn w:val="Normal"/>
    <w:qFormat/>
    <w:rsid w:val="002E5E12"/>
    <w:pPr>
      <w:numPr>
        <w:numId w:val="276"/>
      </w:numPr>
      <w:spacing w:after="80"/>
    </w:pPr>
  </w:style>
  <w:style w:type="paragraph" w:styleId="ListNumber">
    <w:name w:val="List Number"/>
    <w:basedOn w:val="Normal"/>
    <w:qFormat/>
    <w:rsid w:val="002E5E12"/>
    <w:pPr>
      <w:numPr>
        <w:numId w:val="281"/>
      </w:numPr>
      <w:spacing w:after="80"/>
    </w:pPr>
  </w:style>
  <w:style w:type="paragraph" w:styleId="ListNumber2">
    <w:name w:val="List Number 2"/>
    <w:basedOn w:val="Normal"/>
    <w:qFormat/>
    <w:rsid w:val="002E5E12"/>
    <w:pPr>
      <w:numPr>
        <w:numId w:val="280"/>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qForma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qFormat/>
    <w:rsid w:val="0037046B"/>
    <w:pPr>
      <w:spacing w:after="0" w:line="200" w:lineRule="atLeast"/>
    </w:pPr>
    <w:rPr>
      <w:sz w:val="16"/>
      <w:szCs w:val="16"/>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qFormat/>
    <w:rsid w:val="0037046B"/>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2E5E12"/>
    <w:pPr>
      <w:keepNext w:val="0"/>
      <w:keepLines w:val="0"/>
      <w:spacing w:after="240"/>
    </w:pPr>
    <w:rPr>
      <w:rFonts w:cs="Arial"/>
    </w:rPr>
  </w:style>
  <w:style w:type="paragraph" w:customStyle="1" w:styleId="ListNumberLast">
    <w:name w:val="List Number Last"/>
    <w:basedOn w:val="ListNumber"/>
    <w:qFormat/>
    <w:rsid w:val="002E5E12"/>
    <w:pPr>
      <w:spacing w:after="240"/>
      <w:ind w:left="357" w:hanging="357"/>
    </w:pPr>
    <w:rPr>
      <w:rFonts w:cs="Arial"/>
    </w:rPr>
  </w:style>
  <w:style w:type="paragraph" w:customStyle="1" w:styleId="ACMATableHeader">
    <w:name w:val="ACMA_TableHeader"/>
    <w:qFormat/>
    <w:rsid w:val="002E5E12"/>
    <w:pPr>
      <w:numPr>
        <w:numId w:val="268"/>
      </w:numPr>
      <w:tabs>
        <w:tab w:val="clear" w:pos="964"/>
        <w:tab w:val="num" w:pos="1390"/>
      </w:tabs>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2E5E12"/>
    <w:pPr>
      <w:spacing w:after="240"/>
      <w:ind w:left="907" w:hanging="35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2E5E12"/>
    <w:pPr>
      <w:numPr>
        <w:numId w:val="267"/>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3"/>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styleId="Title">
    <w:name w:val="Title"/>
    <w:basedOn w:val="Normal"/>
    <w:next w:val="Normal"/>
    <w:link w:val="TitleChar"/>
    <w:uiPriority w:val="10"/>
    <w:qFormat/>
    <w:rsid w:val="00835321"/>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835321"/>
    <w:rPr>
      <w:rFonts w:asciiTheme="majorHAnsi" w:eastAsiaTheme="majorEastAsia" w:hAnsiTheme="majorHAnsi" w:cstheme="majorBidi"/>
      <w:spacing w:val="-10"/>
      <w:kern w:val="28"/>
      <w:sz w:val="56"/>
      <w:szCs w:val="56"/>
      <w:lang w:eastAsia="en-US"/>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ACMA_ListParagraph"/>
    <w:basedOn w:val="Normal"/>
    <w:link w:val="ListParagraphChar"/>
    <w:uiPriority w:val="34"/>
    <w:qFormat/>
    <w:rsid w:val="00E07819"/>
    <w:pPr>
      <w:spacing w:after="160" w:line="259" w:lineRule="auto"/>
      <w:ind w:left="720"/>
      <w:contextualSpacing/>
    </w:pPr>
    <w:rPr>
      <w:rFonts w:eastAsiaTheme="minorHAnsi" w:cstheme="minorBidi"/>
      <w:szCs w:val="22"/>
      <w:lang w:eastAsia="en-US"/>
    </w:r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rsid w:val="00835321"/>
    <w:rPr>
      <w:rFonts w:ascii="Arial" w:eastAsiaTheme="minorHAnsi" w:hAnsi="Arial" w:cstheme="minorBidi"/>
      <w:sz w:val="20"/>
      <w:szCs w:val="22"/>
      <w:lang w:eastAsia="en-US"/>
    </w:rPr>
  </w:style>
  <w:style w:type="character" w:customStyle="1" w:styleId="s1">
    <w:name w:val="s1"/>
    <w:basedOn w:val="DefaultParagraphFont"/>
    <w:rsid w:val="00835321"/>
    <w:rPr>
      <w:rFonts w:ascii=".SFUIText" w:hAnsi=".SFUIText" w:hint="default"/>
      <w:b w:val="0"/>
      <w:bCs w:val="0"/>
      <w:i w:val="0"/>
      <w:iCs w:val="0"/>
    </w:rPr>
  </w:style>
  <w:style w:type="character" w:customStyle="1" w:styleId="tgc">
    <w:name w:val="_tgc"/>
    <w:basedOn w:val="DefaultParagraphFont"/>
    <w:rsid w:val="00835321"/>
  </w:style>
  <w:style w:type="character" w:customStyle="1" w:styleId="s2">
    <w:name w:val="s2"/>
    <w:basedOn w:val="DefaultParagraphFont"/>
    <w:rsid w:val="00835321"/>
    <w:rPr>
      <w:color w:val="3789BD"/>
      <w:u w:val="single"/>
    </w:rPr>
  </w:style>
  <w:style w:type="character" w:styleId="IntenseEmphasis">
    <w:name w:val="Intense Emphasis"/>
    <w:basedOn w:val="DefaultParagraphFont"/>
    <w:uiPriority w:val="21"/>
    <w:qFormat/>
    <w:rsid w:val="00B94C86"/>
    <w:rPr>
      <w:i/>
      <w:iCs/>
      <w:color w:val="4F81BD" w:themeColor="accent1"/>
    </w:rPr>
  </w:style>
  <w:style w:type="table" w:customStyle="1" w:styleId="TableGrid2">
    <w:name w:val="Table Grid2"/>
    <w:basedOn w:val="TableNormal"/>
    <w:next w:val="TableGrid"/>
    <w:uiPriority w:val="59"/>
    <w:rsid w:val="00B94C86"/>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NumberedList">
    <w:name w:val="ACMA Numbered List"/>
    <w:rsid w:val="00B94C86"/>
    <w:pPr>
      <w:spacing w:before="20" w:after="20"/>
    </w:pPr>
    <w:rPr>
      <w:szCs w:val="20"/>
      <w:lang w:eastAsia="en-US"/>
    </w:rPr>
  </w:style>
  <w:style w:type="paragraph" w:customStyle="1" w:styleId="Default">
    <w:name w:val="Default"/>
    <w:rsid w:val="00B94C86"/>
    <w:pPr>
      <w:autoSpaceDE w:val="0"/>
      <w:autoSpaceDN w:val="0"/>
      <w:adjustRightInd w:val="0"/>
    </w:pPr>
    <w:rPr>
      <w:rFonts w:ascii="Arial" w:eastAsiaTheme="minorHAnsi" w:hAnsi="Arial" w:cs="Arial"/>
      <w:color w:val="000000"/>
      <w:lang w:eastAsia="en-US"/>
    </w:rPr>
  </w:style>
  <w:style w:type="paragraph" w:styleId="PlainText">
    <w:name w:val="Plain Text"/>
    <w:basedOn w:val="Normal"/>
    <w:link w:val="PlainTextChar"/>
    <w:uiPriority w:val="99"/>
    <w:semiHidden/>
    <w:unhideWhenUsed/>
    <w:rsid w:val="00B94C86"/>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B94C86"/>
    <w:rPr>
      <w:rFonts w:ascii="Calibri" w:eastAsiaTheme="minorHAnsi" w:hAnsi="Calibri" w:cstheme="minorBidi"/>
      <w:sz w:val="22"/>
      <w:szCs w:val="21"/>
      <w:lang w:eastAsia="en-US"/>
    </w:rPr>
  </w:style>
  <w:style w:type="paragraph" w:customStyle="1" w:styleId="p1">
    <w:name w:val="p1"/>
    <w:basedOn w:val="Normal"/>
    <w:rsid w:val="00B94C86"/>
    <w:pPr>
      <w:spacing w:after="0" w:line="240" w:lineRule="auto"/>
    </w:pPr>
    <w:rPr>
      <w:rFonts w:ascii=".SF UI Text" w:eastAsiaTheme="minorHAnsi" w:hAnsi=".SF UI Text"/>
      <w:color w:val="454545"/>
      <w:sz w:val="26"/>
      <w:szCs w:val="26"/>
    </w:rPr>
  </w:style>
  <w:style w:type="paragraph" w:customStyle="1" w:styleId="p2">
    <w:name w:val="p2"/>
    <w:basedOn w:val="Normal"/>
    <w:rsid w:val="00B94C86"/>
    <w:pPr>
      <w:spacing w:after="0" w:line="240" w:lineRule="auto"/>
    </w:pPr>
    <w:rPr>
      <w:rFonts w:ascii=".SF UI Text" w:eastAsiaTheme="minorHAnsi" w:hAnsi=".SF UI Text"/>
      <w:color w:val="454545"/>
      <w:sz w:val="26"/>
      <w:szCs w:val="26"/>
    </w:rPr>
  </w:style>
  <w:style w:type="character" w:customStyle="1" w:styleId="apple-converted-space">
    <w:name w:val="apple-converted-space"/>
    <w:basedOn w:val="DefaultParagraphFont"/>
    <w:rsid w:val="00B94C86"/>
  </w:style>
  <w:style w:type="paragraph" w:customStyle="1" w:styleId="Bullet1">
    <w:name w:val="Bullet 1"/>
    <w:basedOn w:val="ListBullet2"/>
    <w:qFormat/>
    <w:rsid w:val="00B94C86"/>
    <w:pPr>
      <w:spacing w:after="240" w:line="240" w:lineRule="auto"/>
      <w:ind w:left="567" w:hanging="567"/>
      <w:contextualSpacing/>
    </w:pPr>
    <w:rPr>
      <w:rFonts w:ascii="Calibri" w:eastAsia="Calibri" w:hAnsi="Calibri" w:cs="Calibri"/>
      <w:w w:val="105"/>
      <w:kern w:val="40"/>
      <w:sz w:val="22"/>
      <w:szCs w:val="22"/>
      <w:lang w:eastAsia="en-US"/>
    </w:rPr>
  </w:style>
  <w:style w:type="paragraph" w:styleId="NormalWeb">
    <w:name w:val="Normal (Web)"/>
    <w:basedOn w:val="Normal"/>
    <w:uiPriority w:val="99"/>
    <w:unhideWhenUsed/>
    <w:rsid w:val="00B94C86"/>
    <w:pPr>
      <w:spacing w:line="240" w:lineRule="auto"/>
    </w:pPr>
    <w:rPr>
      <w:rFonts w:ascii="Times New Roman" w:hAnsi="Times New Roman"/>
      <w:sz w:val="24"/>
    </w:rPr>
  </w:style>
  <w:style w:type="paragraph" w:customStyle="1" w:styleId="ACMABulletLevel1">
    <w:name w:val="ACMA Bullet Level 1"/>
    <w:rsid w:val="00B94C86"/>
    <w:pPr>
      <w:numPr>
        <w:numId w:val="5"/>
      </w:numPr>
      <w:spacing w:after="120"/>
    </w:pPr>
    <w:rPr>
      <w:szCs w:val="20"/>
      <w:lang w:eastAsia="en-US"/>
    </w:rPr>
  </w:style>
  <w:style w:type="table" w:customStyle="1" w:styleId="TableGrid1">
    <w:name w:val="Table Grid1"/>
    <w:basedOn w:val="TableNormal"/>
    <w:next w:val="TableGrid"/>
    <w:uiPriority w:val="59"/>
    <w:rsid w:val="00B94C86"/>
    <w:pPr>
      <w:spacing w:before="80" w:after="120" w:line="28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94C86"/>
    <w:rPr>
      <w:rFonts w:asciiTheme="minorHAnsi" w:eastAsiaTheme="minorHAnsi" w:hAnsiTheme="minorHAnsi" w:cstheme="minorBidi"/>
      <w:sz w:val="22"/>
      <w:szCs w:val="22"/>
      <w:lang w:eastAsia="en-US"/>
    </w:rPr>
  </w:style>
  <w:style w:type="paragraph" w:styleId="Subtitle">
    <w:name w:val="Subtitle"/>
    <w:basedOn w:val="Normal"/>
    <w:next w:val="Normal"/>
    <w:link w:val="SubtitleChar"/>
    <w:uiPriority w:val="11"/>
    <w:qFormat/>
    <w:rsid w:val="00B94C86"/>
    <w:pPr>
      <w:numPr>
        <w:ilvl w:val="1"/>
      </w:numPr>
      <w:spacing w:after="160" w:line="259"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SubtitleChar">
    <w:name w:val="Subtitle Char"/>
    <w:basedOn w:val="DefaultParagraphFont"/>
    <w:link w:val="Subtitle"/>
    <w:uiPriority w:val="11"/>
    <w:rsid w:val="00B94C86"/>
    <w:rPr>
      <w:rFonts w:asciiTheme="minorHAnsi" w:eastAsiaTheme="minorEastAsia" w:hAnsiTheme="minorHAnsi" w:cstheme="minorBidi"/>
      <w:color w:val="5A5A5A" w:themeColor="text1" w:themeTint="A5"/>
      <w:spacing w:val="15"/>
      <w:sz w:val="22"/>
      <w:szCs w:val="22"/>
      <w:lang w:eastAsia="en-US"/>
    </w:rPr>
  </w:style>
  <w:style w:type="paragraph" w:styleId="NoSpacing">
    <w:name w:val="No Spacing"/>
    <w:link w:val="NoSpacingChar"/>
    <w:uiPriority w:val="1"/>
    <w:qFormat/>
    <w:rsid w:val="00B94C86"/>
    <w:rPr>
      <w:rFonts w:ascii="Arial" w:hAnsi="Arial"/>
      <w:sz w:val="20"/>
    </w:rPr>
  </w:style>
  <w:style w:type="character" w:customStyle="1" w:styleId="NoSpacingChar">
    <w:name w:val="No Spacing Char"/>
    <w:link w:val="NoSpacing"/>
    <w:uiPriority w:val="1"/>
    <w:locked/>
    <w:rsid w:val="00B94C86"/>
    <w:rPr>
      <w:rFonts w:ascii="Arial" w:hAnsi="Arial"/>
      <w:sz w:val="20"/>
    </w:rPr>
  </w:style>
  <w:style w:type="paragraph" w:customStyle="1" w:styleId="ACMABodyText">
    <w:name w:val="ACMA Body Text"/>
    <w:link w:val="ACMABodyTextChar"/>
    <w:qFormat/>
    <w:rsid w:val="00B94C8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B94C86"/>
    <w:rPr>
      <w:snapToGrid w:val="0"/>
      <w:szCs w:val="20"/>
      <w:lang w:eastAsia="en-US"/>
    </w:rPr>
  </w:style>
  <w:style w:type="paragraph" w:customStyle="1" w:styleId="ExecSummaryHeading">
    <w:name w:val="Exec Summary Heading"/>
    <w:basedOn w:val="Normal"/>
    <w:rsid w:val="00B94C86"/>
    <w:pPr>
      <w:spacing w:after="1440" w:line="550" w:lineRule="exact"/>
    </w:pPr>
    <w:rPr>
      <w:b/>
      <w:color w:val="4D4D4F"/>
      <w:spacing w:val="-18"/>
      <w:sz w:val="53"/>
    </w:rPr>
  </w:style>
  <w:style w:type="paragraph" w:customStyle="1" w:styleId="ACMABodyText0">
    <w:name w:val="ACMA_BodyText"/>
    <w:qFormat/>
    <w:rsid w:val="00B94C86"/>
    <w:pPr>
      <w:suppressAutoHyphens/>
      <w:spacing w:after="80" w:line="280" w:lineRule="atLeast"/>
    </w:pPr>
    <w:rPr>
      <w:rFonts w:ascii="Arial" w:hAnsi="Arial"/>
      <w:snapToGrid w:val="0"/>
      <w:sz w:val="19"/>
      <w:szCs w:val="20"/>
      <w:lang w:eastAsia="en-US"/>
    </w:rPr>
  </w:style>
  <w:style w:type="table" w:styleId="MediumGrid1-Accent5">
    <w:name w:val="Medium Grid 1 Accent 5"/>
    <w:basedOn w:val="TableNormal"/>
    <w:uiPriority w:val="67"/>
    <w:rsid w:val="00B94C86"/>
    <w:rPr>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ReportTitle">
    <w:name w:val="Report Title"/>
    <w:basedOn w:val="Normal"/>
    <w:rsid w:val="00B94C86"/>
    <w:pPr>
      <w:spacing w:after="0" w:line="560" w:lineRule="exact"/>
    </w:pPr>
    <w:rPr>
      <w:b/>
      <w:color w:val="4D4D4F"/>
      <w:spacing w:val="-28"/>
      <w:sz w:val="53"/>
    </w:rPr>
  </w:style>
  <w:style w:type="paragraph" w:customStyle="1" w:styleId="ReportSubtitle">
    <w:name w:val="Report Sub title"/>
    <w:basedOn w:val="Normal"/>
    <w:rsid w:val="00B94C86"/>
    <w:pPr>
      <w:spacing w:after="0" w:line="560" w:lineRule="exact"/>
    </w:pPr>
    <w:rPr>
      <w:color w:val="808285"/>
      <w:spacing w:val="-28"/>
      <w:sz w:val="53"/>
    </w:rPr>
  </w:style>
  <w:style w:type="paragraph" w:customStyle="1" w:styleId="ReportDate">
    <w:name w:val="Report Date"/>
    <w:basedOn w:val="ReportSubtitle"/>
    <w:rsid w:val="00B94C86"/>
    <w:pPr>
      <w:spacing w:line="240" w:lineRule="auto"/>
    </w:pPr>
    <w:rPr>
      <w:caps/>
      <w:spacing w:val="-10"/>
      <w:sz w:val="20"/>
    </w:rPr>
  </w:style>
  <w:style w:type="paragraph" w:customStyle="1" w:styleId="Bodysubheader0">
    <w:name w:val="Body sub header"/>
    <w:basedOn w:val="Normal"/>
    <w:next w:val="Normal"/>
    <w:rsid w:val="00B94C86"/>
    <w:pPr>
      <w:spacing w:after="0"/>
    </w:pPr>
    <w:rPr>
      <w:b/>
      <w:i/>
    </w:rPr>
  </w:style>
  <w:style w:type="paragraph" w:styleId="TOC9">
    <w:name w:val="toc 9"/>
    <w:aliases w:val="TOC ExecSumm"/>
    <w:basedOn w:val="Normal"/>
    <w:next w:val="Normal"/>
    <w:uiPriority w:val="39"/>
    <w:rsid w:val="00B94C86"/>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94C86"/>
    <w:pPr>
      <w:spacing w:after="0" w:line="560" w:lineRule="exact"/>
    </w:pPr>
    <w:rPr>
      <w:color w:val="808285"/>
      <w:spacing w:val="-28"/>
      <w:sz w:val="53"/>
    </w:rPr>
  </w:style>
  <w:style w:type="character" w:customStyle="1" w:styleId="apple-style-span">
    <w:name w:val="apple-style-span"/>
    <w:basedOn w:val="DefaultParagraphFont"/>
    <w:rsid w:val="00B94C86"/>
  </w:style>
  <w:style w:type="paragraph" w:customStyle="1" w:styleId="StyleListParagraphListParagraph1ListParagraph11Recommendatio">
    <w:name w:val="Style List ParagraphList Paragraph1List Paragraph11Recommendatio..."/>
    <w:basedOn w:val="ListParagraph"/>
    <w:rsid w:val="00B94C86"/>
    <w:pPr>
      <w:spacing w:after="240" w:line="240" w:lineRule="auto"/>
      <w:ind w:left="1134" w:hanging="567"/>
    </w:pPr>
    <w:rPr>
      <w:rFonts w:eastAsia="Times New Roman" w:cs="Times New Roman"/>
      <w:szCs w:val="20"/>
    </w:rPr>
  </w:style>
  <w:style w:type="paragraph" w:customStyle="1" w:styleId="ACMAHeading3">
    <w:name w:val="ACMA Heading 3"/>
    <w:next w:val="ACMABodyText"/>
    <w:rsid w:val="00B94C86"/>
    <w:pPr>
      <w:keepNext/>
      <w:tabs>
        <w:tab w:val="num" w:pos="720"/>
      </w:tabs>
      <w:suppressAutoHyphens/>
      <w:spacing w:before="240"/>
      <w:outlineLvl w:val="3"/>
    </w:pPr>
    <w:rPr>
      <w:rFonts w:ascii="Arial" w:hAnsi="Arial"/>
      <w:b/>
      <w:szCs w:val="20"/>
      <w:lang w:val="en-US" w:eastAsia="en-US"/>
    </w:rPr>
  </w:style>
  <w:style w:type="paragraph" w:customStyle="1" w:styleId="Summary">
    <w:name w:val="Summary"/>
    <w:basedOn w:val="Normal"/>
    <w:next w:val="Normal"/>
    <w:autoRedefine/>
    <w:rsid w:val="00B94C86"/>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paragraph" w:customStyle="1" w:styleId="enumlev1">
    <w:name w:val="enumlev1"/>
    <w:basedOn w:val="Normal"/>
    <w:rsid w:val="00B94C86"/>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BodyTextIndent3">
    <w:name w:val="Body Text Indent 3"/>
    <w:basedOn w:val="Normal"/>
    <w:link w:val="BodyTextIndent3Char"/>
    <w:rsid w:val="00B94C86"/>
    <w:pPr>
      <w:spacing w:after="120"/>
      <w:ind w:left="283"/>
    </w:pPr>
    <w:rPr>
      <w:sz w:val="16"/>
      <w:szCs w:val="16"/>
    </w:rPr>
  </w:style>
  <w:style w:type="character" w:customStyle="1" w:styleId="BodyTextIndent3Char">
    <w:name w:val="Body Text Indent 3 Char"/>
    <w:basedOn w:val="DefaultParagraphFont"/>
    <w:link w:val="BodyTextIndent3"/>
    <w:rsid w:val="00B94C86"/>
    <w:rPr>
      <w:rFonts w:ascii="Arial" w:hAnsi="Arial"/>
      <w:sz w:val="16"/>
      <w:szCs w:val="16"/>
    </w:rPr>
  </w:style>
  <w:style w:type="paragraph" w:customStyle="1" w:styleId="Normalaftertitle">
    <w:name w:val="Normal after title"/>
    <w:basedOn w:val="Normal"/>
    <w:next w:val="Normal"/>
    <w:rsid w:val="00B94C86"/>
    <w:pPr>
      <w:tabs>
        <w:tab w:val="left" w:pos="1134"/>
        <w:tab w:val="left" w:pos="1871"/>
        <w:tab w:val="left" w:pos="2268"/>
      </w:tabs>
      <w:overflowPunct w:val="0"/>
      <w:autoSpaceDE w:val="0"/>
      <w:autoSpaceDN w:val="0"/>
      <w:adjustRightInd w:val="0"/>
      <w:spacing w:before="280" w:after="0" w:line="240" w:lineRule="auto"/>
    </w:pPr>
    <w:rPr>
      <w:rFonts w:ascii="Times New Roman" w:hAnsi="Times New Roman"/>
      <w:sz w:val="24"/>
      <w:szCs w:val="20"/>
      <w:lang w:val="en-GB" w:eastAsia="en-US"/>
    </w:rPr>
  </w:style>
  <w:style w:type="table" w:customStyle="1" w:styleId="TableGrid3">
    <w:name w:val="Table Grid3"/>
    <w:basedOn w:val="TableNormal"/>
    <w:next w:val="TableGrid"/>
    <w:uiPriority w:val="39"/>
    <w:rsid w:val="00D169BA"/>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F42AB8"/>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365CA"/>
    <w:pPr>
      <w:widowControl w:val="0"/>
      <w:autoSpaceDE w:val="0"/>
      <w:autoSpaceDN w:val="0"/>
      <w:spacing w:before="13" w:after="0" w:line="240" w:lineRule="auto"/>
      <w:ind w:left="113"/>
    </w:pPr>
    <w:rPr>
      <w:rFonts w:eastAsia="Arial" w:cs="Arial"/>
      <w:sz w:val="22"/>
      <w:szCs w:val="22"/>
      <w:lang w:val="en-US" w:eastAsia="en-US" w:bidi="en-US"/>
    </w:rPr>
  </w:style>
  <w:style w:type="character" w:customStyle="1" w:styleId="UnresolvedMention1">
    <w:name w:val="Unresolved Mention1"/>
    <w:basedOn w:val="DefaultParagraphFont"/>
    <w:uiPriority w:val="99"/>
    <w:semiHidden/>
    <w:unhideWhenUsed/>
    <w:rsid w:val="00295A18"/>
    <w:rPr>
      <w:color w:val="605E5C"/>
      <w:shd w:val="clear" w:color="auto" w:fill="E1DFDD"/>
    </w:rPr>
  </w:style>
  <w:style w:type="character" w:customStyle="1" w:styleId="UnresolvedMention2">
    <w:name w:val="Unresolved Mention2"/>
    <w:basedOn w:val="DefaultParagraphFont"/>
    <w:uiPriority w:val="99"/>
    <w:semiHidden/>
    <w:unhideWhenUsed/>
    <w:rsid w:val="00BA498C"/>
    <w:rPr>
      <w:color w:val="605E5C"/>
      <w:shd w:val="clear" w:color="auto" w:fill="E1DFDD"/>
    </w:rPr>
  </w:style>
  <w:style w:type="character" w:customStyle="1" w:styleId="UnresolvedMention3">
    <w:name w:val="Unresolved Mention3"/>
    <w:basedOn w:val="DefaultParagraphFont"/>
    <w:uiPriority w:val="99"/>
    <w:semiHidden/>
    <w:unhideWhenUsed/>
    <w:rsid w:val="00365525"/>
    <w:rPr>
      <w:color w:val="605E5C"/>
      <w:shd w:val="clear" w:color="auto" w:fill="E1DFDD"/>
    </w:rPr>
  </w:style>
  <w:style w:type="character" w:customStyle="1" w:styleId="UnresolvedMention4">
    <w:name w:val="Unresolved Mention4"/>
    <w:basedOn w:val="DefaultParagraphFont"/>
    <w:uiPriority w:val="99"/>
    <w:semiHidden/>
    <w:unhideWhenUsed/>
    <w:rsid w:val="00A02D08"/>
    <w:rPr>
      <w:color w:val="605E5C"/>
      <w:shd w:val="clear" w:color="auto" w:fill="E1DFDD"/>
    </w:rPr>
  </w:style>
  <w:style w:type="character" w:styleId="UnresolvedMention">
    <w:name w:val="Unresolved Mention"/>
    <w:basedOn w:val="DefaultParagraphFont"/>
    <w:uiPriority w:val="99"/>
    <w:semiHidden/>
    <w:unhideWhenUsed/>
    <w:rsid w:val="00BF204E"/>
    <w:rPr>
      <w:color w:val="605E5C"/>
      <w:shd w:val="clear" w:color="auto" w:fill="E1DFDD"/>
    </w:rPr>
  </w:style>
  <w:style w:type="table" w:styleId="PlainTable1">
    <w:name w:val="Plain Table 1"/>
    <w:basedOn w:val="TableNormal"/>
    <w:uiPriority w:val="41"/>
    <w:rsid w:val="00D90D77"/>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heading2">
    <w:name w:val="Table heading 2"/>
    <w:basedOn w:val="ACMATableHeader"/>
    <w:qFormat/>
    <w:rsid w:val="00C837A5"/>
    <w:pPr>
      <w:keepNext/>
      <w:spacing w:after="0"/>
      <w:ind w:left="97" w:hanging="40"/>
    </w:pPr>
    <w:rPr>
      <w:color w:val="auto"/>
      <w:sz w:val="24"/>
    </w:rPr>
  </w:style>
  <w:style w:type="paragraph" w:styleId="TOC4">
    <w:name w:val="toc 4"/>
    <w:basedOn w:val="Normal"/>
    <w:next w:val="Normal"/>
    <w:autoRedefine/>
    <w:uiPriority w:val="39"/>
    <w:unhideWhenUsed/>
    <w:rsid w:val="00775B4A"/>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775B4A"/>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75B4A"/>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75B4A"/>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75B4A"/>
    <w:pPr>
      <w:spacing w:after="100" w:line="259" w:lineRule="auto"/>
      <w:ind w:left="1540"/>
    </w:pPr>
    <w:rPr>
      <w:rFonts w:asciiTheme="minorHAnsi" w:eastAsiaTheme="minorEastAsia" w:hAnsiTheme="minorHAnsi" w:cstheme="minorBidi"/>
      <w:sz w:val="22"/>
      <w:szCs w:val="22"/>
    </w:rPr>
  </w:style>
  <w:style w:type="character" w:customStyle="1" w:styleId="normaltextrun">
    <w:name w:val="normaltextrun"/>
    <w:basedOn w:val="DefaultParagraphFont"/>
    <w:rsid w:val="0076347E"/>
  </w:style>
  <w:style w:type="table" w:styleId="ListTable6Colorful">
    <w:name w:val="List Table 6 Colorful"/>
    <w:basedOn w:val="TableNormal"/>
    <w:uiPriority w:val="51"/>
    <w:rsid w:val="006E13BF"/>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Paragraph">
    <w:name w:val="Paragraph"/>
    <w:basedOn w:val="Normal"/>
    <w:qFormat/>
    <w:rsid w:val="0019469D"/>
    <w:rPr>
      <w:rFonts w:cs="Arial"/>
    </w:rPr>
  </w:style>
  <w:style w:type="table" w:styleId="GridTable4-Accent1">
    <w:name w:val="Grid Table 4 Accent 1"/>
    <w:basedOn w:val="TableNormal"/>
    <w:uiPriority w:val="49"/>
    <w:rsid w:val="005F4969"/>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charpartno">
    <w:name w:val="charpartno"/>
    <w:basedOn w:val="DefaultParagraphFont"/>
    <w:rsid w:val="005F4969"/>
  </w:style>
  <w:style w:type="paragraph" w:customStyle="1" w:styleId="Bulletlevel1">
    <w:name w:val="Bullet level 1"/>
    <w:basedOn w:val="ListBullet"/>
    <w:uiPriority w:val="5"/>
    <w:qFormat/>
    <w:rsid w:val="002E5E12"/>
    <w:pPr>
      <w:keepNext w:val="0"/>
      <w:keepLines w:val="0"/>
    </w:pPr>
    <w:rPr>
      <w:rFonts w:cs="Arial"/>
    </w:rPr>
  </w:style>
  <w:style w:type="paragraph" w:customStyle="1" w:styleId="Bulletlevel1last">
    <w:name w:val="Bullet level 1 last"/>
    <w:basedOn w:val="ListBulletLast"/>
    <w:uiPriority w:val="6"/>
    <w:qFormat/>
    <w:rsid w:val="002E5E12"/>
  </w:style>
  <w:style w:type="paragraph" w:customStyle="1" w:styleId="Bulletlevel2">
    <w:name w:val="Bullet level 2"/>
    <w:basedOn w:val="ListBullet2"/>
    <w:uiPriority w:val="7"/>
    <w:qFormat/>
    <w:rsid w:val="002E5E12"/>
  </w:style>
  <w:style w:type="paragraph" w:customStyle="1" w:styleId="Bulletlevel2last">
    <w:name w:val="Bullet level 2 last"/>
    <w:basedOn w:val="Bulletlevel2"/>
    <w:uiPriority w:val="8"/>
    <w:qFormat/>
    <w:rsid w:val="002E5E12"/>
    <w:pPr>
      <w:spacing w:after="240"/>
    </w:pPr>
  </w:style>
  <w:style w:type="paragraph" w:customStyle="1" w:styleId="Paragraphbeforelist">
    <w:name w:val="Paragraph before list"/>
    <w:basedOn w:val="Paragraph"/>
    <w:uiPriority w:val="4"/>
    <w:qFormat/>
    <w:rsid w:val="002E5E12"/>
    <w:pPr>
      <w:spacing w:after="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35894">
      <w:bodyDiv w:val="1"/>
      <w:marLeft w:val="0"/>
      <w:marRight w:val="0"/>
      <w:marTop w:val="0"/>
      <w:marBottom w:val="0"/>
      <w:divBdr>
        <w:top w:val="none" w:sz="0" w:space="0" w:color="auto"/>
        <w:left w:val="none" w:sz="0" w:space="0" w:color="auto"/>
        <w:bottom w:val="none" w:sz="0" w:space="0" w:color="auto"/>
        <w:right w:val="none" w:sz="0" w:space="0" w:color="auto"/>
      </w:divBdr>
      <w:divsChild>
        <w:div w:id="109207078">
          <w:marLeft w:val="0"/>
          <w:marRight w:val="0"/>
          <w:marTop w:val="0"/>
          <w:marBottom w:val="0"/>
          <w:divBdr>
            <w:top w:val="none" w:sz="0" w:space="0" w:color="auto"/>
            <w:left w:val="none" w:sz="0" w:space="0" w:color="auto"/>
            <w:bottom w:val="none" w:sz="0" w:space="0" w:color="auto"/>
            <w:right w:val="none" w:sz="0" w:space="0" w:color="auto"/>
          </w:divBdr>
          <w:divsChild>
            <w:div w:id="1530871569">
              <w:marLeft w:val="0"/>
              <w:marRight w:val="0"/>
              <w:marTop w:val="0"/>
              <w:marBottom w:val="0"/>
              <w:divBdr>
                <w:top w:val="none" w:sz="0" w:space="0" w:color="auto"/>
                <w:left w:val="none" w:sz="0" w:space="0" w:color="auto"/>
                <w:bottom w:val="none" w:sz="0" w:space="0" w:color="auto"/>
                <w:right w:val="none" w:sz="0" w:space="0" w:color="auto"/>
              </w:divBdr>
              <w:divsChild>
                <w:div w:id="1888445366">
                  <w:marLeft w:val="0"/>
                  <w:marRight w:val="0"/>
                  <w:marTop w:val="0"/>
                  <w:marBottom w:val="0"/>
                  <w:divBdr>
                    <w:top w:val="none" w:sz="0" w:space="0" w:color="auto"/>
                    <w:left w:val="none" w:sz="0" w:space="0" w:color="auto"/>
                    <w:bottom w:val="none" w:sz="0" w:space="0" w:color="auto"/>
                    <w:right w:val="none" w:sz="0" w:space="0" w:color="auto"/>
                  </w:divBdr>
                  <w:divsChild>
                    <w:div w:id="1299530523">
                      <w:marLeft w:val="0"/>
                      <w:marRight w:val="0"/>
                      <w:marTop w:val="0"/>
                      <w:marBottom w:val="0"/>
                      <w:divBdr>
                        <w:top w:val="none" w:sz="0" w:space="0" w:color="auto"/>
                        <w:left w:val="none" w:sz="0" w:space="0" w:color="auto"/>
                        <w:bottom w:val="none" w:sz="0" w:space="0" w:color="auto"/>
                        <w:right w:val="none" w:sz="0" w:space="0" w:color="auto"/>
                      </w:divBdr>
                      <w:divsChild>
                        <w:div w:id="105998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277867">
      <w:bodyDiv w:val="1"/>
      <w:marLeft w:val="0"/>
      <w:marRight w:val="0"/>
      <w:marTop w:val="0"/>
      <w:marBottom w:val="0"/>
      <w:divBdr>
        <w:top w:val="none" w:sz="0" w:space="0" w:color="auto"/>
        <w:left w:val="none" w:sz="0" w:space="0" w:color="auto"/>
        <w:bottom w:val="none" w:sz="0" w:space="0" w:color="auto"/>
        <w:right w:val="none" w:sz="0" w:space="0" w:color="auto"/>
      </w:divBdr>
    </w:div>
    <w:div w:id="70784548">
      <w:bodyDiv w:val="1"/>
      <w:marLeft w:val="0"/>
      <w:marRight w:val="0"/>
      <w:marTop w:val="0"/>
      <w:marBottom w:val="0"/>
      <w:divBdr>
        <w:top w:val="none" w:sz="0" w:space="0" w:color="auto"/>
        <w:left w:val="none" w:sz="0" w:space="0" w:color="auto"/>
        <w:bottom w:val="none" w:sz="0" w:space="0" w:color="auto"/>
        <w:right w:val="none" w:sz="0" w:space="0" w:color="auto"/>
      </w:divBdr>
    </w:div>
    <w:div w:id="102574492">
      <w:bodyDiv w:val="1"/>
      <w:marLeft w:val="0"/>
      <w:marRight w:val="0"/>
      <w:marTop w:val="0"/>
      <w:marBottom w:val="0"/>
      <w:divBdr>
        <w:top w:val="none" w:sz="0" w:space="0" w:color="auto"/>
        <w:left w:val="none" w:sz="0" w:space="0" w:color="auto"/>
        <w:bottom w:val="none" w:sz="0" w:space="0" w:color="auto"/>
        <w:right w:val="none" w:sz="0" w:space="0" w:color="auto"/>
      </w:divBdr>
    </w:div>
    <w:div w:id="124079014">
      <w:bodyDiv w:val="1"/>
      <w:marLeft w:val="0"/>
      <w:marRight w:val="0"/>
      <w:marTop w:val="0"/>
      <w:marBottom w:val="0"/>
      <w:divBdr>
        <w:top w:val="none" w:sz="0" w:space="0" w:color="auto"/>
        <w:left w:val="none" w:sz="0" w:space="0" w:color="auto"/>
        <w:bottom w:val="none" w:sz="0" w:space="0" w:color="auto"/>
        <w:right w:val="none" w:sz="0" w:space="0" w:color="auto"/>
      </w:divBdr>
    </w:div>
    <w:div w:id="127208210">
      <w:bodyDiv w:val="1"/>
      <w:marLeft w:val="0"/>
      <w:marRight w:val="0"/>
      <w:marTop w:val="0"/>
      <w:marBottom w:val="0"/>
      <w:divBdr>
        <w:top w:val="none" w:sz="0" w:space="0" w:color="auto"/>
        <w:left w:val="none" w:sz="0" w:space="0" w:color="auto"/>
        <w:bottom w:val="none" w:sz="0" w:space="0" w:color="auto"/>
        <w:right w:val="none" w:sz="0" w:space="0" w:color="auto"/>
      </w:divBdr>
    </w:div>
    <w:div w:id="146825606">
      <w:bodyDiv w:val="1"/>
      <w:marLeft w:val="0"/>
      <w:marRight w:val="0"/>
      <w:marTop w:val="0"/>
      <w:marBottom w:val="0"/>
      <w:divBdr>
        <w:top w:val="none" w:sz="0" w:space="0" w:color="auto"/>
        <w:left w:val="none" w:sz="0" w:space="0" w:color="auto"/>
        <w:bottom w:val="none" w:sz="0" w:space="0" w:color="auto"/>
        <w:right w:val="none" w:sz="0" w:space="0" w:color="auto"/>
      </w:divBdr>
    </w:div>
    <w:div w:id="149714637">
      <w:bodyDiv w:val="1"/>
      <w:marLeft w:val="0"/>
      <w:marRight w:val="0"/>
      <w:marTop w:val="0"/>
      <w:marBottom w:val="0"/>
      <w:divBdr>
        <w:top w:val="none" w:sz="0" w:space="0" w:color="auto"/>
        <w:left w:val="none" w:sz="0" w:space="0" w:color="auto"/>
        <w:bottom w:val="none" w:sz="0" w:space="0" w:color="auto"/>
        <w:right w:val="none" w:sz="0" w:space="0" w:color="auto"/>
      </w:divBdr>
    </w:div>
    <w:div w:id="163666300">
      <w:bodyDiv w:val="1"/>
      <w:marLeft w:val="0"/>
      <w:marRight w:val="0"/>
      <w:marTop w:val="0"/>
      <w:marBottom w:val="0"/>
      <w:divBdr>
        <w:top w:val="none" w:sz="0" w:space="0" w:color="auto"/>
        <w:left w:val="none" w:sz="0" w:space="0" w:color="auto"/>
        <w:bottom w:val="none" w:sz="0" w:space="0" w:color="auto"/>
        <w:right w:val="none" w:sz="0" w:space="0" w:color="auto"/>
      </w:divBdr>
    </w:div>
    <w:div w:id="165947953">
      <w:bodyDiv w:val="1"/>
      <w:marLeft w:val="0"/>
      <w:marRight w:val="0"/>
      <w:marTop w:val="0"/>
      <w:marBottom w:val="0"/>
      <w:divBdr>
        <w:top w:val="none" w:sz="0" w:space="0" w:color="auto"/>
        <w:left w:val="none" w:sz="0" w:space="0" w:color="auto"/>
        <w:bottom w:val="none" w:sz="0" w:space="0" w:color="auto"/>
        <w:right w:val="none" w:sz="0" w:space="0" w:color="auto"/>
      </w:divBdr>
    </w:div>
    <w:div w:id="166986358">
      <w:bodyDiv w:val="1"/>
      <w:marLeft w:val="0"/>
      <w:marRight w:val="0"/>
      <w:marTop w:val="0"/>
      <w:marBottom w:val="0"/>
      <w:divBdr>
        <w:top w:val="none" w:sz="0" w:space="0" w:color="auto"/>
        <w:left w:val="none" w:sz="0" w:space="0" w:color="auto"/>
        <w:bottom w:val="none" w:sz="0" w:space="0" w:color="auto"/>
        <w:right w:val="none" w:sz="0" w:space="0" w:color="auto"/>
      </w:divBdr>
    </w:div>
    <w:div w:id="167717739">
      <w:bodyDiv w:val="1"/>
      <w:marLeft w:val="0"/>
      <w:marRight w:val="0"/>
      <w:marTop w:val="0"/>
      <w:marBottom w:val="0"/>
      <w:divBdr>
        <w:top w:val="none" w:sz="0" w:space="0" w:color="auto"/>
        <w:left w:val="none" w:sz="0" w:space="0" w:color="auto"/>
        <w:bottom w:val="none" w:sz="0" w:space="0" w:color="auto"/>
        <w:right w:val="none" w:sz="0" w:space="0" w:color="auto"/>
      </w:divBdr>
    </w:div>
    <w:div w:id="215238411">
      <w:bodyDiv w:val="1"/>
      <w:marLeft w:val="0"/>
      <w:marRight w:val="0"/>
      <w:marTop w:val="0"/>
      <w:marBottom w:val="0"/>
      <w:divBdr>
        <w:top w:val="none" w:sz="0" w:space="0" w:color="auto"/>
        <w:left w:val="none" w:sz="0" w:space="0" w:color="auto"/>
        <w:bottom w:val="none" w:sz="0" w:space="0" w:color="auto"/>
        <w:right w:val="none" w:sz="0" w:space="0" w:color="auto"/>
      </w:divBdr>
    </w:div>
    <w:div w:id="221523862">
      <w:bodyDiv w:val="1"/>
      <w:marLeft w:val="0"/>
      <w:marRight w:val="0"/>
      <w:marTop w:val="0"/>
      <w:marBottom w:val="0"/>
      <w:divBdr>
        <w:top w:val="none" w:sz="0" w:space="0" w:color="auto"/>
        <w:left w:val="none" w:sz="0" w:space="0" w:color="auto"/>
        <w:bottom w:val="none" w:sz="0" w:space="0" w:color="auto"/>
        <w:right w:val="none" w:sz="0" w:space="0" w:color="auto"/>
      </w:divBdr>
    </w:div>
    <w:div w:id="245647689">
      <w:bodyDiv w:val="1"/>
      <w:marLeft w:val="0"/>
      <w:marRight w:val="0"/>
      <w:marTop w:val="0"/>
      <w:marBottom w:val="0"/>
      <w:divBdr>
        <w:top w:val="none" w:sz="0" w:space="0" w:color="auto"/>
        <w:left w:val="none" w:sz="0" w:space="0" w:color="auto"/>
        <w:bottom w:val="none" w:sz="0" w:space="0" w:color="auto"/>
        <w:right w:val="none" w:sz="0" w:space="0" w:color="auto"/>
      </w:divBdr>
    </w:div>
    <w:div w:id="252477244">
      <w:bodyDiv w:val="1"/>
      <w:marLeft w:val="0"/>
      <w:marRight w:val="0"/>
      <w:marTop w:val="0"/>
      <w:marBottom w:val="0"/>
      <w:divBdr>
        <w:top w:val="none" w:sz="0" w:space="0" w:color="auto"/>
        <w:left w:val="none" w:sz="0" w:space="0" w:color="auto"/>
        <w:bottom w:val="none" w:sz="0" w:space="0" w:color="auto"/>
        <w:right w:val="none" w:sz="0" w:space="0" w:color="auto"/>
      </w:divBdr>
    </w:div>
    <w:div w:id="263148020">
      <w:bodyDiv w:val="1"/>
      <w:marLeft w:val="0"/>
      <w:marRight w:val="0"/>
      <w:marTop w:val="0"/>
      <w:marBottom w:val="0"/>
      <w:divBdr>
        <w:top w:val="none" w:sz="0" w:space="0" w:color="auto"/>
        <w:left w:val="none" w:sz="0" w:space="0" w:color="auto"/>
        <w:bottom w:val="none" w:sz="0" w:space="0" w:color="auto"/>
        <w:right w:val="none" w:sz="0" w:space="0" w:color="auto"/>
      </w:divBdr>
    </w:div>
    <w:div w:id="282271341">
      <w:bodyDiv w:val="1"/>
      <w:marLeft w:val="0"/>
      <w:marRight w:val="0"/>
      <w:marTop w:val="0"/>
      <w:marBottom w:val="0"/>
      <w:divBdr>
        <w:top w:val="none" w:sz="0" w:space="0" w:color="auto"/>
        <w:left w:val="none" w:sz="0" w:space="0" w:color="auto"/>
        <w:bottom w:val="none" w:sz="0" w:space="0" w:color="auto"/>
        <w:right w:val="none" w:sz="0" w:space="0" w:color="auto"/>
      </w:divBdr>
    </w:div>
    <w:div w:id="338895039">
      <w:bodyDiv w:val="1"/>
      <w:marLeft w:val="0"/>
      <w:marRight w:val="0"/>
      <w:marTop w:val="0"/>
      <w:marBottom w:val="0"/>
      <w:divBdr>
        <w:top w:val="none" w:sz="0" w:space="0" w:color="auto"/>
        <w:left w:val="none" w:sz="0" w:space="0" w:color="auto"/>
        <w:bottom w:val="none" w:sz="0" w:space="0" w:color="auto"/>
        <w:right w:val="none" w:sz="0" w:space="0" w:color="auto"/>
      </w:divBdr>
    </w:div>
    <w:div w:id="357660826">
      <w:bodyDiv w:val="1"/>
      <w:marLeft w:val="0"/>
      <w:marRight w:val="0"/>
      <w:marTop w:val="0"/>
      <w:marBottom w:val="0"/>
      <w:divBdr>
        <w:top w:val="none" w:sz="0" w:space="0" w:color="auto"/>
        <w:left w:val="none" w:sz="0" w:space="0" w:color="auto"/>
        <w:bottom w:val="none" w:sz="0" w:space="0" w:color="auto"/>
        <w:right w:val="none" w:sz="0" w:space="0" w:color="auto"/>
      </w:divBdr>
    </w:div>
    <w:div w:id="366759458">
      <w:bodyDiv w:val="1"/>
      <w:marLeft w:val="0"/>
      <w:marRight w:val="0"/>
      <w:marTop w:val="0"/>
      <w:marBottom w:val="0"/>
      <w:divBdr>
        <w:top w:val="none" w:sz="0" w:space="0" w:color="auto"/>
        <w:left w:val="none" w:sz="0" w:space="0" w:color="auto"/>
        <w:bottom w:val="none" w:sz="0" w:space="0" w:color="auto"/>
        <w:right w:val="none" w:sz="0" w:space="0" w:color="auto"/>
      </w:divBdr>
    </w:div>
    <w:div w:id="422990865">
      <w:bodyDiv w:val="1"/>
      <w:marLeft w:val="0"/>
      <w:marRight w:val="0"/>
      <w:marTop w:val="0"/>
      <w:marBottom w:val="0"/>
      <w:divBdr>
        <w:top w:val="none" w:sz="0" w:space="0" w:color="auto"/>
        <w:left w:val="none" w:sz="0" w:space="0" w:color="auto"/>
        <w:bottom w:val="none" w:sz="0" w:space="0" w:color="auto"/>
        <w:right w:val="none" w:sz="0" w:space="0" w:color="auto"/>
      </w:divBdr>
    </w:div>
    <w:div w:id="431241558">
      <w:bodyDiv w:val="1"/>
      <w:marLeft w:val="0"/>
      <w:marRight w:val="0"/>
      <w:marTop w:val="0"/>
      <w:marBottom w:val="0"/>
      <w:divBdr>
        <w:top w:val="none" w:sz="0" w:space="0" w:color="auto"/>
        <w:left w:val="none" w:sz="0" w:space="0" w:color="auto"/>
        <w:bottom w:val="none" w:sz="0" w:space="0" w:color="auto"/>
        <w:right w:val="none" w:sz="0" w:space="0" w:color="auto"/>
      </w:divBdr>
    </w:div>
    <w:div w:id="451242372">
      <w:bodyDiv w:val="1"/>
      <w:marLeft w:val="0"/>
      <w:marRight w:val="0"/>
      <w:marTop w:val="0"/>
      <w:marBottom w:val="0"/>
      <w:divBdr>
        <w:top w:val="none" w:sz="0" w:space="0" w:color="auto"/>
        <w:left w:val="none" w:sz="0" w:space="0" w:color="auto"/>
        <w:bottom w:val="none" w:sz="0" w:space="0" w:color="auto"/>
        <w:right w:val="none" w:sz="0" w:space="0" w:color="auto"/>
      </w:divBdr>
    </w:div>
    <w:div w:id="453016214">
      <w:bodyDiv w:val="1"/>
      <w:marLeft w:val="0"/>
      <w:marRight w:val="0"/>
      <w:marTop w:val="0"/>
      <w:marBottom w:val="0"/>
      <w:divBdr>
        <w:top w:val="none" w:sz="0" w:space="0" w:color="auto"/>
        <w:left w:val="none" w:sz="0" w:space="0" w:color="auto"/>
        <w:bottom w:val="none" w:sz="0" w:space="0" w:color="auto"/>
        <w:right w:val="none" w:sz="0" w:space="0" w:color="auto"/>
      </w:divBdr>
    </w:div>
    <w:div w:id="457916219">
      <w:bodyDiv w:val="1"/>
      <w:marLeft w:val="0"/>
      <w:marRight w:val="0"/>
      <w:marTop w:val="0"/>
      <w:marBottom w:val="0"/>
      <w:divBdr>
        <w:top w:val="none" w:sz="0" w:space="0" w:color="auto"/>
        <w:left w:val="none" w:sz="0" w:space="0" w:color="auto"/>
        <w:bottom w:val="none" w:sz="0" w:space="0" w:color="auto"/>
        <w:right w:val="none" w:sz="0" w:space="0" w:color="auto"/>
      </w:divBdr>
    </w:div>
    <w:div w:id="468403279">
      <w:bodyDiv w:val="1"/>
      <w:marLeft w:val="0"/>
      <w:marRight w:val="0"/>
      <w:marTop w:val="0"/>
      <w:marBottom w:val="0"/>
      <w:divBdr>
        <w:top w:val="none" w:sz="0" w:space="0" w:color="auto"/>
        <w:left w:val="none" w:sz="0" w:space="0" w:color="auto"/>
        <w:bottom w:val="none" w:sz="0" w:space="0" w:color="auto"/>
        <w:right w:val="none" w:sz="0" w:space="0" w:color="auto"/>
      </w:divBdr>
    </w:div>
    <w:div w:id="493492433">
      <w:bodyDiv w:val="1"/>
      <w:marLeft w:val="0"/>
      <w:marRight w:val="0"/>
      <w:marTop w:val="0"/>
      <w:marBottom w:val="0"/>
      <w:divBdr>
        <w:top w:val="none" w:sz="0" w:space="0" w:color="auto"/>
        <w:left w:val="none" w:sz="0" w:space="0" w:color="auto"/>
        <w:bottom w:val="none" w:sz="0" w:space="0" w:color="auto"/>
        <w:right w:val="none" w:sz="0" w:space="0" w:color="auto"/>
      </w:divBdr>
    </w:div>
    <w:div w:id="501629245">
      <w:bodyDiv w:val="1"/>
      <w:marLeft w:val="0"/>
      <w:marRight w:val="0"/>
      <w:marTop w:val="0"/>
      <w:marBottom w:val="0"/>
      <w:divBdr>
        <w:top w:val="none" w:sz="0" w:space="0" w:color="auto"/>
        <w:left w:val="none" w:sz="0" w:space="0" w:color="auto"/>
        <w:bottom w:val="none" w:sz="0" w:space="0" w:color="auto"/>
        <w:right w:val="none" w:sz="0" w:space="0" w:color="auto"/>
      </w:divBdr>
    </w:div>
    <w:div w:id="513568602">
      <w:bodyDiv w:val="1"/>
      <w:marLeft w:val="0"/>
      <w:marRight w:val="0"/>
      <w:marTop w:val="0"/>
      <w:marBottom w:val="0"/>
      <w:divBdr>
        <w:top w:val="none" w:sz="0" w:space="0" w:color="auto"/>
        <w:left w:val="none" w:sz="0" w:space="0" w:color="auto"/>
        <w:bottom w:val="none" w:sz="0" w:space="0" w:color="auto"/>
        <w:right w:val="none" w:sz="0" w:space="0" w:color="auto"/>
      </w:divBdr>
    </w:div>
    <w:div w:id="515967495">
      <w:bodyDiv w:val="1"/>
      <w:marLeft w:val="0"/>
      <w:marRight w:val="0"/>
      <w:marTop w:val="0"/>
      <w:marBottom w:val="0"/>
      <w:divBdr>
        <w:top w:val="none" w:sz="0" w:space="0" w:color="auto"/>
        <w:left w:val="none" w:sz="0" w:space="0" w:color="auto"/>
        <w:bottom w:val="none" w:sz="0" w:space="0" w:color="auto"/>
        <w:right w:val="none" w:sz="0" w:space="0" w:color="auto"/>
      </w:divBdr>
    </w:div>
    <w:div w:id="532884536">
      <w:bodyDiv w:val="1"/>
      <w:marLeft w:val="0"/>
      <w:marRight w:val="0"/>
      <w:marTop w:val="0"/>
      <w:marBottom w:val="0"/>
      <w:divBdr>
        <w:top w:val="none" w:sz="0" w:space="0" w:color="auto"/>
        <w:left w:val="none" w:sz="0" w:space="0" w:color="auto"/>
        <w:bottom w:val="none" w:sz="0" w:space="0" w:color="auto"/>
        <w:right w:val="none" w:sz="0" w:space="0" w:color="auto"/>
      </w:divBdr>
    </w:div>
    <w:div w:id="582420679">
      <w:bodyDiv w:val="1"/>
      <w:marLeft w:val="0"/>
      <w:marRight w:val="0"/>
      <w:marTop w:val="0"/>
      <w:marBottom w:val="0"/>
      <w:divBdr>
        <w:top w:val="none" w:sz="0" w:space="0" w:color="auto"/>
        <w:left w:val="none" w:sz="0" w:space="0" w:color="auto"/>
        <w:bottom w:val="none" w:sz="0" w:space="0" w:color="auto"/>
        <w:right w:val="none" w:sz="0" w:space="0" w:color="auto"/>
      </w:divBdr>
    </w:div>
    <w:div w:id="646251656">
      <w:bodyDiv w:val="1"/>
      <w:marLeft w:val="0"/>
      <w:marRight w:val="0"/>
      <w:marTop w:val="0"/>
      <w:marBottom w:val="0"/>
      <w:divBdr>
        <w:top w:val="none" w:sz="0" w:space="0" w:color="auto"/>
        <w:left w:val="none" w:sz="0" w:space="0" w:color="auto"/>
        <w:bottom w:val="none" w:sz="0" w:space="0" w:color="auto"/>
        <w:right w:val="none" w:sz="0" w:space="0" w:color="auto"/>
      </w:divBdr>
    </w:div>
    <w:div w:id="647436425">
      <w:bodyDiv w:val="1"/>
      <w:marLeft w:val="0"/>
      <w:marRight w:val="0"/>
      <w:marTop w:val="0"/>
      <w:marBottom w:val="0"/>
      <w:divBdr>
        <w:top w:val="none" w:sz="0" w:space="0" w:color="auto"/>
        <w:left w:val="none" w:sz="0" w:space="0" w:color="auto"/>
        <w:bottom w:val="none" w:sz="0" w:space="0" w:color="auto"/>
        <w:right w:val="none" w:sz="0" w:space="0" w:color="auto"/>
      </w:divBdr>
    </w:div>
    <w:div w:id="672027022">
      <w:bodyDiv w:val="1"/>
      <w:marLeft w:val="0"/>
      <w:marRight w:val="0"/>
      <w:marTop w:val="0"/>
      <w:marBottom w:val="0"/>
      <w:divBdr>
        <w:top w:val="none" w:sz="0" w:space="0" w:color="auto"/>
        <w:left w:val="none" w:sz="0" w:space="0" w:color="auto"/>
        <w:bottom w:val="none" w:sz="0" w:space="0" w:color="auto"/>
        <w:right w:val="none" w:sz="0" w:space="0" w:color="auto"/>
      </w:divBdr>
    </w:div>
    <w:div w:id="681207527">
      <w:bodyDiv w:val="1"/>
      <w:marLeft w:val="0"/>
      <w:marRight w:val="0"/>
      <w:marTop w:val="0"/>
      <w:marBottom w:val="0"/>
      <w:divBdr>
        <w:top w:val="none" w:sz="0" w:space="0" w:color="auto"/>
        <w:left w:val="none" w:sz="0" w:space="0" w:color="auto"/>
        <w:bottom w:val="none" w:sz="0" w:space="0" w:color="auto"/>
        <w:right w:val="none" w:sz="0" w:space="0" w:color="auto"/>
      </w:divBdr>
    </w:div>
    <w:div w:id="695499344">
      <w:bodyDiv w:val="1"/>
      <w:marLeft w:val="0"/>
      <w:marRight w:val="0"/>
      <w:marTop w:val="0"/>
      <w:marBottom w:val="0"/>
      <w:divBdr>
        <w:top w:val="none" w:sz="0" w:space="0" w:color="auto"/>
        <w:left w:val="none" w:sz="0" w:space="0" w:color="auto"/>
        <w:bottom w:val="none" w:sz="0" w:space="0" w:color="auto"/>
        <w:right w:val="none" w:sz="0" w:space="0" w:color="auto"/>
      </w:divBdr>
      <w:divsChild>
        <w:div w:id="34545407">
          <w:marLeft w:val="547"/>
          <w:marRight w:val="0"/>
          <w:marTop w:val="0"/>
          <w:marBottom w:val="0"/>
          <w:divBdr>
            <w:top w:val="none" w:sz="0" w:space="0" w:color="auto"/>
            <w:left w:val="none" w:sz="0" w:space="0" w:color="auto"/>
            <w:bottom w:val="none" w:sz="0" w:space="0" w:color="auto"/>
            <w:right w:val="none" w:sz="0" w:space="0" w:color="auto"/>
          </w:divBdr>
        </w:div>
      </w:divsChild>
    </w:div>
    <w:div w:id="746197366">
      <w:bodyDiv w:val="1"/>
      <w:marLeft w:val="0"/>
      <w:marRight w:val="0"/>
      <w:marTop w:val="0"/>
      <w:marBottom w:val="0"/>
      <w:divBdr>
        <w:top w:val="none" w:sz="0" w:space="0" w:color="auto"/>
        <w:left w:val="none" w:sz="0" w:space="0" w:color="auto"/>
        <w:bottom w:val="none" w:sz="0" w:space="0" w:color="auto"/>
        <w:right w:val="none" w:sz="0" w:space="0" w:color="auto"/>
      </w:divBdr>
    </w:div>
    <w:div w:id="759721368">
      <w:bodyDiv w:val="1"/>
      <w:marLeft w:val="0"/>
      <w:marRight w:val="0"/>
      <w:marTop w:val="0"/>
      <w:marBottom w:val="0"/>
      <w:divBdr>
        <w:top w:val="none" w:sz="0" w:space="0" w:color="auto"/>
        <w:left w:val="none" w:sz="0" w:space="0" w:color="auto"/>
        <w:bottom w:val="none" w:sz="0" w:space="0" w:color="auto"/>
        <w:right w:val="none" w:sz="0" w:space="0" w:color="auto"/>
      </w:divBdr>
      <w:divsChild>
        <w:div w:id="728915772">
          <w:marLeft w:val="0"/>
          <w:marRight w:val="0"/>
          <w:marTop w:val="0"/>
          <w:marBottom w:val="0"/>
          <w:divBdr>
            <w:top w:val="none" w:sz="0" w:space="0" w:color="auto"/>
            <w:left w:val="none" w:sz="0" w:space="0" w:color="auto"/>
            <w:bottom w:val="none" w:sz="0" w:space="0" w:color="auto"/>
            <w:right w:val="none" w:sz="0" w:space="0" w:color="auto"/>
          </w:divBdr>
          <w:divsChild>
            <w:div w:id="1298758209">
              <w:marLeft w:val="0"/>
              <w:marRight w:val="0"/>
              <w:marTop w:val="0"/>
              <w:marBottom w:val="750"/>
              <w:divBdr>
                <w:top w:val="none" w:sz="0" w:space="0" w:color="auto"/>
                <w:left w:val="none" w:sz="0" w:space="0" w:color="auto"/>
                <w:bottom w:val="none" w:sz="0" w:space="0" w:color="auto"/>
                <w:right w:val="none" w:sz="0" w:space="0" w:color="auto"/>
              </w:divBdr>
              <w:divsChild>
                <w:div w:id="1179197147">
                  <w:marLeft w:val="0"/>
                  <w:marRight w:val="0"/>
                  <w:marTop w:val="0"/>
                  <w:marBottom w:val="0"/>
                  <w:divBdr>
                    <w:top w:val="none" w:sz="0" w:space="0" w:color="auto"/>
                    <w:left w:val="none" w:sz="0" w:space="0" w:color="auto"/>
                    <w:bottom w:val="none" w:sz="0" w:space="0" w:color="auto"/>
                    <w:right w:val="none" w:sz="0" w:space="0" w:color="auto"/>
                  </w:divBdr>
                  <w:divsChild>
                    <w:div w:id="1026105565">
                      <w:marLeft w:val="0"/>
                      <w:marRight w:val="0"/>
                      <w:marTop w:val="0"/>
                      <w:marBottom w:val="0"/>
                      <w:divBdr>
                        <w:top w:val="none" w:sz="0" w:space="0" w:color="auto"/>
                        <w:left w:val="none" w:sz="0" w:space="0" w:color="auto"/>
                        <w:bottom w:val="none" w:sz="0" w:space="0" w:color="auto"/>
                        <w:right w:val="none" w:sz="0" w:space="0" w:color="auto"/>
                      </w:divBdr>
                      <w:divsChild>
                        <w:div w:id="568074023">
                          <w:marLeft w:val="0"/>
                          <w:marRight w:val="0"/>
                          <w:marTop w:val="0"/>
                          <w:marBottom w:val="0"/>
                          <w:divBdr>
                            <w:top w:val="none" w:sz="0" w:space="0" w:color="auto"/>
                            <w:left w:val="none" w:sz="0" w:space="0" w:color="auto"/>
                            <w:bottom w:val="none" w:sz="0" w:space="0" w:color="auto"/>
                            <w:right w:val="none" w:sz="0" w:space="0" w:color="auto"/>
                          </w:divBdr>
                          <w:divsChild>
                            <w:div w:id="2130859125">
                              <w:marLeft w:val="0"/>
                              <w:marRight w:val="0"/>
                              <w:marTop w:val="0"/>
                              <w:marBottom w:val="0"/>
                              <w:divBdr>
                                <w:top w:val="none" w:sz="0" w:space="0" w:color="auto"/>
                                <w:left w:val="none" w:sz="0" w:space="0" w:color="auto"/>
                                <w:bottom w:val="none" w:sz="0" w:space="0" w:color="auto"/>
                                <w:right w:val="none" w:sz="0" w:space="0" w:color="auto"/>
                              </w:divBdr>
                              <w:divsChild>
                                <w:div w:id="706560595">
                                  <w:marLeft w:val="0"/>
                                  <w:marRight w:val="0"/>
                                  <w:marTop w:val="0"/>
                                  <w:marBottom w:val="0"/>
                                  <w:divBdr>
                                    <w:top w:val="none" w:sz="0" w:space="0" w:color="auto"/>
                                    <w:left w:val="none" w:sz="0" w:space="0" w:color="auto"/>
                                    <w:bottom w:val="none" w:sz="0" w:space="0" w:color="auto"/>
                                    <w:right w:val="none" w:sz="0" w:space="0" w:color="auto"/>
                                  </w:divBdr>
                                  <w:divsChild>
                                    <w:div w:id="1460879599">
                                      <w:marLeft w:val="0"/>
                                      <w:marRight w:val="0"/>
                                      <w:marTop w:val="0"/>
                                      <w:marBottom w:val="0"/>
                                      <w:divBdr>
                                        <w:top w:val="none" w:sz="0" w:space="0" w:color="auto"/>
                                        <w:left w:val="none" w:sz="0" w:space="0" w:color="auto"/>
                                        <w:bottom w:val="none" w:sz="0" w:space="0" w:color="auto"/>
                                        <w:right w:val="none" w:sz="0" w:space="0" w:color="auto"/>
                                      </w:divBdr>
                                      <w:divsChild>
                                        <w:div w:id="1435859802">
                                          <w:marLeft w:val="0"/>
                                          <w:marRight w:val="0"/>
                                          <w:marTop w:val="0"/>
                                          <w:marBottom w:val="0"/>
                                          <w:divBdr>
                                            <w:top w:val="none" w:sz="0" w:space="0" w:color="auto"/>
                                            <w:left w:val="none" w:sz="0" w:space="0" w:color="auto"/>
                                            <w:bottom w:val="none" w:sz="0" w:space="0" w:color="auto"/>
                                            <w:right w:val="none" w:sz="0" w:space="0" w:color="auto"/>
                                          </w:divBdr>
                                          <w:divsChild>
                                            <w:div w:id="1885478082">
                                              <w:marLeft w:val="0"/>
                                              <w:marRight w:val="0"/>
                                              <w:marTop w:val="0"/>
                                              <w:marBottom w:val="0"/>
                                              <w:divBdr>
                                                <w:top w:val="none" w:sz="0" w:space="0" w:color="auto"/>
                                                <w:left w:val="none" w:sz="0" w:space="0" w:color="auto"/>
                                                <w:bottom w:val="none" w:sz="0" w:space="0" w:color="auto"/>
                                                <w:right w:val="none" w:sz="0" w:space="0" w:color="auto"/>
                                              </w:divBdr>
                                              <w:divsChild>
                                                <w:div w:id="51737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8233440">
      <w:bodyDiv w:val="1"/>
      <w:marLeft w:val="0"/>
      <w:marRight w:val="0"/>
      <w:marTop w:val="0"/>
      <w:marBottom w:val="0"/>
      <w:divBdr>
        <w:top w:val="none" w:sz="0" w:space="0" w:color="auto"/>
        <w:left w:val="none" w:sz="0" w:space="0" w:color="auto"/>
        <w:bottom w:val="none" w:sz="0" w:space="0" w:color="auto"/>
        <w:right w:val="none" w:sz="0" w:space="0" w:color="auto"/>
      </w:divBdr>
    </w:div>
    <w:div w:id="798718863">
      <w:bodyDiv w:val="1"/>
      <w:marLeft w:val="0"/>
      <w:marRight w:val="0"/>
      <w:marTop w:val="0"/>
      <w:marBottom w:val="0"/>
      <w:divBdr>
        <w:top w:val="none" w:sz="0" w:space="0" w:color="auto"/>
        <w:left w:val="none" w:sz="0" w:space="0" w:color="auto"/>
        <w:bottom w:val="none" w:sz="0" w:space="0" w:color="auto"/>
        <w:right w:val="none" w:sz="0" w:space="0" w:color="auto"/>
      </w:divBdr>
    </w:div>
    <w:div w:id="834807572">
      <w:bodyDiv w:val="1"/>
      <w:marLeft w:val="0"/>
      <w:marRight w:val="0"/>
      <w:marTop w:val="0"/>
      <w:marBottom w:val="0"/>
      <w:divBdr>
        <w:top w:val="none" w:sz="0" w:space="0" w:color="auto"/>
        <w:left w:val="none" w:sz="0" w:space="0" w:color="auto"/>
        <w:bottom w:val="none" w:sz="0" w:space="0" w:color="auto"/>
        <w:right w:val="none" w:sz="0" w:space="0" w:color="auto"/>
      </w:divBdr>
    </w:div>
    <w:div w:id="865220641">
      <w:bodyDiv w:val="1"/>
      <w:marLeft w:val="0"/>
      <w:marRight w:val="0"/>
      <w:marTop w:val="0"/>
      <w:marBottom w:val="0"/>
      <w:divBdr>
        <w:top w:val="none" w:sz="0" w:space="0" w:color="auto"/>
        <w:left w:val="none" w:sz="0" w:space="0" w:color="auto"/>
        <w:bottom w:val="none" w:sz="0" w:space="0" w:color="auto"/>
        <w:right w:val="none" w:sz="0" w:space="0" w:color="auto"/>
      </w:divBdr>
    </w:div>
    <w:div w:id="868299399">
      <w:bodyDiv w:val="1"/>
      <w:marLeft w:val="0"/>
      <w:marRight w:val="0"/>
      <w:marTop w:val="0"/>
      <w:marBottom w:val="0"/>
      <w:divBdr>
        <w:top w:val="none" w:sz="0" w:space="0" w:color="auto"/>
        <w:left w:val="none" w:sz="0" w:space="0" w:color="auto"/>
        <w:bottom w:val="none" w:sz="0" w:space="0" w:color="auto"/>
        <w:right w:val="none" w:sz="0" w:space="0" w:color="auto"/>
      </w:divBdr>
    </w:div>
    <w:div w:id="882058575">
      <w:bodyDiv w:val="1"/>
      <w:marLeft w:val="0"/>
      <w:marRight w:val="0"/>
      <w:marTop w:val="0"/>
      <w:marBottom w:val="0"/>
      <w:divBdr>
        <w:top w:val="none" w:sz="0" w:space="0" w:color="auto"/>
        <w:left w:val="none" w:sz="0" w:space="0" w:color="auto"/>
        <w:bottom w:val="none" w:sz="0" w:space="0" w:color="auto"/>
        <w:right w:val="none" w:sz="0" w:space="0" w:color="auto"/>
      </w:divBdr>
    </w:div>
    <w:div w:id="897715211">
      <w:bodyDiv w:val="1"/>
      <w:marLeft w:val="0"/>
      <w:marRight w:val="0"/>
      <w:marTop w:val="0"/>
      <w:marBottom w:val="0"/>
      <w:divBdr>
        <w:top w:val="none" w:sz="0" w:space="0" w:color="auto"/>
        <w:left w:val="none" w:sz="0" w:space="0" w:color="auto"/>
        <w:bottom w:val="none" w:sz="0" w:space="0" w:color="auto"/>
        <w:right w:val="none" w:sz="0" w:space="0" w:color="auto"/>
      </w:divBdr>
    </w:div>
    <w:div w:id="899484534">
      <w:bodyDiv w:val="1"/>
      <w:marLeft w:val="0"/>
      <w:marRight w:val="0"/>
      <w:marTop w:val="0"/>
      <w:marBottom w:val="0"/>
      <w:divBdr>
        <w:top w:val="none" w:sz="0" w:space="0" w:color="auto"/>
        <w:left w:val="none" w:sz="0" w:space="0" w:color="auto"/>
        <w:bottom w:val="none" w:sz="0" w:space="0" w:color="auto"/>
        <w:right w:val="none" w:sz="0" w:space="0" w:color="auto"/>
      </w:divBdr>
    </w:div>
    <w:div w:id="918364870">
      <w:bodyDiv w:val="1"/>
      <w:marLeft w:val="0"/>
      <w:marRight w:val="0"/>
      <w:marTop w:val="0"/>
      <w:marBottom w:val="0"/>
      <w:divBdr>
        <w:top w:val="none" w:sz="0" w:space="0" w:color="auto"/>
        <w:left w:val="none" w:sz="0" w:space="0" w:color="auto"/>
        <w:bottom w:val="none" w:sz="0" w:space="0" w:color="auto"/>
        <w:right w:val="none" w:sz="0" w:space="0" w:color="auto"/>
      </w:divBdr>
    </w:div>
    <w:div w:id="938147963">
      <w:bodyDiv w:val="1"/>
      <w:marLeft w:val="0"/>
      <w:marRight w:val="0"/>
      <w:marTop w:val="0"/>
      <w:marBottom w:val="0"/>
      <w:divBdr>
        <w:top w:val="none" w:sz="0" w:space="0" w:color="auto"/>
        <w:left w:val="none" w:sz="0" w:space="0" w:color="auto"/>
        <w:bottom w:val="none" w:sz="0" w:space="0" w:color="auto"/>
        <w:right w:val="none" w:sz="0" w:space="0" w:color="auto"/>
      </w:divBdr>
    </w:div>
    <w:div w:id="939870570">
      <w:bodyDiv w:val="1"/>
      <w:marLeft w:val="0"/>
      <w:marRight w:val="0"/>
      <w:marTop w:val="0"/>
      <w:marBottom w:val="0"/>
      <w:divBdr>
        <w:top w:val="none" w:sz="0" w:space="0" w:color="auto"/>
        <w:left w:val="none" w:sz="0" w:space="0" w:color="auto"/>
        <w:bottom w:val="none" w:sz="0" w:space="0" w:color="auto"/>
        <w:right w:val="none" w:sz="0" w:space="0" w:color="auto"/>
      </w:divBdr>
    </w:div>
    <w:div w:id="955671975">
      <w:bodyDiv w:val="1"/>
      <w:marLeft w:val="0"/>
      <w:marRight w:val="0"/>
      <w:marTop w:val="0"/>
      <w:marBottom w:val="0"/>
      <w:divBdr>
        <w:top w:val="none" w:sz="0" w:space="0" w:color="auto"/>
        <w:left w:val="none" w:sz="0" w:space="0" w:color="auto"/>
        <w:bottom w:val="none" w:sz="0" w:space="0" w:color="auto"/>
        <w:right w:val="none" w:sz="0" w:space="0" w:color="auto"/>
      </w:divBdr>
    </w:div>
    <w:div w:id="984893040">
      <w:bodyDiv w:val="1"/>
      <w:marLeft w:val="0"/>
      <w:marRight w:val="0"/>
      <w:marTop w:val="0"/>
      <w:marBottom w:val="0"/>
      <w:divBdr>
        <w:top w:val="none" w:sz="0" w:space="0" w:color="auto"/>
        <w:left w:val="none" w:sz="0" w:space="0" w:color="auto"/>
        <w:bottom w:val="none" w:sz="0" w:space="0" w:color="auto"/>
        <w:right w:val="none" w:sz="0" w:space="0" w:color="auto"/>
      </w:divBdr>
    </w:div>
    <w:div w:id="994063709">
      <w:bodyDiv w:val="1"/>
      <w:marLeft w:val="0"/>
      <w:marRight w:val="0"/>
      <w:marTop w:val="0"/>
      <w:marBottom w:val="0"/>
      <w:divBdr>
        <w:top w:val="none" w:sz="0" w:space="0" w:color="auto"/>
        <w:left w:val="none" w:sz="0" w:space="0" w:color="auto"/>
        <w:bottom w:val="none" w:sz="0" w:space="0" w:color="auto"/>
        <w:right w:val="none" w:sz="0" w:space="0" w:color="auto"/>
      </w:divBdr>
    </w:div>
    <w:div w:id="1010058570">
      <w:bodyDiv w:val="1"/>
      <w:marLeft w:val="0"/>
      <w:marRight w:val="0"/>
      <w:marTop w:val="0"/>
      <w:marBottom w:val="0"/>
      <w:divBdr>
        <w:top w:val="none" w:sz="0" w:space="0" w:color="auto"/>
        <w:left w:val="none" w:sz="0" w:space="0" w:color="auto"/>
        <w:bottom w:val="none" w:sz="0" w:space="0" w:color="auto"/>
        <w:right w:val="none" w:sz="0" w:space="0" w:color="auto"/>
      </w:divBdr>
    </w:div>
    <w:div w:id="1056978055">
      <w:bodyDiv w:val="1"/>
      <w:marLeft w:val="0"/>
      <w:marRight w:val="0"/>
      <w:marTop w:val="0"/>
      <w:marBottom w:val="0"/>
      <w:divBdr>
        <w:top w:val="none" w:sz="0" w:space="0" w:color="auto"/>
        <w:left w:val="none" w:sz="0" w:space="0" w:color="auto"/>
        <w:bottom w:val="none" w:sz="0" w:space="0" w:color="auto"/>
        <w:right w:val="none" w:sz="0" w:space="0" w:color="auto"/>
      </w:divBdr>
    </w:div>
    <w:div w:id="1061563174">
      <w:bodyDiv w:val="1"/>
      <w:marLeft w:val="0"/>
      <w:marRight w:val="0"/>
      <w:marTop w:val="0"/>
      <w:marBottom w:val="0"/>
      <w:divBdr>
        <w:top w:val="none" w:sz="0" w:space="0" w:color="auto"/>
        <w:left w:val="none" w:sz="0" w:space="0" w:color="auto"/>
        <w:bottom w:val="none" w:sz="0" w:space="0" w:color="auto"/>
        <w:right w:val="none" w:sz="0" w:space="0" w:color="auto"/>
      </w:divBdr>
    </w:div>
    <w:div w:id="1066368791">
      <w:bodyDiv w:val="1"/>
      <w:marLeft w:val="0"/>
      <w:marRight w:val="0"/>
      <w:marTop w:val="0"/>
      <w:marBottom w:val="0"/>
      <w:divBdr>
        <w:top w:val="none" w:sz="0" w:space="0" w:color="auto"/>
        <w:left w:val="none" w:sz="0" w:space="0" w:color="auto"/>
        <w:bottom w:val="none" w:sz="0" w:space="0" w:color="auto"/>
        <w:right w:val="none" w:sz="0" w:space="0" w:color="auto"/>
      </w:divBdr>
    </w:div>
    <w:div w:id="1101611783">
      <w:bodyDiv w:val="1"/>
      <w:marLeft w:val="0"/>
      <w:marRight w:val="0"/>
      <w:marTop w:val="0"/>
      <w:marBottom w:val="0"/>
      <w:divBdr>
        <w:top w:val="none" w:sz="0" w:space="0" w:color="auto"/>
        <w:left w:val="none" w:sz="0" w:space="0" w:color="auto"/>
        <w:bottom w:val="none" w:sz="0" w:space="0" w:color="auto"/>
        <w:right w:val="none" w:sz="0" w:space="0" w:color="auto"/>
      </w:divBdr>
    </w:div>
    <w:div w:id="1113403943">
      <w:bodyDiv w:val="1"/>
      <w:marLeft w:val="0"/>
      <w:marRight w:val="0"/>
      <w:marTop w:val="0"/>
      <w:marBottom w:val="0"/>
      <w:divBdr>
        <w:top w:val="none" w:sz="0" w:space="0" w:color="auto"/>
        <w:left w:val="none" w:sz="0" w:space="0" w:color="auto"/>
        <w:bottom w:val="none" w:sz="0" w:space="0" w:color="auto"/>
        <w:right w:val="none" w:sz="0" w:space="0" w:color="auto"/>
      </w:divBdr>
    </w:div>
    <w:div w:id="1144935346">
      <w:bodyDiv w:val="1"/>
      <w:marLeft w:val="0"/>
      <w:marRight w:val="0"/>
      <w:marTop w:val="0"/>
      <w:marBottom w:val="0"/>
      <w:divBdr>
        <w:top w:val="none" w:sz="0" w:space="0" w:color="auto"/>
        <w:left w:val="none" w:sz="0" w:space="0" w:color="auto"/>
        <w:bottom w:val="none" w:sz="0" w:space="0" w:color="auto"/>
        <w:right w:val="none" w:sz="0" w:space="0" w:color="auto"/>
      </w:divBdr>
    </w:div>
    <w:div w:id="1165634322">
      <w:bodyDiv w:val="1"/>
      <w:marLeft w:val="0"/>
      <w:marRight w:val="0"/>
      <w:marTop w:val="0"/>
      <w:marBottom w:val="0"/>
      <w:divBdr>
        <w:top w:val="none" w:sz="0" w:space="0" w:color="auto"/>
        <w:left w:val="none" w:sz="0" w:space="0" w:color="auto"/>
        <w:bottom w:val="none" w:sz="0" w:space="0" w:color="auto"/>
        <w:right w:val="none" w:sz="0" w:space="0" w:color="auto"/>
      </w:divBdr>
    </w:div>
    <w:div w:id="1240404727">
      <w:bodyDiv w:val="1"/>
      <w:marLeft w:val="0"/>
      <w:marRight w:val="0"/>
      <w:marTop w:val="0"/>
      <w:marBottom w:val="0"/>
      <w:divBdr>
        <w:top w:val="none" w:sz="0" w:space="0" w:color="auto"/>
        <w:left w:val="none" w:sz="0" w:space="0" w:color="auto"/>
        <w:bottom w:val="none" w:sz="0" w:space="0" w:color="auto"/>
        <w:right w:val="none" w:sz="0" w:space="0" w:color="auto"/>
      </w:divBdr>
    </w:div>
    <w:div w:id="1269002896">
      <w:bodyDiv w:val="1"/>
      <w:marLeft w:val="0"/>
      <w:marRight w:val="0"/>
      <w:marTop w:val="0"/>
      <w:marBottom w:val="0"/>
      <w:divBdr>
        <w:top w:val="none" w:sz="0" w:space="0" w:color="auto"/>
        <w:left w:val="none" w:sz="0" w:space="0" w:color="auto"/>
        <w:bottom w:val="none" w:sz="0" w:space="0" w:color="auto"/>
        <w:right w:val="none" w:sz="0" w:space="0" w:color="auto"/>
      </w:divBdr>
    </w:div>
    <w:div w:id="1295017897">
      <w:bodyDiv w:val="1"/>
      <w:marLeft w:val="0"/>
      <w:marRight w:val="0"/>
      <w:marTop w:val="0"/>
      <w:marBottom w:val="0"/>
      <w:divBdr>
        <w:top w:val="none" w:sz="0" w:space="0" w:color="auto"/>
        <w:left w:val="none" w:sz="0" w:space="0" w:color="auto"/>
        <w:bottom w:val="none" w:sz="0" w:space="0" w:color="auto"/>
        <w:right w:val="none" w:sz="0" w:space="0" w:color="auto"/>
      </w:divBdr>
      <w:divsChild>
        <w:div w:id="975526590">
          <w:marLeft w:val="0"/>
          <w:marRight w:val="0"/>
          <w:marTop w:val="0"/>
          <w:marBottom w:val="0"/>
          <w:divBdr>
            <w:top w:val="none" w:sz="0" w:space="0" w:color="auto"/>
            <w:left w:val="none" w:sz="0" w:space="0" w:color="auto"/>
            <w:bottom w:val="none" w:sz="0" w:space="0" w:color="auto"/>
            <w:right w:val="none" w:sz="0" w:space="0" w:color="auto"/>
          </w:divBdr>
          <w:divsChild>
            <w:div w:id="714739171">
              <w:marLeft w:val="0"/>
              <w:marRight w:val="0"/>
              <w:marTop w:val="0"/>
              <w:marBottom w:val="0"/>
              <w:divBdr>
                <w:top w:val="none" w:sz="0" w:space="0" w:color="auto"/>
                <w:left w:val="none" w:sz="0" w:space="0" w:color="auto"/>
                <w:bottom w:val="none" w:sz="0" w:space="0" w:color="auto"/>
                <w:right w:val="none" w:sz="0" w:space="0" w:color="auto"/>
              </w:divBdr>
              <w:divsChild>
                <w:div w:id="1073626164">
                  <w:marLeft w:val="0"/>
                  <w:marRight w:val="0"/>
                  <w:marTop w:val="0"/>
                  <w:marBottom w:val="0"/>
                  <w:divBdr>
                    <w:top w:val="none" w:sz="0" w:space="0" w:color="auto"/>
                    <w:left w:val="none" w:sz="0" w:space="0" w:color="auto"/>
                    <w:bottom w:val="none" w:sz="0" w:space="0" w:color="auto"/>
                    <w:right w:val="none" w:sz="0" w:space="0" w:color="auto"/>
                  </w:divBdr>
                  <w:divsChild>
                    <w:div w:id="39332532">
                      <w:marLeft w:val="0"/>
                      <w:marRight w:val="0"/>
                      <w:marTop w:val="0"/>
                      <w:marBottom w:val="0"/>
                      <w:divBdr>
                        <w:top w:val="none" w:sz="0" w:space="0" w:color="auto"/>
                        <w:left w:val="none" w:sz="0" w:space="0" w:color="auto"/>
                        <w:bottom w:val="none" w:sz="0" w:space="0" w:color="auto"/>
                        <w:right w:val="none" w:sz="0" w:space="0" w:color="auto"/>
                      </w:divBdr>
                      <w:divsChild>
                        <w:div w:id="2087025899">
                          <w:marLeft w:val="0"/>
                          <w:marRight w:val="0"/>
                          <w:marTop w:val="0"/>
                          <w:marBottom w:val="0"/>
                          <w:divBdr>
                            <w:top w:val="none" w:sz="0" w:space="0" w:color="auto"/>
                            <w:left w:val="none" w:sz="0" w:space="0" w:color="auto"/>
                            <w:bottom w:val="none" w:sz="0" w:space="0" w:color="auto"/>
                            <w:right w:val="none" w:sz="0" w:space="0" w:color="auto"/>
                          </w:divBdr>
                          <w:divsChild>
                            <w:div w:id="1178232198">
                              <w:marLeft w:val="0"/>
                              <w:marRight w:val="0"/>
                              <w:marTop w:val="0"/>
                              <w:marBottom w:val="0"/>
                              <w:divBdr>
                                <w:top w:val="none" w:sz="0" w:space="0" w:color="auto"/>
                                <w:left w:val="none" w:sz="0" w:space="0" w:color="auto"/>
                                <w:bottom w:val="none" w:sz="0" w:space="0" w:color="auto"/>
                                <w:right w:val="none" w:sz="0" w:space="0" w:color="auto"/>
                              </w:divBdr>
                              <w:divsChild>
                                <w:div w:id="167426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8898507">
      <w:bodyDiv w:val="1"/>
      <w:marLeft w:val="0"/>
      <w:marRight w:val="0"/>
      <w:marTop w:val="0"/>
      <w:marBottom w:val="0"/>
      <w:divBdr>
        <w:top w:val="none" w:sz="0" w:space="0" w:color="auto"/>
        <w:left w:val="none" w:sz="0" w:space="0" w:color="auto"/>
        <w:bottom w:val="none" w:sz="0" w:space="0" w:color="auto"/>
        <w:right w:val="none" w:sz="0" w:space="0" w:color="auto"/>
      </w:divBdr>
    </w:div>
    <w:div w:id="1310670285">
      <w:bodyDiv w:val="1"/>
      <w:marLeft w:val="0"/>
      <w:marRight w:val="0"/>
      <w:marTop w:val="0"/>
      <w:marBottom w:val="0"/>
      <w:divBdr>
        <w:top w:val="none" w:sz="0" w:space="0" w:color="auto"/>
        <w:left w:val="none" w:sz="0" w:space="0" w:color="auto"/>
        <w:bottom w:val="none" w:sz="0" w:space="0" w:color="auto"/>
        <w:right w:val="none" w:sz="0" w:space="0" w:color="auto"/>
      </w:divBdr>
    </w:div>
    <w:div w:id="1314144584">
      <w:bodyDiv w:val="1"/>
      <w:marLeft w:val="0"/>
      <w:marRight w:val="0"/>
      <w:marTop w:val="0"/>
      <w:marBottom w:val="0"/>
      <w:divBdr>
        <w:top w:val="none" w:sz="0" w:space="0" w:color="auto"/>
        <w:left w:val="none" w:sz="0" w:space="0" w:color="auto"/>
        <w:bottom w:val="none" w:sz="0" w:space="0" w:color="auto"/>
        <w:right w:val="none" w:sz="0" w:space="0" w:color="auto"/>
      </w:divBdr>
    </w:div>
    <w:div w:id="1320187251">
      <w:bodyDiv w:val="1"/>
      <w:marLeft w:val="0"/>
      <w:marRight w:val="0"/>
      <w:marTop w:val="0"/>
      <w:marBottom w:val="0"/>
      <w:divBdr>
        <w:top w:val="none" w:sz="0" w:space="0" w:color="auto"/>
        <w:left w:val="none" w:sz="0" w:space="0" w:color="auto"/>
        <w:bottom w:val="none" w:sz="0" w:space="0" w:color="auto"/>
        <w:right w:val="none" w:sz="0" w:space="0" w:color="auto"/>
      </w:divBdr>
    </w:div>
    <w:div w:id="1336807693">
      <w:bodyDiv w:val="1"/>
      <w:marLeft w:val="0"/>
      <w:marRight w:val="0"/>
      <w:marTop w:val="0"/>
      <w:marBottom w:val="0"/>
      <w:divBdr>
        <w:top w:val="none" w:sz="0" w:space="0" w:color="auto"/>
        <w:left w:val="none" w:sz="0" w:space="0" w:color="auto"/>
        <w:bottom w:val="none" w:sz="0" w:space="0" w:color="auto"/>
        <w:right w:val="none" w:sz="0" w:space="0" w:color="auto"/>
      </w:divBdr>
    </w:div>
    <w:div w:id="1343052285">
      <w:bodyDiv w:val="1"/>
      <w:marLeft w:val="0"/>
      <w:marRight w:val="0"/>
      <w:marTop w:val="0"/>
      <w:marBottom w:val="0"/>
      <w:divBdr>
        <w:top w:val="none" w:sz="0" w:space="0" w:color="auto"/>
        <w:left w:val="none" w:sz="0" w:space="0" w:color="auto"/>
        <w:bottom w:val="none" w:sz="0" w:space="0" w:color="auto"/>
        <w:right w:val="none" w:sz="0" w:space="0" w:color="auto"/>
      </w:divBdr>
    </w:div>
    <w:div w:id="1369337725">
      <w:bodyDiv w:val="1"/>
      <w:marLeft w:val="0"/>
      <w:marRight w:val="0"/>
      <w:marTop w:val="0"/>
      <w:marBottom w:val="0"/>
      <w:divBdr>
        <w:top w:val="none" w:sz="0" w:space="0" w:color="auto"/>
        <w:left w:val="none" w:sz="0" w:space="0" w:color="auto"/>
        <w:bottom w:val="none" w:sz="0" w:space="0" w:color="auto"/>
        <w:right w:val="none" w:sz="0" w:space="0" w:color="auto"/>
      </w:divBdr>
    </w:div>
    <w:div w:id="1419592909">
      <w:bodyDiv w:val="1"/>
      <w:marLeft w:val="0"/>
      <w:marRight w:val="0"/>
      <w:marTop w:val="0"/>
      <w:marBottom w:val="0"/>
      <w:divBdr>
        <w:top w:val="none" w:sz="0" w:space="0" w:color="auto"/>
        <w:left w:val="none" w:sz="0" w:space="0" w:color="auto"/>
        <w:bottom w:val="none" w:sz="0" w:space="0" w:color="auto"/>
        <w:right w:val="none" w:sz="0" w:space="0" w:color="auto"/>
      </w:divBdr>
    </w:div>
    <w:div w:id="1441148969">
      <w:bodyDiv w:val="1"/>
      <w:marLeft w:val="0"/>
      <w:marRight w:val="0"/>
      <w:marTop w:val="0"/>
      <w:marBottom w:val="0"/>
      <w:divBdr>
        <w:top w:val="none" w:sz="0" w:space="0" w:color="auto"/>
        <w:left w:val="none" w:sz="0" w:space="0" w:color="auto"/>
        <w:bottom w:val="none" w:sz="0" w:space="0" w:color="auto"/>
        <w:right w:val="none" w:sz="0" w:space="0" w:color="auto"/>
      </w:divBdr>
    </w:div>
    <w:div w:id="1449468413">
      <w:bodyDiv w:val="1"/>
      <w:marLeft w:val="0"/>
      <w:marRight w:val="0"/>
      <w:marTop w:val="0"/>
      <w:marBottom w:val="0"/>
      <w:divBdr>
        <w:top w:val="none" w:sz="0" w:space="0" w:color="auto"/>
        <w:left w:val="none" w:sz="0" w:space="0" w:color="auto"/>
        <w:bottom w:val="none" w:sz="0" w:space="0" w:color="auto"/>
        <w:right w:val="none" w:sz="0" w:space="0" w:color="auto"/>
      </w:divBdr>
      <w:divsChild>
        <w:div w:id="2078898697">
          <w:marLeft w:val="0"/>
          <w:marRight w:val="0"/>
          <w:marTop w:val="0"/>
          <w:marBottom w:val="0"/>
          <w:divBdr>
            <w:top w:val="none" w:sz="0" w:space="0" w:color="auto"/>
            <w:left w:val="none" w:sz="0" w:space="0" w:color="auto"/>
            <w:bottom w:val="none" w:sz="0" w:space="0" w:color="auto"/>
            <w:right w:val="none" w:sz="0" w:space="0" w:color="auto"/>
          </w:divBdr>
          <w:divsChild>
            <w:div w:id="70543674">
              <w:marLeft w:val="0"/>
              <w:marRight w:val="0"/>
              <w:marTop w:val="0"/>
              <w:marBottom w:val="750"/>
              <w:divBdr>
                <w:top w:val="none" w:sz="0" w:space="0" w:color="auto"/>
                <w:left w:val="none" w:sz="0" w:space="0" w:color="auto"/>
                <w:bottom w:val="none" w:sz="0" w:space="0" w:color="auto"/>
                <w:right w:val="none" w:sz="0" w:space="0" w:color="auto"/>
              </w:divBdr>
              <w:divsChild>
                <w:div w:id="1280186650">
                  <w:marLeft w:val="0"/>
                  <w:marRight w:val="0"/>
                  <w:marTop w:val="0"/>
                  <w:marBottom w:val="0"/>
                  <w:divBdr>
                    <w:top w:val="none" w:sz="0" w:space="0" w:color="auto"/>
                    <w:left w:val="none" w:sz="0" w:space="0" w:color="auto"/>
                    <w:bottom w:val="none" w:sz="0" w:space="0" w:color="auto"/>
                    <w:right w:val="none" w:sz="0" w:space="0" w:color="auto"/>
                  </w:divBdr>
                  <w:divsChild>
                    <w:div w:id="898784598">
                      <w:marLeft w:val="0"/>
                      <w:marRight w:val="0"/>
                      <w:marTop w:val="0"/>
                      <w:marBottom w:val="0"/>
                      <w:divBdr>
                        <w:top w:val="none" w:sz="0" w:space="0" w:color="auto"/>
                        <w:left w:val="none" w:sz="0" w:space="0" w:color="auto"/>
                        <w:bottom w:val="none" w:sz="0" w:space="0" w:color="auto"/>
                        <w:right w:val="none" w:sz="0" w:space="0" w:color="auto"/>
                      </w:divBdr>
                      <w:divsChild>
                        <w:div w:id="351617674">
                          <w:marLeft w:val="0"/>
                          <w:marRight w:val="0"/>
                          <w:marTop w:val="0"/>
                          <w:marBottom w:val="0"/>
                          <w:divBdr>
                            <w:top w:val="none" w:sz="0" w:space="0" w:color="auto"/>
                            <w:left w:val="none" w:sz="0" w:space="0" w:color="auto"/>
                            <w:bottom w:val="none" w:sz="0" w:space="0" w:color="auto"/>
                            <w:right w:val="none" w:sz="0" w:space="0" w:color="auto"/>
                          </w:divBdr>
                          <w:divsChild>
                            <w:div w:id="962271211">
                              <w:marLeft w:val="0"/>
                              <w:marRight w:val="0"/>
                              <w:marTop w:val="0"/>
                              <w:marBottom w:val="0"/>
                              <w:divBdr>
                                <w:top w:val="none" w:sz="0" w:space="0" w:color="auto"/>
                                <w:left w:val="none" w:sz="0" w:space="0" w:color="auto"/>
                                <w:bottom w:val="none" w:sz="0" w:space="0" w:color="auto"/>
                                <w:right w:val="none" w:sz="0" w:space="0" w:color="auto"/>
                              </w:divBdr>
                              <w:divsChild>
                                <w:div w:id="932514158">
                                  <w:marLeft w:val="0"/>
                                  <w:marRight w:val="0"/>
                                  <w:marTop w:val="0"/>
                                  <w:marBottom w:val="0"/>
                                  <w:divBdr>
                                    <w:top w:val="none" w:sz="0" w:space="0" w:color="auto"/>
                                    <w:left w:val="none" w:sz="0" w:space="0" w:color="auto"/>
                                    <w:bottom w:val="none" w:sz="0" w:space="0" w:color="auto"/>
                                    <w:right w:val="none" w:sz="0" w:space="0" w:color="auto"/>
                                  </w:divBdr>
                                  <w:divsChild>
                                    <w:div w:id="733940024">
                                      <w:marLeft w:val="0"/>
                                      <w:marRight w:val="0"/>
                                      <w:marTop w:val="0"/>
                                      <w:marBottom w:val="0"/>
                                      <w:divBdr>
                                        <w:top w:val="none" w:sz="0" w:space="0" w:color="auto"/>
                                        <w:left w:val="none" w:sz="0" w:space="0" w:color="auto"/>
                                        <w:bottom w:val="none" w:sz="0" w:space="0" w:color="auto"/>
                                        <w:right w:val="none" w:sz="0" w:space="0" w:color="auto"/>
                                      </w:divBdr>
                                      <w:divsChild>
                                        <w:div w:id="1564682334">
                                          <w:marLeft w:val="0"/>
                                          <w:marRight w:val="0"/>
                                          <w:marTop w:val="0"/>
                                          <w:marBottom w:val="0"/>
                                          <w:divBdr>
                                            <w:top w:val="none" w:sz="0" w:space="0" w:color="auto"/>
                                            <w:left w:val="none" w:sz="0" w:space="0" w:color="auto"/>
                                            <w:bottom w:val="none" w:sz="0" w:space="0" w:color="auto"/>
                                            <w:right w:val="none" w:sz="0" w:space="0" w:color="auto"/>
                                          </w:divBdr>
                                          <w:divsChild>
                                            <w:div w:id="1349209409">
                                              <w:marLeft w:val="0"/>
                                              <w:marRight w:val="0"/>
                                              <w:marTop w:val="0"/>
                                              <w:marBottom w:val="0"/>
                                              <w:divBdr>
                                                <w:top w:val="none" w:sz="0" w:space="0" w:color="auto"/>
                                                <w:left w:val="none" w:sz="0" w:space="0" w:color="auto"/>
                                                <w:bottom w:val="none" w:sz="0" w:space="0" w:color="auto"/>
                                                <w:right w:val="none" w:sz="0" w:space="0" w:color="auto"/>
                                              </w:divBdr>
                                              <w:divsChild>
                                                <w:div w:id="127343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6488667">
      <w:bodyDiv w:val="1"/>
      <w:marLeft w:val="0"/>
      <w:marRight w:val="0"/>
      <w:marTop w:val="0"/>
      <w:marBottom w:val="0"/>
      <w:divBdr>
        <w:top w:val="none" w:sz="0" w:space="0" w:color="auto"/>
        <w:left w:val="none" w:sz="0" w:space="0" w:color="auto"/>
        <w:bottom w:val="none" w:sz="0" w:space="0" w:color="auto"/>
        <w:right w:val="none" w:sz="0" w:space="0" w:color="auto"/>
      </w:divBdr>
    </w:div>
    <w:div w:id="1466314597">
      <w:bodyDiv w:val="1"/>
      <w:marLeft w:val="0"/>
      <w:marRight w:val="0"/>
      <w:marTop w:val="0"/>
      <w:marBottom w:val="0"/>
      <w:divBdr>
        <w:top w:val="none" w:sz="0" w:space="0" w:color="auto"/>
        <w:left w:val="none" w:sz="0" w:space="0" w:color="auto"/>
        <w:bottom w:val="none" w:sz="0" w:space="0" w:color="auto"/>
        <w:right w:val="none" w:sz="0" w:space="0" w:color="auto"/>
      </w:divBdr>
      <w:divsChild>
        <w:div w:id="144786085">
          <w:marLeft w:val="1166"/>
          <w:marRight w:val="0"/>
          <w:marTop w:val="0"/>
          <w:marBottom w:val="0"/>
          <w:divBdr>
            <w:top w:val="none" w:sz="0" w:space="0" w:color="auto"/>
            <w:left w:val="none" w:sz="0" w:space="0" w:color="auto"/>
            <w:bottom w:val="none" w:sz="0" w:space="0" w:color="auto"/>
            <w:right w:val="none" w:sz="0" w:space="0" w:color="auto"/>
          </w:divBdr>
        </w:div>
        <w:div w:id="795024856">
          <w:marLeft w:val="547"/>
          <w:marRight w:val="0"/>
          <w:marTop w:val="0"/>
          <w:marBottom w:val="0"/>
          <w:divBdr>
            <w:top w:val="none" w:sz="0" w:space="0" w:color="auto"/>
            <w:left w:val="none" w:sz="0" w:space="0" w:color="auto"/>
            <w:bottom w:val="none" w:sz="0" w:space="0" w:color="auto"/>
            <w:right w:val="none" w:sz="0" w:space="0" w:color="auto"/>
          </w:divBdr>
        </w:div>
        <w:div w:id="1182742280">
          <w:marLeft w:val="547"/>
          <w:marRight w:val="0"/>
          <w:marTop w:val="0"/>
          <w:marBottom w:val="0"/>
          <w:divBdr>
            <w:top w:val="none" w:sz="0" w:space="0" w:color="auto"/>
            <w:left w:val="none" w:sz="0" w:space="0" w:color="auto"/>
            <w:bottom w:val="none" w:sz="0" w:space="0" w:color="auto"/>
            <w:right w:val="none" w:sz="0" w:space="0" w:color="auto"/>
          </w:divBdr>
        </w:div>
        <w:div w:id="1192260074">
          <w:marLeft w:val="547"/>
          <w:marRight w:val="0"/>
          <w:marTop w:val="0"/>
          <w:marBottom w:val="0"/>
          <w:divBdr>
            <w:top w:val="none" w:sz="0" w:space="0" w:color="auto"/>
            <w:left w:val="none" w:sz="0" w:space="0" w:color="auto"/>
            <w:bottom w:val="none" w:sz="0" w:space="0" w:color="auto"/>
            <w:right w:val="none" w:sz="0" w:space="0" w:color="auto"/>
          </w:divBdr>
        </w:div>
        <w:div w:id="1206991890">
          <w:marLeft w:val="547"/>
          <w:marRight w:val="0"/>
          <w:marTop w:val="0"/>
          <w:marBottom w:val="0"/>
          <w:divBdr>
            <w:top w:val="none" w:sz="0" w:space="0" w:color="auto"/>
            <w:left w:val="none" w:sz="0" w:space="0" w:color="auto"/>
            <w:bottom w:val="none" w:sz="0" w:space="0" w:color="auto"/>
            <w:right w:val="none" w:sz="0" w:space="0" w:color="auto"/>
          </w:divBdr>
        </w:div>
        <w:div w:id="1440637706">
          <w:marLeft w:val="1166"/>
          <w:marRight w:val="0"/>
          <w:marTop w:val="0"/>
          <w:marBottom w:val="0"/>
          <w:divBdr>
            <w:top w:val="none" w:sz="0" w:space="0" w:color="auto"/>
            <w:left w:val="none" w:sz="0" w:space="0" w:color="auto"/>
            <w:bottom w:val="none" w:sz="0" w:space="0" w:color="auto"/>
            <w:right w:val="none" w:sz="0" w:space="0" w:color="auto"/>
          </w:divBdr>
        </w:div>
        <w:div w:id="1686206583">
          <w:marLeft w:val="1166"/>
          <w:marRight w:val="0"/>
          <w:marTop w:val="0"/>
          <w:marBottom w:val="0"/>
          <w:divBdr>
            <w:top w:val="none" w:sz="0" w:space="0" w:color="auto"/>
            <w:left w:val="none" w:sz="0" w:space="0" w:color="auto"/>
            <w:bottom w:val="none" w:sz="0" w:space="0" w:color="auto"/>
            <w:right w:val="none" w:sz="0" w:space="0" w:color="auto"/>
          </w:divBdr>
        </w:div>
        <w:div w:id="1796437883">
          <w:marLeft w:val="1166"/>
          <w:marRight w:val="0"/>
          <w:marTop w:val="0"/>
          <w:marBottom w:val="0"/>
          <w:divBdr>
            <w:top w:val="none" w:sz="0" w:space="0" w:color="auto"/>
            <w:left w:val="none" w:sz="0" w:space="0" w:color="auto"/>
            <w:bottom w:val="none" w:sz="0" w:space="0" w:color="auto"/>
            <w:right w:val="none" w:sz="0" w:space="0" w:color="auto"/>
          </w:divBdr>
        </w:div>
      </w:divsChild>
    </w:div>
    <w:div w:id="1481849365">
      <w:bodyDiv w:val="1"/>
      <w:marLeft w:val="0"/>
      <w:marRight w:val="0"/>
      <w:marTop w:val="0"/>
      <w:marBottom w:val="0"/>
      <w:divBdr>
        <w:top w:val="none" w:sz="0" w:space="0" w:color="auto"/>
        <w:left w:val="none" w:sz="0" w:space="0" w:color="auto"/>
        <w:bottom w:val="none" w:sz="0" w:space="0" w:color="auto"/>
        <w:right w:val="none" w:sz="0" w:space="0" w:color="auto"/>
      </w:divBdr>
    </w:div>
    <w:div w:id="1490711663">
      <w:bodyDiv w:val="1"/>
      <w:marLeft w:val="0"/>
      <w:marRight w:val="0"/>
      <w:marTop w:val="0"/>
      <w:marBottom w:val="0"/>
      <w:divBdr>
        <w:top w:val="none" w:sz="0" w:space="0" w:color="auto"/>
        <w:left w:val="none" w:sz="0" w:space="0" w:color="auto"/>
        <w:bottom w:val="none" w:sz="0" w:space="0" w:color="auto"/>
        <w:right w:val="none" w:sz="0" w:space="0" w:color="auto"/>
      </w:divBdr>
    </w:div>
    <w:div w:id="1493254020">
      <w:bodyDiv w:val="1"/>
      <w:marLeft w:val="0"/>
      <w:marRight w:val="0"/>
      <w:marTop w:val="0"/>
      <w:marBottom w:val="0"/>
      <w:divBdr>
        <w:top w:val="none" w:sz="0" w:space="0" w:color="auto"/>
        <w:left w:val="none" w:sz="0" w:space="0" w:color="auto"/>
        <w:bottom w:val="none" w:sz="0" w:space="0" w:color="auto"/>
        <w:right w:val="none" w:sz="0" w:space="0" w:color="auto"/>
      </w:divBdr>
    </w:div>
    <w:div w:id="1515001308">
      <w:bodyDiv w:val="1"/>
      <w:marLeft w:val="0"/>
      <w:marRight w:val="0"/>
      <w:marTop w:val="0"/>
      <w:marBottom w:val="0"/>
      <w:divBdr>
        <w:top w:val="none" w:sz="0" w:space="0" w:color="auto"/>
        <w:left w:val="none" w:sz="0" w:space="0" w:color="auto"/>
        <w:bottom w:val="none" w:sz="0" w:space="0" w:color="auto"/>
        <w:right w:val="none" w:sz="0" w:space="0" w:color="auto"/>
      </w:divBdr>
    </w:div>
    <w:div w:id="1522621407">
      <w:bodyDiv w:val="1"/>
      <w:marLeft w:val="0"/>
      <w:marRight w:val="0"/>
      <w:marTop w:val="0"/>
      <w:marBottom w:val="0"/>
      <w:divBdr>
        <w:top w:val="none" w:sz="0" w:space="0" w:color="auto"/>
        <w:left w:val="none" w:sz="0" w:space="0" w:color="auto"/>
        <w:bottom w:val="none" w:sz="0" w:space="0" w:color="auto"/>
        <w:right w:val="none" w:sz="0" w:space="0" w:color="auto"/>
      </w:divBdr>
    </w:div>
    <w:div w:id="1523477455">
      <w:bodyDiv w:val="1"/>
      <w:marLeft w:val="0"/>
      <w:marRight w:val="0"/>
      <w:marTop w:val="0"/>
      <w:marBottom w:val="0"/>
      <w:divBdr>
        <w:top w:val="none" w:sz="0" w:space="0" w:color="auto"/>
        <w:left w:val="none" w:sz="0" w:space="0" w:color="auto"/>
        <w:bottom w:val="none" w:sz="0" w:space="0" w:color="auto"/>
        <w:right w:val="none" w:sz="0" w:space="0" w:color="auto"/>
      </w:divBdr>
    </w:div>
    <w:div w:id="1535194643">
      <w:bodyDiv w:val="1"/>
      <w:marLeft w:val="0"/>
      <w:marRight w:val="0"/>
      <w:marTop w:val="0"/>
      <w:marBottom w:val="0"/>
      <w:divBdr>
        <w:top w:val="none" w:sz="0" w:space="0" w:color="auto"/>
        <w:left w:val="none" w:sz="0" w:space="0" w:color="auto"/>
        <w:bottom w:val="none" w:sz="0" w:space="0" w:color="auto"/>
        <w:right w:val="none" w:sz="0" w:space="0" w:color="auto"/>
      </w:divBdr>
    </w:div>
    <w:div w:id="1538277599">
      <w:bodyDiv w:val="1"/>
      <w:marLeft w:val="0"/>
      <w:marRight w:val="0"/>
      <w:marTop w:val="0"/>
      <w:marBottom w:val="0"/>
      <w:divBdr>
        <w:top w:val="none" w:sz="0" w:space="0" w:color="auto"/>
        <w:left w:val="none" w:sz="0" w:space="0" w:color="auto"/>
        <w:bottom w:val="none" w:sz="0" w:space="0" w:color="auto"/>
        <w:right w:val="none" w:sz="0" w:space="0" w:color="auto"/>
      </w:divBdr>
    </w:div>
    <w:div w:id="1542328719">
      <w:bodyDiv w:val="1"/>
      <w:marLeft w:val="0"/>
      <w:marRight w:val="0"/>
      <w:marTop w:val="0"/>
      <w:marBottom w:val="0"/>
      <w:divBdr>
        <w:top w:val="none" w:sz="0" w:space="0" w:color="auto"/>
        <w:left w:val="none" w:sz="0" w:space="0" w:color="auto"/>
        <w:bottom w:val="none" w:sz="0" w:space="0" w:color="auto"/>
        <w:right w:val="none" w:sz="0" w:space="0" w:color="auto"/>
      </w:divBdr>
    </w:div>
    <w:div w:id="1568295746">
      <w:bodyDiv w:val="1"/>
      <w:marLeft w:val="0"/>
      <w:marRight w:val="0"/>
      <w:marTop w:val="0"/>
      <w:marBottom w:val="0"/>
      <w:divBdr>
        <w:top w:val="none" w:sz="0" w:space="0" w:color="auto"/>
        <w:left w:val="none" w:sz="0" w:space="0" w:color="auto"/>
        <w:bottom w:val="none" w:sz="0" w:space="0" w:color="auto"/>
        <w:right w:val="none" w:sz="0" w:space="0" w:color="auto"/>
      </w:divBdr>
    </w:div>
    <w:div w:id="1570575209">
      <w:bodyDiv w:val="1"/>
      <w:marLeft w:val="0"/>
      <w:marRight w:val="0"/>
      <w:marTop w:val="0"/>
      <w:marBottom w:val="0"/>
      <w:divBdr>
        <w:top w:val="none" w:sz="0" w:space="0" w:color="auto"/>
        <w:left w:val="none" w:sz="0" w:space="0" w:color="auto"/>
        <w:bottom w:val="none" w:sz="0" w:space="0" w:color="auto"/>
        <w:right w:val="none" w:sz="0" w:space="0" w:color="auto"/>
      </w:divBdr>
    </w:div>
    <w:div w:id="1622029226">
      <w:bodyDiv w:val="1"/>
      <w:marLeft w:val="0"/>
      <w:marRight w:val="0"/>
      <w:marTop w:val="0"/>
      <w:marBottom w:val="0"/>
      <w:divBdr>
        <w:top w:val="none" w:sz="0" w:space="0" w:color="auto"/>
        <w:left w:val="none" w:sz="0" w:space="0" w:color="auto"/>
        <w:bottom w:val="none" w:sz="0" w:space="0" w:color="auto"/>
        <w:right w:val="none" w:sz="0" w:space="0" w:color="auto"/>
      </w:divBdr>
    </w:div>
    <w:div w:id="1633948987">
      <w:bodyDiv w:val="1"/>
      <w:marLeft w:val="0"/>
      <w:marRight w:val="0"/>
      <w:marTop w:val="0"/>
      <w:marBottom w:val="0"/>
      <w:divBdr>
        <w:top w:val="none" w:sz="0" w:space="0" w:color="auto"/>
        <w:left w:val="none" w:sz="0" w:space="0" w:color="auto"/>
        <w:bottom w:val="none" w:sz="0" w:space="0" w:color="auto"/>
        <w:right w:val="none" w:sz="0" w:space="0" w:color="auto"/>
      </w:divBdr>
    </w:div>
    <w:div w:id="1636369498">
      <w:bodyDiv w:val="1"/>
      <w:marLeft w:val="0"/>
      <w:marRight w:val="0"/>
      <w:marTop w:val="0"/>
      <w:marBottom w:val="0"/>
      <w:divBdr>
        <w:top w:val="none" w:sz="0" w:space="0" w:color="auto"/>
        <w:left w:val="none" w:sz="0" w:space="0" w:color="auto"/>
        <w:bottom w:val="none" w:sz="0" w:space="0" w:color="auto"/>
        <w:right w:val="none" w:sz="0" w:space="0" w:color="auto"/>
      </w:divBdr>
    </w:div>
    <w:div w:id="1663504496">
      <w:bodyDiv w:val="1"/>
      <w:marLeft w:val="0"/>
      <w:marRight w:val="0"/>
      <w:marTop w:val="0"/>
      <w:marBottom w:val="0"/>
      <w:divBdr>
        <w:top w:val="none" w:sz="0" w:space="0" w:color="auto"/>
        <w:left w:val="none" w:sz="0" w:space="0" w:color="auto"/>
        <w:bottom w:val="none" w:sz="0" w:space="0" w:color="auto"/>
        <w:right w:val="none" w:sz="0" w:space="0" w:color="auto"/>
      </w:divBdr>
    </w:div>
    <w:div w:id="1675573876">
      <w:bodyDiv w:val="1"/>
      <w:marLeft w:val="0"/>
      <w:marRight w:val="0"/>
      <w:marTop w:val="0"/>
      <w:marBottom w:val="0"/>
      <w:divBdr>
        <w:top w:val="none" w:sz="0" w:space="0" w:color="auto"/>
        <w:left w:val="none" w:sz="0" w:space="0" w:color="auto"/>
        <w:bottom w:val="none" w:sz="0" w:space="0" w:color="auto"/>
        <w:right w:val="none" w:sz="0" w:space="0" w:color="auto"/>
      </w:divBdr>
    </w:div>
    <w:div w:id="1705473733">
      <w:bodyDiv w:val="1"/>
      <w:marLeft w:val="0"/>
      <w:marRight w:val="0"/>
      <w:marTop w:val="0"/>
      <w:marBottom w:val="0"/>
      <w:divBdr>
        <w:top w:val="none" w:sz="0" w:space="0" w:color="auto"/>
        <w:left w:val="none" w:sz="0" w:space="0" w:color="auto"/>
        <w:bottom w:val="none" w:sz="0" w:space="0" w:color="auto"/>
        <w:right w:val="none" w:sz="0" w:space="0" w:color="auto"/>
      </w:divBdr>
    </w:div>
    <w:div w:id="1767269219">
      <w:bodyDiv w:val="1"/>
      <w:marLeft w:val="0"/>
      <w:marRight w:val="0"/>
      <w:marTop w:val="0"/>
      <w:marBottom w:val="0"/>
      <w:divBdr>
        <w:top w:val="none" w:sz="0" w:space="0" w:color="auto"/>
        <w:left w:val="none" w:sz="0" w:space="0" w:color="auto"/>
        <w:bottom w:val="none" w:sz="0" w:space="0" w:color="auto"/>
        <w:right w:val="none" w:sz="0" w:space="0" w:color="auto"/>
      </w:divBdr>
    </w:div>
    <w:div w:id="1789854897">
      <w:bodyDiv w:val="1"/>
      <w:marLeft w:val="0"/>
      <w:marRight w:val="0"/>
      <w:marTop w:val="0"/>
      <w:marBottom w:val="0"/>
      <w:divBdr>
        <w:top w:val="none" w:sz="0" w:space="0" w:color="auto"/>
        <w:left w:val="none" w:sz="0" w:space="0" w:color="auto"/>
        <w:bottom w:val="none" w:sz="0" w:space="0" w:color="auto"/>
        <w:right w:val="none" w:sz="0" w:space="0" w:color="auto"/>
      </w:divBdr>
    </w:div>
    <w:div w:id="1819228023">
      <w:bodyDiv w:val="1"/>
      <w:marLeft w:val="0"/>
      <w:marRight w:val="0"/>
      <w:marTop w:val="0"/>
      <w:marBottom w:val="0"/>
      <w:divBdr>
        <w:top w:val="none" w:sz="0" w:space="0" w:color="auto"/>
        <w:left w:val="none" w:sz="0" w:space="0" w:color="auto"/>
        <w:bottom w:val="none" w:sz="0" w:space="0" w:color="auto"/>
        <w:right w:val="none" w:sz="0" w:space="0" w:color="auto"/>
      </w:divBdr>
      <w:divsChild>
        <w:div w:id="656572057">
          <w:marLeft w:val="0"/>
          <w:marRight w:val="0"/>
          <w:marTop w:val="0"/>
          <w:marBottom w:val="0"/>
          <w:divBdr>
            <w:top w:val="none" w:sz="0" w:space="0" w:color="auto"/>
            <w:left w:val="none" w:sz="0" w:space="0" w:color="auto"/>
            <w:bottom w:val="none" w:sz="0" w:space="0" w:color="auto"/>
            <w:right w:val="none" w:sz="0" w:space="0" w:color="auto"/>
          </w:divBdr>
          <w:divsChild>
            <w:div w:id="1682513486">
              <w:marLeft w:val="0"/>
              <w:marRight w:val="0"/>
              <w:marTop w:val="0"/>
              <w:marBottom w:val="0"/>
              <w:divBdr>
                <w:top w:val="none" w:sz="0" w:space="0" w:color="auto"/>
                <w:left w:val="none" w:sz="0" w:space="0" w:color="auto"/>
                <w:bottom w:val="none" w:sz="0" w:space="0" w:color="auto"/>
                <w:right w:val="none" w:sz="0" w:space="0" w:color="auto"/>
              </w:divBdr>
              <w:divsChild>
                <w:div w:id="50814848">
                  <w:marLeft w:val="0"/>
                  <w:marRight w:val="0"/>
                  <w:marTop w:val="0"/>
                  <w:marBottom w:val="0"/>
                  <w:divBdr>
                    <w:top w:val="none" w:sz="0" w:space="0" w:color="auto"/>
                    <w:left w:val="none" w:sz="0" w:space="0" w:color="auto"/>
                    <w:bottom w:val="none" w:sz="0" w:space="0" w:color="auto"/>
                    <w:right w:val="none" w:sz="0" w:space="0" w:color="auto"/>
                  </w:divBdr>
                  <w:divsChild>
                    <w:div w:id="1234706060">
                      <w:marLeft w:val="0"/>
                      <w:marRight w:val="0"/>
                      <w:marTop w:val="0"/>
                      <w:marBottom w:val="0"/>
                      <w:divBdr>
                        <w:top w:val="none" w:sz="0" w:space="0" w:color="auto"/>
                        <w:left w:val="none" w:sz="0" w:space="0" w:color="auto"/>
                        <w:bottom w:val="none" w:sz="0" w:space="0" w:color="auto"/>
                        <w:right w:val="none" w:sz="0" w:space="0" w:color="auto"/>
                      </w:divBdr>
                      <w:divsChild>
                        <w:div w:id="2011711258">
                          <w:marLeft w:val="0"/>
                          <w:marRight w:val="0"/>
                          <w:marTop w:val="0"/>
                          <w:marBottom w:val="0"/>
                          <w:divBdr>
                            <w:top w:val="none" w:sz="0" w:space="0" w:color="auto"/>
                            <w:left w:val="none" w:sz="0" w:space="0" w:color="auto"/>
                            <w:bottom w:val="none" w:sz="0" w:space="0" w:color="auto"/>
                            <w:right w:val="none" w:sz="0" w:space="0" w:color="auto"/>
                          </w:divBdr>
                          <w:divsChild>
                            <w:div w:id="2068725547">
                              <w:marLeft w:val="0"/>
                              <w:marRight w:val="0"/>
                              <w:marTop w:val="0"/>
                              <w:marBottom w:val="0"/>
                              <w:divBdr>
                                <w:top w:val="none" w:sz="0" w:space="0" w:color="auto"/>
                                <w:left w:val="none" w:sz="0" w:space="0" w:color="auto"/>
                                <w:bottom w:val="none" w:sz="0" w:space="0" w:color="auto"/>
                                <w:right w:val="none" w:sz="0" w:space="0" w:color="auto"/>
                              </w:divBdr>
                              <w:divsChild>
                                <w:div w:id="1546403631">
                                  <w:marLeft w:val="0"/>
                                  <w:marRight w:val="0"/>
                                  <w:marTop w:val="0"/>
                                  <w:marBottom w:val="0"/>
                                  <w:divBdr>
                                    <w:top w:val="none" w:sz="0" w:space="0" w:color="auto"/>
                                    <w:left w:val="none" w:sz="0" w:space="0" w:color="auto"/>
                                    <w:bottom w:val="none" w:sz="0" w:space="0" w:color="auto"/>
                                    <w:right w:val="none" w:sz="0" w:space="0" w:color="auto"/>
                                  </w:divBdr>
                                  <w:divsChild>
                                    <w:div w:id="530992489">
                                      <w:marLeft w:val="0"/>
                                      <w:marRight w:val="0"/>
                                      <w:marTop w:val="0"/>
                                      <w:marBottom w:val="0"/>
                                      <w:divBdr>
                                        <w:top w:val="none" w:sz="0" w:space="0" w:color="auto"/>
                                        <w:left w:val="none" w:sz="0" w:space="0" w:color="auto"/>
                                        <w:bottom w:val="none" w:sz="0" w:space="0" w:color="auto"/>
                                        <w:right w:val="none" w:sz="0" w:space="0" w:color="auto"/>
                                      </w:divBdr>
                                      <w:divsChild>
                                        <w:div w:id="136605191">
                                          <w:marLeft w:val="0"/>
                                          <w:marRight w:val="0"/>
                                          <w:marTop w:val="0"/>
                                          <w:marBottom w:val="0"/>
                                          <w:divBdr>
                                            <w:top w:val="none" w:sz="0" w:space="0" w:color="auto"/>
                                            <w:left w:val="none" w:sz="0" w:space="0" w:color="auto"/>
                                            <w:bottom w:val="none" w:sz="0" w:space="0" w:color="auto"/>
                                            <w:right w:val="none" w:sz="0" w:space="0" w:color="auto"/>
                                          </w:divBdr>
                                          <w:divsChild>
                                            <w:div w:id="877205182">
                                              <w:marLeft w:val="0"/>
                                              <w:marRight w:val="0"/>
                                              <w:marTop w:val="0"/>
                                              <w:marBottom w:val="0"/>
                                              <w:divBdr>
                                                <w:top w:val="none" w:sz="0" w:space="0" w:color="auto"/>
                                                <w:left w:val="none" w:sz="0" w:space="0" w:color="auto"/>
                                                <w:bottom w:val="none" w:sz="0" w:space="0" w:color="auto"/>
                                                <w:right w:val="none" w:sz="0" w:space="0" w:color="auto"/>
                                              </w:divBdr>
                                              <w:divsChild>
                                                <w:div w:id="99583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0168467">
      <w:bodyDiv w:val="1"/>
      <w:marLeft w:val="0"/>
      <w:marRight w:val="0"/>
      <w:marTop w:val="0"/>
      <w:marBottom w:val="0"/>
      <w:divBdr>
        <w:top w:val="none" w:sz="0" w:space="0" w:color="auto"/>
        <w:left w:val="none" w:sz="0" w:space="0" w:color="auto"/>
        <w:bottom w:val="none" w:sz="0" w:space="0" w:color="auto"/>
        <w:right w:val="none" w:sz="0" w:space="0" w:color="auto"/>
      </w:divBdr>
    </w:div>
    <w:div w:id="1847674053">
      <w:bodyDiv w:val="1"/>
      <w:marLeft w:val="0"/>
      <w:marRight w:val="0"/>
      <w:marTop w:val="0"/>
      <w:marBottom w:val="0"/>
      <w:divBdr>
        <w:top w:val="none" w:sz="0" w:space="0" w:color="auto"/>
        <w:left w:val="none" w:sz="0" w:space="0" w:color="auto"/>
        <w:bottom w:val="none" w:sz="0" w:space="0" w:color="auto"/>
        <w:right w:val="none" w:sz="0" w:space="0" w:color="auto"/>
      </w:divBdr>
    </w:div>
    <w:div w:id="1858302502">
      <w:bodyDiv w:val="1"/>
      <w:marLeft w:val="0"/>
      <w:marRight w:val="0"/>
      <w:marTop w:val="0"/>
      <w:marBottom w:val="0"/>
      <w:divBdr>
        <w:top w:val="none" w:sz="0" w:space="0" w:color="auto"/>
        <w:left w:val="none" w:sz="0" w:space="0" w:color="auto"/>
        <w:bottom w:val="none" w:sz="0" w:space="0" w:color="auto"/>
        <w:right w:val="none" w:sz="0" w:space="0" w:color="auto"/>
      </w:divBdr>
    </w:div>
    <w:div w:id="1884753343">
      <w:bodyDiv w:val="1"/>
      <w:marLeft w:val="0"/>
      <w:marRight w:val="0"/>
      <w:marTop w:val="0"/>
      <w:marBottom w:val="0"/>
      <w:divBdr>
        <w:top w:val="none" w:sz="0" w:space="0" w:color="auto"/>
        <w:left w:val="none" w:sz="0" w:space="0" w:color="auto"/>
        <w:bottom w:val="none" w:sz="0" w:space="0" w:color="auto"/>
        <w:right w:val="none" w:sz="0" w:space="0" w:color="auto"/>
      </w:divBdr>
    </w:div>
    <w:div w:id="1916163526">
      <w:bodyDiv w:val="1"/>
      <w:marLeft w:val="0"/>
      <w:marRight w:val="0"/>
      <w:marTop w:val="0"/>
      <w:marBottom w:val="0"/>
      <w:divBdr>
        <w:top w:val="none" w:sz="0" w:space="0" w:color="auto"/>
        <w:left w:val="none" w:sz="0" w:space="0" w:color="auto"/>
        <w:bottom w:val="none" w:sz="0" w:space="0" w:color="auto"/>
        <w:right w:val="none" w:sz="0" w:space="0" w:color="auto"/>
      </w:divBdr>
    </w:div>
    <w:div w:id="1926915416">
      <w:bodyDiv w:val="1"/>
      <w:marLeft w:val="0"/>
      <w:marRight w:val="0"/>
      <w:marTop w:val="0"/>
      <w:marBottom w:val="0"/>
      <w:divBdr>
        <w:top w:val="none" w:sz="0" w:space="0" w:color="auto"/>
        <w:left w:val="none" w:sz="0" w:space="0" w:color="auto"/>
        <w:bottom w:val="none" w:sz="0" w:space="0" w:color="auto"/>
        <w:right w:val="none" w:sz="0" w:space="0" w:color="auto"/>
      </w:divBdr>
    </w:div>
    <w:div w:id="1931356199">
      <w:bodyDiv w:val="1"/>
      <w:marLeft w:val="0"/>
      <w:marRight w:val="0"/>
      <w:marTop w:val="0"/>
      <w:marBottom w:val="0"/>
      <w:divBdr>
        <w:top w:val="none" w:sz="0" w:space="0" w:color="auto"/>
        <w:left w:val="none" w:sz="0" w:space="0" w:color="auto"/>
        <w:bottom w:val="none" w:sz="0" w:space="0" w:color="auto"/>
        <w:right w:val="none" w:sz="0" w:space="0" w:color="auto"/>
      </w:divBdr>
    </w:div>
    <w:div w:id="1958100410">
      <w:bodyDiv w:val="1"/>
      <w:marLeft w:val="0"/>
      <w:marRight w:val="0"/>
      <w:marTop w:val="0"/>
      <w:marBottom w:val="0"/>
      <w:divBdr>
        <w:top w:val="none" w:sz="0" w:space="0" w:color="auto"/>
        <w:left w:val="none" w:sz="0" w:space="0" w:color="auto"/>
        <w:bottom w:val="none" w:sz="0" w:space="0" w:color="auto"/>
        <w:right w:val="none" w:sz="0" w:space="0" w:color="auto"/>
      </w:divBdr>
    </w:div>
    <w:div w:id="1960139337">
      <w:bodyDiv w:val="1"/>
      <w:marLeft w:val="0"/>
      <w:marRight w:val="0"/>
      <w:marTop w:val="0"/>
      <w:marBottom w:val="0"/>
      <w:divBdr>
        <w:top w:val="none" w:sz="0" w:space="0" w:color="auto"/>
        <w:left w:val="none" w:sz="0" w:space="0" w:color="auto"/>
        <w:bottom w:val="none" w:sz="0" w:space="0" w:color="auto"/>
        <w:right w:val="none" w:sz="0" w:space="0" w:color="auto"/>
      </w:divBdr>
    </w:div>
    <w:div w:id="1962026874">
      <w:bodyDiv w:val="1"/>
      <w:marLeft w:val="0"/>
      <w:marRight w:val="0"/>
      <w:marTop w:val="0"/>
      <w:marBottom w:val="0"/>
      <w:divBdr>
        <w:top w:val="none" w:sz="0" w:space="0" w:color="auto"/>
        <w:left w:val="none" w:sz="0" w:space="0" w:color="auto"/>
        <w:bottom w:val="none" w:sz="0" w:space="0" w:color="auto"/>
        <w:right w:val="none" w:sz="0" w:space="0" w:color="auto"/>
      </w:divBdr>
    </w:div>
    <w:div w:id="1968118534">
      <w:bodyDiv w:val="1"/>
      <w:marLeft w:val="0"/>
      <w:marRight w:val="0"/>
      <w:marTop w:val="0"/>
      <w:marBottom w:val="0"/>
      <w:divBdr>
        <w:top w:val="none" w:sz="0" w:space="0" w:color="auto"/>
        <w:left w:val="none" w:sz="0" w:space="0" w:color="auto"/>
        <w:bottom w:val="none" w:sz="0" w:space="0" w:color="auto"/>
        <w:right w:val="none" w:sz="0" w:space="0" w:color="auto"/>
      </w:divBdr>
    </w:div>
    <w:div w:id="1980958774">
      <w:bodyDiv w:val="1"/>
      <w:marLeft w:val="0"/>
      <w:marRight w:val="0"/>
      <w:marTop w:val="0"/>
      <w:marBottom w:val="0"/>
      <w:divBdr>
        <w:top w:val="none" w:sz="0" w:space="0" w:color="auto"/>
        <w:left w:val="none" w:sz="0" w:space="0" w:color="auto"/>
        <w:bottom w:val="none" w:sz="0" w:space="0" w:color="auto"/>
        <w:right w:val="none" w:sz="0" w:space="0" w:color="auto"/>
      </w:divBdr>
    </w:div>
    <w:div w:id="1991904030">
      <w:bodyDiv w:val="1"/>
      <w:marLeft w:val="0"/>
      <w:marRight w:val="0"/>
      <w:marTop w:val="0"/>
      <w:marBottom w:val="0"/>
      <w:divBdr>
        <w:top w:val="none" w:sz="0" w:space="0" w:color="auto"/>
        <w:left w:val="none" w:sz="0" w:space="0" w:color="auto"/>
        <w:bottom w:val="none" w:sz="0" w:space="0" w:color="auto"/>
        <w:right w:val="none" w:sz="0" w:space="0" w:color="auto"/>
      </w:divBdr>
    </w:div>
    <w:div w:id="2002082624">
      <w:bodyDiv w:val="1"/>
      <w:marLeft w:val="0"/>
      <w:marRight w:val="0"/>
      <w:marTop w:val="0"/>
      <w:marBottom w:val="0"/>
      <w:divBdr>
        <w:top w:val="none" w:sz="0" w:space="0" w:color="auto"/>
        <w:left w:val="none" w:sz="0" w:space="0" w:color="auto"/>
        <w:bottom w:val="none" w:sz="0" w:space="0" w:color="auto"/>
        <w:right w:val="none" w:sz="0" w:space="0" w:color="auto"/>
      </w:divBdr>
    </w:div>
    <w:div w:id="2007197715">
      <w:bodyDiv w:val="1"/>
      <w:marLeft w:val="0"/>
      <w:marRight w:val="0"/>
      <w:marTop w:val="0"/>
      <w:marBottom w:val="0"/>
      <w:divBdr>
        <w:top w:val="none" w:sz="0" w:space="0" w:color="auto"/>
        <w:left w:val="none" w:sz="0" w:space="0" w:color="auto"/>
        <w:bottom w:val="none" w:sz="0" w:space="0" w:color="auto"/>
        <w:right w:val="none" w:sz="0" w:space="0" w:color="auto"/>
      </w:divBdr>
    </w:div>
    <w:div w:id="2022007269">
      <w:bodyDiv w:val="1"/>
      <w:marLeft w:val="0"/>
      <w:marRight w:val="0"/>
      <w:marTop w:val="0"/>
      <w:marBottom w:val="0"/>
      <w:divBdr>
        <w:top w:val="none" w:sz="0" w:space="0" w:color="auto"/>
        <w:left w:val="none" w:sz="0" w:space="0" w:color="auto"/>
        <w:bottom w:val="none" w:sz="0" w:space="0" w:color="auto"/>
        <w:right w:val="none" w:sz="0" w:space="0" w:color="auto"/>
      </w:divBdr>
    </w:div>
    <w:div w:id="2025280417">
      <w:bodyDiv w:val="1"/>
      <w:marLeft w:val="0"/>
      <w:marRight w:val="0"/>
      <w:marTop w:val="0"/>
      <w:marBottom w:val="0"/>
      <w:divBdr>
        <w:top w:val="none" w:sz="0" w:space="0" w:color="auto"/>
        <w:left w:val="none" w:sz="0" w:space="0" w:color="auto"/>
        <w:bottom w:val="none" w:sz="0" w:space="0" w:color="auto"/>
        <w:right w:val="none" w:sz="0" w:space="0" w:color="auto"/>
      </w:divBdr>
    </w:div>
    <w:div w:id="2058776870">
      <w:bodyDiv w:val="1"/>
      <w:marLeft w:val="0"/>
      <w:marRight w:val="0"/>
      <w:marTop w:val="0"/>
      <w:marBottom w:val="0"/>
      <w:divBdr>
        <w:top w:val="none" w:sz="0" w:space="0" w:color="auto"/>
        <w:left w:val="none" w:sz="0" w:space="0" w:color="auto"/>
        <w:bottom w:val="none" w:sz="0" w:space="0" w:color="auto"/>
        <w:right w:val="none" w:sz="0" w:space="0" w:color="auto"/>
      </w:divBdr>
    </w:div>
    <w:div w:id="2080857791">
      <w:bodyDiv w:val="1"/>
      <w:marLeft w:val="0"/>
      <w:marRight w:val="0"/>
      <w:marTop w:val="0"/>
      <w:marBottom w:val="0"/>
      <w:divBdr>
        <w:top w:val="none" w:sz="0" w:space="0" w:color="auto"/>
        <w:left w:val="none" w:sz="0" w:space="0" w:color="auto"/>
        <w:bottom w:val="none" w:sz="0" w:space="0" w:color="auto"/>
        <w:right w:val="none" w:sz="0" w:space="0" w:color="auto"/>
      </w:divBdr>
    </w:div>
    <w:div w:id="2121951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9.png"/><Relationship Id="rId117" Type="http://schemas.openxmlformats.org/officeDocument/2006/relationships/hyperlink" Target="https://www.acma.gov.au/consultations/2019-08/reconfiguring-900-mhz-band-consultation-112019" TargetMode="External"/><Relationship Id="rId21" Type="http://schemas.openxmlformats.org/officeDocument/2006/relationships/footer" Target="footer4.xml"/><Relationship Id="rId42" Type="http://schemas.openxmlformats.org/officeDocument/2006/relationships/image" Target="media/image24.png"/><Relationship Id="rId47" Type="http://schemas.openxmlformats.org/officeDocument/2006/relationships/hyperlink" Target="https://www.legislation.gov.au/Details/C2017A00110" TargetMode="External"/><Relationship Id="rId63" Type="http://schemas.openxmlformats.org/officeDocument/2006/relationships/hyperlink" Target="https://www.acma.gov.au/node/1873" TargetMode="External"/><Relationship Id="rId68" Type="http://schemas.openxmlformats.org/officeDocument/2006/relationships/hyperlink" Target="https://www.acma.gov.au/node/1877" TargetMode="External"/><Relationship Id="rId84" Type="http://schemas.openxmlformats.org/officeDocument/2006/relationships/hyperlink" Target="https://www.acma.gov.au/consultations/2019-08/reconfiguring-900-mhz-band-consultation-112019" TargetMode="External"/><Relationship Id="rId89" Type="http://schemas.openxmlformats.org/officeDocument/2006/relationships/hyperlink" Target="https://www.acma.gov.au/sites/default/files/2019-08/IFC-14-2019-Consultation%20paper-Draft%20spectrum%20reallocation%20recommendation%20for%20the%2026%20GHz%20band.docx" TargetMode="External"/><Relationship Id="rId112" Type="http://schemas.openxmlformats.org/officeDocument/2006/relationships/hyperlink" Target="https://www.legislation.gov.au/Details/C2018C00336" TargetMode="External"/><Relationship Id="rId133" Type="http://schemas.openxmlformats.org/officeDocument/2006/relationships/footer" Target="footer7.xml"/><Relationship Id="rId16" Type="http://schemas.openxmlformats.org/officeDocument/2006/relationships/header" Target="header4.xml"/><Relationship Id="rId107" Type="http://schemas.openxmlformats.org/officeDocument/2006/relationships/hyperlink" Target="https://www.acma.gov.au/consultations/2020-02/review-unwanted-emission-limits-34-ghz-spectrum-licences-consultation-062020" TargetMode="External"/><Relationship Id="rId11" Type="http://schemas.openxmlformats.org/officeDocument/2006/relationships/hyperlink" Target="http://i.creativecommons.org/l/by/3.0/88x31.png" TargetMode="External"/><Relationship Id="rId32" Type="http://schemas.openxmlformats.org/officeDocument/2006/relationships/image" Target="media/image14.png"/><Relationship Id="rId37" Type="http://schemas.openxmlformats.org/officeDocument/2006/relationships/image" Target="media/image19.png"/><Relationship Id="rId53" Type="http://schemas.openxmlformats.org/officeDocument/2006/relationships/hyperlink" Target="https://www.legislation.gov.au/Details/F2010L00821" TargetMode="External"/><Relationship Id="rId58" Type="http://schemas.openxmlformats.org/officeDocument/2006/relationships/hyperlink" Target="https://www.acma.gov.au/node/1803" TargetMode="External"/><Relationship Id="rId74" Type="http://schemas.openxmlformats.org/officeDocument/2006/relationships/hyperlink" Target="https://www.comlaw.gov.au/Details/F2013L00827" TargetMode="External"/><Relationship Id="rId79" Type="http://schemas.openxmlformats.org/officeDocument/2006/relationships/hyperlink" Target="https://www.acma.gov.au/publications/2019-09/publication/rali-fx21-television-outside-broadcasting-services" TargetMode="External"/><Relationship Id="rId102" Type="http://schemas.openxmlformats.org/officeDocument/2006/relationships/image" Target="media/image31.png"/><Relationship Id="rId123" Type="http://schemas.openxmlformats.org/officeDocument/2006/relationships/hyperlink" Target="https://www.aph.gov.au/Parliamentary_Business/Bills_Legislation/Bills_Search_Results/Result?bId=r6579" TargetMode="External"/><Relationship Id="rId128" Type="http://schemas.openxmlformats.org/officeDocument/2006/relationships/hyperlink" Target="https://www.acma.gov.au/publications/2020-02/guide/area-wide-licensing-acma-approach-introducing-area-wide-licences" TargetMode="External"/><Relationship Id="rId5" Type="http://schemas.openxmlformats.org/officeDocument/2006/relationships/webSettings" Target="webSettings.xml"/><Relationship Id="rId90" Type="http://schemas.openxmlformats.org/officeDocument/2006/relationships/hyperlink" Target="https://www.acma.gov.au/future-approach-36-ghz-band" TargetMode="External"/><Relationship Id="rId95" Type="http://schemas.openxmlformats.org/officeDocument/2006/relationships/hyperlink" Target="https://acma.gov.au/sites/default/files/2019-11/Future-use-of-the-28-GHz-band-Final.docx" TargetMode="Externa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articles/2020-03/covid-19-important-information-industry" TargetMode="External"/><Relationship Id="rId30" Type="http://schemas.openxmlformats.org/officeDocument/2006/relationships/image" Target="media/image12.png"/><Relationship Id="rId35" Type="http://schemas.openxmlformats.org/officeDocument/2006/relationships/image" Target="media/image17.png"/><Relationship Id="rId43" Type="http://schemas.openxmlformats.org/officeDocument/2006/relationships/image" Target="media/image25.png"/><Relationship Id="rId48" Type="http://schemas.openxmlformats.org/officeDocument/2006/relationships/hyperlink" Target="https://www.legislation.gov.au/Details/C2017A00110" TargetMode="External"/><Relationship Id="rId56" Type="http://schemas.openxmlformats.org/officeDocument/2006/relationships/hyperlink" Target="https://www.acma.gov.au/node/1842" TargetMode="External"/><Relationship Id="rId64" Type="http://schemas.openxmlformats.org/officeDocument/2006/relationships/hyperlink" Target="https://www.acma.gov.au/node/1874" TargetMode="External"/><Relationship Id="rId69" Type="http://schemas.openxmlformats.org/officeDocument/2006/relationships/hyperlink" Target="https://www.legislation.gov.au/Series/F2015L01113" TargetMode="External"/><Relationship Id="rId77" Type="http://schemas.openxmlformats.org/officeDocument/2006/relationships/hyperlink" Target="https://www.acma.gov.au/future-approach-36-ghz-band" TargetMode="External"/><Relationship Id="rId100" Type="http://schemas.openxmlformats.org/officeDocument/2006/relationships/hyperlink" Target="https://www.legislation.gov.au/Details/F2020C00139" TargetMode="External"/><Relationship Id="rId105" Type="http://schemas.openxmlformats.org/officeDocument/2006/relationships/hyperlink" Target="https://www.acma.gov.au/consultations/2019-08/proposed-updates-rali-ms-44-consultation-462018" TargetMode="External"/><Relationship Id="rId113" Type="http://schemas.openxmlformats.org/officeDocument/2006/relationships/hyperlink" Target="https://www.acma.gov.au/consultations/2019-08/spectrum-planning-28-ghz-band-consultation-362018" TargetMode="External"/><Relationship Id="rId118" Type="http://schemas.openxmlformats.org/officeDocument/2006/relationships/hyperlink" Target="https://www.acma.gov.au/sites/default/files/2019-08/IFC-12-2019-Options-Optimising%20arrangements%20for%20the%203400%E2%80%933575%20MHz%20band.docx" TargetMode="External"/><Relationship Id="rId126" Type="http://schemas.openxmlformats.org/officeDocument/2006/relationships/hyperlink" Target="https://www.legislation.gov.au/Details/F2020L00070" TargetMode="External"/><Relationship Id="rId134" Type="http://schemas.openxmlformats.org/officeDocument/2006/relationships/footer" Target="footer8.xml"/><Relationship Id="rId8" Type="http://schemas.openxmlformats.org/officeDocument/2006/relationships/header" Target="header1.xml"/><Relationship Id="rId51" Type="http://schemas.openxmlformats.org/officeDocument/2006/relationships/hyperlink" Target="https://www.acma.gov.au/publications/2020-03/report/future-delivery-radio" TargetMode="External"/><Relationship Id="rId72" Type="http://schemas.openxmlformats.org/officeDocument/2006/relationships/hyperlink" Target="http://ec.europa.eu/smart-regulation/roadmaps/docs/2015_cnect_017_uhf_en.pdf" TargetMode="External"/><Relationship Id="rId80" Type="http://schemas.openxmlformats.org/officeDocument/2006/relationships/hyperlink" Target="https://www.acma.gov.au/consultations/2019-09/planning-2-ghz-band-consultation-262019" TargetMode="External"/><Relationship Id="rId85" Type="http://schemas.openxmlformats.org/officeDocument/2006/relationships/hyperlink" Target="https://www.acma.gov.au/sites/default/files/2019-12/Reconfiguring%20the%20900%20MHz%20band_decision%20paper.docx" TargetMode="External"/><Relationship Id="rId93" Type="http://schemas.openxmlformats.org/officeDocument/2006/relationships/hyperlink" Target="https://www.acma.gov.au/sites/default/files/2019-08/IFC-9-2019-Options-paper-Replanning%20of%20the%2028%20GHz%20band_options%20paper.docx" TargetMode="External"/><Relationship Id="rId98" Type="http://schemas.openxmlformats.org/officeDocument/2006/relationships/hyperlink" Target="https://www.legislation.gov.au/Details/F2018C00845" TargetMode="External"/><Relationship Id="rId121" Type="http://schemas.openxmlformats.org/officeDocument/2006/relationships/hyperlink" Target="https://www.acma.gov.au/publications/2017-10/report/future-approach-36-ghz-band-response-report" TargetMode="External"/><Relationship Id="rId3"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footer" Target="footer2.xml"/><Relationship Id="rId25" Type="http://schemas.openxmlformats.org/officeDocument/2006/relationships/image" Target="media/image8.png"/><Relationship Id="rId33" Type="http://schemas.openxmlformats.org/officeDocument/2006/relationships/image" Target="media/image15.png"/><Relationship Id="rId38" Type="http://schemas.openxmlformats.org/officeDocument/2006/relationships/image" Target="media/image20.png"/><Relationship Id="rId46" Type="http://schemas.openxmlformats.org/officeDocument/2006/relationships/image" Target="media/image27.png"/><Relationship Id="rId59" Type="http://schemas.openxmlformats.org/officeDocument/2006/relationships/hyperlink" Target="https://www.acma.gov.au/node/1865" TargetMode="External"/><Relationship Id="rId67" Type="http://schemas.openxmlformats.org/officeDocument/2006/relationships/hyperlink" Target="https://www.acma.gov.au/node/1876" TargetMode="External"/><Relationship Id="rId103" Type="http://schemas.openxmlformats.org/officeDocument/2006/relationships/hyperlink" Target="https://www.acma.gov.au/frequency-coordination-requirements-review-work-program-2018-19" TargetMode="External"/><Relationship Id="rId108" Type="http://schemas.openxmlformats.org/officeDocument/2006/relationships/hyperlink" Target="https://www.acma.gov.au/consultations/2019-10/new-approaches-spectrum-sharing-consultation-252019" TargetMode="External"/><Relationship Id="rId116" Type="http://schemas.openxmlformats.org/officeDocument/2006/relationships/hyperlink" Target="https://www.acma.gov.au/consultations/2019-08/reconfiguring-900-mhz-band-consultation-112019" TargetMode="External"/><Relationship Id="rId124" Type="http://schemas.openxmlformats.org/officeDocument/2006/relationships/hyperlink" Target="https://www.legislation.gov.au/Details/F2018L01185" TargetMode="External"/><Relationship Id="rId129" Type="http://schemas.openxmlformats.org/officeDocument/2006/relationships/hyperlink" Target="https://www.legislation.gov.au/Details/F2020L00426" TargetMode="External"/><Relationship Id="rId20" Type="http://schemas.openxmlformats.org/officeDocument/2006/relationships/header" Target="header6.xml"/><Relationship Id="rId41" Type="http://schemas.openxmlformats.org/officeDocument/2006/relationships/image" Target="media/image23.png"/><Relationship Id="rId54" Type="http://schemas.openxmlformats.org/officeDocument/2006/relationships/hyperlink" Target="https://www.acma.gov.au/node/1840" TargetMode="External"/><Relationship Id="rId62" Type="http://schemas.openxmlformats.org/officeDocument/2006/relationships/hyperlink" Target="https://www.acma.gov.au/node/1872" TargetMode="External"/><Relationship Id="rId70" Type="http://schemas.openxmlformats.org/officeDocument/2006/relationships/image" Target="media/image29.png"/><Relationship Id="rId75" Type="http://schemas.openxmlformats.org/officeDocument/2006/relationships/image" Target="media/image30.png"/><Relationship Id="rId83" Type="http://schemas.openxmlformats.org/officeDocument/2006/relationships/hyperlink" Target="https://www.acma.gov.au/sites/default/files/2019-12/Reconfiguring%20the%20900%20MHz%20band_decision%20paper.docx" TargetMode="External"/><Relationship Id="rId88" Type="http://schemas.openxmlformats.org/officeDocument/2006/relationships/hyperlink" Target="https://www.acma.gov.au/future-approach-36-ghz-band" TargetMode="External"/><Relationship Id="rId91" Type="http://schemas.openxmlformats.org/officeDocument/2006/relationships/hyperlink" Target="https://www.acma.gov.au/sites/default/files/2019-08/IFC_36-2018-28%20GHz%20spectrum%20planning.docx" TargetMode="External"/><Relationship Id="rId96" Type="http://schemas.openxmlformats.org/officeDocument/2006/relationships/hyperlink" Target="https://myswitch.digitalready.gov.au/" TargetMode="External"/><Relationship Id="rId111" Type="http://schemas.openxmlformats.org/officeDocument/2006/relationships/hyperlink" Target="https://www.acma.gov.au/consultations/2019-08/draft-spectrum-reallocation-recommendation-26-ghz-band-consultation-142019" TargetMode="External"/><Relationship Id="rId132"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10.png"/><Relationship Id="rId36" Type="http://schemas.openxmlformats.org/officeDocument/2006/relationships/image" Target="media/image18.png"/><Relationship Id="rId49" Type="http://schemas.openxmlformats.org/officeDocument/2006/relationships/hyperlink" Target="https://www.acma.gov.au/five-year-spectrum-outlook" TargetMode="External"/><Relationship Id="rId57" Type="http://schemas.openxmlformats.org/officeDocument/2006/relationships/hyperlink" Target="https://www.acma.gov.au/node/1843" TargetMode="External"/><Relationship Id="rId106" Type="http://schemas.openxmlformats.org/officeDocument/2006/relationships/hyperlink" Target="https://www.acma.gov.au/consultations/2019-08/proposed-updates-several-ralis-consultation-472018" TargetMode="External"/><Relationship Id="rId114" Type="http://schemas.openxmlformats.org/officeDocument/2006/relationships/hyperlink" Target="https://www.acma.gov.au/consultations/2019-08/planning-options-28-ghz-band-consultation-092019" TargetMode="External"/><Relationship Id="rId119" Type="http://schemas.openxmlformats.org/officeDocument/2006/relationships/hyperlink" Target="https://www.acma.gov.au/consultations/2019-09/planning-3700-4200-mhz-band-consultation-272019" TargetMode="External"/><Relationship Id="rId127" Type="http://schemas.openxmlformats.org/officeDocument/2006/relationships/hyperlink" Target="https://www.acma.gov.au/consultations/2019-08/proposed-area-wide-apparatus-licence-consultation-192019" TargetMode="External"/><Relationship Id="rId10" Type="http://schemas.openxmlformats.org/officeDocument/2006/relationships/header" Target="header2.xml"/><Relationship Id="rId31" Type="http://schemas.openxmlformats.org/officeDocument/2006/relationships/image" Target="media/image13.png"/><Relationship Id="rId44" Type="http://schemas.openxmlformats.org/officeDocument/2006/relationships/image" Target="media/image4.png"/><Relationship Id="rId52" Type="http://schemas.openxmlformats.org/officeDocument/2006/relationships/hyperlink" Target="https://www.acma.gov.au/australian-radiofrequency-spectrum-plan" TargetMode="External"/><Relationship Id="rId60" Type="http://schemas.openxmlformats.org/officeDocument/2006/relationships/hyperlink" Target="https://www.acma.gov.au/node/1866" TargetMode="External"/><Relationship Id="rId65" Type="http://schemas.openxmlformats.org/officeDocument/2006/relationships/hyperlink" Target="https://www.acma.gov.au/node/1878" TargetMode="External"/><Relationship Id="rId73" Type="http://schemas.openxmlformats.org/officeDocument/2006/relationships/hyperlink" Target="https://www.itu.int/pub/R-REP-M.2481" TargetMode="External"/><Relationship Id="rId78" Type="http://schemas.openxmlformats.org/officeDocument/2006/relationships/hyperlink" Target="https://www.acma.gov.au/publications/2017-10/report/future-approach-36-ghz-band-response-report" TargetMode="External"/><Relationship Id="rId81" Type="http://schemas.openxmlformats.org/officeDocument/2006/relationships/hyperlink" Target="https://www.acma.gov.au/publications/2015-12/report/acmas-long-term-strategy-803-960-mhz-band-decision-paper" TargetMode="External"/><Relationship Id="rId86" Type="http://schemas.openxmlformats.org/officeDocument/2006/relationships/hyperlink" Target="https://www.acma.gov.au/consultations/2019-08/optimising-3400-3575-mhz-band-consultation-122019" TargetMode="External"/><Relationship Id="rId94" Type="http://schemas.openxmlformats.org/officeDocument/2006/relationships/hyperlink" Target="https://www.acma.gov.au/sites/default/files/2019-08/IFC-9-2019-Submissions.zip" TargetMode="External"/><Relationship Id="rId99" Type="http://schemas.openxmlformats.org/officeDocument/2006/relationships/hyperlink" Target="https://www.legislation.gov.au/Details/F2015L00322" TargetMode="External"/><Relationship Id="rId101" Type="http://schemas.openxmlformats.org/officeDocument/2006/relationships/hyperlink" Target="https://www.acma.gov.au/publications/2019-11/form/australian-procedures-coordination-notification-satellite-systems" TargetMode="External"/><Relationship Id="rId122" Type="http://schemas.openxmlformats.org/officeDocument/2006/relationships/hyperlink" Target="https://www.aph.gov.au/Parliamentary_Business/Bills_Legislation/Bills_Search_Results/Result?bId=r6578" TargetMode="External"/><Relationship Id="rId130" Type="http://schemas.openxmlformats.org/officeDocument/2006/relationships/hyperlink" Target="https://www.legislation.gov.au/Details/C2017A00110" TargetMode="External"/><Relationship Id="rId13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image" Target="media/image21.png"/><Relationship Id="rId109" Type="http://schemas.openxmlformats.org/officeDocument/2006/relationships/hyperlink" Target="https://www.acma.gov.au/theACMA/options-for-wireless-broadband-in-the-26-ghz-band" TargetMode="External"/><Relationship Id="rId34" Type="http://schemas.openxmlformats.org/officeDocument/2006/relationships/image" Target="media/image16.png"/><Relationship Id="rId50" Type="http://schemas.openxmlformats.org/officeDocument/2006/relationships/image" Target="media/image28.png"/><Relationship Id="rId55" Type="http://schemas.openxmlformats.org/officeDocument/2006/relationships/hyperlink" Target="https://www.acma.gov.au/node/1841" TargetMode="External"/><Relationship Id="rId76" Type="http://schemas.openxmlformats.org/officeDocument/2006/relationships/hyperlink" Target="https://www.acma.gov.au/publications/2020-02/report/future-use-15-ghz-and-36-ghz-bands-discussion-paper" TargetMode="External"/><Relationship Id="rId97" Type="http://schemas.openxmlformats.org/officeDocument/2006/relationships/hyperlink" Target="https://www.acma.gov.au/publications/2020-03/report/future-delivery-radio" TargetMode="External"/><Relationship Id="rId104" Type="http://schemas.openxmlformats.org/officeDocument/2006/relationships/hyperlink" Target="https://www.acma.gov.au/consultations/2019-08/updates-rali-fx1-narrowband-and-wideband-services-403-420-mhz-consultation-052019" TargetMode="External"/><Relationship Id="rId120" Type="http://schemas.openxmlformats.org/officeDocument/2006/relationships/hyperlink" Target="https://www.acma.gov.au/consultations/2020-07/planning-options-3700-4200-mhz-band-consultation-222020" TargetMode="External"/><Relationship Id="rId125" Type="http://schemas.openxmlformats.org/officeDocument/2006/relationships/hyperlink" Target="https://www.legislation.gov.au/Details/F2020L00063" TargetMode="External"/><Relationship Id="rId7" Type="http://schemas.openxmlformats.org/officeDocument/2006/relationships/endnotes" Target="endnotes.xml"/><Relationship Id="rId71" Type="http://schemas.openxmlformats.org/officeDocument/2006/relationships/hyperlink" Target="http://rspg-spectrum.eu/wp-content/uploads/2014/03/RSPG14-555final_Request-for-Opinion-UHF-band.pdf" TargetMode="External"/><Relationship Id="rId92" Type="http://schemas.openxmlformats.org/officeDocument/2006/relationships/hyperlink" Target="https://www.acma.gov.au/sites/default/files/2019-08/IFC_36-2018-Submissions.zip" TargetMode="External"/><Relationship Id="rId2" Type="http://schemas.openxmlformats.org/officeDocument/2006/relationships/numbering" Target="numbering.xml"/><Relationship Id="rId29" Type="http://schemas.openxmlformats.org/officeDocument/2006/relationships/image" Target="media/image11.png"/><Relationship Id="rId24" Type="http://schemas.openxmlformats.org/officeDocument/2006/relationships/hyperlink" Target="https://www.acma.gov.au/publications/2020-03/report/future-delivery-radio" TargetMode="External"/><Relationship Id="rId40" Type="http://schemas.openxmlformats.org/officeDocument/2006/relationships/image" Target="media/image22.png"/><Relationship Id="rId45" Type="http://schemas.openxmlformats.org/officeDocument/2006/relationships/image" Target="media/image26.png"/><Relationship Id="rId66" Type="http://schemas.openxmlformats.org/officeDocument/2006/relationships/hyperlink" Target="https://www.acma.gov.au/node/2593" TargetMode="External"/><Relationship Id="rId87" Type="http://schemas.openxmlformats.org/officeDocument/2006/relationships/hyperlink" Target="https://www.acma.gov.au/consultations/2019-08/optimising-3400-3575-mhz-band-consultation-122019" TargetMode="External"/><Relationship Id="rId110" Type="http://schemas.openxmlformats.org/officeDocument/2006/relationships/hyperlink" Target="https://www.acma.gov.au/theACMA/options-for-wireless-broadband-in-the-26-ghz-band" TargetMode="External"/><Relationship Id="rId115" Type="http://schemas.openxmlformats.org/officeDocument/2006/relationships/hyperlink" Target="https://acma.gov.au/sites/default/files/2019-11/Future-use-of-the-28-GHz-band-Final.docx" TargetMode="External"/><Relationship Id="rId131" Type="http://schemas.openxmlformats.org/officeDocument/2006/relationships/header" Target="header7.xml"/><Relationship Id="rId136" Type="http://schemas.openxmlformats.org/officeDocument/2006/relationships/theme" Target="theme/theme1.xml"/><Relationship Id="rId61" Type="http://schemas.openxmlformats.org/officeDocument/2006/relationships/hyperlink" Target="https://www.acma.gov.au/node/1871" TargetMode="External"/><Relationship Id="rId82" Type="http://schemas.openxmlformats.org/officeDocument/2006/relationships/hyperlink" Target="https://www.coag.gov.au/meeting-outcomes/coag-meeting-communique-12-december-2018" TargetMode="External"/><Relationship Id="rId19" Type="http://schemas.openxmlformats.org/officeDocument/2006/relationships/header" Target="header5.xml"/></Relationships>
</file>

<file path=word/_rels/foot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thinktv.com.au/news/total-tv-market-records-3-4-billion-in-ad-revenue-for-fy-2019-20/" TargetMode="External"/><Relationship Id="rId13" Type="http://schemas.openxmlformats.org/officeDocument/2006/relationships/hyperlink" Target="https://www.industry.gov.au/data-and-publications/australian-civil-space-strategy-2019-2028" TargetMode="External"/><Relationship Id="rId18" Type="http://schemas.openxmlformats.org/officeDocument/2006/relationships/hyperlink" Target="http://www.airservicesaustralia.com/wp-content/uploads/15-190BKT_ATM-services-five-year-plan-2015-2020_WEB.pdf" TargetMode="External"/><Relationship Id="rId26" Type="http://schemas.openxmlformats.org/officeDocument/2006/relationships/hyperlink" Target="https://gsacom.com/paper/5g-spectrum-report-february-2020/" TargetMode="External"/><Relationship Id="rId3" Type="http://schemas.openxmlformats.org/officeDocument/2006/relationships/hyperlink" Target="https://www.whistleout.com.au/Broadband/Guides/every-telco-COVID-19-coronavirus-assistance-package" TargetMode="External"/><Relationship Id="rId21" Type="http://schemas.openxmlformats.org/officeDocument/2006/relationships/hyperlink" Target="https://docs.fcc.gov/public/attachments/DOC-363490A1.pdf" TargetMode="External"/><Relationship Id="rId34" Type="http://schemas.openxmlformats.org/officeDocument/2006/relationships/hyperlink" Target="https://www.acma.gov.au/consultations/2019-11/review-space-licensing-procedures-consultation-382019" TargetMode="External"/><Relationship Id="rId7" Type="http://schemas.openxmlformats.org/officeDocument/2006/relationships/hyperlink" Target="http://www.iot.org.au/wp/wp-content/uploads/2016/12/IoTAA_IoT-Platform-Selection-Guideline-V1.1-July-2018.pdf" TargetMode="External"/><Relationship Id="rId12" Type="http://schemas.openxmlformats.org/officeDocument/2006/relationships/hyperlink" Target="https://www.legislation.gov.au/Details/F2020L00426/Explanatory%20Statement/Text" TargetMode="External"/><Relationship Id="rId17" Type="http://schemas.openxmlformats.org/officeDocument/2006/relationships/hyperlink" Target="https://www.communications.gov.au/documents/australian-government-held-spectrum-report" TargetMode="External"/><Relationship Id="rId25" Type="http://schemas.openxmlformats.org/officeDocument/2006/relationships/hyperlink" Target="https://www.5gworldpro.com/5g-news/110-5g-auctions-around-the-world.html" TargetMode="External"/><Relationship Id="rId33" Type="http://schemas.openxmlformats.org/officeDocument/2006/relationships/hyperlink" Target="https://www.acma.gov.au/publications/2019-08/publication/frequency-coordination-requirements-between-microwave-fixed-point-point-links-and-fss-earth-stations" TargetMode="External"/><Relationship Id="rId2" Type="http://schemas.openxmlformats.org/officeDocument/2006/relationships/hyperlink" Target="https://www.itu.int/en/Pages/covid-19.aspx" TargetMode="External"/><Relationship Id="rId16" Type="http://schemas.openxmlformats.org/officeDocument/2006/relationships/hyperlink" Target="https://www.communications.gov.au/documents/australian-government-held-spectrum-report" TargetMode="External"/><Relationship Id="rId20" Type="http://schemas.openxmlformats.org/officeDocument/2006/relationships/hyperlink" Target="http://www.cisco.com/c/en/us/solutions/collateral/service-provider/visual-networking-index-vni/mobile-white-paper-c11-520862.pdf" TargetMode="External"/><Relationship Id="rId29" Type="http://schemas.openxmlformats.org/officeDocument/2006/relationships/hyperlink" Target="https://eccwp.cept.org/WI_Detail.aspx?wiid=667" TargetMode="External"/><Relationship Id="rId1" Type="http://schemas.openxmlformats.org/officeDocument/2006/relationships/hyperlink" Target="https://www.acma.gov.au/publications/2019-08/report/corporate-plan-2019-20" TargetMode="External"/><Relationship Id="rId6" Type="http://schemas.openxmlformats.org/officeDocument/2006/relationships/hyperlink" Target="https://www.ericsson.com/49d1d9/assets/local/mobility-report/documents/2019/ericsson-mobility-report-june-2019.pdf" TargetMode="External"/><Relationship Id="rId11" Type="http://schemas.openxmlformats.org/officeDocument/2006/relationships/hyperlink" Target="https://www.radiotoday.com.au/arn-coronavirus-response/" TargetMode="External"/><Relationship Id="rId24" Type="http://schemas.openxmlformats.org/officeDocument/2006/relationships/hyperlink" Target="https://gsacom.com/paper/5g-spectrum-report-february-2020/" TargetMode="External"/><Relationship Id="rId32" Type="http://schemas.openxmlformats.org/officeDocument/2006/relationships/hyperlink" Target="https://www.acma.gov.au/consultations/2019-12/improved-spectrum-access-and-pricing-satellite-services-consultation-402019" TargetMode="External"/><Relationship Id="rId5" Type="http://schemas.openxmlformats.org/officeDocument/2006/relationships/hyperlink" Target="https://www.communications.gov.au/departmental-news/5g-enabling-future-economy" TargetMode="External"/><Relationship Id="rId15" Type="http://schemas.openxmlformats.org/officeDocument/2006/relationships/hyperlink" Target="https://www.acma.gov.au/consultations/2019-12/improved-spectrum-access-and-pricing-satellite-services-consultation-402019" TargetMode="External"/><Relationship Id="rId23" Type="http://schemas.openxmlformats.org/officeDocument/2006/relationships/hyperlink" Target="https://www.t-mobile.com/news/americas-first-nationwide-5g-network" TargetMode="External"/><Relationship Id="rId28" Type="http://schemas.openxmlformats.org/officeDocument/2006/relationships/hyperlink" Target="https://gsacom.com/paper/5g-spectrum-report-february-2020/" TargetMode="External"/><Relationship Id="rId10" Type="http://schemas.openxmlformats.org/officeDocument/2006/relationships/hyperlink" Target="http://www.commercialradio.com.au/content/mediareleases/2020/commercial-radio-ad-revenue-for-march-quarter" TargetMode="External"/><Relationship Id="rId19" Type="http://schemas.openxmlformats.org/officeDocument/2006/relationships/hyperlink" Target="https://www.pc.gov.au/inquiries/completed/public-safety-mobile-broadband" TargetMode="External"/><Relationship Id="rId31" Type="http://schemas.openxmlformats.org/officeDocument/2006/relationships/hyperlink" Target="https://www.fcc.gov/document/summary-chairman-pais-c-band-proposal" TargetMode="External"/><Relationship Id="rId4" Type="http://schemas.openxmlformats.org/officeDocument/2006/relationships/hyperlink" Target="https://exchange.telstra.com.au/getting-through-covid-19-together/" TargetMode="External"/><Relationship Id="rId9" Type="http://schemas.openxmlformats.org/officeDocument/2006/relationships/hyperlink" Target="http://www.commercialradio.com.au/content/mediareleases/2020/2020-07-15-commercial-radio-ad-revenue-for-fy2019%23.XzNnxSgzY2w" TargetMode="External"/><Relationship Id="rId14" Type="http://schemas.openxmlformats.org/officeDocument/2006/relationships/hyperlink" Target="https://www.acma.gov.au/publications/2017-10/report/regulatory-arrangements-gso-and-ngso-esims-response" TargetMode="External"/><Relationship Id="rId22" Type="http://schemas.openxmlformats.org/officeDocument/2006/relationships/hyperlink" Target="https://www.fcc.gov/about-fcc/fcc-initiatives/incentive-auctions" TargetMode="External"/><Relationship Id="rId27" Type="http://schemas.openxmlformats.org/officeDocument/2006/relationships/hyperlink" Target="https://www.5gworldpro.com/5g-news/110-5g-auctions-around-the-world.html" TargetMode="External"/><Relationship Id="rId30" Type="http://schemas.openxmlformats.org/officeDocument/2006/relationships/hyperlink" Target="https://gsacom.com/paper/5g-spectrum-report-february-2020/" TargetMode="External"/><Relationship Id="rId35" Type="http://schemas.openxmlformats.org/officeDocument/2006/relationships/hyperlink" Target="https://www.acma.gov.au/future-approach-36-ghz-ban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9153EA-CB5C-466F-BA00-E30C14F4F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90</Pages>
  <Words>32897</Words>
  <Characters>180611</Characters>
  <Application>Microsoft Office Word</Application>
  <DocSecurity>0</DocSecurity>
  <Lines>3762</Lines>
  <Paragraphs>1856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211652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2020-09-29T01:30:00Z</dcterms:created>
  <dcterms:modified xsi:type="dcterms:W3CDTF">2020-09-29T09:17:00Z</dcterms:modified>
  <cp:category/>
</cp:coreProperties>
</file>