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17BA4A2" w14:textId="77777777" w:rsidR="00C12CA3" w:rsidRDefault="007D6B04" w:rsidP="00A51D1A">
      <w:pPr>
        <w:pStyle w:val="Reporttitle"/>
      </w:pPr>
      <w:r>
        <w:t xml:space="preserve">Proposed update to the </w:t>
      </w:r>
    </w:p>
    <w:p w14:paraId="0D5D2DCD" w14:textId="745DE734" w:rsidR="00F06E14" w:rsidRPr="008F21BC" w:rsidRDefault="007D6B04" w:rsidP="00A51D1A">
      <w:pPr>
        <w:pStyle w:val="Reporttitle"/>
      </w:pPr>
      <w:r w:rsidRPr="00AB5852">
        <w:t>Australian Radiofrequency Spectrum Plan</w:t>
      </w:r>
    </w:p>
    <w:p w14:paraId="4AB2CCB4" w14:textId="70C93DD5" w:rsidR="00F06E14" w:rsidRDefault="008F21BC" w:rsidP="00F06E14">
      <w:pPr>
        <w:pStyle w:val="Reportsubtitle"/>
      </w:pPr>
      <w:r>
        <w:t xml:space="preserve">Consultation </w:t>
      </w:r>
      <w:r w:rsidR="007D6B04">
        <w:t>paper</w:t>
      </w:r>
    </w:p>
    <w:p w14:paraId="4863F290" w14:textId="03A7DC30" w:rsidR="00C97736" w:rsidRPr="000D76E0" w:rsidRDefault="007D6B04" w:rsidP="00EC2B68">
      <w:pPr>
        <w:pStyle w:val="Reportdate"/>
        <w:spacing w:after="720"/>
        <w:rPr>
          <w:rFonts w:cs="Arial"/>
        </w:rPr>
        <w:sectPr w:rsidR="00C97736" w:rsidRPr="000D76E0" w:rsidSect="0021426C">
          <w:headerReference w:type="default" r:id="rId8"/>
          <w:footerReference w:type="default" r:id="rId9"/>
          <w:headerReference w:type="first" r:id="rId10"/>
          <w:pgSz w:w="11906" w:h="16838" w:code="9"/>
          <w:pgMar w:top="3924" w:right="992" w:bottom="1440" w:left="1134" w:header="709" w:footer="454" w:gutter="0"/>
          <w:cols w:space="708"/>
          <w:docGrid w:linePitch="360"/>
        </w:sectPr>
      </w:pPr>
      <w:r>
        <w:t>August</w:t>
      </w:r>
      <w:r w:rsidR="00BD4421">
        <w:t xml:space="preserve"> 20</w:t>
      </w:r>
      <w:r w:rsidR="008E0428">
        <w:t>20</w:t>
      </w:r>
    </w:p>
    <w:p w14:paraId="3D5D6650" w14:textId="77777777" w:rsidR="0005011A" w:rsidRPr="00F44F3A" w:rsidRDefault="0005011A" w:rsidP="00FC07B9">
      <w:pPr>
        <w:pStyle w:val="ACMACorporateAddressHeader"/>
      </w:pPr>
      <w:r w:rsidRPr="00F44F3A">
        <w:lastRenderedPageBreak/>
        <w:t>Canberra</w:t>
      </w:r>
    </w:p>
    <w:p w14:paraId="432AE966" w14:textId="77777777" w:rsidR="0005011A" w:rsidRPr="00FC07B9" w:rsidRDefault="0005011A" w:rsidP="00FC07B9">
      <w:pPr>
        <w:pStyle w:val="ACMACorporateAddresses"/>
      </w:pPr>
      <w:r w:rsidRPr="00FC07B9">
        <w:t xml:space="preserve">Red Building </w:t>
      </w:r>
      <w:r w:rsidRPr="00FC07B9">
        <w:br/>
        <w:t>Benjamin Offices</w:t>
      </w:r>
      <w:r w:rsidRPr="00FC07B9">
        <w:br/>
        <w:t xml:space="preserve">Chan Street </w:t>
      </w:r>
      <w:r w:rsidRPr="00FC07B9">
        <w:br/>
        <w:t>Belconnen ACT</w:t>
      </w:r>
    </w:p>
    <w:p w14:paraId="6048BBD4" w14:textId="77777777" w:rsidR="0005011A" w:rsidRPr="00FC07B9" w:rsidRDefault="0005011A" w:rsidP="00FC07B9">
      <w:pPr>
        <w:pStyle w:val="ACMACorporateAddresses"/>
      </w:pPr>
      <w:r w:rsidRPr="00FC07B9">
        <w:t>PO Box 78</w:t>
      </w:r>
      <w:r w:rsidRPr="00FC07B9">
        <w:br/>
        <w:t>Belconnen ACT 2616</w:t>
      </w:r>
    </w:p>
    <w:p w14:paraId="615AA2AF" w14:textId="77777777" w:rsidR="00FE1823" w:rsidRPr="00FC07B9" w:rsidRDefault="0005011A" w:rsidP="00FC07B9">
      <w:pPr>
        <w:pStyle w:val="ACMACorporateAddresses"/>
      </w:pPr>
      <w:r w:rsidRPr="00FC07B9">
        <w:t>T</w:t>
      </w:r>
      <w:r w:rsidR="00537604" w:rsidRPr="00FC07B9">
        <w:tab/>
      </w:r>
      <w:r w:rsidRPr="00FC07B9">
        <w:t>+61 2 6219 5555</w:t>
      </w:r>
      <w:r w:rsidRPr="00FC07B9">
        <w:br/>
        <w:t>F</w:t>
      </w:r>
      <w:r w:rsidR="00537604" w:rsidRPr="00FC07B9">
        <w:tab/>
      </w:r>
      <w:r w:rsidRPr="00FC07B9">
        <w:t>+61 2 6219 5353</w:t>
      </w:r>
    </w:p>
    <w:p w14:paraId="6D1FF847" w14:textId="77777777" w:rsidR="0005011A" w:rsidRPr="00F44F3A" w:rsidRDefault="0005011A" w:rsidP="00FC07B9">
      <w:pPr>
        <w:pStyle w:val="ACMACorporateAddressHeader"/>
      </w:pPr>
      <w:r w:rsidRPr="00F44F3A">
        <w:t>Melbourne</w:t>
      </w:r>
    </w:p>
    <w:p w14:paraId="7E849A6D" w14:textId="77777777" w:rsidR="0005011A" w:rsidRPr="00F44F3A" w:rsidRDefault="0005011A" w:rsidP="00FC07B9">
      <w:pPr>
        <w:pStyle w:val="ACMACorporateAddresses"/>
      </w:pPr>
      <w:r w:rsidRPr="00F44F3A">
        <w:t xml:space="preserve">Level 32 </w:t>
      </w:r>
      <w:r w:rsidRPr="00F44F3A">
        <w:br/>
        <w:t>Melbourne Central Tower</w:t>
      </w:r>
      <w:r w:rsidRPr="00F44F3A">
        <w:br/>
        <w:t xml:space="preserve">360 Elizabeth Street </w:t>
      </w:r>
      <w:r w:rsidR="008C10F4" w:rsidRPr="00F44F3A">
        <w:br/>
      </w:r>
      <w:r w:rsidRPr="00F44F3A">
        <w:t>Melbourne VIC</w:t>
      </w:r>
    </w:p>
    <w:p w14:paraId="40253152" w14:textId="77777777" w:rsidR="0005011A" w:rsidRPr="00F44F3A" w:rsidRDefault="0005011A" w:rsidP="00FC07B9">
      <w:pPr>
        <w:pStyle w:val="ACMACorporateAddresses"/>
      </w:pPr>
      <w:r w:rsidRPr="00F44F3A">
        <w:t>PO Box 13112</w:t>
      </w:r>
      <w:r w:rsidRPr="00F44F3A">
        <w:br/>
        <w:t xml:space="preserve">Law Courts </w:t>
      </w:r>
      <w:r w:rsidRPr="00F44F3A">
        <w:br/>
        <w:t>Melbourne VIC 8010</w:t>
      </w:r>
    </w:p>
    <w:p w14:paraId="6DE1FC04" w14:textId="77777777" w:rsidR="0005011A" w:rsidRPr="00F44F3A" w:rsidRDefault="0005011A" w:rsidP="00FC07B9">
      <w:pPr>
        <w:pStyle w:val="ACMACorporateAddresses"/>
      </w:pPr>
      <w:r w:rsidRPr="00F44F3A">
        <w:t>T</w:t>
      </w:r>
      <w:r w:rsidR="00140318" w:rsidRPr="00F44F3A">
        <w:tab/>
      </w:r>
      <w:r w:rsidRPr="00F44F3A">
        <w:t>+61 3 9963 6800</w:t>
      </w:r>
      <w:r w:rsidRPr="00F44F3A">
        <w:br/>
        <w:t>F</w:t>
      </w:r>
      <w:r w:rsidR="00140318" w:rsidRPr="00F44F3A">
        <w:tab/>
      </w:r>
      <w:r w:rsidRPr="00F44F3A">
        <w:t>+61 3 9963 6899</w:t>
      </w:r>
    </w:p>
    <w:p w14:paraId="118E0E81" w14:textId="77777777" w:rsidR="0005011A" w:rsidRPr="00F44F3A" w:rsidRDefault="0005011A" w:rsidP="00FC07B9">
      <w:pPr>
        <w:pStyle w:val="ACMACorporateAddressHeader"/>
      </w:pPr>
      <w:r w:rsidRPr="00F44F3A">
        <w:t>Sydney</w:t>
      </w:r>
    </w:p>
    <w:p w14:paraId="11CF37D1" w14:textId="77777777" w:rsidR="0005011A" w:rsidRPr="00F44F3A" w:rsidRDefault="0005011A" w:rsidP="00FC07B9">
      <w:pPr>
        <w:pStyle w:val="ACMACorporateAddresses"/>
      </w:pPr>
      <w:r w:rsidRPr="00F44F3A">
        <w:t xml:space="preserve">Level 5 </w:t>
      </w:r>
      <w:r w:rsidRPr="00F44F3A">
        <w:br/>
        <w:t>The Bay Centre</w:t>
      </w:r>
      <w:r w:rsidRPr="00F44F3A">
        <w:br/>
        <w:t xml:space="preserve">65 Pirrama Road </w:t>
      </w:r>
      <w:r w:rsidRPr="00F44F3A">
        <w:br/>
        <w:t>Pyrmont NSW</w:t>
      </w:r>
    </w:p>
    <w:p w14:paraId="559D154E" w14:textId="77777777" w:rsidR="0005011A" w:rsidRPr="00F44F3A" w:rsidRDefault="0005011A" w:rsidP="00FC07B9">
      <w:pPr>
        <w:pStyle w:val="ACMACorporateAddresses"/>
      </w:pPr>
      <w:r w:rsidRPr="00F44F3A">
        <w:t>PO Box Q500</w:t>
      </w:r>
      <w:r w:rsidRPr="00F44F3A">
        <w:br/>
        <w:t xml:space="preserve">Queen Victoria Building </w:t>
      </w:r>
      <w:r w:rsidRPr="00F44F3A">
        <w:br/>
        <w:t>NSW 1230</w:t>
      </w:r>
    </w:p>
    <w:p w14:paraId="06473D03" w14:textId="77777777" w:rsidR="0005011A" w:rsidRPr="00F44F3A" w:rsidRDefault="0005011A" w:rsidP="00FC07B9">
      <w:pPr>
        <w:pStyle w:val="ACMACorporateAddresses"/>
      </w:pPr>
      <w:r w:rsidRPr="00F44F3A">
        <w:t>T</w:t>
      </w:r>
      <w:r w:rsidR="00140318" w:rsidRPr="00F44F3A">
        <w:tab/>
      </w:r>
      <w:r w:rsidRPr="00F44F3A">
        <w:t>+61 2 9334 7700</w:t>
      </w:r>
      <w:r w:rsidR="00140318" w:rsidRPr="00F44F3A">
        <w:t xml:space="preserve"> or</w:t>
      </w:r>
      <w:r w:rsidRPr="00F44F3A">
        <w:t xml:space="preserve"> 1800 226 667</w:t>
      </w:r>
      <w:r w:rsidRPr="00F44F3A">
        <w:br/>
        <w:t>F</w:t>
      </w:r>
      <w:r w:rsidR="00140318" w:rsidRPr="00F44F3A">
        <w:tab/>
      </w:r>
      <w:r w:rsidRPr="00F44F3A">
        <w:t>+61 2 9334 7799</w:t>
      </w:r>
    </w:p>
    <w:p w14:paraId="75FC503D" w14:textId="77777777" w:rsidR="00140318" w:rsidRPr="006D46E5" w:rsidRDefault="00140318" w:rsidP="00FC07B9">
      <w:pPr>
        <w:pStyle w:val="ACMACopyrightHeader"/>
      </w:pPr>
      <w:r w:rsidRPr="00140318">
        <w:t>Copyright notice</w:t>
      </w:r>
    </w:p>
    <w:p w14:paraId="6B9F1E2E" w14:textId="77777777" w:rsidR="00140318" w:rsidRPr="006D46E5" w:rsidRDefault="00623FF9" w:rsidP="00623FF9">
      <w:pPr>
        <w:pStyle w:val="ACMACClogo"/>
      </w:pPr>
      <w:r w:rsidRPr="00623FF9">
        <w:rPr>
          <w:noProof/>
        </w:rPr>
        <w:drawing>
          <wp:inline distT="0" distB="0" distL="0" distR="0" wp14:anchorId="052B60A6" wp14:editId="6C2763D1">
            <wp:extent cx="838200" cy="295275"/>
            <wp:effectExtent l="0" t="0" r="0" b="0"/>
            <wp:docPr id="1" name="Picture 1" title="Creative Commons logo">
              <a:hlinkClick xmlns:a="http://schemas.openxmlformats.org/drawingml/2006/main" r:id="rId1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1"/>
                    </pic:cNvPr>
                    <pic:cNvPicPr>
                      <a:picLocks noChangeAspect="1" noChangeArrowheads="1"/>
                    </pic:cNvPicPr>
                  </pic:nvPicPr>
                  <pic:blipFill>
                    <a:blip r:embed="rId12" cstate="print"/>
                    <a:srcRect/>
                    <a:stretch>
                      <a:fillRect/>
                    </a:stretch>
                  </pic:blipFill>
                  <pic:spPr bwMode="auto">
                    <a:xfrm>
                      <a:off x="0" y="0"/>
                      <a:ext cx="838200" cy="295275"/>
                    </a:xfrm>
                    <a:prstGeom prst="rect">
                      <a:avLst/>
                    </a:prstGeom>
                    <a:noFill/>
                  </pic:spPr>
                </pic:pic>
              </a:graphicData>
            </a:graphic>
          </wp:inline>
        </w:drawing>
      </w:r>
    </w:p>
    <w:p w14:paraId="5255CBD0" w14:textId="77777777" w:rsidR="00AA2DE5" w:rsidRDefault="00912237" w:rsidP="00AA2DE5">
      <w:pPr>
        <w:pStyle w:val="ACMACorporateAddresses"/>
        <w:rPr>
          <w:rStyle w:val="Hyperlink"/>
        </w:rPr>
      </w:pPr>
      <w:hyperlink r:id="rId13" w:history="1">
        <w:r w:rsidR="00AA2DE5">
          <w:rPr>
            <w:rStyle w:val="Hyperlink"/>
          </w:rPr>
          <w:t>https://creativecommons.org/licenses/by/4.0/</w:t>
        </w:r>
      </w:hyperlink>
    </w:p>
    <w:p w14:paraId="4078C334" w14:textId="77777777" w:rsidR="00AA2DE5" w:rsidRDefault="00AA2DE5" w:rsidP="00AA2DE5">
      <w:pPr>
        <w:pStyle w:val="ACMACorporateAddresses"/>
      </w:pPr>
      <w:r>
        <w:t xml:space="preserve">With the exception of coats of arms, logos, emblems, images, other third-party material or devices protected by a trademark, this content is made available under the terms of the Creative Commons Attribution 4.0 International (CC BY 4.0) licence. </w:t>
      </w:r>
    </w:p>
    <w:p w14:paraId="73E57728" w14:textId="77777777" w:rsidR="00AA2DE5" w:rsidRDefault="00AA2DE5" w:rsidP="00AA2DE5">
      <w:pPr>
        <w:pStyle w:val="ACMACorporateAddresses"/>
      </w:pPr>
      <w:r>
        <w:t>We request attribution as © Commonwealth of Australia (Australian Communications and Media Authority) 20</w:t>
      </w:r>
      <w:r w:rsidR="00C41F21">
        <w:t>20</w:t>
      </w:r>
      <w:r>
        <w:t>.</w:t>
      </w:r>
    </w:p>
    <w:p w14:paraId="45192E7F" w14:textId="77777777" w:rsidR="00AA2DE5" w:rsidRDefault="00AA2DE5" w:rsidP="00AA2DE5">
      <w:pPr>
        <w:pStyle w:val="ACMACorporateAddresses"/>
      </w:pPr>
      <w:r>
        <w:t>All other rights are reserved.</w:t>
      </w:r>
    </w:p>
    <w:p w14:paraId="72198671" w14:textId="77777777" w:rsidR="00AA2DE5" w:rsidRDefault="00AA2DE5" w:rsidP="00AA2DE5">
      <w:pPr>
        <w:pStyle w:val="ACMACorporateAddresses"/>
      </w:pPr>
      <w: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584781C1" w14:textId="77777777" w:rsidR="00AA2DE5" w:rsidRDefault="00AA2DE5" w:rsidP="00AA2DE5">
      <w:pPr>
        <w:pStyle w:val="ACMACorporateAddresses"/>
      </w:pPr>
      <w:r>
        <w:t>Written enquiries may be sent to:</w:t>
      </w:r>
    </w:p>
    <w:p w14:paraId="4A49A7BF" w14:textId="77777777" w:rsidR="00AA2DE5" w:rsidRDefault="00AA2DE5" w:rsidP="00AA2DE5">
      <w:pPr>
        <w:pStyle w:val="ACMACorporateAddresses"/>
        <w:rPr>
          <w:rStyle w:val="Hyperlink"/>
        </w:rPr>
      </w:pPr>
      <w:r>
        <w:t xml:space="preserve">Manager, Editorial </w:t>
      </w:r>
      <w:r w:rsidR="000245E5">
        <w:t>Services</w:t>
      </w:r>
      <w:r>
        <w:br/>
        <w:t>PO Box 13112</w:t>
      </w:r>
      <w:r>
        <w:br/>
        <w:t>Law Courts</w:t>
      </w:r>
      <w:r>
        <w:br/>
        <w:t>Melbourne VIC 8010</w:t>
      </w:r>
      <w:r>
        <w:br/>
        <w:t xml:space="preserve">Email: </w:t>
      </w:r>
      <w:hyperlink r:id="rId14" w:history="1">
        <w:r>
          <w:rPr>
            <w:rStyle w:val="Hyperlink"/>
          </w:rPr>
          <w:t>info@acma.gov.au</w:t>
        </w:r>
      </w:hyperlink>
    </w:p>
    <w:p w14:paraId="06B5340A" w14:textId="77777777" w:rsidR="00D16FE3" w:rsidRDefault="00D16FE3" w:rsidP="00D16FE3">
      <w:pPr>
        <w:pStyle w:val="ACMACorporateAddresses"/>
        <w:rPr>
          <w:rStyle w:val="Hyperlink"/>
        </w:rPr>
      </w:pPr>
    </w:p>
    <w:p w14:paraId="709A1B74" w14:textId="77777777" w:rsidR="00D16FE3" w:rsidRPr="00D16FE3" w:rsidRDefault="00D16FE3" w:rsidP="00D16FE3">
      <w:pPr>
        <w:pStyle w:val="ACMACorporateAddresses"/>
        <w:sectPr w:rsidR="00D16FE3" w:rsidRPr="00D16FE3">
          <w:headerReference w:type="even" r:id="rId15"/>
          <w:headerReference w:type="default" r:id="rId16"/>
          <w:footerReference w:type="even" r:id="rId17"/>
          <w:footerReference w:type="default" r:id="rId18"/>
          <w:pgSz w:w="11906" w:h="16838" w:code="9"/>
          <w:pgMar w:top="3924" w:right="1797" w:bottom="697" w:left="1134" w:header="709" w:footer="119" w:gutter="0"/>
          <w:cols w:space="708"/>
          <w:docGrid w:linePitch="360"/>
        </w:sectPr>
      </w:pPr>
    </w:p>
    <w:p w14:paraId="46581487" w14:textId="074EE589" w:rsidR="00994C45" w:rsidRDefault="00C65F61">
      <w:pPr>
        <w:pStyle w:val="TOC1"/>
        <w:rPr>
          <w:rFonts w:asciiTheme="minorHAnsi" w:eastAsiaTheme="minorEastAsia" w:hAnsiTheme="minorHAnsi" w:cstheme="minorBidi"/>
          <w:b w:val="0"/>
          <w:spacing w:val="0"/>
          <w:sz w:val="22"/>
          <w:szCs w:val="22"/>
        </w:rPr>
      </w:pPr>
      <w:r>
        <w:rPr>
          <w:rFonts w:cs="Arial"/>
          <w:b w:val="0"/>
        </w:rPr>
        <w:lastRenderedPageBreak/>
        <w:fldChar w:fldCharType="begin"/>
      </w:r>
      <w:r>
        <w:rPr>
          <w:rFonts w:cs="Arial"/>
          <w:b w:val="0"/>
        </w:rPr>
        <w:instrText xml:space="preserve"> TOC \o "1-2" \t "Exec summary heading,1" </w:instrText>
      </w:r>
      <w:r>
        <w:rPr>
          <w:rFonts w:cs="Arial"/>
          <w:b w:val="0"/>
        </w:rPr>
        <w:fldChar w:fldCharType="separate"/>
      </w:r>
      <w:r w:rsidR="00994C45">
        <w:t>Executive summary</w:t>
      </w:r>
      <w:r w:rsidR="00994C45">
        <w:tab/>
      </w:r>
      <w:r w:rsidR="00994C45">
        <w:fldChar w:fldCharType="begin"/>
      </w:r>
      <w:r w:rsidR="00994C45">
        <w:instrText xml:space="preserve"> PAGEREF _Toc49171472 \h </w:instrText>
      </w:r>
      <w:r w:rsidR="00994C45">
        <w:fldChar w:fldCharType="separate"/>
      </w:r>
      <w:r w:rsidR="00994C45">
        <w:t>1</w:t>
      </w:r>
      <w:r w:rsidR="00994C45">
        <w:fldChar w:fldCharType="end"/>
      </w:r>
    </w:p>
    <w:p w14:paraId="3C1867A5" w14:textId="5803B3A9" w:rsidR="00994C45" w:rsidRDefault="00994C45">
      <w:pPr>
        <w:pStyle w:val="TOC1"/>
        <w:rPr>
          <w:rFonts w:asciiTheme="minorHAnsi" w:eastAsiaTheme="minorEastAsia" w:hAnsiTheme="minorHAnsi" w:cstheme="minorBidi"/>
          <w:b w:val="0"/>
          <w:spacing w:val="0"/>
          <w:sz w:val="22"/>
          <w:szCs w:val="22"/>
        </w:rPr>
      </w:pPr>
      <w:r>
        <w:t>Issues for comment</w:t>
      </w:r>
      <w:r>
        <w:tab/>
      </w:r>
      <w:r>
        <w:fldChar w:fldCharType="begin"/>
      </w:r>
      <w:r>
        <w:instrText xml:space="preserve"> PAGEREF _Toc49171473 \h </w:instrText>
      </w:r>
      <w:r>
        <w:fldChar w:fldCharType="separate"/>
      </w:r>
      <w:r>
        <w:t>2</w:t>
      </w:r>
      <w:r>
        <w:fldChar w:fldCharType="end"/>
      </w:r>
    </w:p>
    <w:p w14:paraId="0F4CEE4D" w14:textId="3B75C830" w:rsidR="00994C45" w:rsidRDefault="00994C45">
      <w:pPr>
        <w:pStyle w:val="TOC1"/>
        <w:rPr>
          <w:rFonts w:asciiTheme="minorHAnsi" w:eastAsiaTheme="minorEastAsia" w:hAnsiTheme="minorHAnsi" w:cstheme="minorBidi"/>
          <w:b w:val="0"/>
          <w:spacing w:val="0"/>
          <w:sz w:val="22"/>
          <w:szCs w:val="22"/>
        </w:rPr>
      </w:pPr>
      <w:r>
        <w:t>Introduction</w:t>
      </w:r>
      <w:r>
        <w:tab/>
      </w:r>
      <w:r>
        <w:fldChar w:fldCharType="begin"/>
      </w:r>
      <w:r>
        <w:instrText xml:space="preserve"> PAGEREF _Toc49171474 \h </w:instrText>
      </w:r>
      <w:r>
        <w:fldChar w:fldCharType="separate"/>
      </w:r>
      <w:r>
        <w:t>3</w:t>
      </w:r>
      <w:r>
        <w:fldChar w:fldCharType="end"/>
      </w:r>
    </w:p>
    <w:p w14:paraId="155EACC8" w14:textId="19AC3A98" w:rsidR="00994C45" w:rsidRDefault="00994C45">
      <w:pPr>
        <w:pStyle w:val="TOC1"/>
        <w:rPr>
          <w:rFonts w:asciiTheme="minorHAnsi" w:eastAsiaTheme="minorEastAsia" w:hAnsiTheme="minorHAnsi" w:cstheme="minorBidi"/>
          <w:b w:val="0"/>
          <w:spacing w:val="0"/>
          <w:sz w:val="22"/>
          <w:szCs w:val="22"/>
        </w:rPr>
      </w:pPr>
      <w:r>
        <w:t>The regulatory framework</w:t>
      </w:r>
      <w:r>
        <w:tab/>
      </w:r>
      <w:r>
        <w:fldChar w:fldCharType="begin"/>
      </w:r>
      <w:r>
        <w:instrText xml:space="preserve"> PAGEREF _Toc49171475 \h </w:instrText>
      </w:r>
      <w:r>
        <w:fldChar w:fldCharType="separate"/>
      </w:r>
      <w:r>
        <w:t>4</w:t>
      </w:r>
      <w:r>
        <w:fldChar w:fldCharType="end"/>
      </w:r>
    </w:p>
    <w:p w14:paraId="6C173FF5" w14:textId="5D65D184" w:rsidR="00994C45" w:rsidRDefault="00994C45">
      <w:pPr>
        <w:pStyle w:val="TOC2"/>
        <w:rPr>
          <w:rFonts w:asciiTheme="minorHAnsi" w:eastAsiaTheme="minorEastAsia" w:hAnsiTheme="minorHAnsi" w:cstheme="minorBidi"/>
          <w:spacing w:val="0"/>
          <w:sz w:val="22"/>
          <w:szCs w:val="22"/>
        </w:rPr>
      </w:pPr>
      <w:r>
        <w:t>International obligations—WRC-19 Final Acts</w:t>
      </w:r>
      <w:r>
        <w:tab/>
      </w:r>
      <w:r>
        <w:fldChar w:fldCharType="begin"/>
      </w:r>
      <w:r>
        <w:instrText xml:space="preserve"> PAGEREF _Toc49171476 \h </w:instrText>
      </w:r>
      <w:r>
        <w:fldChar w:fldCharType="separate"/>
      </w:r>
      <w:r>
        <w:t>4</w:t>
      </w:r>
      <w:r>
        <w:fldChar w:fldCharType="end"/>
      </w:r>
    </w:p>
    <w:p w14:paraId="52FD88E6" w14:textId="6E527A0A" w:rsidR="00994C45" w:rsidRDefault="00994C45">
      <w:pPr>
        <w:pStyle w:val="TOC2"/>
        <w:rPr>
          <w:rFonts w:asciiTheme="minorHAnsi" w:eastAsiaTheme="minorEastAsia" w:hAnsiTheme="minorHAnsi" w:cstheme="minorBidi"/>
          <w:spacing w:val="0"/>
          <w:sz w:val="22"/>
          <w:szCs w:val="22"/>
        </w:rPr>
      </w:pPr>
      <w:r>
        <w:t>Spectrum review</w:t>
      </w:r>
      <w:r>
        <w:tab/>
      </w:r>
      <w:r>
        <w:fldChar w:fldCharType="begin"/>
      </w:r>
      <w:r>
        <w:instrText xml:space="preserve"> PAGEREF _Toc49171477 \h </w:instrText>
      </w:r>
      <w:r>
        <w:fldChar w:fldCharType="separate"/>
      </w:r>
      <w:r>
        <w:t>4</w:t>
      </w:r>
      <w:r>
        <w:fldChar w:fldCharType="end"/>
      </w:r>
    </w:p>
    <w:p w14:paraId="6379B2CC" w14:textId="00B9A29E" w:rsidR="00994C45" w:rsidRDefault="00994C45">
      <w:pPr>
        <w:pStyle w:val="TOC1"/>
        <w:rPr>
          <w:rFonts w:asciiTheme="minorHAnsi" w:eastAsiaTheme="minorEastAsia" w:hAnsiTheme="minorHAnsi" w:cstheme="minorBidi"/>
          <w:b w:val="0"/>
          <w:spacing w:val="0"/>
          <w:sz w:val="22"/>
          <w:szCs w:val="22"/>
        </w:rPr>
      </w:pPr>
      <w:r>
        <w:t>Changes to the Spectrum Plan</w:t>
      </w:r>
      <w:r>
        <w:tab/>
      </w:r>
      <w:r>
        <w:fldChar w:fldCharType="begin"/>
      </w:r>
      <w:r>
        <w:instrText xml:space="preserve"> PAGEREF _Toc49171478 \h </w:instrText>
      </w:r>
      <w:r>
        <w:fldChar w:fldCharType="separate"/>
      </w:r>
      <w:r>
        <w:t>6</w:t>
      </w:r>
      <w:r>
        <w:fldChar w:fldCharType="end"/>
      </w:r>
    </w:p>
    <w:p w14:paraId="4ECD34BE" w14:textId="0F317710" w:rsidR="00994C45" w:rsidRDefault="00994C45">
      <w:pPr>
        <w:pStyle w:val="TOC2"/>
        <w:rPr>
          <w:rFonts w:asciiTheme="minorHAnsi" w:eastAsiaTheme="minorEastAsia" w:hAnsiTheme="minorHAnsi" w:cstheme="minorBidi"/>
          <w:spacing w:val="0"/>
          <w:sz w:val="22"/>
          <w:szCs w:val="22"/>
        </w:rPr>
      </w:pPr>
      <w:r>
        <w:t>Chapter 1—General information</w:t>
      </w:r>
      <w:r>
        <w:tab/>
      </w:r>
      <w:r>
        <w:fldChar w:fldCharType="begin"/>
      </w:r>
      <w:r>
        <w:instrText xml:space="preserve"> PAGEREF _Toc49171479 \h </w:instrText>
      </w:r>
      <w:r>
        <w:fldChar w:fldCharType="separate"/>
      </w:r>
      <w:r>
        <w:t>6</w:t>
      </w:r>
      <w:r>
        <w:fldChar w:fldCharType="end"/>
      </w:r>
    </w:p>
    <w:p w14:paraId="316D47CC" w14:textId="2014D4E2" w:rsidR="00994C45" w:rsidRDefault="00994C45">
      <w:pPr>
        <w:pStyle w:val="TOC2"/>
        <w:rPr>
          <w:rFonts w:asciiTheme="minorHAnsi" w:eastAsiaTheme="minorEastAsia" w:hAnsiTheme="minorHAnsi" w:cstheme="minorBidi"/>
          <w:spacing w:val="0"/>
          <w:sz w:val="22"/>
          <w:szCs w:val="22"/>
        </w:rPr>
      </w:pPr>
      <w:r>
        <w:t>Chapter 2—Australian Radiofrequency Spectrum Plan</w:t>
      </w:r>
      <w:r>
        <w:tab/>
      </w:r>
      <w:r>
        <w:fldChar w:fldCharType="begin"/>
      </w:r>
      <w:r>
        <w:instrText xml:space="preserve"> PAGEREF _Toc49171480 \h </w:instrText>
      </w:r>
      <w:r>
        <w:fldChar w:fldCharType="separate"/>
      </w:r>
      <w:r>
        <w:t>6</w:t>
      </w:r>
      <w:r>
        <w:fldChar w:fldCharType="end"/>
      </w:r>
    </w:p>
    <w:p w14:paraId="486830BB" w14:textId="4B2BF404" w:rsidR="00994C45" w:rsidRDefault="00994C45">
      <w:pPr>
        <w:pStyle w:val="TOC2"/>
        <w:rPr>
          <w:rFonts w:asciiTheme="minorHAnsi" w:eastAsiaTheme="minorEastAsia" w:hAnsiTheme="minorHAnsi" w:cstheme="minorBidi"/>
          <w:spacing w:val="0"/>
          <w:sz w:val="22"/>
          <w:szCs w:val="22"/>
        </w:rPr>
      </w:pPr>
      <w:r w:rsidRPr="008F138A">
        <w:t>Chapter 2—Part 2: Table of frequency band allocations</w:t>
      </w:r>
      <w:r>
        <w:tab/>
      </w:r>
      <w:r>
        <w:fldChar w:fldCharType="begin"/>
      </w:r>
      <w:r>
        <w:instrText xml:space="preserve"> PAGEREF _Toc49171481 \h </w:instrText>
      </w:r>
      <w:r>
        <w:fldChar w:fldCharType="separate"/>
      </w:r>
      <w:r>
        <w:t>6</w:t>
      </w:r>
      <w:r>
        <w:fldChar w:fldCharType="end"/>
      </w:r>
    </w:p>
    <w:p w14:paraId="602244AE" w14:textId="6C3D7277" w:rsidR="00994C45" w:rsidRDefault="00994C45">
      <w:pPr>
        <w:pStyle w:val="TOC2"/>
        <w:rPr>
          <w:rFonts w:asciiTheme="minorHAnsi" w:eastAsiaTheme="minorEastAsia" w:hAnsiTheme="minorHAnsi" w:cstheme="minorBidi"/>
          <w:spacing w:val="0"/>
          <w:sz w:val="22"/>
          <w:szCs w:val="22"/>
        </w:rPr>
      </w:pPr>
      <w:r>
        <w:rPr>
          <w:lang w:bidi="he-IL"/>
        </w:rPr>
        <w:t>Chapter 2—Part 3: Australian footnotes</w:t>
      </w:r>
      <w:r>
        <w:tab/>
      </w:r>
      <w:r>
        <w:fldChar w:fldCharType="begin"/>
      </w:r>
      <w:r>
        <w:instrText xml:space="preserve"> PAGEREF _Toc49171482 \h </w:instrText>
      </w:r>
      <w:r>
        <w:fldChar w:fldCharType="separate"/>
      </w:r>
      <w:r>
        <w:t>7</w:t>
      </w:r>
      <w:r>
        <w:fldChar w:fldCharType="end"/>
      </w:r>
    </w:p>
    <w:p w14:paraId="1DB1C3BF" w14:textId="4CC86132" w:rsidR="00994C45" w:rsidRDefault="00994C45">
      <w:pPr>
        <w:pStyle w:val="TOC2"/>
        <w:rPr>
          <w:rFonts w:asciiTheme="minorHAnsi" w:eastAsiaTheme="minorEastAsia" w:hAnsiTheme="minorHAnsi" w:cstheme="minorBidi"/>
          <w:spacing w:val="0"/>
          <w:sz w:val="22"/>
          <w:szCs w:val="22"/>
        </w:rPr>
      </w:pPr>
      <w:r>
        <w:t>Chapter 2—Part 4: International footnotes</w:t>
      </w:r>
      <w:r>
        <w:tab/>
      </w:r>
      <w:r>
        <w:fldChar w:fldCharType="begin"/>
      </w:r>
      <w:r>
        <w:instrText xml:space="preserve"> PAGEREF _Toc49171483 \h </w:instrText>
      </w:r>
      <w:r>
        <w:fldChar w:fldCharType="separate"/>
      </w:r>
      <w:r>
        <w:t>8</w:t>
      </w:r>
      <w:r>
        <w:fldChar w:fldCharType="end"/>
      </w:r>
    </w:p>
    <w:p w14:paraId="47AF2584" w14:textId="7BB55EF6" w:rsidR="00994C45" w:rsidRDefault="00994C45">
      <w:pPr>
        <w:pStyle w:val="TOC1"/>
        <w:rPr>
          <w:rFonts w:asciiTheme="minorHAnsi" w:eastAsiaTheme="minorEastAsia" w:hAnsiTheme="minorHAnsi" w:cstheme="minorBidi"/>
          <w:b w:val="0"/>
          <w:spacing w:val="0"/>
          <w:sz w:val="22"/>
          <w:szCs w:val="22"/>
        </w:rPr>
      </w:pPr>
      <w:r>
        <w:t>Invitation to comment</w:t>
      </w:r>
      <w:r>
        <w:tab/>
      </w:r>
      <w:r>
        <w:fldChar w:fldCharType="begin"/>
      </w:r>
      <w:r>
        <w:instrText xml:space="preserve"> PAGEREF _Toc49171484 \h </w:instrText>
      </w:r>
      <w:r>
        <w:fldChar w:fldCharType="separate"/>
      </w:r>
      <w:r>
        <w:t>9</w:t>
      </w:r>
      <w:r>
        <w:fldChar w:fldCharType="end"/>
      </w:r>
    </w:p>
    <w:p w14:paraId="253F1C76" w14:textId="0CF50C1B" w:rsidR="00994C45" w:rsidRDefault="00994C45">
      <w:pPr>
        <w:pStyle w:val="TOC2"/>
        <w:rPr>
          <w:rFonts w:asciiTheme="minorHAnsi" w:eastAsiaTheme="minorEastAsia" w:hAnsiTheme="minorHAnsi" w:cstheme="minorBidi"/>
          <w:spacing w:val="0"/>
          <w:sz w:val="22"/>
          <w:szCs w:val="22"/>
        </w:rPr>
      </w:pPr>
      <w:r>
        <w:t>Making a submission</w:t>
      </w:r>
      <w:r>
        <w:tab/>
      </w:r>
      <w:r>
        <w:fldChar w:fldCharType="begin"/>
      </w:r>
      <w:r>
        <w:instrText xml:space="preserve"> PAGEREF _Toc49171485 \h </w:instrText>
      </w:r>
      <w:r>
        <w:fldChar w:fldCharType="separate"/>
      </w:r>
      <w:r>
        <w:t>9</w:t>
      </w:r>
      <w:r>
        <w:fldChar w:fldCharType="end"/>
      </w:r>
    </w:p>
    <w:p w14:paraId="432777E7" w14:textId="013396BD" w:rsidR="004D56FF" w:rsidRPr="000D76E0" w:rsidRDefault="00C65F61">
      <w:pPr>
        <w:rPr>
          <w:rFonts w:cs="Arial"/>
        </w:rPr>
        <w:sectPr w:rsidR="004D56FF" w:rsidRPr="000D76E0" w:rsidSect="00C77380">
          <w:headerReference w:type="even" r:id="rId19"/>
          <w:headerReference w:type="default" r:id="rId20"/>
          <w:footerReference w:type="even" r:id="rId21"/>
          <w:footerReference w:type="default" r:id="rId22"/>
          <w:footerReference w:type="first" r:id="rId23"/>
          <w:pgSz w:w="11906" w:h="16838" w:code="9"/>
          <w:pgMar w:top="3646" w:right="3101" w:bottom="1134" w:left="1134" w:header="709" w:footer="119" w:gutter="0"/>
          <w:cols w:space="708"/>
          <w:titlePg/>
          <w:docGrid w:linePitch="360"/>
        </w:sectPr>
      </w:pPr>
      <w:r>
        <w:rPr>
          <w:rFonts w:cs="Arial"/>
          <w:b/>
          <w:noProof/>
          <w:spacing w:val="-14"/>
          <w:sz w:val="28"/>
        </w:rPr>
        <w:fldChar w:fldCharType="end"/>
      </w:r>
    </w:p>
    <w:p w14:paraId="5C2FA2A5" w14:textId="77777777" w:rsidR="009D6C71" w:rsidRPr="009174F3" w:rsidRDefault="009D6C71" w:rsidP="009174F3">
      <w:pPr>
        <w:pStyle w:val="Execsummaryheading"/>
      </w:pPr>
      <w:bookmarkStart w:id="0" w:name="_Toc49171472"/>
      <w:r w:rsidRPr="009174F3">
        <w:lastRenderedPageBreak/>
        <w:t>Executive summary</w:t>
      </w:r>
      <w:bookmarkEnd w:id="0"/>
    </w:p>
    <w:p w14:paraId="1ACE92A6" w14:textId="2F974522" w:rsidR="007D6B04" w:rsidRDefault="007D6B04" w:rsidP="007D6B04">
      <w:pPr>
        <w:pStyle w:val="Paragraph"/>
      </w:pPr>
      <w:r>
        <w:t xml:space="preserve">Following each International Telecommunication Union (ITU) World Radiocommunication Conference (WRC), the Australian Communications and Media Authority (the ACMA) typically updates the </w:t>
      </w:r>
      <w:r w:rsidRPr="00AB5852">
        <w:rPr>
          <w:iCs/>
        </w:rPr>
        <w:t>Australian Radiofrequency Spectrum Plan</w:t>
      </w:r>
      <w:r>
        <w:t xml:space="preserve"> (the Spectrum Plan).</w:t>
      </w:r>
    </w:p>
    <w:p w14:paraId="01DC9D2F" w14:textId="5943FC85" w:rsidR="007D6B04" w:rsidRDefault="007D6B04" w:rsidP="007D6B04">
      <w:pPr>
        <w:pStyle w:val="Paragraph"/>
      </w:pPr>
      <w:r>
        <w:t xml:space="preserve">The Spectrum Plan, made under section 30 of the </w:t>
      </w:r>
      <w:r w:rsidRPr="00082F28">
        <w:rPr>
          <w:i/>
        </w:rPr>
        <w:t>Radiocommunications Act 1992</w:t>
      </w:r>
      <w:r>
        <w:rPr>
          <w:i/>
        </w:rPr>
        <w:t xml:space="preserve"> </w:t>
      </w:r>
      <w:r>
        <w:t>(the Act)</w:t>
      </w:r>
      <w:r>
        <w:rPr>
          <w:i/>
        </w:rPr>
        <w:t>,</w:t>
      </w:r>
      <w:r>
        <w:t xml:space="preserve"> divides the spectrum into frequency bands and specifies the general purpose or purposes for which the bands may be used. The Spectrum Plan reflects both international and domestic arrangements for radiofrequency management. </w:t>
      </w:r>
    </w:p>
    <w:p w14:paraId="0786D45E" w14:textId="77777777" w:rsidR="007D6B04" w:rsidRDefault="007D6B04" w:rsidP="00AB5852">
      <w:pPr>
        <w:pStyle w:val="Paragraphbeforelist"/>
      </w:pPr>
      <w:r>
        <w:t>The Spectrum Plan:</w:t>
      </w:r>
    </w:p>
    <w:p w14:paraId="5A8DC7C8" w14:textId="77777777" w:rsidR="007D6B04" w:rsidRDefault="007D6B04" w:rsidP="00AB5852">
      <w:pPr>
        <w:pStyle w:val="Bulletlevel1"/>
      </w:pPr>
      <w:r>
        <w:t>provides a basis for management of the radiofrequency spectrum in Australia</w:t>
      </w:r>
    </w:p>
    <w:p w14:paraId="0C3625E2" w14:textId="77777777" w:rsidR="007D6B04" w:rsidRDefault="007D6B04" w:rsidP="00AB5852">
      <w:pPr>
        <w:pStyle w:val="Bulletlevel1"/>
      </w:pPr>
      <w:r>
        <w:t>informs radiocommunication users about the services allocated to each frequency band and the conditions attached to those allocations</w:t>
      </w:r>
    </w:p>
    <w:p w14:paraId="1457F851" w14:textId="0370745F" w:rsidR="007D6B04" w:rsidRDefault="007D6B04" w:rsidP="00AB5852">
      <w:pPr>
        <w:pStyle w:val="Bulletlevel1"/>
      </w:pPr>
      <w:r>
        <w:t xml:space="preserve">reflects Australia’s treaty obligations as a member of the ITU, as </w:t>
      </w:r>
      <w:r w:rsidR="00017BC0">
        <w:t>set out</w:t>
      </w:r>
      <w:r>
        <w:t xml:space="preserve"> in the ITU’s Radio Regulations</w:t>
      </w:r>
    </w:p>
    <w:p w14:paraId="0DDDEB29" w14:textId="77777777" w:rsidR="007D6B04" w:rsidRDefault="007D6B04" w:rsidP="00AB5852">
      <w:pPr>
        <w:pStyle w:val="Bulletlevel1last"/>
      </w:pPr>
      <w:r>
        <w:t>provides details of international frequency allocations agreed by the ITU for the three world Regions.</w:t>
      </w:r>
    </w:p>
    <w:p w14:paraId="4A0DFCB6" w14:textId="45CB479F" w:rsidR="007D6B04" w:rsidRDefault="007D6B04" w:rsidP="00060292">
      <w:pPr>
        <w:pStyle w:val="Paragraph"/>
      </w:pPr>
      <w:r>
        <w:t>The last major changes to the Spectrum Plan were made in January 2017</w:t>
      </w:r>
      <w:r w:rsidR="00567DEA">
        <w:t>, following the 2015 WRC (WRC-15)</w:t>
      </w:r>
      <w:r>
        <w:t xml:space="preserve">. Proposed changes to the Spectrum Plan are outlined in this paper and </w:t>
      </w:r>
      <w:r w:rsidR="00464963">
        <w:t xml:space="preserve">the </w:t>
      </w:r>
      <w:r w:rsidR="006B553E">
        <w:t>attached marked-up version of the draft Spectrum Plan. The proposed changes reflect changes to the ITU Radio Regulations</w:t>
      </w:r>
      <w:r w:rsidR="006B553E" w:rsidRPr="006B553E">
        <w:t xml:space="preserve"> at the WRC held in Sharm El Sheik, Egypt</w:t>
      </w:r>
      <w:r w:rsidR="00416AC8">
        <w:t>,</w:t>
      </w:r>
      <w:r w:rsidR="006B553E" w:rsidRPr="006B553E">
        <w:t xml:space="preserve"> in late 2019</w:t>
      </w:r>
      <w:r w:rsidR="00416AC8">
        <w:t xml:space="preserve">. They include </w:t>
      </w:r>
      <w:r w:rsidR="006B553E" w:rsidRPr="006B553E">
        <w:t>new identifications for International Mobile Telecommunications (IMT) (mobile broadband), maritime and satellite services to reflect the decisions of WRC-19, as well as some minor editorial changes</w:t>
      </w:r>
      <w:r w:rsidR="00151193">
        <w:t xml:space="preserve"> and clarification of a number of Australian footnotes</w:t>
      </w:r>
      <w:r w:rsidR="006B553E" w:rsidRPr="006B553E">
        <w:t>.</w:t>
      </w:r>
    </w:p>
    <w:p w14:paraId="5AEBB96B" w14:textId="5F5AAFEA" w:rsidR="00715722" w:rsidRDefault="007D6B04" w:rsidP="007D6B04">
      <w:pPr>
        <w:pStyle w:val="Paragraph"/>
      </w:pPr>
      <w:r w:rsidRPr="00674350">
        <w:t>It is proposed that the new Spectrum Plan discussed in this paper and its attachment</w:t>
      </w:r>
      <w:r w:rsidR="003856FE">
        <w:t xml:space="preserve"> </w:t>
      </w:r>
      <w:r w:rsidRPr="00674350">
        <w:t xml:space="preserve">be made </w:t>
      </w:r>
      <w:r>
        <w:t>before</w:t>
      </w:r>
      <w:r w:rsidRPr="00674350">
        <w:t xml:space="preserve"> 1 January 20</w:t>
      </w:r>
      <w:r>
        <w:t>21</w:t>
      </w:r>
      <w:r w:rsidR="00AB5852">
        <w:t>, so as to commence on that date</w:t>
      </w:r>
      <w:r>
        <w:t>.</w:t>
      </w:r>
      <w:r>
        <w:t xml:space="preserve"> </w:t>
      </w:r>
    </w:p>
    <w:p w14:paraId="203515D7" w14:textId="2EFFDEC8" w:rsidR="00715722" w:rsidRDefault="00715722" w:rsidP="00715722">
      <w:pPr>
        <w:pStyle w:val="Heading1"/>
      </w:pPr>
      <w:bookmarkStart w:id="1" w:name="_Toc433122125"/>
      <w:bookmarkStart w:id="2" w:name="_Toc49171473"/>
      <w:r>
        <w:lastRenderedPageBreak/>
        <w:t>Issue</w:t>
      </w:r>
      <w:r w:rsidR="007D6B04">
        <w:t>s</w:t>
      </w:r>
      <w:r>
        <w:t xml:space="preserve"> for comment</w:t>
      </w:r>
      <w:bookmarkEnd w:id="1"/>
      <w:bookmarkEnd w:id="2"/>
    </w:p>
    <w:p w14:paraId="51F81555" w14:textId="66056AB6" w:rsidR="005E250B" w:rsidRPr="009D4C85" w:rsidRDefault="00BA4FBD" w:rsidP="00D61243">
      <w:pPr>
        <w:pStyle w:val="Paragraph"/>
      </w:pPr>
      <w:r>
        <w:t>T</w:t>
      </w:r>
      <w:r w:rsidR="00715722">
        <w:t xml:space="preserve">he ACMA welcomes comment from interested stakeholders on the issues raised in this </w:t>
      </w:r>
      <w:r w:rsidR="003545E8">
        <w:t>consultation</w:t>
      </w:r>
      <w:r w:rsidR="002943D1">
        <w:t>,</w:t>
      </w:r>
      <w:r w:rsidR="00715722">
        <w:t xml:space="preserve"> or any other issues relevant to</w:t>
      </w:r>
      <w:r w:rsidR="007D6B04">
        <w:t xml:space="preserve"> the update of the Australian Radiofrequency Spectrum Plan. </w:t>
      </w:r>
      <w:r>
        <w:t xml:space="preserve">In particular, the ACMA </w:t>
      </w:r>
      <w:r w:rsidR="00287786">
        <w:t xml:space="preserve">seeks </w:t>
      </w:r>
      <w:r>
        <w:t xml:space="preserve">comment on whether changes need to be made to particular Australian footnotes as described in the section </w:t>
      </w:r>
      <w:hyperlink w:anchor="_Chapter_2—Part_3:" w:history="1">
        <w:r w:rsidR="002943D1" w:rsidRPr="002943D1">
          <w:rPr>
            <w:rStyle w:val="Hyperlink"/>
          </w:rPr>
          <w:t>Chapter 2—Part 3: Australian footnotes</w:t>
        </w:r>
      </w:hyperlink>
      <w:r w:rsidR="002943D1">
        <w:t>.</w:t>
      </w:r>
    </w:p>
    <w:p w14:paraId="355731BA" w14:textId="56AFC86D" w:rsidR="005E250B" w:rsidRDefault="007D6B04" w:rsidP="002C0530">
      <w:pPr>
        <w:pStyle w:val="Heading1"/>
      </w:pPr>
      <w:bookmarkStart w:id="3" w:name="_Toc49171474"/>
      <w:r>
        <w:lastRenderedPageBreak/>
        <w:t>Introduction</w:t>
      </w:r>
      <w:bookmarkEnd w:id="3"/>
    </w:p>
    <w:p w14:paraId="288C330E" w14:textId="77777777" w:rsidR="007D6B04" w:rsidRDefault="007D6B04" w:rsidP="007D6B04">
      <w:r>
        <w:t>The Spectrum Plan specifies the general purpose or purposes for which frequency bands may be used.</w:t>
      </w:r>
      <w:r>
        <w:rPr>
          <w:rStyle w:val="FootnoteReference"/>
          <w:rFonts w:cs="Arial"/>
          <w:color w:val="000000"/>
          <w:szCs w:val="20"/>
        </w:rPr>
        <w:footnoteReference w:id="2"/>
      </w:r>
      <w:r>
        <w:t xml:space="preserve"> The Spectrum Plan provides a framework within which a diversity of radiocommunications services are able to operate. </w:t>
      </w:r>
    </w:p>
    <w:p w14:paraId="258F6A44" w14:textId="77777777" w:rsidR="007D6B04" w:rsidRDefault="007D6B04" w:rsidP="007D6B04">
      <w:r>
        <w:t xml:space="preserve">The Spectrum Plan, as published by the ACMA, is divided into two chapters. The first chapter provides an introduction to the Spectrum Plan, guidance on its use and information relevant to the international framework from which the Spectrum Plan has been developed. This first chapter has been prepared to assist understanding of the Spectrum Plan and does not form part of the Spectrum Plan published on the Federal Register of Legislation. The second chapter contains the legal instrument, including the table of frequency allocations and associated footnotes. </w:t>
      </w:r>
    </w:p>
    <w:p w14:paraId="09EC85CD" w14:textId="78DBC851" w:rsidR="007D6B04" w:rsidRDefault="007D6B04" w:rsidP="007D6B04">
      <w:r>
        <w:t xml:space="preserve">The ACMA proposes to remake the Spectrum Plan to reflect changes to the ITU’s Radio Regulations made at the WRC held in </w:t>
      </w:r>
      <w:r w:rsidR="004020B1">
        <w:t>Sharm El Sheik, Egypt</w:t>
      </w:r>
      <w:r>
        <w:t xml:space="preserve"> in late 201</w:t>
      </w:r>
      <w:r w:rsidR="004020B1">
        <w:t>9</w:t>
      </w:r>
      <w:r>
        <w:t>. Australia participated in this international treaty-level negotiation, agreeing in principle to changes that are mirrored in the Spectrum Plan in column 1 of the Table of Frequency Band Allocations (Part 2 of Chapter 2) and the international footnotes (Part</w:t>
      </w:r>
      <w:r w:rsidR="00CC060A">
        <w:t> </w:t>
      </w:r>
      <w:r>
        <w:t>4 of Chapter 2). The ACMA typically updates the Spectrum Plan following each WRC.</w:t>
      </w:r>
    </w:p>
    <w:p w14:paraId="51D5CDCE" w14:textId="77777777" w:rsidR="007D6B04" w:rsidRDefault="007D6B04" w:rsidP="007D6B04">
      <w:pPr>
        <w:spacing w:after="80"/>
      </w:pPr>
      <w:r>
        <w:t>In addition to reflecting updated international arrangements, the changes proposed to the Spectrum Plan:</w:t>
      </w:r>
    </w:p>
    <w:p w14:paraId="12454ADB" w14:textId="22A0C377" w:rsidR="007D6B04" w:rsidRDefault="007D6B04" w:rsidP="007D6B04">
      <w:pPr>
        <w:pStyle w:val="ListBullet"/>
      </w:pPr>
      <w:r w:rsidRPr="00D53A86">
        <w:t xml:space="preserve">include updates reflecting domestic changes that have occurred over the past </w:t>
      </w:r>
      <w:r>
        <w:t>four </w:t>
      </w:r>
      <w:r w:rsidRPr="00D53A86">
        <w:t>years</w:t>
      </w:r>
    </w:p>
    <w:p w14:paraId="07556012" w14:textId="3859231A" w:rsidR="007D6B04" w:rsidRDefault="007D6B04" w:rsidP="007D6B04">
      <w:pPr>
        <w:pStyle w:val="ListBullet"/>
      </w:pPr>
      <w:r w:rsidRPr="005C613A">
        <w:t>correct a small number of minor typographical errors</w:t>
      </w:r>
      <w:r w:rsidR="00017BC0">
        <w:t>.</w:t>
      </w:r>
      <w:r w:rsidRPr="005C613A">
        <w:t xml:space="preserve"> </w:t>
      </w:r>
    </w:p>
    <w:p w14:paraId="53122FFB" w14:textId="2B1A53F8" w:rsidR="000B4664" w:rsidRDefault="007D6B04" w:rsidP="000B4664">
      <w:pPr>
        <w:pStyle w:val="Heading1"/>
      </w:pPr>
      <w:bookmarkStart w:id="4" w:name="_Toc49171475"/>
      <w:r>
        <w:lastRenderedPageBreak/>
        <w:t>The regulatory framework</w:t>
      </w:r>
      <w:bookmarkEnd w:id="4"/>
      <w:r>
        <w:t xml:space="preserve"> </w:t>
      </w:r>
    </w:p>
    <w:p w14:paraId="162A6450" w14:textId="351B95FA" w:rsidR="007D6B04" w:rsidRDefault="007D6B04" w:rsidP="007D6B04">
      <w:r>
        <w:t xml:space="preserve">The Spectrum Plan is a legislative instrument </w:t>
      </w:r>
      <w:r w:rsidR="006C20B7">
        <w:t>made under</w:t>
      </w:r>
      <w:r>
        <w:t xml:space="preserve"> section 30 of the Act.</w:t>
      </w:r>
    </w:p>
    <w:p w14:paraId="735714B8" w14:textId="77777777" w:rsidR="007D6B04" w:rsidRDefault="007D6B04" w:rsidP="007D6B04">
      <w:pPr>
        <w:spacing w:after="80"/>
      </w:pPr>
      <w:r>
        <w:t>A spectrum plan must:</w:t>
      </w:r>
    </w:p>
    <w:p w14:paraId="6EC2D7DE" w14:textId="7E5555DC" w:rsidR="007D6B04" w:rsidRPr="00221884" w:rsidRDefault="007D6B04" w:rsidP="007D6B04">
      <w:pPr>
        <w:pStyle w:val="ListBullet"/>
      </w:pPr>
      <w:r>
        <w:t xml:space="preserve">divide the portion of the spectrum to be regulated into the number of frequency bands that the ACMA thinks necessary to effectively regulate that spectrum </w:t>
      </w:r>
    </w:p>
    <w:p w14:paraId="43E057C2" w14:textId="599F64AA" w:rsidR="007D6B04" w:rsidRDefault="007D6B04" w:rsidP="007D6B04">
      <w:pPr>
        <w:pStyle w:val="ListBullet"/>
      </w:pPr>
      <w:r>
        <w:t>designate one or more bands to be used primarily for the general purposes of</w:t>
      </w:r>
      <w:r w:rsidR="00F90A66">
        <w:t> </w:t>
      </w:r>
      <w:r>
        <w:t>defence</w:t>
      </w:r>
    </w:p>
    <w:p w14:paraId="10938DEA" w14:textId="77777777" w:rsidR="007D6B04" w:rsidRDefault="007D6B04" w:rsidP="007D6B04">
      <w:pPr>
        <w:pStyle w:val="ListBulletLast"/>
      </w:pPr>
      <w:r>
        <w:t>specify the general purpose or purposes for which each other band may be used.</w:t>
      </w:r>
      <w:r>
        <w:rPr>
          <w:rStyle w:val="FootnoteReference"/>
          <w:szCs w:val="20"/>
        </w:rPr>
        <w:footnoteReference w:id="3"/>
      </w:r>
    </w:p>
    <w:p w14:paraId="7BC79AA7" w14:textId="35CD5997" w:rsidR="005E250B" w:rsidRPr="00C35CCE" w:rsidRDefault="007D6B04" w:rsidP="005E250B">
      <w:pPr>
        <w:pStyle w:val="Heading2"/>
      </w:pPr>
      <w:bookmarkStart w:id="5" w:name="_Toc49171476"/>
      <w:r w:rsidRPr="007D6B04">
        <w:t>International obligations—WRC-1</w:t>
      </w:r>
      <w:r>
        <w:t>9</w:t>
      </w:r>
      <w:r w:rsidRPr="007D6B04">
        <w:t xml:space="preserve"> Final Acts</w:t>
      </w:r>
      <w:bookmarkEnd w:id="5"/>
      <w:r w:rsidR="005E250B" w:rsidRPr="00C35CCE">
        <w:t xml:space="preserve"> </w:t>
      </w:r>
    </w:p>
    <w:p w14:paraId="73722540" w14:textId="65E01A34" w:rsidR="00287786" w:rsidRDefault="007D6B04" w:rsidP="007D6B04">
      <w:r w:rsidRPr="00562DB4">
        <w:t xml:space="preserve">The </w:t>
      </w:r>
      <w:r>
        <w:t xml:space="preserve">Spectrum Plan is </w:t>
      </w:r>
      <w:r w:rsidR="00567DEA">
        <w:t xml:space="preserve">usually </w:t>
      </w:r>
      <w:r>
        <w:t>updated every three to four</w:t>
      </w:r>
      <w:r w:rsidR="006C20B7">
        <w:t xml:space="preserve"> </w:t>
      </w:r>
      <w:r>
        <w:t xml:space="preserve">years, following each ITU WRC. </w:t>
      </w:r>
      <w:r w:rsidR="00017BC0" w:rsidRPr="00017BC0">
        <w:t xml:space="preserve">Australia is a member of the International Telecommunication Union (ITU) and has ratified the </w:t>
      </w:r>
      <w:r w:rsidR="00017BC0" w:rsidRPr="006C20B7">
        <w:t>Constitution and Convention of the ITU</w:t>
      </w:r>
      <w:r w:rsidR="00017BC0" w:rsidRPr="00017BC0">
        <w:t xml:space="preserve">. Under the </w:t>
      </w:r>
      <w:r w:rsidR="00CC060A">
        <w:t>c</w:t>
      </w:r>
      <w:r w:rsidR="00017BC0" w:rsidRPr="00017BC0">
        <w:t>onstitution, member states are bound to comply with the ITU’s Radio Regulations</w:t>
      </w:r>
      <w:r w:rsidR="00CC060A">
        <w:t>.</w:t>
      </w:r>
      <w:r w:rsidR="00017BC0">
        <w:rPr>
          <w:rStyle w:val="FootnoteReference"/>
        </w:rPr>
        <w:footnoteReference w:id="4"/>
      </w:r>
      <w:r w:rsidR="00017BC0">
        <w:t xml:space="preserve"> </w:t>
      </w:r>
      <w:r>
        <w:t xml:space="preserve">The WRC involves decisions that change the ITU’s Radio Regulations. These changes are recorded in ‘Final Acts’ from the </w:t>
      </w:r>
      <w:r w:rsidR="00CC060A">
        <w:t>c</w:t>
      </w:r>
      <w:r>
        <w:t>onference. Australia agreed in principle to these changes by signing the Final Acts of the Conference.</w:t>
      </w:r>
      <w:r w:rsidRPr="00377D9B">
        <w:t xml:space="preserve"> </w:t>
      </w:r>
    </w:p>
    <w:p w14:paraId="17468599" w14:textId="69F4704D" w:rsidR="00567DEA" w:rsidRDefault="007D6B04" w:rsidP="007D6B04">
      <w:r>
        <w:t xml:space="preserve">The Spectrum Plan is updated to reflect changes agreed upon at the </w:t>
      </w:r>
      <w:r w:rsidR="00CC060A">
        <w:t>c</w:t>
      </w:r>
      <w:r>
        <w:t>onference for parts of the international frequency allocation table that are referenced in the Spectrum Plan, as well as other international changes that Australia has agreed to in</w:t>
      </w:r>
      <w:r w:rsidR="00CC060A">
        <w:t> </w:t>
      </w:r>
      <w:r>
        <w:t xml:space="preserve">principle. </w:t>
      </w:r>
    </w:p>
    <w:p w14:paraId="76EC4150" w14:textId="4E7B9F4E" w:rsidR="007D6B04" w:rsidRDefault="007D6B04" w:rsidP="007D6B04">
      <w:r>
        <w:t>Domestic approval of the treaty amendments is currently being sought</w:t>
      </w:r>
      <w:r w:rsidR="00CC060A">
        <w:t>—</w:t>
      </w:r>
      <w:r w:rsidR="00567DEA">
        <w:t xml:space="preserve">that </w:t>
      </w:r>
      <w:r>
        <w:t>process</w:t>
      </w:r>
      <w:r w:rsidR="00CC060A">
        <w:t> </w:t>
      </w:r>
      <w:r>
        <w:t xml:space="preserve">is being managed by the Department of </w:t>
      </w:r>
      <w:r w:rsidR="004020B1">
        <w:t xml:space="preserve">Infrastructure, Transport, Regional Development and </w:t>
      </w:r>
      <w:r>
        <w:t>Communications</w:t>
      </w:r>
      <w:r w:rsidR="00567DEA">
        <w:t xml:space="preserve"> (DITRDC)</w:t>
      </w:r>
      <w:r>
        <w:t xml:space="preserve">. </w:t>
      </w:r>
      <w:r w:rsidR="00C95E17">
        <w:t>Subject to DITRDC’s progress on this matter</w:t>
      </w:r>
      <w:r w:rsidRPr="00BA4FBD">
        <w:t xml:space="preserve">, the domestic process for consideration of the </w:t>
      </w:r>
      <w:r w:rsidR="00D95FE3">
        <w:t>Final Acts</w:t>
      </w:r>
      <w:r w:rsidR="00D95FE3" w:rsidRPr="00BA4FBD">
        <w:t xml:space="preserve"> </w:t>
      </w:r>
      <w:r w:rsidRPr="00BA4FBD">
        <w:t>may not occur by the end of 20</w:t>
      </w:r>
      <w:r w:rsidR="004020B1" w:rsidRPr="00BA4FBD">
        <w:t>20</w:t>
      </w:r>
      <w:r w:rsidRPr="00BA4FBD">
        <w:t>. The ACMA is working towards remaking the Spectrum Plan to coincide with the Final Acts coming into force.</w:t>
      </w:r>
      <w:r>
        <w:t xml:space="preserve"> </w:t>
      </w:r>
    </w:p>
    <w:p w14:paraId="1B910520" w14:textId="779B4CB9" w:rsidR="0063346D" w:rsidRDefault="007D6B04" w:rsidP="0063346D">
      <w:pPr>
        <w:pStyle w:val="Heading2"/>
      </w:pPr>
      <w:bookmarkStart w:id="6" w:name="_Toc49171477"/>
      <w:r>
        <w:t xml:space="preserve">Spectrum </w:t>
      </w:r>
      <w:r w:rsidR="00E961F3">
        <w:t>r</w:t>
      </w:r>
      <w:r>
        <w:t>eview</w:t>
      </w:r>
      <w:bookmarkEnd w:id="6"/>
    </w:p>
    <w:p w14:paraId="76BE42B0" w14:textId="7EDE2166" w:rsidR="004020B1" w:rsidRDefault="004020B1" w:rsidP="006C20B7">
      <w:pPr>
        <w:pStyle w:val="Paragraphbeforelist"/>
      </w:pPr>
      <w:r>
        <w:t xml:space="preserve">In October 2019, the </w:t>
      </w:r>
      <w:r w:rsidR="00CC060A">
        <w:t xml:space="preserve">Australian </w:t>
      </w:r>
      <w:r>
        <w:t xml:space="preserve">Government committed to progressing a set of targeted amendments which will update and streamline the Act. These amendments will achieve this by removing existing unnecessary </w:t>
      </w:r>
      <w:r w:rsidR="00F44B7A">
        <w:t>prescription</w:t>
      </w:r>
      <w:r w:rsidR="00D95FE3">
        <w:t xml:space="preserve"> </w:t>
      </w:r>
      <w:r>
        <w:t>and legislative barriers. This includes:</w:t>
      </w:r>
    </w:p>
    <w:p w14:paraId="7C114F6C" w14:textId="2E038856" w:rsidR="004020B1" w:rsidRDefault="004020B1" w:rsidP="006C20B7">
      <w:pPr>
        <w:pStyle w:val="Bulletlevel1"/>
      </w:pPr>
      <w:r>
        <w:t>Clarifying the object of the Act, and the roles of the Minister and the Australian Communications and Media Authority (ACMA).</w:t>
      </w:r>
    </w:p>
    <w:p w14:paraId="3F20DB3E" w14:textId="076D6B72" w:rsidR="004020B1" w:rsidRDefault="004020B1" w:rsidP="006C20B7">
      <w:pPr>
        <w:pStyle w:val="Bulletlevel1"/>
      </w:pPr>
      <w:r>
        <w:t>Streamlining the spectrum allocation and re-allocation processes</w:t>
      </w:r>
      <w:r w:rsidR="00CC060A">
        <w:t>.</w:t>
      </w:r>
    </w:p>
    <w:p w14:paraId="6A87C0D9" w14:textId="0BBFBBE6" w:rsidR="004020B1" w:rsidRDefault="004020B1" w:rsidP="006C20B7">
      <w:pPr>
        <w:pStyle w:val="Bulletlevel1"/>
      </w:pPr>
      <w:r>
        <w:t>Improving flexibility and reducing regulatory barriers between licence types</w:t>
      </w:r>
      <w:r w:rsidR="00CC060A">
        <w:t>.</w:t>
      </w:r>
    </w:p>
    <w:p w14:paraId="74FE312D" w14:textId="1BDB49CC" w:rsidR="004020B1" w:rsidRDefault="004020B1" w:rsidP="006C20B7">
      <w:pPr>
        <w:pStyle w:val="Bulletlevel1"/>
        <w:keepNext/>
        <w:keepLines/>
      </w:pPr>
      <w:r>
        <w:lastRenderedPageBreak/>
        <w:t>Better reflecting modern spectrum needs and supply chains</w:t>
      </w:r>
      <w:r w:rsidR="00CC060A">
        <w:t xml:space="preserve">. </w:t>
      </w:r>
    </w:p>
    <w:p w14:paraId="56B17E36" w14:textId="52267371" w:rsidR="004020B1" w:rsidRDefault="004020B1" w:rsidP="006C20B7">
      <w:pPr>
        <w:pStyle w:val="Bulletlevel1last"/>
        <w:keepNext/>
        <w:keepLines/>
      </w:pPr>
      <w:r>
        <w:t>Introducing a modernised compliance and enforcement regime.</w:t>
      </w:r>
    </w:p>
    <w:p w14:paraId="6436DBBB" w14:textId="4EB97DA4" w:rsidR="004020B1" w:rsidRDefault="004020B1" w:rsidP="006C20B7">
      <w:pPr>
        <w:pStyle w:val="Paragraph"/>
        <w:keepNext/>
        <w:keepLines/>
      </w:pPr>
      <w:r>
        <w:t xml:space="preserve">An </w:t>
      </w:r>
      <w:hyperlink r:id="rId24" w:history="1">
        <w:r w:rsidRPr="00ED3CCF">
          <w:rPr>
            <w:rStyle w:val="Hyperlink"/>
          </w:rPr>
          <w:t>exposure draft of a Bill</w:t>
        </w:r>
      </w:hyperlink>
      <w:r>
        <w:t xml:space="preserve"> to implement these reforms </w:t>
      </w:r>
      <w:r w:rsidR="00ED3CCF">
        <w:t xml:space="preserve">was released for </w:t>
      </w:r>
      <w:r>
        <w:t>public consultation.</w:t>
      </w:r>
      <w:r w:rsidRPr="004020B1">
        <w:t xml:space="preserve"> </w:t>
      </w:r>
      <w:r w:rsidR="00ED3CCF">
        <w:t>The exposure draft did not include any changes to Section 30 of the Act and therefore does not affect this proposed update of the Spectrum Plan</w:t>
      </w:r>
      <w:r>
        <w:t xml:space="preserve">. </w:t>
      </w:r>
    </w:p>
    <w:p w14:paraId="3F3C4857" w14:textId="77777777" w:rsidR="007D6B04" w:rsidRDefault="007D6B04" w:rsidP="007D6B04">
      <w:pPr>
        <w:pStyle w:val="Paragraph"/>
        <w:sectPr w:rsidR="007D6B04" w:rsidSect="00C77380">
          <w:headerReference w:type="even" r:id="rId25"/>
          <w:headerReference w:type="default" r:id="rId26"/>
          <w:footerReference w:type="even" r:id="rId27"/>
          <w:footerReference w:type="default" r:id="rId28"/>
          <w:pgSz w:w="11906" w:h="16838" w:code="9"/>
          <w:pgMar w:top="1945" w:right="3101" w:bottom="1134" w:left="1134" w:header="709" w:footer="119" w:gutter="0"/>
          <w:pgNumType w:start="1"/>
          <w:cols w:space="708"/>
          <w:docGrid w:linePitch="360"/>
        </w:sectPr>
      </w:pPr>
    </w:p>
    <w:p w14:paraId="0057F519" w14:textId="28360BCC" w:rsidR="007D6B04" w:rsidRDefault="007D6B04" w:rsidP="007D6B04">
      <w:pPr>
        <w:pStyle w:val="Heading1"/>
      </w:pPr>
      <w:bookmarkStart w:id="7" w:name="_Toc49171478"/>
      <w:r>
        <w:lastRenderedPageBreak/>
        <w:t xml:space="preserve">Changes to the </w:t>
      </w:r>
      <w:r w:rsidR="00D95FE3">
        <w:t>S</w:t>
      </w:r>
      <w:r>
        <w:t xml:space="preserve">pectrum </w:t>
      </w:r>
      <w:r w:rsidR="00D95FE3">
        <w:t>P</w:t>
      </w:r>
      <w:r>
        <w:t>lan</w:t>
      </w:r>
      <w:bookmarkEnd w:id="7"/>
    </w:p>
    <w:p w14:paraId="06B81920" w14:textId="77777777" w:rsidR="007D6B04" w:rsidRPr="00510473" w:rsidRDefault="007D6B04" w:rsidP="007D6B04">
      <w:pPr>
        <w:pStyle w:val="Heading2"/>
      </w:pPr>
      <w:bookmarkStart w:id="8" w:name="_Toc460759360"/>
      <w:bookmarkStart w:id="9" w:name="_Toc461713862"/>
      <w:bookmarkStart w:id="10" w:name="_Toc49171479"/>
      <w:r w:rsidRPr="00510473">
        <w:t>Chapter 1</w:t>
      </w:r>
      <w:r>
        <w:t>—</w:t>
      </w:r>
      <w:r w:rsidRPr="00510473">
        <w:t xml:space="preserve">General </w:t>
      </w:r>
      <w:r>
        <w:t>i</w:t>
      </w:r>
      <w:r w:rsidRPr="00510473">
        <w:t>nformation</w:t>
      </w:r>
      <w:bookmarkEnd w:id="8"/>
      <w:bookmarkEnd w:id="9"/>
      <w:bookmarkEnd w:id="10"/>
      <w:r w:rsidRPr="00510473">
        <w:t xml:space="preserve"> </w:t>
      </w:r>
    </w:p>
    <w:p w14:paraId="5FA8850A" w14:textId="46AAE2DD" w:rsidR="007D6B04" w:rsidRPr="00F81F78" w:rsidRDefault="00BF755C" w:rsidP="007D6B04">
      <w:pPr>
        <w:rPr>
          <w:b/>
        </w:rPr>
      </w:pPr>
      <w:r>
        <w:t xml:space="preserve">Only minor editorial changes are proposed for Chapter </w:t>
      </w:r>
      <w:r w:rsidR="00E961F3">
        <w:t>1</w:t>
      </w:r>
      <w:r w:rsidRPr="00BF755C">
        <w:t>—</w:t>
      </w:r>
      <w:r>
        <w:t xml:space="preserve">General information. </w:t>
      </w:r>
    </w:p>
    <w:p w14:paraId="5F04B51C" w14:textId="187B8D54" w:rsidR="007D6B04" w:rsidRPr="006C20B7" w:rsidRDefault="007D6B04">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bCs/>
          <w:sz w:val="28"/>
          <w:szCs w:val="28"/>
        </w:rPr>
      </w:pPr>
      <w:r w:rsidRPr="006C20B7">
        <w:rPr>
          <w:rFonts w:cs="Arial"/>
          <w:bCs/>
        </w:rPr>
        <w:t>The ACMA seeks comment from interested parties on Chapter 1—General information (see Attachment A).</w:t>
      </w:r>
    </w:p>
    <w:p w14:paraId="52A4E344" w14:textId="77777777" w:rsidR="007D6B04" w:rsidRDefault="007D6B04" w:rsidP="007D6B04">
      <w:pPr>
        <w:pStyle w:val="Heading2"/>
      </w:pPr>
      <w:bookmarkStart w:id="11" w:name="_Toc460759361"/>
      <w:bookmarkStart w:id="12" w:name="_Toc461713863"/>
      <w:bookmarkStart w:id="13" w:name="_Toc49171480"/>
      <w:r w:rsidRPr="00510473">
        <w:t>Chapter 2</w:t>
      </w:r>
      <w:r>
        <w:t>—</w:t>
      </w:r>
      <w:r w:rsidRPr="00510473">
        <w:t xml:space="preserve">Australian Radiofrequency Spectrum </w:t>
      </w:r>
      <w:r>
        <w:t>P</w:t>
      </w:r>
      <w:r w:rsidRPr="00510473">
        <w:t>lan</w:t>
      </w:r>
      <w:bookmarkEnd w:id="11"/>
      <w:bookmarkEnd w:id="12"/>
      <w:bookmarkEnd w:id="13"/>
    </w:p>
    <w:p w14:paraId="1AAF775B" w14:textId="77777777" w:rsidR="007D6B04" w:rsidRPr="00946116" w:rsidRDefault="007D6B04" w:rsidP="007D6B04">
      <w:pPr>
        <w:pStyle w:val="Heading3"/>
      </w:pPr>
      <w:bookmarkStart w:id="14" w:name="_Toc460759362"/>
      <w:bookmarkStart w:id="15" w:name="_Toc461713864"/>
      <w:r>
        <w:t>Chapter 2—Part 1: Introductory</w:t>
      </w:r>
      <w:bookmarkEnd w:id="14"/>
      <w:bookmarkEnd w:id="15"/>
    </w:p>
    <w:p w14:paraId="5198A0DB" w14:textId="38EB87D6" w:rsidR="00287786" w:rsidRDefault="00BF755C" w:rsidP="006C20B7">
      <w:pPr>
        <w:pStyle w:val="Paragraphbeforelist"/>
        <w:rPr>
          <w:lang w:bidi="he-IL"/>
        </w:rPr>
      </w:pPr>
      <w:r>
        <w:rPr>
          <w:lang w:bidi="he-IL"/>
        </w:rPr>
        <w:t xml:space="preserve">The only changes proposed for </w:t>
      </w:r>
      <w:r w:rsidRPr="00BF755C">
        <w:rPr>
          <w:lang w:bidi="he-IL"/>
        </w:rPr>
        <w:t>Chapter 2—Part 1: Introductory</w:t>
      </w:r>
      <w:r>
        <w:rPr>
          <w:lang w:bidi="he-IL"/>
        </w:rPr>
        <w:t xml:space="preserve"> are</w:t>
      </w:r>
      <w:r w:rsidR="00043639">
        <w:rPr>
          <w:lang w:bidi="he-IL"/>
        </w:rPr>
        <w:t>:</w:t>
      </w:r>
    </w:p>
    <w:p w14:paraId="6A20F613" w14:textId="24CE0444" w:rsidR="00287786" w:rsidRPr="00287786" w:rsidRDefault="00BF755C" w:rsidP="006C20B7">
      <w:pPr>
        <w:pStyle w:val="Bulletlevel1"/>
      </w:pPr>
      <w:r>
        <w:rPr>
          <w:lang w:bidi="he-IL"/>
        </w:rPr>
        <w:t>updating the name of the instrument</w:t>
      </w:r>
    </w:p>
    <w:p w14:paraId="7B713088" w14:textId="1A96A0B7" w:rsidR="00287786" w:rsidRPr="00287786" w:rsidRDefault="00E961F3" w:rsidP="006C20B7">
      <w:pPr>
        <w:pStyle w:val="Bulletlevel1"/>
      </w:pPr>
      <w:r>
        <w:rPr>
          <w:lang w:bidi="he-IL"/>
        </w:rPr>
        <w:t xml:space="preserve">adding a </w:t>
      </w:r>
      <w:r w:rsidR="00BF755C">
        <w:rPr>
          <w:lang w:bidi="he-IL"/>
        </w:rPr>
        <w:t>commencement date</w:t>
      </w:r>
    </w:p>
    <w:p w14:paraId="36CB217D" w14:textId="694577D2" w:rsidR="00287786" w:rsidRPr="00287786" w:rsidRDefault="006C20B7" w:rsidP="006C20B7">
      <w:pPr>
        <w:pStyle w:val="Bulletlevel1last"/>
      </w:pPr>
      <w:r>
        <w:rPr>
          <w:lang w:bidi="he-IL"/>
        </w:rPr>
        <w:t xml:space="preserve">updating </w:t>
      </w:r>
      <w:r w:rsidR="00BF755C">
        <w:rPr>
          <w:lang w:bidi="he-IL"/>
        </w:rPr>
        <w:t>revocation provisions to reflect the change from 2017 to 2021.</w:t>
      </w:r>
      <w:r w:rsidR="007153BA">
        <w:rPr>
          <w:lang w:bidi="he-IL"/>
        </w:rPr>
        <w:t xml:space="preserve"> </w:t>
      </w:r>
    </w:p>
    <w:p w14:paraId="5EEE16F0" w14:textId="405FD069" w:rsidR="007D6B04" w:rsidRPr="009F3EA3" w:rsidRDefault="00C12CA3" w:rsidP="00043639">
      <w:pPr>
        <w:pStyle w:val="Paragraph"/>
      </w:pPr>
      <w:r>
        <w:rPr>
          <w:lang w:bidi="he-IL"/>
        </w:rPr>
        <w:t>Additionally,</w:t>
      </w:r>
      <w:r w:rsidR="007153BA">
        <w:rPr>
          <w:lang w:bidi="he-IL"/>
        </w:rPr>
        <w:t xml:space="preserve"> the definition of the land mobile-satellite service is removed a</w:t>
      </w:r>
      <w:r w:rsidR="002A3C40">
        <w:rPr>
          <w:lang w:bidi="he-IL"/>
        </w:rPr>
        <w:t>s the allocations to this service in the table of allocations</w:t>
      </w:r>
      <w:r w:rsidR="002A3C40" w:rsidRPr="002A3C40">
        <w:rPr>
          <w:lang w:bidi="he-IL"/>
        </w:rPr>
        <w:t xml:space="preserve"> </w:t>
      </w:r>
      <w:r w:rsidR="002A3C40">
        <w:rPr>
          <w:lang w:bidi="he-IL"/>
        </w:rPr>
        <w:t xml:space="preserve">are also proposed for removal. </w:t>
      </w:r>
    </w:p>
    <w:p w14:paraId="6EF2EB0C" w14:textId="77777777" w:rsidR="007D6B04" w:rsidRPr="006C20B7" w:rsidRDefault="007D6B04" w:rsidP="006C20B7">
      <w:pPr>
        <w:pStyle w:val="Heading2"/>
        <w:rPr>
          <w:b w:val="0"/>
          <w:lang w:bidi="he-IL"/>
        </w:rPr>
      </w:pPr>
      <w:bookmarkStart w:id="16" w:name="_Toc460759363"/>
      <w:bookmarkStart w:id="17" w:name="_Toc461713865"/>
      <w:bookmarkStart w:id="18" w:name="_Toc49171481"/>
      <w:r w:rsidRPr="006C20B7">
        <w:rPr>
          <w:rStyle w:val="Heading2Char"/>
          <w:b/>
          <w:bCs/>
        </w:rPr>
        <w:t>Chapter 2—Part 2: Table of frequency band allocations</w:t>
      </w:r>
      <w:bookmarkEnd w:id="16"/>
      <w:bookmarkEnd w:id="17"/>
      <w:bookmarkEnd w:id="18"/>
      <w:r w:rsidRPr="00AB5852">
        <w:rPr>
          <w:lang w:bidi="he-IL"/>
        </w:rPr>
        <w:t xml:space="preserve"> </w:t>
      </w:r>
    </w:p>
    <w:p w14:paraId="783020D8" w14:textId="77777777" w:rsidR="007D6B04" w:rsidRPr="00354377" w:rsidRDefault="007D6B04" w:rsidP="007D6B04">
      <w:pPr>
        <w:pStyle w:val="Heading3"/>
        <w:rPr>
          <w:lang w:bidi="he-IL"/>
        </w:rPr>
      </w:pPr>
      <w:bookmarkStart w:id="19" w:name="_Toc460759364"/>
      <w:bookmarkStart w:id="20" w:name="_Toc461713866"/>
      <w:r w:rsidRPr="007D6B04">
        <w:rPr>
          <w:lang w:bidi="he-IL"/>
        </w:rPr>
        <w:t>Column 1: ITU Radio Regulations table of allocations</w:t>
      </w:r>
      <w:bookmarkEnd w:id="19"/>
      <w:bookmarkEnd w:id="20"/>
      <w:r w:rsidRPr="00354377">
        <w:rPr>
          <w:lang w:bidi="he-IL"/>
        </w:rPr>
        <w:t xml:space="preserve"> </w:t>
      </w:r>
    </w:p>
    <w:p w14:paraId="6968F77A" w14:textId="1D8F898A" w:rsidR="007D6B04" w:rsidRDefault="007D6B04" w:rsidP="007D6B04">
      <w:pPr>
        <w:rPr>
          <w:rFonts w:cs="Arial"/>
          <w:szCs w:val="20"/>
        </w:rPr>
      </w:pPr>
      <w:r>
        <w:rPr>
          <w:rFonts w:cs="Arial"/>
          <w:szCs w:val="20"/>
        </w:rPr>
        <w:t>These changes, agreed to in principle by Australia at WRC-1</w:t>
      </w:r>
      <w:r w:rsidR="00ED3CCF">
        <w:rPr>
          <w:rFonts w:cs="Arial"/>
          <w:szCs w:val="20"/>
        </w:rPr>
        <w:t>9</w:t>
      </w:r>
      <w:r>
        <w:rPr>
          <w:rFonts w:cs="Arial"/>
          <w:szCs w:val="20"/>
        </w:rPr>
        <w:t xml:space="preserve"> in November 201</w:t>
      </w:r>
      <w:r w:rsidR="00ED3CCF">
        <w:rPr>
          <w:rFonts w:cs="Arial"/>
          <w:szCs w:val="20"/>
        </w:rPr>
        <w:t>9</w:t>
      </w:r>
      <w:r>
        <w:rPr>
          <w:rFonts w:cs="Arial"/>
          <w:szCs w:val="20"/>
        </w:rPr>
        <w:t xml:space="preserve">, are now subject to consideration by </w:t>
      </w:r>
      <w:r w:rsidR="00F41AD1">
        <w:rPr>
          <w:rFonts w:cs="Arial"/>
          <w:szCs w:val="20"/>
        </w:rPr>
        <w:t>P</w:t>
      </w:r>
      <w:r>
        <w:rPr>
          <w:rFonts w:cs="Arial"/>
          <w:szCs w:val="20"/>
        </w:rPr>
        <w:t xml:space="preserve">arliament as well as the Joint Standing Committee on Treaties (JSCOT) and the Federal </w:t>
      </w:r>
      <w:r w:rsidRPr="00674350">
        <w:rPr>
          <w:rFonts w:cs="Arial"/>
          <w:szCs w:val="20"/>
        </w:rPr>
        <w:t>Executive Council. Stakeholder consideration</w:t>
      </w:r>
      <w:r>
        <w:rPr>
          <w:rFonts w:cs="Arial"/>
          <w:szCs w:val="20"/>
        </w:rPr>
        <w:t xml:space="preserve"> of the various issues reflected in the changes occurred prior to WRC-1</w:t>
      </w:r>
      <w:r w:rsidR="00ED3CCF">
        <w:rPr>
          <w:rFonts w:cs="Arial"/>
          <w:szCs w:val="20"/>
        </w:rPr>
        <w:t>9</w:t>
      </w:r>
      <w:r>
        <w:rPr>
          <w:rFonts w:cs="Arial"/>
          <w:szCs w:val="20"/>
        </w:rPr>
        <w:t>, as part of developing Australian positions on WRC-1</w:t>
      </w:r>
      <w:r w:rsidR="00ED3CCF">
        <w:rPr>
          <w:rFonts w:cs="Arial"/>
          <w:szCs w:val="20"/>
        </w:rPr>
        <w:t>9</w:t>
      </w:r>
      <w:r>
        <w:rPr>
          <w:rFonts w:cs="Arial"/>
          <w:szCs w:val="20"/>
        </w:rPr>
        <w:t xml:space="preserve"> </w:t>
      </w:r>
      <w:r w:rsidR="00F44B7A">
        <w:rPr>
          <w:rFonts w:cs="Arial"/>
          <w:szCs w:val="20"/>
        </w:rPr>
        <w:t>Agenda item</w:t>
      </w:r>
      <w:r>
        <w:rPr>
          <w:rFonts w:cs="Arial"/>
          <w:szCs w:val="20"/>
        </w:rPr>
        <w:t xml:space="preserve">s. </w:t>
      </w:r>
    </w:p>
    <w:p w14:paraId="7AEAEAA5" w14:textId="77777777" w:rsidR="007D6B04" w:rsidRPr="001D4BA6" w:rsidRDefault="007D6B04" w:rsidP="007D6B04">
      <w:pPr>
        <w:pStyle w:val="Heading3"/>
        <w:rPr>
          <w:lang w:bidi="he-IL"/>
        </w:rPr>
      </w:pPr>
      <w:bookmarkStart w:id="21" w:name="_Toc460759365"/>
      <w:bookmarkStart w:id="22" w:name="_Toc461713867"/>
      <w:r w:rsidRPr="001D4BA6">
        <w:rPr>
          <w:lang w:bidi="he-IL"/>
        </w:rPr>
        <w:t xml:space="preserve">Column 2: Australian </w:t>
      </w:r>
      <w:r>
        <w:rPr>
          <w:lang w:bidi="he-IL"/>
        </w:rPr>
        <w:t>t</w:t>
      </w:r>
      <w:r w:rsidRPr="001D4BA6">
        <w:rPr>
          <w:lang w:bidi="he-IL"/>
        </w:rPr>
        <w:t xml:space="preserve">able of </w:t>
      </w:r>
      <w:r>
        <w:rPr>
          <w:lang w:bidi="he-IL"/>
        </w:rPr>
        <w:t>a</w:t>
      </w:r>
      <w:r w:rsidRPr="001D4BA6">
        <w:rPr>
          <w:lang w:bidi="he-IL"/>
        </w:rPr>
        <w:t>llocations</w:t>
      </w:r>
      <w:bookmarkEnd w:id="21"/>
      <w:bookmarkEnd w:id="22"/>
    </w:p>
    <w:p w14:paraId="1DE27693" w14:textId="77777777" w:rsidR="00BF755C" w:rsidRDefault="00BF755C" w:rsidP="006C20B7">
      <w:pPr>
        <w:pStyle w:val="Paragraphbeforelist"/>
        <w:rPr>
          <w:lang w:bidi="he-IL"/>
        </w:rPr>
      </w:pPr>
      <w:r>
        <w:rPr>
          <w:lang w:bidi="he-IL"/>
        </w:rPr>
        <w:t xml:space="preserve">The changes proposed reflect international </w:t>
      </w:r>
      <w:r w:rsidR="007D6B04">
        <w:rPr>
          <w:lang w:bidi="he-IL"/>
        </w:rPr>
        <w:t>changes affecting Australia and minor editorial changes.</w:t>
      </w:r>
      <w:r>
        <w:rPr>
          <w:lang w:bidi="he-IL"/>
        </w:rPr>
        <w:t xml:space="preserve"> These include:</w:t>
      </w:r>
    </w:p>
    <w:p w14:paraId="2138A84A" w14:textId="1BA8E38F" w:rsidR="007D6B04" w:rsidRPr="006C20B7" w:rsidRDefault="00BF755C">
      <w:pPr>
        <w:pStyle w:val="Bulletlevel1"/>
      </w:pPr>
      <w:r w:rsidRPr="00AB5852">
        <w:t>Identification of the frequency band 495</w:t>
      </w:r>
      <w:r w:rsidR="00E961F3">
        <w:t>–</w:t>
      </w:r>
      <w:r w:rsidRPr="006C20B7">
        <w:t>505 kHz for use by the international NAVDAT system</w:t>
      </w:r>
      <w:r w:rsidR="00E961F3">
        <w:t>—</w:t>
      </w:r>
      <w:r w:rsidRPr="006C20B7">
        <w:t xml:space="preserve">a digital file broadcasting system for ships at sea, for navigation, safety and security </w:t>
      </w:r>
      <w:r w:rsidR="0027601A" w:rsidRPr="006C20B7">
        <w:t>and a new primary allocation to the maritime mobile-satellite service in the band 1</w:t>
      </w:r>
      <w:r w:rsidR="00E961F3">
        <w:t>,</w:t>
      </w:r>
      <w:r w:rsidR="0027601A" w:rsidRPr="006C20B7">
        <w:t>621.35</w:t>
      </w:r>
      <w:r w:rsidR="00E961F3">
        <w:t>–</w:t>
      </w:r>
      <w:r w:rsidR="0027601A" w:rsidRPr="006C20B7">
        <w:t>1</w:t>
      </w:r>
      <w:r w:rsidR="00E961F3">
        <w:t>,</w:t>
      </w:r>
      <w:r w:rsidR="0027601A" w:rsidRPr="006C20B7">
        <w:t xml:space="preserve">626.5 MHz </w:t>
      </w:r>
      <w:r w:rsidR="004721E0" w:rsidRPr="006C20B7">
        <w:t>(</w:t>
      </w:r>
      <w:r w:rsidRPr="006C20B7">
        <w:t>as outcome</w:t>
      </w:r>
      <w:r w:rsidR="0027601A" w:rsidRPr="006C20B7">
        <w:t>s</w:t>
      </w:r>
      <w:r w:rsidRPr="006C20B7">
        <w:t xml:space="preserve"> of WRC-19 </w:t>
      </w:r>
      <w:r w:rsidR="00F44B7A" w:rsidRPr="006C20B7">
        <w:t>Agenda item</w:t>
      </w:r>
      <w:r w:rsidR="00E961F3">
        <w:t> </w:t>
      </w:r>
      <w:r w:rsidR="007705B5" w:rsidRPr="00AB5852">
        <w:t>1.8</w:t>
      </w:r>
      <w:r w:rsidR="004721E0" w:rsidRPr="00AB5852">
        <w:t>)</w:t>
      </w:r>
      <w:r w:rsidRPr="006C20B7">
        <w:t>.</w:t>
      </w:r>
    </w:p>
    <w:p w14:paraId="1819DD18" w14:textId="7DCF4032" w:rsidR="007705B5" w:rsidRPr="006C20B7" w:rsidRDefault="007705B5">
      <w:pPr>
        <w:pStyle w:val="Bulletlevel1"/>
      </w:pPr>
      <w:r w:rsidRPr="006C20B7">
        <w:t>Removal of the primary allocation to the broadcasting service in 7</w:t>
      </w:r>
      <w:r w:rsidR="00E961F3">
        <w:t>,</w:t>
      </w:r>
      <w:r w:rsidRPr="006C20B7">
        <w:t>100</w:t>
      </w:r>
      <w:r w:rsidR="00E961F3">
        <w:t>–</w:t>
      </w:r>
      <w:r w:rsidRPr="006C20B7">
        <w:t>7</w:t>
      </w:r>
      <w:r w:rsidR="00E961F3">
        <w:t>,</w:t>
      </w:r>
      <w:r w:rsidRPr="006C20B7">
        <w:t xml:space="preserve">200 kHz and consequential update to </w:t>
      </w:r>
      <w:r w:rsidR="00F41AD1" w:rsidRPr="006C20B7">
        <w:t xml:space="preserve">Australian footnote </w:t>
      </w:r>
      <w:r w:rsidRPr="006C20B7">
        <w:t>AUS54. This allocation was suppressed internationally from 29 March 2009.</w:t>
      </w:r>
    </w:p>
    <w:p w14:paraId="1B413B14" w14:textId="05F4F101" w:rsidR="007705B5" w:rsidRPr="006C20B7" w:rsidRDefault="006B1EF1">
      <w:pPr>
        <w:pStyle w:val="Bulletlevel1"/>
      </w:pPr>
      <w:r w:rsidRPr="006C20B7">
        <w:t>Arrangements in</w:t>
      </w:r>
      <w:r w:rsidR="007705B5" w:rsidRPr="006C20B7">
        <w:t xml:space="preserve"> the 137</w:t>
      </w:r>
      <w:r w:rsidR="00E961F3">
        <w:t>–</w:t>
      </w:r>
      <w:r w:rsidR="007705B5" w:rsidRPr="006C20B7">
        <w:t>138 MHz band for downlink and the 148</w:t>
      </w:r>
      <w:r w:rsidR="00E961F3">
        <w:t>–</w:t>
      </w:r>
      <w:r w:rsidR="007705B5" w:rsidRPr="006C20B7">
        <w:t>149.9 MHz band for uplink for tracking, telemetry and control (TT&amp;C) of short duration non-</w:t>
      </w:r>
      <w:r w:rsidR="004721E0" w:rsidRPr="006C20B7">
        <w:t>geostationary orbit (non-</w:t>
      </w:r>
      <w:r w:rsidR="007705B5" w:rsidRPr="006C20B7">
        <w:t>GSO</w:t>
      </w:r>
      <w:r w:rsidR="004721E0" w:rsidRPr="006C20B7">
        <w:t>)</w:t>
      </w:r>
      <w:r w:rsidR="007705B5" w:rsidRPr="006C20B7">
        <w:t xml:space="preserve"> satellites in the space operation service</w:t>
      </w:r>
      <w:r w:rsidR="004721E0" w:rsidRPr="006C20B7">
        <w:t xml:space="preserve"> (as an outcome of WRC-19 </w:t>
      </w:r>
      <w:r w:rsidR="00F44B7A" w:rsidRPr="006C20B7">
        <w:t>Agenda item</w:t>
      </w:r>
      <w:r w:rsidR="004721E0" w:rsidRPr="006C20B7">
        <w:t xml:space="preserve"> 1.7)</w:t>
      </w:r>
      <w:r w:rsidR="007705B5" w:rsidRPr="006C20B7">
        <w:t xml:space="preserve">. </w:t>
      </w:r>
    </w:p>
    <w:p w14:paraId="0E73F763" w14:textId="20CE5D2D" w:rsidR="004721E0" w:rsidRPr="006C20B7" w:rsidRDefault="004721E0">
      <w:pPr>
        <w:pStyle w:val="Bulletlevel1"/>
      </w:pPr>
      <w:r w:rsidRPr="006C20B7">
        <w:t>Correcting an editorial error in the 137</w:t>
      </w:r>
      <w:r w:rsidR="00E961F3">
        <w:t>–</w:t>
      </w:r>
      <w:r w:rsidRPr="006C20B7">
        <w:t xml:space="preserve">138 MHz band where international footnote 208 was applied only to the mobile-satellite service </w:t>
      </w:r>
      <w:r w:rsidR="00E00FB1" w:rsidRPr="006C20B7">
        <w:t>whereas</w:t>
      </w:r>
      <w:r w:rsidRPr="006C20B7">
        <w:t xml:space="preserve"> the footnote applies to the entire band. </w:t>
      </w:r>
    </w:p>
    <w:p w14:paraId="12AF88F4" w14:textId="55BDAAC9" w:rsidR="003856FE" w:rsidRPr="006C20B7" w:rsidRDefault="004721E0">
      <w:pPr>
        <w:pStyle w:val="Bulletlevel1"/>
      </w:pPr>
      <w:r w:rsidRPr="006C20B7">
        <w:t>A secondary allocation to the maritime mobile-satellite service in the frequency bands 157.1875</w:t>
      </w:r>
      <w:r w:rsidR="00E961F3">
        <w:t>–</w:t>
      </w:r>
      <w:r w:rsidRPr="006C20B7">
        <w:t>157.3375 MHz and 161.7875</w:t>
      </w:r>
      <w:r w:rsidR="00E961F3">
        <w:t>–</w:t>
      </w:r>
      <w:r w:rsidRPr="006C20B7">
        <w:t>161.9375 MHz for non-GSO satellite systems</w:t>
      </w:r>
      <w:r w:rsidRPr="00E961F3">
        <w:t xml:space="preserve"> </w:t>
      </w:r>
      <w:r w:rsidRPr="00AB5852">
        <w:t xml:space="preserve">to enable a new VHF data exchange system (VDES) satellite component (as an outcome of WRC-19 </w:t>
      </w:r>
      <w:r w:rsidR="00F44B7A" w:rsidRPr="006C20B7">
        <w:t>Agenda item</w:t>
      </w:r>
      <w:r w:rsidRPr="006C20B7">
        <w:t xml:space="preserve"> 1.9.2). </w:t>
      </w:r>
    </w:p>
    <w:p w14:paraId="0C73E0ED" w14:textId="5191571E" w:rsidR="004721E0" w:rsidRPr="006C20B7" w:rsidRDefault="0027601A">
      <w:pPr>
        <w:pStyle w:val="Bulletlevel1"/>
      </w:pPr>
      <w:r w:rsidRPr="006C20B7">
        <w:lastRenderedPageBreak/>
        <w:t xml:space="preserve">New footnotes to implement in-band power limits for </w:t>
      </w:r>
      <w:r w:rsidR="007E617B">
        <w:t>e</w:t>
      </w:r>
      <w:r w:rsidRPr="006C20B7">
        <w:t>arth stations operating in the frequency bands 401</w:t>
      </w:r>
      <w:r w:rsidR="007E617B">
        <w:t>–</w:t>
      </w:r>
      <w:r w:rsidRPr="006C20B7">
        <w:t>403 MHz and 399.9</w:t>
      </w:r>
      <w:r w:rsidR="007E617B">
        <w:t>–</w:t>
      </w:r>
      <w:r w:rsidRPr="006C20B7">
        <w:t xml:space="preserve">400.05 MHz (as an outcome of WRC-19 </w:t>
      </w:r>
      <w:r w:rsidR="00F44B7A" w:rsidRPr="006C20B7">
        <w:t>Agenda item</w:t>
      </w:r>
      <w:r w:rsidRPr="006C20B7">
        <w:t xml:space="preserve"> 1.2). </w:t>
      </w:r>
    </w:p>
    <w:p w14:paraId="4C52B7DB" w14:textId="18FDCEED" w:rsidR="0027601A" w:rsidRPr="006C20B7" w:rsidRDefault="0027601A">
      <w:pPr>
        <w:pStyle w:val="Bulletlevel1"/>
      </w:pPr>
      <w:r w:rsidRPr="006C20B7">
        <w:t>Suppression of international footnote</w:t>
      </w:r>
      <w:r w:rsidR="002A3C40" w:rsidRPr="006C20B7">
        <w:t>s</w:t>
      </w:r>
      <w:r w:rsidRPr="006C20B7">
        <w:t xml:space="preserve"> 311A </w:t>
      </w:r>
      <w:r w:rsidR="002A3C40" w:rsidRPr="006C20B7">
        <w:t>and 530D</w:t>
      </w:r>
      <w:r w:rsidR="003856FE" w:rsidRPr="006C20B7">
        <w:t xml:space="preserve"> </w:t>
      </w:r>
      <w:r w:rsidRPr="006C20B7">
        <w:t xml:space="preserve">(as an outcome of WRC-19 </w:t>
      </w:r>
      <w:r w:rsidR="00F44B7A" w:rsidRPr="006C20B7">
        <w:t>Agenda item</w:t>
      </w:r>
      <w:r w:rsidRPr="006C20B7">
        <w:t xml:space="preserve"> 4)</w:t>
      </w:r>
      <w:r w:rsidR="001A3E16" w:rsidRPr="006C20B7">
        <w:t>.</w:t>
      </w:r>
    </w:p>
    <w:p w14:paraId="15FABFBD" w14:textId="19B12A55" w:rsidR="0027601A" w:rsidRPr="006C20B7" w:rsidRDefault="007153BA">
      <w:pPr>
        <w:pStyle w:val="Bulletlevel1"/>
      </w:pPr>
      <w:r w:rsidRPr="006C20B7">
        <w:t>Removal of the secondary allocation to the land mobile-satellite (space</w:t>
      </w:r>
      <w:r w:rsidR="007E617B">
        <w:t xml:space="preserve"> </w:t>
      </w:r>
      <w:r w:rsidRPr="006C20B7">
        <w:t>to</w:t>
      </w:r>
      <w:r w:rsidR="007E617B">
        <w:t xml:space="preserve"> e</w:t>
      </w:r>
      <w:r w:rsidRPr="006C20B7">
        <w:t>arth)</w:t>
      </w:r>
      <w:r w:rsidR="00F41AD1" w:rsidRPr="006C20B7">
        <w:t xml:space="preserve"> service</w:t>
      </w:r>
      <w:r w:rsidRPr="006C20B7">
        <w:t xml:space="preserve"> in the 12.2</w:t>
      </w:r>
      <w:r w:rsidR="007E617B">
        <w:t>–</w:t>
      </w:r>
      <w:r w:rsidRPr="006C20B7">
        <w:t xml:space="preserve">12.75 GHz band. This allocation does not appear in the ITU Radio Regulations. Such use is facilitated by the fixed-satellite service allocations in this band in combination with </w:t>
      </w:r>
      <w:r w:rsidR="00F41AD1" w:rsidRPr="006C20B7">
        <w:t>subs</w:t>
      </w:r>
      <w:r w:rsidRPr="006C20B7">
        <w:t xml:space="preserve">ection 10(9) of the ARSP. </w:t>
      </w:r>
    </w:p>
    <w:p w14:paraId="32D21EBD" w14:textId="2C6526FF" w:rsidR="002A3C40" w:rsidRPr="006C20B7" w:rsidRDefault="002A3C40">
      <w:pPr>
        <w:pStyle w:val="Bulletlevel1"/>
      </w:pPr>
      <w:r w:rsidRPr="006C20B7">
        <w:t>Identification of the 17.7</w:t>
      </w:r>
      <w:r w:rsidR="007E617B">
        <w:t>–</w:t>
      </w:r>
      <w:r w:rsidRPr="006C20B7">
        <w:t>19.7 GHz (space</w:t>
      </w:r>
      <w:r w:rsidR="007E617B">
        <w:t xml:space="preserve"> </w:t>
      </w:r>
      <w:r w:rsidRPr="006C20B7">
        <w:t>to</w:t>
      </w:r>
      <w:r w:rsidR="007E617B">
        <w:t xml:space="preserve"> e</w:t>
      </w:r>
      <w:r w:rsidRPr="006C20B7">
        <w:t>arth) and 27.5-29.5 GHz (</w:t>
      </w:r>
      <w:r w:rsidR="007E617B">
        <w:t>e</w:t>
      </w:r>
      <w:r w:rsidRPr="006C20B7">
        <w:t>arth</w:t>
      </w:r>
      <w:r w:rsidR="007E617B">
        <w:t xml:space="preserve"> </w:t>
      </w:r>
      <w:r w:rsidRPr="006C20B7">
        <w:t>t</w:t>
      </w:r>
      <w:r w:rsidR="007E617B">
        <w:t xml:space="preserve">o </w:t>
      </w:r>
      <w:r w:rsidRPr="00AB5852">
        <w:t xml:space="preserve">space) bands for the operation of earth stations in motion communicating with geostationary fixed-satellite service space stations (as an outcome of WRC-19 </w:t>
      </w:r>
      <w:r w:rsidR="00F44B7A" w:rsidRPr="006C20B7">
        <w:t>Agenda item</w:t>
      </w:r>
      <w:r w:rsidRPr="006C20B7">
        <w:t xml:space="preserve"> 1.5).</w:t>
      </w:r>
    </w:p>
    <w:p w14:paraId="750B7265" w14:textId="3E6E6B0B" w:rsidR="003856FE" w:rsidRPr="006C20B7" w:rsidRDefault="003856FE">
      <w:pPr>
        <w:pStyle w:val="Bulletlevel1"/>
      </w:pPr>
      <w:r w:rsidRPr="006C20B7">
        <w:t>Identification of the 24.25</w:t>
      </w:r>
      <w:r w:rsidR="007E617B">
        <w:t>–</w:t>
      </w:r>
      <w:r w:rsidRPr="006C20B7">
        <w:t>27.5 GHz, 37</w:t>
      </w:r>
      <w:r w:rsidR="007E617B">
        <w:t>–</w:t>
      </w:r>
      <w:r w:rsidRPr="006C20B7">
        <w:t>43.5 GHz</w:t>
      </w:r>
      <w:r w:rsidR="0014160D" w:rsidRPr="006C20B7">
        <w:t>, 47.2</w:t>
      </w:r>
      <w:r w:rsidR="007E617B">
        <w:t>–</w:t>
      </w:r>
      <w:r w:rsidR="0014160D" w:rsidRPr="006C20B7">
        <w:t xml:space="preserve">48.2 GHz and </w:t>
      </w:r>
      <w:r w:rsidR="007E617B">
        <w:br/>
      </w:r>
      <w:r w:rsidR="0014160D" w:rsidRPr="00AB5852">
        <w:t>66</w:t>
      </w:r>
      <w:r w:rsidR="007E617B">
        <w:t>–</w:t>
      </w:r>
      <w:r w:rsidR="0014160D" w:rsidRPr="006C20B7">
        <w:t>71</w:t>
      </w:r>
      <w:r w:rsidR="007E617B">
        <w:t> </w:t>
      </w:r>
      <w:r w:rsidR="0014160D" w:rsidRPr="00AB5852">
        <w:t>GHz</w:t>
      </w:r>
      <w:r w:rsidRPr="006C20B7">
        <w:t xml:space="preserve"> band</w:t>
      </w:r>
      <w:r w:rsidR="0014160D" w:rsidRPr="006C20B7">
        <w:t>s</w:t>
      </w:r>
      <w:r w:rsidRPr="006C20B7">
        <w:t xml:space="preserve"> for the terrestrial component of International Mobile Telecommunications (IMT) (as an outcome of WRC-19 </w:t>
      </w:r>
      <w:r w:rsidR="00F44B7A" w:rsidRPr="006C20B7">
        <w:t>Agenda item</w:t>
      </w:r>
      <w:r w:rsidRPr="006C20B7">
        <w:t xml:space="preserve"> 1.13).</w:t>
      </w:r>
    </w:p>
    <w:p w14:paraId="3CD736D8" w14:textId="759D022B" w:rsidR="003856FE" w:rsidRPr="006C20B7" w:rsidRDefault="003856FE">
      <w:pPr>
        <w:pStyle w:val="Bulletlevel1"/>
      </w:pPr>
      <w:r w:rsidRPr="006C20B7">
        <w:t>Identification of the 31</w:t>
      </w:r>
      <w:r w:rsidR="007E617B">
        <w:t>–</w:t>
      </w:r>
      <w:r w:rsidRPr="006C20B7">
        <w:t xml:space="preserve">31.2 GHz </w:t>
      </w:r>
      <w:r w:rsidR="0014160D" w:rsidRPr="006C20B7">
        <w:t>and 38</w:t>
      </w:r>
      <w:r w:rsidR="007E617B">
        <w:t>–</w:t>
      </w:r>
      <w:r w:rsidR="0014160D" w:rsidRPr="006C20B7">
        <w:t xml:space="preserve">39.5 GHz </w:t>
      </w:r>
      <w:r w:rsidRPr="006C20B7">
        <w:t>band</w:t>
      </w:r>
      <w:r w:rsidR="0014160D" w:rsidRPr="006C20B7">
        <w:t>s</w:t>
      </w:r>
      <w:r w:rsidRPr="006C20B7">
        <w:t xml:space="preserve"> for use by high-altitude platform stations (HAPS) (as an outcome of WRC-19 </w:t>
      </w:r>
      <w:r w:rsidR="00F44B7A" w:rsidRPr="006C20B7">
        <w:t>Agenda item</w:t>
      </w:r>
      <w:r w:rsidRPr="006C20B7">
        <w:t xml:space="preserve"> 1.14).</w:t>
      </w:r>
    </w:p>
    <w:p w14:paraId="1AEABABC" w14:textId="5BF64C6F" w:rsidR="003856FE" w:rsidRDefault="003856FE">
      <w:pPr>
        <w:pStyle w:val="Bulletlevel1"/>
        <w:rPr>
          <w:lang w:bidi="he-IL"/>
        </w:rPr>
      </w:pPr>
      <w:r w:rsidRPr="006C20B7">
        <w:t>New footnotes to establish a regulatory framework for non-GSO FSS satellite systems that may operate in the frequency bands 37.5</w:t>
      </w:r>
      <w:r w:rsidR="007E617B">
        <w:t>–</w:t>
      </w:r>
      <w:r w:rsidRPr="006C20B7">
        <w:t>39.5 GHz (space</w:t>
      </w:r>
      <w:r w:rsidR="007E617B">
        <w:t xml:space="preserve"> </w:t>
      </w:r>
      <w:r w:rsidRPr="00AB5852">
        <w:t>to</w:t>
      </w:r>
      <w:r w:rsidR="007E617B">
        <w:t xml:space="preserve"> e</w:t>
      </w:r>
      <w:r w:rsidRPr="006C20B7">
        <w:t>arth), 39.5</w:t>
      </w:r>
      <w:r w:rsidR="007E617B">
        <w:t>–</w:t>
      </w:r>
      <w:r w:rsidRPr="006C20B7">
        <w:t>42.5 GHz (s</w:t>
      </w:r>
      <w:r w:rsidRPr="003856FE">
        <w:rPr>
          <w:lang w:bidi="he-IL"/>
        </w:rPr>
        <w:t>pace</w:t>
      </w:r>
      <w:r w:rsidR="007E617B">
        <w:rPr>
          <w:lang w:bidi="he-IL"/>
        </w:rPr>
        <w:t xml:space="preserve"> </w:t>
      </w:r>
      <w:r w:rsidRPr="003856FE">
        <w:rPr>
          <w:lang w:bidi="he-IL"/>
        </w:rPr>
        <w:t>to</w:t>
      </w:r>
      <w:r w:rsidR="007E617B">
        <w:rPr>
          <w:lang w:bidi="he-IL"/>
        </w:rPr>
        <w:t xml:space="preserve"> e</w:t>
      </w:r>
      <w:r w:rsidRPr="003856FE">
        <w:rPr>
          <w:lang w:bidi="he-IL"/>
        </w:rPr>
        <w:t>arth), 47.2</w:t>
      </w:r>
      <w:r w:rsidR="007E617B">
        <w:rPr>
          <w:lang w:bidi="he-IL"/>
        </w:rPr>
        <w:t>–</w:t>
      </w:r>
      <w:r w:rsidRPr="003856FE">
        <w:rPr>
          <w:lang w:bidi="he-IL"/>
        </w:rPr>
        <w:t>50.2 GHz (</w:t>
      </w:r>
      <w:r w:rsidR="007E617B">
        <w:rPr>
          <w:lang w:bidi="he-IL"/>
        </w:rPr>
        <w:t>e</w:t>
      </w:r>
      <w:r w:rsidRPr="003856FE">
        <w:rPr>
          <w:lang w:bidi="he-IL"/>
        </w:rPr>
        <w:t>arth</w:t>
      </w:r>
      <w:r w:rsidR="007E617B">
        <w:rPr>
          <w:lang w:bidi="he-IL"/>
        </w:rPr>
        <w:t xml:space="preserve"> </w:t>
      </w:r>
      <w:r w:rsidRPr="003856FE">
        <w:rPr>
          <w:lang w:bidi="he-IL"/>
        </w:rPr>
        <w:t>to</w:t>
      </w:r>
      <w:r w:rsidR="007E617B">
        <w:rPr>
          <w:lang w:bidi="he-IL"/>
        </w:rPr>
        <w:t xml:space="preserve"> </w:t>
      </w:r>
      <w:r w:rsidRPr="003856FE">
        <w:rPr>
          <w:lang w:bidi="he-IL"/>
        </w:rPr>
        <w:t>space) and 50.4</w:t>
      </w:r>
      <w:r w:rsidR="007E617B">
        <w:rPr>
          <w:lang w:bidi="he-IL"/>
        </w:rPr>
        <w:t>–</w:t>
      </w:r>
      <w:r w:rsidRPr="003856FE">
        <w:rPr>
          <w:lang w:bidi="he-IL"/>
        </w:rPr>
        <w:t>51.4</w:t>
      </w:r>
      <w:r w:rsidR="007E617B">
        <w:rPr>
          <w:lang w:bidi="he-IL"/>
        </w:rPr>
        <w:t> </w:t>
      </w:r>
      <w:r w:rsidRPr="003856FE">
        <w:rPr>
          <w:lang w:bidi="he-IL"/>
        </w:rPr>
        <w:t>GHz (</w:t>
      </w:r>
      <w:r w:rsidR="007E617B">
        <w:rPr>
          <w:lang w:bidi="he-IL"/>
        </w:rPr>
        <w:t>e</w:t>
      </w:r>
      <w:r w:rsidRPr="003856FE">
        <w:rPr>
          <w:lang w:bidi="he-IL"/>
        </w:rPr>
        <w:t>arth-to-space)</w:t>
      </w:r>
      <w:r w:rsidR="0014160D">
        <w:rPr>
          <w:lang w:bidi="he-IL"/>
        </w:rPr>
        <w:t xml:space="preserve"> (as an outcome of WRC-19 </w:t>
      </w:r>
      <w:r w:rsidR="00F44B7A">
        <w:rPr>
          <w:lang w:bidi="he-IL"/>
        </w:rPr>
        <w:t>Agenda item</w:t>
      </w:r>
      <w:r w:rsidR="0014160D">
        <w:rPr>
          <w:lang w:bidi="he-IL"/>
        </w:rPr>
        <w:t xml:space="preserve"> 1.6)</w:t>
      </w:r>
      <w:r w:rsidR="0014160D" w:rsidRPr="003856FE">
        <w:rPr>
          <w:lang w:bidi="he-IL"/>
        </w:rPr>
        <w:t>.</w:t>
      </w:r>
    </w:p>
    <w:p w14:paraId="0F3CF448" w14:textId="2B6E1E9E" w:rsidR="0078199C" w:rsidRDefault="0078199C" w:rsidP="006C20B7">
      <w:pPr>
        <w:pStyle w:val="Bulletlevel1last"/>
        <w:rPr>
          <w:lang w:bidi="he-IL"/>
        </w:rPr>
      </w:pPr>
      <w:r>
        <w:rPr>
          <w:lang w:bidi="he-IL"/>
        </w:rPr>
        <w:t xml:space="preserve">A primary allocation to the fixed-satellite service in the 51.4-52.4 GHz band (as an outcome of WRC-19 </w:t>
      </w:r>
      <w:r w:rsidR="00F44B7A">
        <w:rPr>
          <w:lang w:bidi="he-IL"/>
        </w:rPr>
        <w:t>Agenda item</w:t>
      </w:r>
      <w:r>
        <w:rPr>
          <w:lang w:bidi="he-IL"/>
        </w:rPr>
        <w:t xml:space="preserve"> 9.1 issue 9.1.9)</w:t>
      </w:r>
      <w:r w:rsidRPr="003856FE">
        <w:rPr>
          <w:lang w:bidi="he-IL"/>
        </w:rPr>
        <w:t>.</w:t>
      </w:r>
    </w:p>
    <w:p w14:paraId="159CEB8A" w14:textId="77777777" w:rsidR="007D6B04" w:rsidRPr="003B0E13" w:rsidRDefault="007D6B04" w:rsidP="007D6B04">
      <w:pPr>
        <w:pStyle w:val="Heading2"/>
        <w:rPr>
          <w:lang w:bidi="he-IL"/>
        </w:rPr>
      </w:pPr>
      <w:bookmarkStart w:id="23" w:name="_Chapter_2—Part_3:"/>
      <w:bookmarkStart w:id="24" w:name="_Toc460759366"/>
      <w:bookmarkStart w:id="25" w:name="_Toc461713868"/>
      <w:bookmarkStart w:id="26" w:name="_Toc49171482"/>
      <w:bookmarkEnd w:id="23"/>
      <w:r>
        <w:rPr>
          <w:lang w:bidi="he-IL"/>
        </w:rPr>
        <w:t>Chapter 2—Part 3: Australian footnotes</w:t>
      </w:r>
      <w:bookmarkEnd w:id="24"/>
      <w:bookmarkEnd w:id="25"/>
      <w:bookmarkEnd w:id="26"/>
    </w:p>
    <w:p w14:paraId="4004B9A4" w14:textId="2E260F74" w:rsidR="007D6B04" w:rsidRDefault="0078199C" w:rsidP="006C20B7">
      <w:pPr>
        <w:pStyle w:val="Paragraphbeforelist"/>
      </w:pPr>
      <w:r>
        <w:t xml:space="preserve">The following changes are proposed to the </w:t>
      </w:r>
      <w:r w:rsidR="009C0506">
        <w:t xml:space="preserve">following </w:t>
      </w:r>
      <w:r>
        <w:t>Australian footnotes:</w:t>
      </w:r>
    </w:p>
    <w:p w14:paraId="1461E85B" w14:textId="12DF2DF8" w:rsidR="0078199C" w:rsidRDefault="0078199C">
      <w:pPr>
        <w:pStyle w:val="Bulletlevel1"/>
      </w:pPr>
      <w:r w:rsidRPr="00224A2D">
        <w:rPr>
          <w:u w:val="single"/>
          <w:lang w:bidi="he-IL"/>
        </w:rPr>
        <w:t>AUS98</w:t>
      </w:r>
      <w:r w:rsidR="007E617B">
        <w:rPr>
          <w:u w:val="single"/>
          <w:lang w:bidi="he-IL"/>
        </w:rPr>
        <w:t>:</w:t>
      </w:r>
      <w:r>
        <w:t xml:space="preserve"> </w:t>
      </w:r>
      <w:r w:rsidR="009C0506">
        <w:t xml:space="preserve">the </w:t>
      </w:r>
      <w:r>
        <w:t xml:space="preserve">frequency bands </w:t>
      </w:r>
      <w:r w:rsidR="009C0506">
        <w:t xml:space="preserve">listed in this footnote have been </w:t>
      </w:r>
      <w:r>
        <w:t xml:space="preserve">corrected to align with </w:t>
      </w:r>
      <w:hyperlink r:id="rId29" w:history="1">
        <w:r w:rsidR="009C0506" w:rsidRPr="006C20B7">
          <w:rPr>
            <w:rStyle w:val="Hyperlink"/>
          </w:rPr>
          <w:t>Radiocommunications Assignment and Licensing Instruction (</w:t>
        </w:r>
        <w:r w:rsidRPr="006C20B7">
          <w:rPr>
            <w:rStyle w:val="Hyperlink"/>
          </w:rPr>
          <w:t>RALI</w:t>
        </w:r>
        <w:r w:rsidR="009C0506" w:rsidRPr="006C20B7">
          <w:rPr>
            <w:rStyle w:val="Hyperlink"/>
          </w:rPr>
          <w:t>)</w:t>
        </w:r>
        <w:r w:rsidRPr="006C20B7">
          <w:rPr>
            <w:rStyle w:val="Hyperlink"/>
          </w:rPr>
          <w:t xml:space="preserve"> MS22</w:t>
        </w:r>
      </w:hyperlink>
      <w:r>
        <w:t xml:space="preserve">. </w:t>
      </w:r>
    </w:p>
    <w:p w14:paraId="4BEBD7D6" w14:textId="16F34F4C" w:rsidR="007E617B" w:rsidRDefault="00BA4FBD" w:rsidP="006C20B7">
      <w:pPr>
        <w:pStyle w:val="Bulletlevel1last"/>
        <w:spacing w:after="60"/>
      </w:pPr>
      <w:r>
        <w:rPr>
          <w:u w:val="single"/>
          <w:lang w:bidi="he-IL"/>
        </w:rPr>
        <w:t>AUS53</w:t>
      </w:r>
      <w:r w:rsidR="007E617B">
        <w:rPr>
          <w:u w:val="single"/>
          <w:lang w:bidi="he-IL"/>
        </w:rPr>
        <w:t>:</w:t>
      </w:r>
      <w:r>
        <w:t xml:space="preserve"> </w:t>
      </w:r>
    </w:p>
    <w:p w14:paraId="5DB9F126" w14:textId="77777777" w:rsidR="007E617B" w:rsidRDefault="00BA4FBD" w:rsidP="007E617B">
      <w:pPr>
        <w:pStyle w:val="Bulletlevel2"/>
      </w:pPr>
      <w:r>
        <w:t xml:space="preserve">the removal of </w:t>
      </w:r>
      <w:r w:rsidR="00F41AD1">
        <w:t xml:space="preserve">a </w:t>
      </w:r>
      <w:r>
        <w:t>reference to Appendix 13 of the Radio Regulations which was suppressed by WRC-07</w:t>
      </w:r>
    </w:p>
    <w:p w14:paraId="3173DA79" w14:textId="36EF9E02" w:rsidR="007E617B" w:rsidRDefault="00EC60C7" w:rsidP="007E617B">
      <w:pPr>
        <w:pStyle w:val="Bulletlevel2"/>
      </w:pPr>
      <w:r>
        <w:t>the addition of the band</w:t>
      </w:r>
      <w:r w:rsidR="006B553E">
        <w:t>s</w:t>
      </w:r>
      <w:r>
        <w:t xml:space="preserve"> </w:t>
      </w:r>
      <w:r w:rsidRPr="00EC60C7">
        <w:t>1</w:t>
      </w:r>
      <w:r w:rsidR="006B553E">
        <w:t>8</w:t>
      </w:r>
      <w:r w:rsidR="007E617B">
        <w:t>,</w:t>
      </w:r>
      <w:r w:rsidR="006B553E">
        <w:t>90</w:t>
      </w:r>
      <w:r w:rsidRPr="00EC60C7">
        <w:t>0</w:t>
      </w:r>
      <w:r w:rsidR="007E617B">
        <w:t>–</w:t>
      </w:r>
      <w:r w:rsidRPr="00EC60C7">
        <w:t>19</w:t>
      </w:r>
      <w:r w:rsidR="007E617B">
        <w:t>,</w:t>
      </w:r>
      <w:r w:rsidRPr="00EC60C7">
        <w:t>800kHz</w:t>
      </w:r>
      <w:r>
        <w:t xml:space="preserve"> </w:t>
      </w:r>
      <w:r w:rsidR="006B553E">
        <w:t>and 25</w:t>
      </w:r>
      <w:r w:rsidR="007E617B">
        <w:t>,</w:t>
      </w:r>
      <w:r w:rsidR="006B553E">
        <w:t>210</w:t>
      </w:r>
      <w:r w:rsidR="007E617B">
        <w:t>–</w:t>
      </w:r>
      <w:r w:rsidR="006B553E">
        <w:t>26</w:t>
      </w:r>
      <w:r w:rsidR="007E617B">
        <w:t>,</w:t>
      </w:r>
      <w:r w:rsidR="006B553E">
        <w:t xml:space="preserve">175 kHz </w:t>
      </w:r>
      <w:r>
        <w:t>to the text of the footnote</w:t>
      </w:r>
    </w:p>
    <w:p w14:paraId="210726D9" w14:textId="3CA5AB2F" w:rsidR="007E617B" w:rsidRDefault="006B553E" w:rsidP="006C20B7">
      <w:pPr>
        <w:pStyle w:val="Bulletlevel2last"/>
      </w:pPr>
      <w:r>
        <w:t xml:space="preserve">the addition of the footnote to the </w:t>
      </w:r>
      <w:r w:rsidRPr="006B553E">
        <w:t>26</w:t>
      </w:r>
      <w:r w:rsidR="007E617B">
        <w:t>,</w:t>
      </w:r>
      <w:r w:rsidRPr="006B553E">
        <w:t>100</w:t>
      </w:r>
      <w:r w:rsidR="007E617B">
        <w:t>–</w:t>
      </w:r>
      <w:r w:rsidRPr="006B553E">
        <w:t>26</w:t>
      </w:r>
      <w:r w:rsidR="007E617B">
        <w:t>,</w:t>
      </w:r>
      <w:r w:rsidRPr="006B553E">
        <w:t>175</w:t>
      </w:r>
      <w:r>
        <w:t> </w:t>
      </w:r>
      <w:r w:rsidRPr="006B553E">
        <w:t xml:space="preserve">kHz </w:t>
      </w:r>
      <w:r>
        <w:t>band</w:t>
      </w:r>
      <w:r w:rsidR="00EC60C7">
        <w:t xml:space="preserve"> (noting the footnote already appears in the table of frequency band allocations</w:t>
      </w:r>
      <w:r>
        <w:t xml:space="preserve"> for the </w:t>
      </w:r>
      <w:r w:rsidRPr="006B553E">
        <w:t>19</w:t>
      </w:r>
      <w:r w:rsidR="007E617B">
        <w:t>,</w:t>
      </w:r>
      <w:r w:rsidRPr="006B553E">
        <w:t>680</w:t>
      </w:r>
      <w:r w:rsidR="007E617B">
        <w:t>–</w:t>
      </w:r>
      <w:r w:rsidRPr="006B553E">
        <w:t>19</w:t>
      </w:r>
      <w:r w:rsidR="007E617B">
        <w:t>,</w:t>
      </w:r>
      <w:r w:rsidRPr="006B553E">
        <w:t>800kHz</w:t>
      </w:r>
      <w:r>
        <w:t xml:space="preserve"> band</w:t>
      </w:r>
      <w:r w:rsidR="00EC60C7">
        <w:t xml:space="preserve">). </w:t>
      </w:r>
    </w:p>
    <w:p w14:paraId="093A15C5" w14:textId="0010D6A5" w:rsidR="0078199C" w:rsidRPr="00EC1B42" w:rsidRDefault="006B553E" w:rsidP="006C20B7">
      <w:pPr>
        <w:pStyle w:val="Paragraph"/>
      </w:pPr>
      <w:r w:rsidRPr="006B553E">
        <w:t xml:space="preserve">The proposal reflects structural changes to the Radio Regulations that were not captured in previous updates to the </w:t>
      </w:r>
      <w:r w:rsidR="00F41AD1">
        <w:t>S</w:t>
      </w:r>
      <w:r w:rsidRPr="006B553E">
        <w:t xml:space="preserve">pectrum </w:t>
      </w:r>
      <w:r w:rsidR="00F41AD1">
        <w:t>P</w:t>
      </w:r>
      <w:r w:rsidRPr="006B553E">
        <w:t>lan and also expands the frequency ranges within</w:t>
      </w:r>
      <w:r w:rsidR="00F41AD1">
        <w:t xml:space="preserve"> the</w:t>
      </w:r>
      <w:r w:rsidRPr="006B553E">
        <w:t xml:space="preserve"> scope of the footnote to incorporate all applicable frequency segments under </w:t>
      </w:r>
      <w:r w:rsidRPr="00F41AD1">
        <w:t>Appendix 17</w:t>
      </w:r>
      <w:r w:rsidRPr="006B553E">
        <w:t xml:space="preserve"> of </w:t>
      </w:r>
      <w:r>
        <w:t>Radio Regulations</w:t>
      </w:r>
      <w:r w:rsidRPr="006B553E">
        <w:t>.</w:t>
      </w:r>
    </w:p>
    <w:p w14:paraId="6420D028" w14:textId="0E6938C0" w:rsidR="0078199C" w:rsidRDefault="0078199C" w:rsidP="006C20B7">
      <w:pPr>
        <w:pStyle w:val="Paragraphbeforelist"/>
      </w:pPr>
      <w:r>
        <w:t xml:space="preserve">We are also seeking comment on potential </w:t>
      </w:r>
      <w:r w:rsidR="004B58D5">
        <w:t>changes to the following Australian footnotes:</w:t>
      </w:r>
      <w:r>
        <w:t xml:space="preserve"> </w:t>
      </w:r>
    </w:p>
    <w:p w14:paraId="162C6997" w14:textId="3AA4F5FA" w:rsidR="00EC1B42" w:rsidRDefault="00EC60C7">
      <w:pPr>
        <w:pStyle w:val="Bulletlevel1"/>
      </w:pPr>
      <w:r w:rsidRPr="00224A2D">
        <w:rPr>
          <w:u w:val="single"/>
        </w:rPr>
        <w:t>AUS98</w:t>
      </w:r>
      <w:r w:rsidR="007E617B">
        <w:rPr>
          <w:u w:val="single"/>
        </w:rPr>
        <w:t>:</w:t>
      </w:r>
      <w:r>
        <w:t xml:space="preserve"> the </w:t>
      </w:r>
      <w:r w:rsidR="00466512" w:rsidRPr="00466512">
        <w:t xml:space="preserve">National Coordinating Committee for Government </w:t>
      </w:r>
      <w:r w:rsidR="00466512" w:rsidRPr="007E617B">
        <w:t>Radiocommunications</w:t>
      </w:r>
      <w:r w:rsidR="00466512" w:rsidRPr="00466512">
        <w:t xml:space="preserve"> </w:t>
      </w:r>
      <w:r w:rsidR="00466512">
        <w:t>(</w:t>
      </w:r>
      <w:r>
        <w:t>NCCGR</w:t>
      </w:r>
      <w:r w:rsidR="00466512">
        <w:t>)</w:t>
      </w:r>
      <w:r>
        <w:t xml:space="preserve"> is named in this footnote for the purposes of consultation on the use of harmonised government frequency range</w:t>
      </w:r>
      <w:r w:rsidR="00F41AD1">
        <w:t>s</w:t>
      </w:r>
      <w:r w:rsidR="00466512">
        <w:t xml:space="preserve">. </w:t>
      </w:r>
    </w:p>
    <w:p w14:paraId="4D9D08AB" w14:textId="71063501" w:rsidR="00EC60C7" w:rsidRPr="00D95208" w:rsidRDefault="00466512" w:rsidP="006C20B7">
      <w:pPr>
        <w:pStyle w:val="Bulletlevel1"/>
        <w:keepNext/>
        <w:keepLines/>
        <w:numPr>
          <w:ilvl w:val="0"/>
          <w:numId w:val="0"/>
        </w:numPr>
        <w:pBdr>
          <w:top w:val="single" w:sz="4" w:space="1" w:color="auto"/>
          <w:left w:val="single" w:sz="4" w:space="4" w:color="auto"/>
          <w:bottom w:val="single" w:sz="4" w:space="1" w:color="auto"/>
          <w:right w:val="single" w:sz="4" w:space="4" w:color="auto"/>
        </w:pBdr>
        <w:shd w:val="clear" w:color="auto" w:fill="F2F2F2" w:themeFill="background1" w:themeFillShade="F2"/>
      </w:pPr>
      <w:r w:rsidRPr="006C20B7">
        <w:rPr>
          <w:shd w:val="clear" w:color="auto" w:fill="F2F2F2" w:themeFill="background1" w:themeFillShade="F2"/>
          <w:lang w:bidi="he-IL"/>
        </w:rPr>
        <w:lastRenderedPageBreak/>
        <w:t>We seek comment on whether this is the most appropriate organisation to be referred to in this footnote</w:t>
      </w:r>
      <w:r w:rsidR="00CB2C2C" w:rsidRPr="006C20B7">
        <w:rPr>
          <w:shd w:val="clear" w:color="auto" w:fill="F2F2F2" w:themeFill="background1" w:themeFillShade="F2"/>
          <w:lang w:bidi="he-IL"/>
        </w:rPr>
        <w:t>, or whether there are more appropriate state-based points of contact for considering access to harmonised government frequencies</w:t>
      </w:r>
      <w:r w:rsidRPr="006C20B7">
        <w:rPr>
          <w:shd w:val="clear" w:color="auto" w:fill="F2F2F2" w:themeFill="background1" w:themeFillShade="F2"/>
          <w:lang w:bidi="he-IL"/>
        </w:rPr>
        <w:t>.</w:t>
      </w:r>
    </w:p>
    <w:p w14:paraId="10529E60" w14:textId="77777777" w:rsidR="007D6B04" w:rsidRDefault="007D6B04" w:rsidP="007D6B04">
      <w:pPr>
        <w:pStyle w:val="Heading2"/>
      </w:pPr>
      <w:bookmarkStart w:id="27" w:name="OLE_LINK57"/>
      <w:bookmarkStart w:id="28" w:name="OLE_LINK56"/>
      <w:bookmarkStart w:id="29" w:name="_Toc460759367"/>
      <w:bookmarkStart w:id="30" w:name="_Toc461713869"/>
      <w:bookmarkStart w:id="31" w:name="_Toc49171483"/>
      <w:bookmarkEnd w:id="27"/>
      <w:bookmarkEnd w:id="28"/>
      <w:r>
        <w:t>Chapter 2—Part 4: International footnotes</w:t>
      </w:r>
      <w:bookmarkEnd w:id="29"/>
      <w:bookmarkEnd w:id="30"/>
      <w:bookmarkEnd w:id="31"/>
    </w:p>
    <w:p w14:paraId="4C927B87" w14:textId="48310260" w:rsidR="007D6B04" w:rsidRDefault="007D6B04" w:rsidP="007D6B04">
      <w:r>
        <w:rPr>
          <w:rFonts w:cs="Arial"/>
        </w:rPr>
        <w:t xml:space="preserve">Proposed changes to Part 4 </w:t>
      </w:r>
      <w:r w:rsidR="00CB2C2C">
        <w:rPr>
          <w:rFonts w:cs="Arial"/>
        </w:rPr>
        <w:t xml:space="preserve">directly </w:t>
      </w:r>
      <w:r>
        <w:rPr>
          <w:rFonts w:cs="Arial"/>
        </w:rPr>
        <w:t>reflect those made at WRC-1</w:t>
      </w:r>
      <w:r w:rsidR="00ED3CCF">
        <w:rPr>
          <w:rFonts w:cs="Arial"/>
        </w:rPr>
        <w:t>9</w:t>
      </w:r>
      <w:r>
        <w:rPr>
          <w:rFonts w:cs="Arial"/>
        </w:rPr>
        <w:t>.</w:t>
      </w:r>
    </w:p>
    <w:p w14:paraId="2A99BBCB" w14:textId="2FDE2F97" w:rsidR="007D6B04" w:rsidRPr="00AB5852" w:rsidRDefault="007D6B04" w:rsidP="007D6B04">
      <w:pPr>
        <w:pBdr>
          <w:top w:val="single" w:sz="4" w:space="1" w:color="auto"/>
          <w:left w:val="single" w:sz="4" w:space="4" w:color="auto"/>
          <w:bottom w:val="single" w:sz="4" w:space="1" w:color="auto"/>
          <w:right w:val="single" w:sz="4" w:space="4" w:color="auto"/>
        </w:pBdr>
        <w:shd w:val="clear" w:color="auto" w:fill="F2F2F2" w:themeFill="background1" w:themeFillShade="F2"/>
        <w:rPr>
          <w:rFonts w:cs="Arial"/>
          <w:bCs/>
        </w:rPr>
      </w:pPr>
      <w:r w:rsidRPr="006C20B7">
        <w:rPr>
          <w:rFonts w:cs="Arial"/>
          <w:bCs/>
        </w:rPr>
        <w:t>The ACMA seeks comment from interested parties on Chapter 2 (see Attachment A)</w:t>
      </w:r>
      <w:r w:rsidR="00994C45">
        <w:rPr>
          <w:rFonts w:cs="Arial"/>
          <w:bCs/>
        </w:rPr>
        <w:t>.</w:t>
      </w:r>
    </w:p>
    <w:p w14:paraId="1643ADD1" w14:textId="77777777" w:rsidR="006C1631" w:rsidRDefault="006C1631" w:rsidP="006C1631">
      <w:pPr>
        <w:pStyle w:val="Heading1"/>
      </w:pPr>
      <w:bookmarkStart w:id="32" w:name="_Toc49171484"/>
      <w:r>
        <w:lastRenderedPageBreak/>
        <w:t>Invitation to comment</w:t>
      </w:r>
      <w:bookmarkEnd w:id="32"/>
    </w:p>
    <w:p w14:paraId="3D6FE093" w14:textId="77777777" w:rsidR="006C1631" w:rsidRDefault="006C1631" w:rsidP="006C1631">
      <w:pPr>
        <w:pStyle w:val="Heading2"/>
      </w:pPr>
      <w:bookmarkStart w:id="33" w:name="_Toc433122131"/>
      <w:bookmarkStart w:id="34" w:name="_Toc348105637"/>
      <w:bookmarkStart w:id="35" w:name="_Toc300909556"/>
      <w:bookmarkStart w:id="36" w:name="_Toc298924673"/>
      <w:bookmarkStart w:id="37" w:name="_Toc49171485"/>
      <w:bookmarkStart w:id="38" w:name="_Toc348105638"/>
      <w:bookmarkStart w:id="39" w:name="_Toc300909557"/>
      <w:bookmarkStart w:id="40" w:name="_Toc298924674"/>
      <w:bookmarkStart w:id="41" w:name="_Toc274296357"/>
      <w:r>
        <w:t>Making a submission</w:t>
      </w:r>
      <w:bookmarkEnd w:id="33"/>
      <w:bookmarkEnd w:id="34"/>
      <w:bookmarkEnd w:id="35"/>
      <w:bookmarkEnd w:id="36"/>
      <w:bookmarkEnd w:id="37"/>
    </w:p>
    <w:p w14:paraId="08074358" w14:textId="52E5A460" w:rsidR="006C1631" w:rsidRDefault="006C1631" w:rsidP="006C1631">
      <w:r>
        <w:t xml:space="preserve">The ACMA invites comments on the issues set out in this </w:t>
      </w:r>
      <w:r w:rsidR="006C20B7">
        <w:t>consultation</w:t>
      </w:r>
      <w:r>
        <w:t xml:space="preserve"> paper. </w:t>
      </w:r>
    </w:p>
    <w:p w14:paraId="19AF3594" w14:textId="77777777" w:rsidR="0070133D" w:rsidRDefault="00912237" w:rsidP="0070133D">
      <w:pPr>
        <w:pStyle w:val="Bulletlevel1"/>
      </w:pPr>
      <w:hyperlink r:id="rId30" w:history="1">
        <w:r w:rsidR="0070133D">
          <w:rPr>
            <w:rStyle w:val="Hyperlink"/>
          </w:rPr>
          <w:t>Online submissions</w:t>
        </w:r>
      </w:hyperlink>
      <w:r w:rsidR="0070133D">
        <w:t xml:space="preserve"> can be made by </w:t>
      </w:r>
      <w:r w:rsidR="0070133D" w:rsidRPr="0070133D">
        <w:t>uploading</w:t>
      </w:r>
      <w:r w:rsidR="0070133D">
        <w:t xml:space="preserve"> a document. Submissions in</w:t>
      </w:r>
      <w:r w:rsidR="00396DC2">
        <w:t xml:space="preserve"> PDF, </w:t>
      </w:r>
      <w:r w:rsidR="0070133D">
        <w:t>Microsoft Word or Rich Text Format are preferred.</w:t>
      </w:r>
    </w:p>
    <w:p w14:paraId="71A7217D" w14:textId="77777777" w:rsidR="006C1631" w:rsidRDefault="006C1631" w:rsidP="0070133D">
      <w:pPr>
        <w:pStyle w:val="Bulletlevel1"/>
      </w:pPr>
      <w:r>
        <w:t xml:space="preserve">Submissions by post can be sent to: </w:t>
      </w:r>
    </w:p>
    <w:p w14:paraId="33BCB77D" w14:textId="77777777" w:rsidR="006C1631" w:rsidRPr="007D6B04" w:rsidRDefault="006C1631" w:rsidP="006C1631">
      <w:pPr>
        <w:tabs>
          <w:tab w:val="num" w:pos="295"/>
        </w:tabs>
        <w:spacing w:after="0"/>
        <w:ind w:left="295"/>
        <w:rPr>
          <w:szCs w:val="20"/>
        </w:rPr>
      </w:pPr>
      <w:r w:rsidRPr="007D6B04">
        <w:rPr>
          <w:szCs w:val="20"/>
        </w:rPr>
        <w:t>The Manager</w:t>
      </w:r>
    </w:p>
    <w:p w14:paraId="69D812A5" w14:textId="2EBB4892" w:rsidR="006C1631" w:rsidRPr="007D6B04" w:rsidRDefault="007D6B04" w:rsidP="006C1631">
      <w:pPr>
        <w:spacing w:after="0"/>
        <w:ind w:left="295"/>
        <w:rPr>
          <w:szCs w:val="20"/>
        </w:rPr>
      </w:pPr>
      <w:r w:rsidRPr="007D6B04">
        <w:rPr>
          <w:szCs w:val="20"/>
        </w:rPr>
        <w:t>Spectrum Planning Section</w:t>
      </w:r>
    </w:p>
    <w:p w14:paraId="215034C9" w14:textId="77777777" w:rsidR="006C1631" w:rsidRPr="007D6B04" w:rsidRDefault="006C1631" w:rsidP="006C1631">
      <w:pPr>
        <w:spacing w:after="0"/>
        <w:ind w:left="295"/>
        <w:rPr>
          <w:szCs w:val="20"/>
        </w:rPr>
      </w:pPr>
      <w:r w:rsidRPr="007D6B04">
        <w:rPr>
          <w:szCs w:val="20"/>
        </w:rPr>
        <w:t>Australian Communications and Media Authority</w:t>
      </w:r>
    </w:p>
    <w:p w14:paraId="1D05CBA1" w14:textId="77777777" w:rsidR="006C1631" w:rsidRPr="007D6B04" w:rsidRDefault="006C1631" w:rsidP="006C1631">
      <w:pPr>
        <w:spacing w:after="0"/>
        <w:ind w:left="295"/>
        <w:rPr>
          <w:szCs w:val="20"/>
        </w:rPr>
      </w:pPr>
      <w:r w:rsidRPr="007D6B04">
        <w:rPr>
          <w:szCs w:val="20"/>
        </w:rPr>
        <w:t>PO Box 78</w:t>
      </w:r>
    </w:p>
    <w:p w14:paraId="02619358" w14:textId="77777777" w:rsidR="006C1631" w:rsidRDefault="006C1631" w:rsidP="006C1631">
      <w:pPr>
        <w:ind w:left="295"/>
        <w:rPr>
          <w:szCs w:val="20"/>
        </w:rPr>
      </w:pPr>
      <w:r w:rsidRPr="007D6B04">
        <w:rPr>
          <w:szCs w:val="20"/>
        </w:rPr>
        <w:t>Belconnen ACT 2616</w:t>
      </w:r>
    </w:p>
    <w:p w14:paraId="745E3EC1" w14:textId="7B344FB3" w:rsidR="006C1631" w:rsidRDefault="006C1631" w:rsidP="006C1631">
      <w:r>
        <w:t xml:space="preserve">The closing date for submissions is </w:t>
      </w:r>
      <w:r w:rsidRPr="00F90A66">
        <w:rPr>
          <w:b/>
          <w:bCs/>
        </w:rPr>
        <w:t xml:space="preserve">COB, </w:t>
      </w:r>
      <w:r w:rsidR="00B63525" w:rsidRPr="00F90A66">
        <w:rPr>
          <w:b/>
          <w:bCs/>
        </w:rPr>
        <w:t>Tuesday 29</w:t>
      </w:r>
      <w:r w:rsidR="007D6B04" w:rsidRPr="00F90A66">
        <w:rPr>
          <w:b/>
          <w:bCs/>
        </w:rPr>
        <w:t xml:space="preserve"> September 2020</w:t>
      </w:r>
      <w:r w:rsidRPr="007D6B04">
        <w:t>.</w:t>
      </w:r>
    </w:p>
    <w:p w14:paraId="5E9A5D43" w14:textId="1F5221BA" w:rsidR="006C1631" w:rsidRDefault="006C1631" w:rsidP="006C1631">
      <w:pPr>
        <w:rPr>
          <w:szCs w:val="20"/>
        </w:rPr>
      </w:pPr>
      <w:r>
        <w:t xml:space="preserve">Consultation enquiries can be emailed </w:t>
      </w:r>
      <w:r>
        <w:rPr>
          <w:szCs w:val="20"/>
        </w:rPr>
        <w:t>to</w:t>
      </w:r>
      <w:r w:rsidR="007D6B04">
        <w:rPr>
          <w:szCs w:val="20"/>
        </w:rPr>
        <w:t xml:space="preserve"> </w:t>
      </w:r>
      <w:hyperlink r:id="rId31" w:history="1">
        <w:r w:rsidR="007D6B04" w:rsidRPr="00D53597">
          <w:rPr>
            <w:rStyle w:val="Hyperlink"/>
            <w:szCs w:val="20"/>
          </w:rPr>
          <w:t>freqplan@acma.gov.au</w:t>
        </w:r>
      </w:hyperlink>
      <w:r>
        <w:rPr>
          <w:szCs w:val="20"/>
        </w:rPr>
        <w:t>.</w:t>
      </w:r>
    </w:p>
    <w:p w14:paraId="62F8BA84" w14:textId="77777777" w:rsidR="006C1631" w:rsidRDefault="006C1631" w:rsidP="005B2F0D">
      <w:pPr>
        <w:pStyle w:val="Heading4"/>
      </w:pPr>
      <w:bookmarkStart w:id="42" w:name="_Toc348105639"/>
      <w:bookmarkStart w:id="43" w:name="_Toc300909558"/>
      <w:bookmarkEnd w:id="38"/>
      <w:bookmarkEnd w:id="39"/>
      <w:r>
        <w:t xml:space="preserve">Publication of </w:t>
      </w:r>
      <w:r w:rsidRPr="005B2F0D">
        <w:t>submissions</w:t>
      </w:r>
      <w:bookmarkEnd w:id="40"/>
      <w:bookmarkEnd w:id="41"/>
      <w:bookmarkEnd w:id="42"/>
      <w:bookmarkEnd w:id="43"/>
    </w:p>
    <w:p w14:paraId="7B18385C" w14:textId="77777777" w:rsidR="006C1631" w:rsidRDefault="006C1631" w:rsidP="006C1631">
      <w:bookmarkStart w:id="44" w:name="_Toc348105640"/>
      <w:bookmarkStart w:id="45" w:name="_Toc300909559"/>
      <w:bookmarkStart w:id="46" w:name="_Toc265246234"/>
      <w:r>
        <w:t>The ACMA publishes submissions on our website</w:t>
      </w:r>
      <w:r>
        <w:rPr>
          <w:rFonts w:cs="Arial"/>
        </w:rPr>
        <w:t>, including personal information (such as names and contact details)</w:t>
      </w:r>
      <w:r>
        <w:t xml:space="preserve">, except for information that you have claimed (and we have accepted) is confidential. </w:t>
      </w:r>
    </w:p>
    <w:p w14:paraId="6B371C87" w14:textId="77777777" w:rsidR="006C1631" w:rsidRDefault="006C1631" w:rsidP="006C1631">
      <w:r>
        <w:t>Confidential information will not be published or otherwise released unless required or authorised by law.</w:t>
      </w:r>
    </w:p>
    <w:p w14:paraId="3C4E51AB" w14:textId="77777777" w:rsidR="006C1631" w:rsidRDefault="006C1631" w:rsidP="005B2F0D">
      <w:pPr>
        <w:pStyle w:val="Heading4"/>
      </w:pPr>
      <w:r>
        <w:t>Privacy</w:t>
      </w:r>
    </w:p>
    <w:p w14:paraId="239FD2E2" w14:textId="77777777" w:rsidR="006C1631" w:rsidRDefault="00E21056" w:rsidP="005B2F0D">
      <w:pPr>
        <w:pStyle w:val="Paragraph"/>
      </w:pPr>
      <w:r>
        <w:t>View</w:t>
      </w:r>
      <w:r w:rsidR="006C1631">
        <w:t xml:space="preserve"> information about </w:t>
      </w:r>
      <w:r>
        <w:t xml:space="preserve">our policy on the </w:t>
      </w:r>
      <w:hyperlink r:id="rId32" w:history="1">
        <w:r>
          <w:rPr>
            <w:rStyle w:val="Hyperlink"/>
          </w:rPr>
          <w:t>p</w:t>
        </w:r>
        <w:r w:rsidRPr="00E21056">
          <w:rPr>
            <w:rStyle w:val="Hyperlink"/>
          </w:rPr>
          <w:t>ublication of submissions</w:t>
        </w:r>
      </w:hyperlink>
      <w:r>
        <w:t xml:space="preserve">, including </w:t>
      </w:r>
      <w:r w:rsidR="006C1631">
        <w:t>collection of personal information during consultation and how we handle that information</w:t>
      </w:r>
      <w:r>
        <w:t>.</w:t>
      </w:r>
    </w:p>
    <w:bookmarkEnd w:id="44"/>
    <w:bookmarkEnd w:id="45"/>
    <w:bookmarkEnd w:id="46"/>
    <w:p w14:paraId="659AF810" w14:textId="7824DA71" w:rsidR="00FF3C69" w:rsidRDefault="006C1631" w:rsidP="00466512">
      <w:pPr>
        <w:pStyle w:val="Paragraph"/>
      </w:pPr>
      <w:r>
        <w:t xml:space="preserve">Information on the </w:t>
      </w:r>
      <w:r>
        <w:rPr>
          <w:i/>
        </w:rPr>
        <w:t>Privacy Act 1988</w:t>
      </w:r>
      <w:r w:rsidR="006A4CCA">
        <w:rPr>
          <w:i/>
        </w:rPr>
        <w:t xml:space="preserve">, </w:t>
      </w:r>
      <w:r>
        <w:t>how to access or correct personal information, how to make a privacy complaint and how we will deal with the complaint</w:t>
      </w:r>
      <w:r w:rsidR="00BB6335">
        <w:t>,</w:t>
      </w:r>
      <w:r w:rsidR="00CF0BFE">
        <w:t xml:space="preserve"> </w:t>
      </w:r>
      <w:r>
        <w:t xml:space="preserve">is available </w:t>
      </w:r>
      <w:r w:rsidR="00E21056">
        <w:t xml:space="preserve">in our </w:t>
      </w:r>
      <w:hyperlink r:id="rId33" w:history="1">
        <w:r w:rsidR="00E21056" w:rsidRPr="00E21056">
          <w:rPr>
            <w:rStyle w:val="Hyperlink"/>
          </w:rPr>
          <w:t>privacy policy</w:t>
        </w:r>
      </w:hyperlink>
      <w:r>
        <w:t>.</w:t>
      </w:r>
      <w:r w:rsidR="00A4193E">
        <w:t xml:space="preserve"> </w:t>
      </w:r>
    </w:p>
    <w:sectPr w:rsidR="00FF3C69" w:rsidSect="007D6B04">
      <w:pgSz w:w="11906" w:h="16838" w:code="9"/>
      <w:pgMar w:top="1945" w:right="3101" w:bottom="1134" w:left="1134" w:header="709" w:footer="11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5860E99" w14:textId="77777777" w:rsidR="00F90A66" w:rsidRDefault="00F90A66">
      <w:r>
        <w:separator/>
      </w:r>
    </w:p>
  </w:endnote>
  <w:endnote w:type="continuationSeparator" w:id="0">
    <w:p w14:paraId="2392C422" w14:textId="77777777" w:rsidR="00F90A66" w:rsidRDefault="00F90A66">
      <w:r>
        <w:continuationSeparator/>
      </w:r>
    </w:p>
  </w:endnote>
  <w:endnote w:type="continuationNotice" w:id="1">
    <w:p w14:paraId="1CEFA482" w14:textId="77777777" w:rsidR="00F90A66" w:rsidRDefault="00F90A66">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1" w:usb2="00000009" w:usb3="00000000" w:csb0="000001FF"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HelveticaNeueLT Std">
    <w:altName w:val="Arial"/>
    <w:panose1 w:val="020B0604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1002AFF" w:usb1="4000ACFF"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83FACC4" w14:textId="77777777" w:rsidR="00856AD7" w:rsidRDefault="00856AD7" w:rsidP="005E250B">
    <w:pPr>
      <w:pStyle w:val="Footer"/>
      <w:jc w:val="right"/>
    </w:pPr>
    <w:r w:rsidRPr="005E250B">
      <w:rPr>
        <w:noProof/>
        <w:vertAlign w:val="subscript"/>
      </w:rPr>
      <w:drawing>
        <wp:inline distT="0" distB="0" distL="0" distR="0" wp14:anchorId="0667F77C" wp14:editId="5D8DFEF3">
          <wp:extent cx="1066800" cy="277368"/>
          <wp:effectExtent l="0" t="0" r="0" b="0"/>
          <wp:docPr id="15" name="Picture 15" descr="acma.gov.au">
            <a:hlinkClick xmlns:a="http://schemas.openxmlformats.org/drawingml/2006/main" r:id="rId1"/>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cma.gov.au">
                    <a:hlinkClick r:id="rId1"/>
                  </pic:cNvPr>
                  <pic:cNvPicPr/>
                </pic:nvPicPr>
                <pic:blipFill>
                  <a:blip r:embed="rId2"/>
                  <a:stretch>
                    <a:fillRect/>
                  </a:stretch>
                </pic:blipFill>
                <pic:spPr>
                  <a:xfrm>
                    <a:off x="0" y="0"/>
                    <a:ext cx="1133985" cy="294836"/>
                  </a:xfrm>
                  <a:prstGeom prst="rect">
                    <a:avLst/>
                  </a:prstGeom>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F350D32" w14:textId="77777777" w:rsidR="00856AD7" w:rsidRDefault="00856AD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22329A" w14:textId="77777777" w:rsidR="00856AD7" w:rsidRDefault="00856AD7">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AC8B8FB" w14:textId="77777777" w:rsidR="00856AD7" w:rsidRPr="00622A3B" w:rsidRDefault="00856AD7" w:rsidP="00971914">
    <w:pPr>
      <w:pStyle w:val="Footer"/>
      <w:framePr w:w="1334" w:h="357" w:hRule="exact" w:vSpace="425" w:wrap="around" w:vAnchor="page" w:hAnchor="page" w:x="1156" w:y="16166"/>
      <w:pBdr>
        <w:top w:val="single" w:sz="4" w:space="1" w:color="auto"/>
      </w:pBdr>
      <w:tabs>
        <w:tab w:val="clear" w:pos="113"/>
        <w:tab w:val="left" w:pos="284"/>
      </w:tabs>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iv</w:t>
    </w:r>
    <w:r w:rsidRPr="002E4DDC">
      <w:rPr>
        <w:color w:val="505050"/>
      </w:rPr>
      <w:fldChar w:fldCharType="end"/>
    </w:r>
  </w:p>
  <w:p w14:paraId="016D602F" w14:textId="77777777" w:rsidR="00856AD7" w:rsidRPr="00A5474E" w:rsidRDefault="00856AD7" w:rsidP="00A5474E">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075BF8C" w14:textId="77777777" w:rsidR="00856AD7" w:rsidRPr="00622A3B" w:rsidRDefault="00856AD7" w:rsidP="00971914">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v</w:t>
    </w:r>
    <w:r w:rsidRPr="002E4DDC">
      <w:rPr>
        <w:color w:val="505050"/>
      </w:rPr>
      <w:fldChar w:fldCharType="end"/>
    </w:r>
  </w:p>
  <w:p w14:paraId="2042409E" w14:textId="77777777" w:rsidR="00856AD7" w:rsidRPr="00A5474E" w:rsidRDefault="00856AD7" w:rsidP="00A5474E">
    <w:pPr>
      <w:pStyle w:val="Footer"/>
    </w:pP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D39A867" w14:textId="77777777" w:rsidR="00856AD7" w:rsidRPr="00622A3B" w:rsidRDefault="00856AD7" w:rsidP="0094078F">
    <w:pPr>
      <w:pStyle w:val="Footer"/>
      <w:framePr w:w="1334" w:h="357" w:hRule="exact" w:vSpace="425" w:wrap="around" w:vAnchor="page" w:hAnchor="page" w:x="7335" w:y="16166"/>
      <w:pBdr>
        <w:top w:val="single" w:sz="4" w:space="1" w:color="auto"/>
      </w:pBdr>
      <w:tabs>
        <w:tab w:val="clear" w:pos="113"/>
        <w:tab w:val="left" w:pos="284"/>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p w14:paraId="07FE723B" w14:textId="77777777" w:rsidR="00856AD7" w:rsidRPr="00A5474E" w:rsidRDefault="00856AD7" w:rsidP="00A5474E">
    <w:pPr>
      <w:pStyle w:val="Footer"/>
    </w:pP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0A2DBA6" w14:textId="77777777" w:rsidR="00856AD7" w:rsidRPr="00622A3B" w:rsidRDefault="00856AD7" w:rsidP="00B43262">
    <w:pPr>
      <w:pStyle w:val="FooterLeft"/>
      <w:framePr w:wrap="around" w:x="1141" w:y="16166"/>
      <w:tabs>
        <w:tab w:val="clear" w:pos="113"/>
        <w:tab w:val="right" w:pos="397"/>
      </w:tabs>
    </w:pPr>
    <w:r w:rsidRPr="00575AC5">
      <w:fldChar w:fldCharType="begin"/>
    </w:r>
    <w:r w:rsidRPr="00575AC5">
      <w:instrText xml:space="preserve"> PAGE  \* Arabic  \* MERGEFORMAT </w:instrText>
    </w:r>
    <w:r w:rsidRPr="00575AC5">
      <w:fldChar w:fldCharType="separate"/>
    </w:r>
    <w:r>
      <w:rPr>
        <w:noProof/>
      </w:rPr>
      <w:t>6</w:t>
    </w:r>
    <w:r w:rsidRPr="00575AC5">
      <w:fldChar w:fldCharType="end"/>
    </w:r>
    <w:r w:rsidRPr="0094078F">
      <w:tab/>
    </w:r>
    <w:r w:rsidRPr="00622A3B">
      <w:t>|</w:t>
    </w:r>
    <w:r>
      <w:tab/>
    </w:r>
    <w:r w:rsidRPr="00622A3B">
      <w:rPr>
        <w:b/>
        <w:noProof/>
        <w:spacing w:val="-16"/>
        <w:sz w:val="20"/>
        <w:szCs w:val="20"/>
      </w:rPr>
      <w:t>a</w:t>
    </w:r>
    <w:r w:rsidRPr="00622A3B">
      <w:rPr>
        <w:b/>
        <w:noProof/>
        <w:spacing w:val="-15"/>
        <w:sz w:val="20"/>
        <w:szCs w:val="20"/>
      </w:rPr>
      <w:t>c</w:t>
    </w:r>
    <w:r w:rsidRPr="00622A3B">
      <w:rPr>
        <w:b/>
        <w:noProof/>
        <w:spacing w:val="-16"/>
        <w:sz w:val="20"/>
        <w:szCs w:val="20"/>
      </w:rPr>
      <w:t>m</w:t>
    </w:r>
    <w:r w:rsidRPr="00622A3B">
      <w:rPr>
        <w:b/>
        <w:noProof/>
        <w:spacing w:val="-14"/>
        <w:sz w:val="20"/>
        <w:szCs w:val="20"/>
      </w:rPr>
      <w:t>a</w:t>
    </w:r>
  </w:p>
  <w:p w14:paraId="32D16C10" w14:textId="77777777" w:rsidR="00856AD7" w:rsidRPr="00A5474E" w:rsidRDefault="00856AD7" w:rsidP="00A5474E">
    <w:pPr>
      <w:pStyle w:val="Footer"/>
    </w:pP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6F1ECD8" w14:textId="77777777" w:rsidR="00856AD7" w:rsidRPr="00622A3B" w:rsidRDefault="00856AD7" w:rsidP="00447037">
    <w:pPr>
      <w:pStyle w:val="Footer"/>
      <w:framePr w:w="1440" w:h="357" w:hRule="exact" w:vSpace="425" w:wrap="around" w:vAnchor="page" w:hAnchor="page" w:x="7335" w:y="16166"/>
      <w:pBdr>
        <w:top w:val="single" w:sz="4" w:space="1" w:color="auto"/>
      </w:pBdr>
      <w:tabs>
        <w:tab w:val="clear" w:pos="113"/>
        <w:tab w:val="left" w:pos="397"/>
      </w:tabs>
      <w:jc w:val="right"/>
      <w:rPr>
        <w:rFonts w:cs="Arial"/>
      </w:rPr>
    </w:pPr>
    <w:r w:rsidRPr="00622A3B">
      <w:rPr>
        <w:rFonts w:cs="Arial"/>
        <w:b/>
        <w:noProof/>
        <w:spacing w:val="-16"/>
        <w:sz w:val="20"/>
        <w:szCs w:val="20"/>
      </w:rPr>
      <w:t>a</w:t>
    </w:r>
    <w:r w:rsidRPr="00622A3B">
      <w:rPr>
        <w:rFonts w:cs="Arial"/>
        <w:b/>
        <w:noProof/>
        <w:spacing w:val="-15"/>
        <w:sz w:val="20"/>
        <w:szCs w:val="20"/>
      </w:rPr>
      <w:t>c</w:t>
    </w:r>
    <w:r w:rsidRPr="00622A3B">
      <w:rPr>
        <w:rFonts w:cs="Arial"/>
        <w:b/>
        <w:noProof/>
        <w:spacing w:val="-16"/>
        <w:sz w:val="20"/>
        <w:szCs w:val="20"/>
      </w:rPr>
      <w:t>m</w:t>
    </w:r>
    <w:r w:rsidRPr="00622A3B">
      <w:rPr>
        <w:rFonts w:cs="Arial"/>
        <w:b/>
        <w:noProof/>
        <w:spacing w:val="-14"/>
        <w:sz w:val="20"/>
        <w:szCs w:val="20"/>
      </w:rPr>
      <w:t>a</w:t>
    </w:r>
    <w:r w:rsidRPr="0094078F">
      <w:rPr>
        <w:rFonts w:cs="Arial"/>
      </w:rPr>
      <w:tab/>
    </w:r>
    <w:r>
      <w:rPr>
        <w:rFonts w:cs="Arial"/>
      </w:rPr>
      <w:t xml:space="preserve"> </w:t>
    </w:r>
    <w:r w:rsidRPr="00622A3B">
      <w:rPr>
        <w:rFonts w:cs="Arial"/>
      </w:rPr>
      <w:t>|</w:t>
    </w:r>
    <w:r>
      <w:tab/>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p w14:paraId="4A17F9B4" w14:textId="77777777" w:rsidR="00856AD7" w:rsidRPr="00A5474E" w:rsidRDefault="00856AD7" w:rsidP="00A5474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056C5FE" w14:textId="77777777" w:rsidR="00F90A66" w:rsidRDefault="00F90A66">
      <w:r>
        <w:separator/>
      </w:r>
    </w:p>
  </w:footnote>
  <w:footnote w:type="continuationSeparator" w:id="0">
    <w:p w14:paraId="669F1E95" w14:textId="77777777" w:rsidR="00F90A66" w:rsidRDefault="00F90A66">
      <w:r>
        <w:continuationSeparator/>
      </w:r>
    </w:p>
  </w:footnote>
  <w:footnote w:type="continuationNotice" w:id="1">
    <w:p w14:paraId="1DEFA071" w14:textId="77777777" w:rsidR="00F90A66" w:rsidRDefault="00F90A66">
      <w:pPr>
        <w:spacing w:after="0" w:line="240" w:lineRule="auto"/>
      </w:pPr>
    </w:p>
  </w:footnote>
  <w:footnote w:id="2">
    <w:p w14:paraId="590923EB" w14:textId="7687C545" w:rsidR="00856AD7" w:rsidRPr="00674350" w:rsidRDefault="00856AD7" w:rsidP="007D6B04">
      <w:pPr>
        <w:pStyle w:val="FootnoteText"/>
        <w:rPr>
          <w:i/>
        </w:rPr>
      </w:pPr>
      <w:r>
        <w:rPr>
          <w:rStyle w:val="FootnoteReference"/>
        </w:rPr>
        <w:footnoteRef/>
      </w:r>
      <w:r>
        <w:t xml:space="preserve"> The latest version of the Spectrum Plan is </w:t>
      </w:r>
      <w:r w:rsidRPr="00CC060A">
        <w:t xml:space="preserve">the </w:t>
      </w:r>
      <w:r w:rsidRPr="006C20B7">
        <w:t>Australian Radiofrequency Spectrum Plan 2017</w:t>
      </w:r>
      <w:r>
        <w:rPr>
          <w:i/>
        </w:rPr>
        <w:t>.</w:t>
      </w:r>
    </w:p>
  </w:footnote>
  <w:footnote w:id="3">
    <w:p w14:paraId="07B7F4B9" w14:textId="13B571F1" w:rsidR="00856AD7" w:rsidRDefault="00856AD7" w:rsidP="007D6B04">
      <w:pPr>
        <w:pStyle w:val="FootnoteText"/>
        <w:spacing w:line="240" w:lineRule="auto"/>
      </w:pPr>
      <w:r>
        <w:rPr>
          <w:rStyle w:val="FootnoteReference"/>
        </w:rPr>
        <w:footnoteRef/>
      </w:r>
      <w:r>
        <w:t xml:space="preserve"> </w:t>
      </w:r>
      <w:r w:rsidR="00D95FE3">
        <w:t xml:space="preserve">The term </w:t>
      </w:r>
      <w:r w:rsidR="00CC060A">
        <w:t>‘</w:t>
      </w:r>
      <w:r w:rsidR="00D95FE3">
        <w:t>u</w:t>
      </w:r>
      <w:r>
        <w:t>sed</w:t>
      </w:r>
      <w:r w:rsidR="00CC060A">
        <w:t>’</w:t>
      </w:r>
      <w:r>
        <w:t xml:space="preserve"> includes reserved for future use and reserved for the prevention or control of interference to radiocommunications.</w:t>
      </w:r>
    </w:p>
  </w:footnote>
  <w:footnote w:id="4">
    <w:p w14:paraId="0EB4E937" w14:textId="0C192287" w:rsidR="00017BC0" w:rsidRDefault="00017BC0">
      <w:pPr>
        <w:pStyle w:val="FootnoteText"/>
      </w:pPr>
      <w:r>
        <w:rPr>
          <w:rStyle w:val="FootnoteReference"/>
        </w:rPr>
        <w:footnoteRef/>
      </w:r>
      <w:r>
        <w:t xml:space="preserve"> </w:t>
      </w:r>
      <w:r w:rsidRPr="00017BC0">
        <w:t xml:space="preserve">Copies of the ITU-R Radio Regulations are available on the </w:t>
      </w:r>
      <w:hyperlink r:id="rId1" w:history="1">
        <w:r w:rsidRPr="00017BC0">
          <w:rPr>
            <w:rStyle w:val="Hyperlink"/>
          </w:rPr>
          <w:t>ITU-R website</w:t>
        </w:r>
      </w:hyperlink>
      <w:r w:rsidRPr="00017BC0">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8218AE6" w14:textId="77777777" w:rsidR="00856AD7" w:rsidRPr="00A5474E" w:rsidRDefault="00856AD7" w:rsidP="00A5474E">
    <w:pPr>
      <w:pStyle w:val="Header"/>
    </w:pPr>
    <w:r>
      <w:rPr>
        <w:noProof/>
      </w:rPr>
      <w:drawing>
        <wp:inline distT="0" distB="0" distL="0" distR="0" wp14:anchorId="7E1647BD" wp14:editId="37CB1EC3">
          <wp:extent cx="6210300" cy="571134"/>
          <wp:effectExtent l="0" t="0" r="0" b="0"/>
          <wp:docPr id="14" name="Picture 14" descr="ACM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cussion-paper-header-block.pdf"/>
                  <pic:cNvPicPr/>
                </pic:nvPicPr>
                <pic:blipFill>
                  <a:blip r:embed="rId1"/>
                  <a:stretch>
                    <a:fillRect/>
                  </a:stretch>
                </pic:blipFill>
                <pic:spPr>
                  <a:xfrm>
                    <a:off x="0" y="0"/>
                    <a:ext cx="6210300" cy="571134"/>
                  </a:xfrm>
                  <a:prstGeom prst="rect">
                    <a:avLst/>
                  </a:prstGeom>
                </pic:spPr>
              </pic:pic>
            </a:graphicData>
          </a:graphic>
        </wp:inline>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DF7B71E" w14:textId="77777777" w:rsidR="00856AD7" w:rsidRPr="00A5474E" w:rsidRDefault="00856AD7" w:rsidP="00594E9C">
    <w:pPr>
      <w:pStyle w:val="TOCHeading"/>
    </w:pPr>
    <w:r w:rsidRPr="0029593B">
      <w:t>Contents</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46ADEFE" w14:textId="77777777" w:rsidR="00856AD7" w:rsidRDefault="00856AD7">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72C6779" w14:textId="77777777" w:rsidR="00856AD7" w:rsidRDefault="00856AD7">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856AD7" w14:paraId="0CA9B16D" w14:textId="77777777" w:rsidTr="00856AD7">
      <w:trPr>
        <w:trHeight w:hRule="exact" w:val="988"/>
      </w:trPr>
      <w:tc>
        <w:tcPr>
          <w:tcW w:w="7678" w:type="dxa"/>
          <w:shd w:val="clear" w:color="auto" w:fill="auto"/>
        </w:tcPr>
        <w:p w14:paraId="0FF387B4" w14:textId="77777777" w:rsidR="00856AD7" w:rsidRDefault="00856AD7" w:rsidP="00971914">
          <w:pPr>
            <w:pStyle w:val="Header"/>
          </w:pPr>
        </w:p>
      </w:tc>
    </w:tr>
    <w:tr w:rsidR="00856AD7" w14:paraId="0CCF3D96" w14:textId="77777777" w:rsidTr="00856AD7">
      <w:tc>
        <w:tcPr>
          <w:tcW w:w="7678" w:type="dxa"/>
          <w:shd w:val="clear" w:color="auto" w:fill="auto"/>
        </w:tcPr>
        <w:p w14:paraId="65085C71" w14:textId="77777777" w:rsidR="00856AD7" w:rsidRDefault="00856AD7" w:rsidP="00971914">
          <w:pPr>
            <w:pStyle w:val="GridTable31"/>
          </w:pPr>
          <w:r>
            <w:t xml:space="preserve">Contents </w:t>
          </w:r>
          <w:r w:rsidRPr="00915B1C">
            <w:rPr>
              <w:b w:val="0"/>
              <w:spacing w:val="0"/>
              <w:sz w:val="28"/>
              <w:szCs w:val="28"/>
            </w:rPr>
            <w:t>(Continued)</w:t>
          </w:r>
        </w:p>
      </w:tc>
    </w:tr>
    <w:tr w:rsidR="00856AD7" w14:paraId="40956335" w14:textId="77777777" w:rsidTr="00856AD7">
      <w:trPr>
        <w:trHeight w:val="1220"/>
      </w:trPr>
      <w:tc>
        <w:tcPr>
          <w:tcW w:w="7678" w:type="dxa"/>
          <w:shd w:val="clear" w:color="auto" w:fill="auto"/>
        </w:tcPr>
        <w:p w14:paraId="057A5181" w14:textId="77777777" w:rsidR="00856AD7" w:rsidRDefault="00856AD7" w:rsidP="00971914"/>
      </w:tc>
    </w:tr>
  </w:tbl>
  <w:p w14:paraId="3E0BBB93" w14:textId="77777777" w:rsidR="00856AD7" w:rsidRDefault="00856AD7" w:rsidP="00971914">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tbl>
    <w:tblPr>
      <w:tblW w:w="7678" w:type="dxa"/>
      <w:tblLayout w:type="fixed"/>
      <w:tblCellMar>
        <w:left w:w="0" w:type="dxa"/>
        <w:right w:w="0" w:type="dxa"/>
      </w:tblCellMar>
      <w:tblLook w:val="01E0" w:firstRow="1" w:lastRow="1" w:firstColumn="1" w:lastColumn="1" w:noHBand="0" w:noVBand="0"/>
    </w:tblPr>
    <w:tblGrid>
      <w:gridCol w:w="7678"/>
    </w:tblGrid>
    <w:tr w:rsidR="00856AD7" w14:paraId="36E3846E" w14:textId="77777777" w:rsidTr="00856AD7">
      <w:trPr>
        <w:trHeight w:hRule="exact" w:val="988"/>
      </w:trPr>
      <w:tc>
        <w:tcPr>
          <w:tcW w:w="7678" w:type="dxa"/>
          <w:shd w:val="clear" w:color="auto" w:fill="auto"/>
        </w:tcPr>
        <w:p w14:paraId="0955AD3C" w14:textId="77777777" w:rsidR="00856AD7" w:rsidRDefault="00856AD7" w:rsidP="00971914">
          <w:pPr>
            <w:pStyle w:val="Header"/>
          </w:pPr>
        </w:p>
      </w:tc>
    </w:tr>
    <w:tr w:rsidR="00856AD7" w14:paraId="5A57885D" w14:textId="77777777" w:rsidTr="00856AD7">
      <w:tc>
        <w:tcPr>
          <w:tcW w:w="7678" w:type="dxa"/>
          <w:shd w:val="clear" w:color="auto" w:fill="auto"/>
        </w:tcPr>
        <w:p w14:paraId="515C3B30" w14:textId="77777777" w:rsidR="00856AD7" w:rsidRDefault="00856AD7" w:rsidP="00971914">
          <w:pPr>
            <w:pStyle w:val="GridTable31"/>
          </w:pPr>
          <w:r>
            <w:t xml:space="preserve">Contents </w:t>
          </w:r>
          <w:r w:rsidRPr="00915B1C">
            <w:rPr>
              <w:b w:val="0"/>
              <w:spacing w:val="0"/>
              <w:sz w:val="28"/>
              <w:szCs w:val="28"/>
            </w:rPr>
            <w:t>(Continued)</w:t>
          </w:r>
        </w:p>
      </w:tc>
    </w:tr>
    <w:tr w:rsidR="00856AD7" w14:paraId="7378BD10" w14:textId="77777777" w:rsidTr="00856AD7">
      <w:trPr>
        <w:trHeight w:val="1220"/>
      </w:trPr>
      <w:tc>
        <w:tcPr>
          <w:tcW w:w="7678" w:type="dxa"/>
          <w:shd w:val="clear" w:color="auto" w:fill="auto"/>
        </w:tcPr>
        <w:p w14:paraId="6B172F26" w14:textId="77777777" w:rsidR="00856AD7" w:rsidRDefault="00856AD7" w:rsidP="00971914"/>
      </w:tc>
    </w:tr>
  </w:tbl>
  <w:p w14:paraId="79F9FD2E" w14:textId="77777777" w:rsidR="00856AD7" w:rsidRPr="00A5474E" w:rsidRDefault="00856AD7" w:rsidP="00A5474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1C41396" w14:textId="77777777" w:rsidR="00856AD7" w:rsidRDefault="00856AD7">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7585DF0" w14:textId="77777777" w:rsidR="00856AD7" w:rsidRDefault="00856AD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F"/>
    <w:multiLevelType w:val="singleLevel"/>
    <w:tmpl w:val="75F22F60"/>
    <w:lvl w:ilvl="0">
      <w:start w:val="1"/>
      <w:numFmt w:val="lowerRoman"/>
      <w:pStyle w:val="ListNumber2"/>
      <w:lvlText w:val="%1."/>
      <w:lvlJc w:val="right"/>
      <w:pPr>
        <w:ind w:left="717" w:hanging="360"/>
      </w:pPr>
      <w:rPr>
        <w:rFonts w:hint="default"/>
      </w:rPr>
    </w:lvl>
  </w:abstractNum>
  <w:abstractNum w:abstractNumId="1" w15:restartNumberingAfterBreak="0">
    <w:nsid w:val="FFFFFF83"/>
    <w:multiLevelType w:val="singleLevel"/>
    <w:tmpl w:val="909E78BC"/>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2" w15:restartNumberingAfterBreak="0">
    <w:nsid w:val="FFFFFF88"/>
    <w:multiLevelType w:val="singleLevel"/>
    <w:tmpl w:val="51B60EB2"/>
    <w:lvl w:ilvl="0">
      <w:start w:val="1"/>
      <w:numFmt w:val="decimal"/>
      <w:pStyle w:val="ListNumber"/>
      <w:lvlText w:val="%1."/>
      <w:lvlJc w:val="left"/>
      <w:pPr>
        <w:ind w:left="360" w:hanging="360"/>
      </w:pPr>
      <w:rPr>
        <w:rFonts w:hint="default"/>
        <w:b w:val="0"/>
        <w:bCs/>
        <w:caps/>
        <w:sz w:val="20"/>
      </w:rPr>
    </w:lvl>
  </w:abstractNum>
  <w:abstractNum w:abstractNumId="3" w15:restartNumberingAfterBreak="0">
    <w:nsid w:val="FFFFFF89"/>
    <w:multiLevelType w:val="singleLevel"/>
    <w:tmpl w:val="12F21C52"/>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4" w15:restartNumberingAfterBreak="0">
    <w:nsid w:val="02AF1222"/>
    <w:multiLevelType w:val="hybridMultilevel"/>
    <w:tmpl w:val="BC6E3CCC"/>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87C268C"/>
    <w:multiLevelType w:val="hybridMultilevel"/>
    <w:tmpl w:val="E0A6CA9A"/>
    <w:lvl w:ilvl="0" w:tplc="44EEC084">
      <w:start w:val="1"/>
      <w:numFmt w:val="bullet"/>
      <w:lvlText w:val="&gt;"/>
      <w:lvlJc w:val="left"/>
      <w:pPr>
        <w:ind w:left="720" w:hanging="360"/>
      </w:pPr>
      <w:rPr>
        <w:rFonts w:ascii="HelveticaNeueLT Std" w:hAnsi="HelveticaNeueLT St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2E301DD4"/>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pStyle w:val="Heading5"/>
      <w:lvlText w:val="%5)"/>
      <w:lvlJc w:val="left"/>
      <w:pPr>
        <w:ind w:left="1008" w:hanging="432"/>
      </w:pPr>
    </w:lvl>
    <w:lvl w:ilvl="5">
      <w:start w:val="1"/>
      <w:numFmt w:val="lowerLetter"/>
      <w:pStyle w:val="Heading6"/>
      <w:lvlText w:val="%6)"/>
      <w:lvlJc w:val="left"/>
      <w:pPr>
        <w:ind w:left="1152" w:hanging="432"/>
      </w:pPr>
    </w:lvl>
    <w:lvl w:ilvl="6">
      <w:start w:val="1"/>
      <w:numFmt w:val="lowerRoman"/>
      <w:pStyle w:val="Heading7"/>
      <w:lvlText w:val="%7)"/>
      <w:lvlJc w:val="right"/>
      <w:pPr>
        <w:ind w:left="1296" w:hanging="288"/>
      </w:pPr>
    </w:lvl>
    <w:lvl w:ilvl="7">
      <w:start w:val="1"/>
      <w:numFmt w:val="lowerLetter"/>
      <w:pStyle w:val="Heading8"/>
      <w:lvlText w:val="%8."/>
      <w:lvlJc w:val="left"/>
      <w:pPr>
        <w:ind w:left="1440" w:hanging="432"/>
      </w:pPr>
    </w:lvl>
    <w:lvl w:ilvl="8">
      <w:start w:val="1"/>
      <w:numFmt w:val="lowerRoman"/>
      <w:pStyle w:val="Heading9"/>
      <w:lvlText w:val="%9."/>
      <w:lvlJc w:val="right"/>
      <w:pPr>
        <w:ind w:left="1584" w:hanging="144"/>
      </w:pPr>
    </w:lvl>
  </w:abstractNum>
  <w:abstractNum w:abstractNumId="7" w15:restartNumberingAfterBreak="0">
    <w:nsid w:val="2F5A5080"/>
    <w:multiLevelType w:val="hybridMultilevel"/>
    <w:tmpl w:val="BE2AF6CE"/>
    <w:lvl w:ilvl="0" w:tplc="D05E2434">
      <w:start w:val="1"/>
      <w:numFmt w:val="bullet"/>
      <w:pStyle w:val="ACMABulletLevel1"/>
      <w:lvlText w:val="●"/>
      <w:lvlJc w:val="left"/>
      <w:pPr>
        <w:ind w:left="357" w:hanging="357"/>
      </w:pPr>
      <w:rPr>
        <w:rFonts w:ascii="Arial" w:hAnsi="Arial" w:cs="Arial" w:hint="default"/>
        <w:sz w:val="20"/>
        <w:szCs w:val="20"/>
      </w:rPr>
    </w:lvl>
    <w:lvl w:ilvl="1" w:tplc="04090003">
      <w:start w:val="1"/>
      <w:numFmt w:val="bullet"/>
      <w:lvlText w:val="o"/>
      <w:lvlJc w:val="left"/>
      <w:pPr>
        <w:tabs>
          <w:tab w:val="num" w:pos="1728"/>
        </w:tabs>
        <w:ind w:left="1728" w:hanging="360"/>
      </w:pPr>
      <w:rPr>
        <w:rFonts w:ascii="Courier New" w:hAnsi="Courier New" w:cs="Times New Roman" w:hint="default"/>
      </w:rPr>
    </w:lvl>
    <w:lvl w:ilvl="2" w:tplc="04090005">
      <w:start w:val="1"/>
      <w:numFmt w:val="bullet"/>
      <w:lvlText w:val=""/>
      <w:lvlJc w:val="left"/>
      <w:pPr>
        <w:tabs>
          <w:tab w:val="num" w:pos="2448"/>
        </w:tabs>
        <w:ind w:left="2448" w:hanging="360"/>
      </w:pPr>
      <w:rPr>
        <w:rFonts w:ascii="Wingdings" w:hAnsi="Wingdings" w:hint="default"/>
      </w:rPr>
    </w:lvl>
    <w:lvl w:ilvl="3" w:tplc="04090001">
      <w:start w:val="1"/>
      <w:numFmt w:val="bullet"/>
      <w:lvlText w:val=""/>
      <w:lvlJc w:val="left"/>
      <w:pPr>
        <w:tabs>
          <w:tab w:val="num" w:pos="3168"/>
        </w:tabs>
        <w:ind w:left="3168" w:hanging="360"/>
      </w:pPr>
      <w:rPr>
        <w:rFonts w:ascii="Symbol" w:hAnsi="Symbol" w:hint="default"/>
      </w:rPr>
    </w:lvl>
    <w:lvl w:ilvl="4" w:tplc="04090003">
      <w:start w:val="1"/>
      <w:numFmt w:val="bullet"/>
      <w:lvlText w:val="o"/>
      <w:lvlJc w:val="left"/>
      <w:pPr>
        <w:tabs>
          <w:tab w:val="num" w:pos="3888"/>
        </w:tabs>
        <w:ind w:left="3888" w:hanging="360"/>
      </w:pPr>
      <w:rPr>
        <w:rFonts w:ascii="Courier New" w:hAnsi="Courier New" w:cs="Times New Roman" w:hint="default"/>
      </w:rPr>
    </w:lvl>
    <w:lvl w:ilvl="5" w:tplc="04090005">
      <w:start w:val="1"/>
      <w:numFmt w:val="bullet"/>
      <w:lvlText w:val=""/>
      <w:lvlJc w:val="left"/>
      <w:pPr>
        <w:tabs>
          <w:tab w:val="num" w:pos="4608"/>
        </w:tabs>
        <w:ind w:left="4608" w:hanging="360"/>
      </w:pPr>
      <w:rPr>
        <w:rFonts w:ascii="Wingdings" w:hAnsi="Wingdings" w:hint="default"/>
      </w:rPr>
    </w:lvl>
    <w:lvl w:ilvl="6" w:tplc="04090001">
      <w:start w:val="1"/>
      <w:numFmt w:val="bullet"/>
      <w:lvlText w:val=""/>
      <w:lvlJc w:val="left"/>
      <w:pPr>
        <w:tabs>
          <w:tab w:val="num" w:pos="5328"/>
        </w:tabs>
        <w:ind w:left="5328" w:hanging="360"/>
      </w:pPr>
      <w:rPr>
        <w:rFonts w:ascii="Symbol" w:hAnsi="Symbol" w:hint="default"/>
      </w:rPr>
    </w:lvl>
    <w:lvl w:ilvl="7" w:tplc="04090003">
      <w:start w:val="1"/>
      <w:numFmt w:val="bullet"/>
      <w:lvlText w:val="o"/>
      <w:lvlJc w:val="left"/>
      <w:pPr>
        <w:tabs>
          <w:tab w:val="num" w:pos="6048"/>
        </w:tabs>
        <w:ind w:left="6048" w:hanging="360"/>
      </w:pPr>
      <w:rPr>
        <w:rFonts w:ascii="Courier New" w:hAnsi="Courier New" w:cs="Times New Roman" w:hint="default"/>
      </w:rPr>
    </w:lvl>
    <w:lvl w:ilvl="8" w:tplc="04090005">
      <w:start w:val="1"/>
      <w:numFmt w:val="bullet"/>
      <w:lvlText w:val=""/>
      <w:lvlJc w:val="left"/>
      <w:pPr>
        <w:tabs>
          <w:tab w:val="num" w:pos="6768"/>
        </w:tabs>
        <w:ind w:left="6768" w:hanging="360"/>
      </w:pPr>
      <w:rPr>
        <w:rFonts w:ascii="Wingdings" w:hAnsi="Wingdings" w:hint="default"/>
      </w:rPr>
    </w:lvl>
  </w:abstractNum>
  <w:abstractNum w:abstractNumId="8" w15:restartNumberingAfterBreak="0">
    <w:nsid w:val="55AA21F0"/>
    <w:multiLevelType w:val="hybridMultilevel"/>
    <w:tmpl w:val="9B5CB936"/>
    <w:lvl w:ilvl="0" w:tplc="CCA08FFA">
      <w:start w:val="1"/>
      <w:numFmt w:val="decimal"/>
      <w:pStyle w:val="ACMATableHeader"/>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63C30333"/>
    <w:multiLevelType w:val="hybridMultilevel"/>
    <w:tmpl w:val="A5FC2D54"/>
    <w:lvl w:ilvl="0" w:tplc="65EA47EC">
      <w:start w:val="1"/>
      <w:numFmt w:val="decimal"/>
      <w:pStyle w:val="Captionfigure"/>
      <w:lvlText w:val="Figure %1:"/>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65071478"/>
    <w:multiLevelType w:val="hybridMultilevel"/>
    <w:tmpl w:val="16D2B96E"/>
    <w:lvl w:ilvl="0" w:tplc="3A9CF91A">
      <w:start w:val="1"/>
      <w:numFmt w:val="decimal"/>
      <w:pStyle w:val="ACMAFigureHeader"/>
      <w:lvlText w:val="Figure %1: "/>
      <w:lvlJc w:val="left"/>
      <w:pPr>
        <w:tabs>
          <w:tab w:val="num" w:pos="1021"/>
        </w:tabs>
        <w:ind w:left="1021" w:hanging="1021"/>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D757AE6"/>
    <w:multiLevelType w:val="hybridMultilevel"/>
    <w:tmpl w:val="4BAEE1E2"/>
    <w:lvl w:ilvl="0" w:tplc="0DA4929C">
      <w:start w:val="1"/>
      <w:numFmt w:val="decimal"/>
      <w:pStyle w:val="Caption"/>
      <w:lvlText w:val="Table %1:"/>
      <w:lvlJc w:val="left"/>
      <w:pPr>
        <w:tabs>
          <w:tab w:val="num" w:pos="964"/>
        </w:tabs>
        <w:ind w:left="964" w:hanging="964"/>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2"/>
  </w:num>
  <w:num w:numId="4">
    <w:abstractNumId w:val="0"/>
  </w:num>
  <w:num w:numId="5">
    <w:abstractNumId w:val="6"/>
  </w:num>
  <w:num w:numId="6">
    <w:abstractNumId w:val="10"/>
  </w:num>
  <w:num w:numId="7">
    <w:abstractNumId w:val="8"/>
  </w:num>
  <w:num w:numId="8">
    <w:abstractNumId w:val="9"/>
  </w:num>
  <w:num w:numId="9">
    <w:abstractNumId w:val="11"/>
  </w:num>
  <w:num w:numId="10">
    <w:abstractNumId w:val="5"/>
  </w:num>
  <w:num w:numId="11">
    <w:abstractNumId w:val="4"/>
  </w:num>
  <w:num w:numId="12">
    <w:abstractNumId w:val="3"/>
  </w:num>
  <w:num w:numId="13">
    <w:abstractNumId w:val="2"/>
    <w:lvlOverride w:ilvl="0">
      <w:startOverride w:val="1"/>
    </w:lvlOverride>
  </w:num>
  <w:num w:numId="14">
    <w:abstractNumId w:val="2"/>
    <w:lvlOverride w:ilvl="0">
      <w:startOverride w:val="1"/>
    </w:lvlOverride>
  </w:num>
  <w:num w:numId="15">
    <w:abstractNumId w:val="2"/>
    <w:lvlOverride w:ilvl="0">
      <w:startOverride w:val="1"/>
    </w:lvlOverride>
  </w:num>
  <w:num w:numId="16">
    <w:abstractNumId w:val="7"/>
  </w:num>
  <w:num w:numId="17">
    <w:abstractNumId w:val="3"/>
  </w:num>
  <w:num w:numId="18">
    <w:abstractNumId w:val="3"/>
  </w:num>
  <w:num w:numId="19">
    <w:abstractNumId w:val="3"/>
  </w:num>
  <w:num w:numId="20">
    <w:abstractNumId w:val="3"/>
  </w:num>
  <w:num w:numId="21">
    <w:abstractNumId w:val="3"/>
  </w:num>
  <w:numIdMacAtCleanup w:val="1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50"/>
  <w:removePersonalInformation/>
  <w:removeDateAndTime/>
  <w:proofState w:spelling="clean" w:grammar="clean"/>
  <w:stylePaneFormatFilter w:val="D004" w:allStyles="0" w:customStyles="0" w:latentStyles="1" w:stylesInUse="0" w:headingStyles="0" w:numberingStyles="0" w:tableStyles="0" w:directFormattingOnRuns="0" w:directFormattingOnParagraphs="0" w:directFormattingOnNumbering="0" w:directFormattingOnTables="0" w:clearFormatting="1" w:top3HeadingStyles="0" w:visibleStyles="1" w:alternateStyleNames="1"/>
  <w:defaultTabStop w:val="284"/>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D6B04"/>
    <w:rsid w:val="00010667"/>
    <w:rsid w:val="000129D5"/>
    <w:rsid w:val="00015AE7"/>
    <w:rsid w:val="00016E21"/>
    <w:rsid w:val="0001719C"/>
    <w:rsid w:val="00017BC0"/>
    <w:rsid w:val="0002224E"/>
    <w:rsid w:val="000245E5"/>
    <w:rsid w:val="00026F91"/>
    <w:rsid w:val="00032621"/>
    <w:rsid w:val="00043639"/>
    <w:rsid w:val="0004764C"/>
    <w:rsid w:val="0005011A"/>
    <w:rsid w:val="0005045A"/>
    <w:rsid w:val="00051C1E"/>
    <w:rsid w:val="000539F9"/>
    <w:rsid w:val="00054C27"/>
    <w:rsid w:val="00055EC3"/>
    <w:rsid w:val="000563CE"/>
    <w:rsid w:val="00060292"/>
    <w:rsid w:val="000659B6"/>
    <w:rsid w:val="0006686F"/>
    <w:rsid w:val="0006722A"/>
    <w:rsid w:val="000732CF"/>
    <w:rsid w:val="00075B96"/>
    <w:rsid w:val="0008196A"/>
    <w:rsid w:val="000915ED"/>
    <w:rsid w:val="0009209D"/>
    <w:rsid w:val="0009463C"/>
    <w:rsid w:val="000969BD"/>
    <w:rsid w:val="000969BF"/>
    <w:rsid w:val="000A0C22"/>
    <w:rsid w:val="000A1400"/>
    <w:rsid w:val="000A3C43"/>
    <w:rsid w:val="000A4A51"/>
    <w:rsid w:val="000A5D2B"/>
    <w:rsid w:val="000B4664"/>
    <w:rsid w:val="000B5DE3"/>
    <w:rsid w:val="000C0A57"/>
    <w:rsid w:val="000C230C"/>
    <w:rsid w:val="000C6AB4"/>
    <w:rsid w:val="000C7131"/>
    <w:rsid w:val="000D065C"/>
    <w:rsid w:val="000D71D9"/>
    <w:rsid w:val="000D76E0"/>
    <w:rsid w:val="000D7E8B"/>
    <w:rsid w:val="000E4449"/>
    <w:rsid w:val="000E6097"/>
    <w:rsid w:val="00103829"/>
    <w:rsid w:val="00111FCE"/>
    <w:rsid w:val="001229A5"/>
    <w:rsid w:val="0012489B"/>
    <w:rsid w:val="00130017"/>
    <w:rsid w:val="00130F91"/>
    <w:rsid w:val="001349ED"/>
    <w:rsid w:val="00137424"/>
    <w:rsid w:val="00140318"/>
    <w:rsid w:val="0014160D"/>
    <w:rsid w:val="00141AD9"/>
    <w:rsid w:val="00146CE6"/>
    <w:rsid w:val="00151193"/>
    <w:rsid w:val="00152903"/>
    <w:rsid w:val="00153FD5"/>
    <w:rsid w:val="0015614F"/>
    <w:rsid w:val="001577C2"/>
    <w:rsid w:val="001633C4"/>
    <w:rsid w:val="001704D5"/>
    <w:rsid w:val="00171591"/>
    <w:rsid w:val="00173981"/>
    <w:rsid w:val="0017719D"/>
    <w:rsid w:val="00183FD7"/>
    <w:rsid w:val="00185CAB"/>
    <w:rsid w:val="001875B7"/>
    <w:rsid w:val="00187CB3"/>
    <w:rsid w:val="0019050A"/>
    <w:rsid w:val="001910D4"/>
    <w:rsid w:val="001976E3"/>
    <w:rsid w:val="001A3E16"/>
    <w:rsid w:val="001A44EC"/>
    <w:rsid w:val="001B58AA"/>
    <w:rsid w:val="001B7E48"/>
    <w:rsid w:val="001C17CE"/>
    <w:rsid w:val="001C36CA"/>
    <w:rsid w:val="001C44D1"/>
    <w:rsid w:val="001C6AEE"/>
    <w:rsid w:val="001C7630"/>
    <w:rsid w:val="001D6671"/>
    <w:rsid w:val="001D6D15"/>
    <w:rsid w:val="001F50F7"/>
    <w:rsid w:val="001F7558"/>
    <w:rsid w:val="00201EE2"/>
    <w:rsid w:val="00205B57"/>
    <w:rsid w:val="0021426C"/>
    <w:rsid w:val="002152DD"/>
    <w:rsid w:val="002157E0"/>
    <w:rsid w:val="002158EB"/>
    <w:rsid w:val="00216A57"/>
    <w:rsid w:val="00217448"/>
    <w:rsid w:val="0022334F"/>
    <w:rsid w:val="0022494A"/>
    <w:rsid w:val="00224A2D"/>
    <w:rsid w:val="00226819"/>
    <w:rsid w:val="00233101"/>
    <w:rsid w:val="00233817"/>
    <w:rsid w:val="00236004"/>
    <w:rsid w:val="002367FF"/>
    <w:rsid w:val="00240CE9"/>
    <w:rsid w:val="002434BA"/>
    <w:rsid w:val="00246089"/>
    <w:rsid w:val="00246093"/>
    <w:rsid w:val="00246702"/>
    <w:rsid w:val="00247C59"/>
    <w:rsid w:val="00247F2E"/>
    <w:rsid w:val="00250ADC"/>
    <w:rsid w:val="00250B07"/>
    <w:rsid w:val="00257553"/>
    <w:rsid w:val="00260FB2"/>
    <w:rsid w:val="00262128"/>
    <w:rsid w:val="0027165D"/>
    <w:rsid w:val="00273CEB"/>
    <w:rsid w:val="0027601A"/>
    <w:rsid w:val="00281C89"/>
    <w:rsid w:val="0028282F"/>
    <w:rsid w:val="00287786"/>
    <w:rsid w:val="002943D1"/>
    <w:rsid w:val="0029593B"/>
    <w:rsid w:val="00297FC5"/>
    <w:rsid w:val="002A0417"/>
    <w:rsid w:val="002A16D8"/>
    <w:rsid w:val="002A1BC8"/>
    <w:rsid w:val="002A3C40"/>
    <w:rsid w:val="002A3EF2"/>
    <w:rsid w:val="002B0DED"/>
    <w:rsid w:val="002B19A2"/>
    <w:rsid w:val="002B381A"/>
    <w:rsid w:val="002B4FCC"/>
    <w:rsid w:val="002B7408"/>
    <w:rsid w:val="002B7CFD"/>
    <w:rsid w:val="002C0530"/>
    <w:rsid w:val="002C210F"/>
    <w:rsid w:val="002D3600"/>
    <w:rsid w:val="002D6008"/>
    <w:rsid w:val="002E4DDC"/>
    <w:rsid w:val="00302480"/>
    <w:rsid w:val="00302758"/>
    <w:rsid w:val="003165E6"/>
    <w:rsid w:val="003215B5"/>
    <w:rsid w:val="003221CF"/>
    <w:rsid w:val="003233ED"/>
    <w:rsid w:val="00324D9F"/>
    <w:rsid w:val="00327948"/>
    <w:rsid w:val="0033000F"/>
    <w:rsid w:val="00332011"/>
    <w:rsid w:val="00332518"/>
    <w:rsid w:val="00332925"/>
    <w:rsid w:val="00332E3F"/>
    <w:rsid w:val="003332ED"/>
    <w:rsid w:val="003368DC"/>
    <w:rsid w:val="00345927"/>
    <w:rsid w:val="00350584"/>
    <w:rsid w:val="00351857"/>
    <w:rsid w:val="003545E8"/>
    <w:rsid w:val="00355C92"/>
    <w:rsid w:val="003610E1"/>
    <w:rsid w:val="003671BE"/>
    <w:rsid w:val="00372485"/>
    <w:rsid w:val="00373200"/>
    <w:rsid w:val="00375EF5"/>
    <w:rsid w:val="003767A5"/>
    <w:rsid w:val="00381D15"/>
    <w:rsid w:val="00385254"/>
    <w:rsid w:val="003856FE"/>
    <w:rsid w:val="003933E8"/>
    <w:rsid w:val="00394031"/>
    <w:rsid w:val="00396DC2"/>
    <w:rsid w:val="003A04DB"/>
    <w:rsid w:val="003A5F5B"/>
    <w:rsid w:val="003A789A"/>
    <w:rsid w:val="003B12EC"/>
    <w:rsid w:val="003C03B8"/>
    <w:rsid w:val="003C77E0"/>
    <w:rsid w:val="003D17D7"/>
    <w:rsid w:val="003D2678"/>
    <w:rsid w:val="003D71A3"/>
    <w:rsid w:val="003E2B8A"/>
    <w:rsid w:val="003F10EE"/>
    <w:rsid w:val="003F16F6"/>
    <w:rsid w:val="003F4DC7"/>
    <w:rsid w:val="003F5235"/>
    <w:rsid w:val="004020B1"/>
    <w:rsid w:val="004027E4"/>
    <w:rsid w:val="0041071D"/>
    <w:rsid w:val="00414AFC"/>
    <w:rsid w:val="004151A7"/>
    <w:rsid w:val="00415310"/>
    <w:rsid w:val="00416AC8"/>
    <w:rsid w:val="00421709"/>
    <w:rsid w:val="004222D8"/>
    <w:rsid w:val="00423763"/>
    <w:rsid w:val="00426D8C"/>
    <w:rsid w:val="0042762F"/>
    <w:rsid w:val="00427DC7"/>
    <w:rsid w:val="00431613"/>
    <w:rsid w:val="00431792"/>
    <w:rsid w:val="0043297A"/>
    <w:rsid w:val="00432EB2"/>
    <w:rsid w:val="00434AEA"/>
    <w:rsid w:val="0043714F"/>
    <w:rsid w:val="004438B5"/>
    <w:rsid w:val="00447037"/>
    <w:rsid w:val="0045124D"/>
    <w:rsid w:val="00454596"/>
    <w:rsid w:val="0045605D"/>
    <w:rsid w:val="0046135B"/>
    <w:rsid w:val="00461D47"/>
    <w:rsid w:val="00464963"/>
    <w:rsid w:val="00466512"/>
    <w:rsid w:val="004718CC"/>
    <w:rsid w:val="004721E0"/>
    <w:rsid w:val="00481695"/>
    <w:rsid w:val="00495A96"/>
    <w:rsid w:val="00495BB3"/>
    <w:rsid w:val="004A56BB"/>
    <w:rsid w:val="004A70D6"/>
    <w:rsid w:val="004B1751"/>
    <w:rsid w:val="004B58D5"/>
    <w:rsid w:val="004C0253"/>
    <w:rsid w:val="004D56FF"/>
    <w:rsid w:val="004E39D3"/>
    <w:rsid w:val="004E508A"/>
    <w:rsid w:val="004E616D"/>
    <w:rsid w:val="004F1BDE"/>
    <w:rsid w:val="004F2CEE"/>
    <w:rsid w:val="004F556E"/>
    <w:rsid w:val="004F591C"/>
    <w:rsid w:val="004F7F44"/>
    <w:rsid w:val="005037B4"/>
    <w:rsid w:val="00505F0F"/>
    <w:rsid w:val="005079BF"/>
    <w:rsid w:val="005118BA"/>
    <w:rsid w:val="0051269A"/>
    <w:rsid w:val="0051323F"/>
    <w:rsid w:val="005219E7"/>
    <w:rsid w:val="00531B9A"/>
    <w:rsid w:val="00531D15"/>
    <w:rsid w:val="00537604"/>
    <w:rsid w:val="005377A8"/>
    <w:rsid w:val="00542377"/>
    <w:rsid w:val="00544284"/>
    <w:rsid w:val="005476EB"/>
    <w:rsid w:val="00551782"/>
    <w:rsid w:val="00563EF1"/>
    <w:rsid w:val="00566AB4"/>
    <w:rsid w:val="00567DEA"/>
    <w:rsid w:val="00573812"/>
    <w:rsid w:val="00575AC5"/>
    <w:rsid w:val="0057605D"/>
    <w:rsid w:val="00581347"/>
    <w:rsid w:val="00581AC9"/>
    <w:rsid w:val="005849F8"/>
    <w:rsid w:val="005938DF"/>
    <w:rsid w:val="00594E9C"/>
    <w:rsid w:val="005A099B"/>
    <w:rsid w:val="005A2D9C"/>
    <w:rsid w:val="005A55FE"/>
    <w:rsid w:val="005A6A11"/>
    <w:rsid w:val="005B2F0D"/>
    <w:rsid w:val="005C34EF"/>
    <w:rsid w:val="005D2502"/>
    <w:rsid w:val="005D40BB"/>
    <w:rsid w:val="005D47F3"/>
    <w:rsid w:val="005D49BF"/>
    <w:rsid w:val="005D4AA5"/>
    <w:rsid w:val="005D6F4E"/>
    <w:rsid w:val="005D7C73"/>
    <w:rsid w:val="005E250B"/>
    <w:rsid w:val="005E3ACD"/>
    <w:rsid w:val="005E7226"/>
    <w:rsid w:val="005E7A57"/>
    <w:rsid w:val="005F24B0"/>
    <w:rsid w:val="00604315"/>
    <w:rsid w:val="00604E26"/>
    <w:rsid w:val="0060523F"/>
    <w:rsid w:val="006052CF"/>
    <w:rsid w:val="00607B8D"/>
    <w:rsid w:val="00611F5C"/>
    <w:rsid w:val="00616E09"/>
    <w:rsid w:val="00621AD6"/>
    <w:rsid w:val="00622A3B"/>
    <w:rsid w:val="00622EEA"/>
    <w:rsid w:val="0062396C"/>
    <w:rsid w:val="00623FF9"/>
    <w:rsid w:val="00627D4E"/>
    <w:rsid w:val="00632B89"/>
    <w:rsid w:val="0063346D"/>
    <w:rsid w:val="00634478"/>
    <w:rsid w:val="00644373"/>
    <w:rsid w:val="00645915"/>
    <w:rsid w:val="00646CC4"/>
    <w:rsid w:val="006519C3"/>
    <w:rsid w:val="00652B30"/>
    <w:rsid w:val="00656345"/>
    <w:rsid w:val="00656DC6"/>
    <w:rsid w:val="00660EC6"/>
    <w:rsid w:val="00664110"/>
    <w:rsid w:val="00664D17"/>
    <w:rsid w:val="00666520"/>
    <w:rsid w:val="00667C5B"/>
    <w:rsid w:val="00691EB8"/>
    <w:rsid w:val="00692CDE"/>
    <w:rsid w:val="00693073"/>
    <w:rsid w:val="006977FF"/>
    <w:rsid w:val="006A01FA"/>
    <w:rsid w:val="006A0E9E"/>
    <w:rsid w:val="006A25C7"/>
    <w:rsid w:val="006A4AAD"/>
    <w:rsid w:val="006A4CCA"/>
    <w:rsid w:val="006A6DA2"/>
    <w:rsid w:val="006A7AB2"/>
    <w:rsid w:val="006B1EF1"/>
    <w:rsid w:val="006B52DE"/>
    <w:rsid w:val="006B553E"/>
    <w:rsid w:val="006B5717"/>
    <w:rsid w:val="006B582F"/>
    <w:rsid w:val="006B5EB2"/>
    <w:rsid w:val="006C0CEB"/>
    <w:rsid w:val="006C1631"/>
    <w:rsid w:val="006C20B7"/>
    <w:rsid w:val="006C3B1E"/>
    <w:rsid w:val="006C47FD"/>
    <w:rsid w:val="006C5C19"/>
    <w:rsid w:val="006C70A0"/>
    <w:rsid w:val="006D27CB"/>
    <w:rsid w:val="006D2DC9"/>
    <w:rsid w:val="006D2F08"/>
    <w:rsid w:val="006D576C"/>
    <w:rsid w:val="006D5865"/>
    <w:rsid w:val="006E4B1B"/>
    <w:rsid w:val="006E5445"/>
    <w:rsid w:val="006E7D93"/>
    <w:rsid w:val="0070133D"/>
    <w:rsid w:val="007029A3"/>
    <w:rsid w:val="00706E4E"/>
    <w:rsid w:val="0070791C"/>
    <w:rsid w:val="0071383C"/>
    <w:rsid w:val="007141A7"/>
    <w:rsid w:val="007153BA"/>
    <w:rsid w:val="00715722"/>
    <w:rsid w:val="00715BAF"/>
    <w:rsid w:val="00721032"/>
    <w:rsid w:val="00721B55"/>
    <w:rsid w:val="00726CE4"/>
    <w:rsid w:val="00734143"/>
    <w:rsid w:val="00737E47"/>
    <w:rsid w:val="00740EAC"/>
    <w:rsid w:val="00744956"/>
    <w:rsid w:val="00745A5C"/>
    <w:rsid w:val="0074605F"/>
    <w:rsid w:val="00747E94"/>
    <w:rsid w:val="00754C83"/>
    <w:rsid w:val="00761E5C"/>
    <w:rsid w:val="00765DF8"/>
    <w:rsid w:val="00766749"/>
    <w:rsid w:val="00767C1B"/>
    <w:rsid w:val="007705B5"/>
    <w:rsid w:val="00770B3F"/>
    <w:rsid w:val="007714A9"/>
    <w:rsid w:val="00774F88"/>
    <w:rsid w:val="00774FDB"/>
    <w:rsid w:val="00777BA2"/>
    <w:rsid w:val="00781408"/>
    <w:rsid w:val="0078199C"/>
    <w:rsid w:val="00784F7F"/>
    <w:rsid w:val="007878BD"/>
    <w:rsid w:val="00796F25"/>
    <w:rsid w:val="007A2E98"/>
    <w:rsid w:val="007A3BA3"/>
    <w:rsid w:val="007A6CC0"/>
    <w:rsid w:val="007A7FEC"/>
    <w:rsid w:val="007B1499"/>
    <w:rsid w:val="007B1BBF"/>
    <w:rsid w:val="007B2960"/>
    <w:rsid w:val="007B355D"/>
    <w:rsid w:val="007B7980"/>
    <w:rsid w:val="007C0DEF"/>
    <w:rsid w:val="007C5D5A"/>
    <w:rsid w:val="007C607F"/>
    <w:rsid w:val="007C79DD"/>
    <w:rsid w:val="007D1A97"/>
    <w:rsid w:val="007D2CD6"/>
    <w:rsid w:val="007D3063"/>
    <w:rsid w:val="007D3CEB"/>
    <w:rsid w:val="007D6B04"/>
    <w:rsid w:val="007E617B"/>
    <w:rsid w:val="007E7683"/>
    <w:rsid w:val="007F132A"/>
    <w:rsid w:val="007F49FA"/>
    <w:rsid w:val="007F54C4"/>
    <w:rsid w:val="007F6E9A"/>
    <w:rsid w:val="00800CCD"/>
    <w:rsid w:val="008044D4"/>
    <w:rsid w:val="00810AB4"/>
    <w:rsid w:val="00817B56"/>
    <w:rsid w:val="00821A88"/>
    <w:rsid w:val="0082322E"/>
    <w:rsid w:val="0082495D"/>
    <w:rsid w:val="00831AC3"/>
    <w:rsid w:val="008353B7"/>
    <w:rsid w:val="00836FCE"/>
    <w:rsid w:val="008408FF"/>
    <w:rsid w:val="00851F3F"/>
    <w:rsid w:val="00856AD7"/>
    <w:rsid w:val="00856EDC"/>
    <w:rsid w:val="008612FC"/>
    <w:rsid w:val="008623B5"/>
    <w:rsid w:val="00870ABA"/>
    <w:rsid w:val="008710E1"/>
    <w:rsid w:val="008716E5"/>
    <w:rsid w:val="00881CA9"/>
    <w:rsid w:val="00883628"/>
    <w:rsid w:val="00885544"/>
    <w:rsid w:val="0088634E"/>
    <w:rsid w:val="00893AB8"/>
    <w:rsid w:val="008A04C8"/>
    <w:rsid w:val="008A6913"/>
    <w:rsid w:val="008B70F3"/>
    <w:rsid w:val="008B71C4"/>
    <w:rsid w:val="008B7550"/>
    <w:rsid w:val="008B76DF"/>
    <w:rsid w:val="008C10F4"/>
    <w:rsid w:val="008C65F7"/>
    <w:rsid w:val="008E0428"/>
    <w:rsid w:val="008E4767"/>
    <w:rsid w:val="008E7A8C"/>
    <w:rsid w:val="008F21BC"/>
    <w:rsid w:val="0090203B"/>
    <w:rsid w:val="00903285"/>
    <w:rsid w:val="00906F40"/>
    <w:rsid w:val="0090731E"/>
    <w:rsid w:val="00912237"/>
    <w:rsid w:val="00915B1C"/>
    <w:rsid w:val="009174F3"/>
    <w:rsid w:val="0091797D"/>
    <w:rsid w:val="00923CBA"/>
    <w:rsid w:val="00926703"/>
    <w:rsid w:val="00927691"/>
    <w:rsid w:val="00927A5F"/>
    <w:rsid w:val="00930510"/>
    <w:rsid w:val="00935B63"/>
    <w:rsid w:val="00936E95"/>
    <w:rsid w:val="0094078F"/>
    <w:rsid w:val="00940FA3"/>
    <w:rsid w:val="00941FB0"/>
    <w:rsid w:val="009426D4"/>
    <w:rsid w:val="00947F25"/>
    <w:rsid w:val="00950159"/>
    <w:rsid w:val="0095490B"/>
    <w:rsid w:val="00960A33"/>
    <w:rsid w:val="00971914"/>
    <w:rsid w:val="00974363"/>
    <w:rsid w:val="00981898"/>
    <w:rsid w:val="00994C45"/>
    <w:rsid w:val="0099577C"/>
    <w:rsid w:val="009A021C"/>
    <w:rsid w:val="009A25CC"/>
    <w:rsid w:val="009B24A5"/>
    <w:rsid w:val="009B2601"/>
    <w:rsid w:val="009B4E9E"/>
    <w:rsid w:val="009C0506"/>
    <w:rsid w:val="009C1690"/>
    <w:rsid w:val="009C6881"/>
    <w:rsid w:val="009C7759"/>
    <w:rsid w:val="009D043D"/>
    <w:rsid w:val="009D07C8"/>
    <w:rsid w:val="009D4C85"/>
    <w:rsid w:val="009D6C71"/>
    <w:rsid w:val="009E0631"/>
    <w:rsid w:val="009E16D0"/>
    <w:rsid w:val="009E2051"/>
    <w:rsid w:val="009E38FD"/>
    <w:rsid w:val="009F13D6"/>
    <w:rsid w:val="009F4C6B"/>
    <w:rsid w:val="009F78A8"/>
    <w:rsid w:val="00A02AD6"/>
    <w:rsid w:val="00A07096"/>
    <w:rsid w:val="00A07318"/>
    <w:rsid w:val="00A11370"/>
    <w:rsid w:val="00A224CE"/>
    <w:rsid w:val="00A22522"/>
    <w:rsid w:val="00A24AFD"/>
    <w:rsid w:val="00A24F5C"/>
    <w:rsid w:val="00A32F96"/>
    <w:rsid w:val="00A34E15"/>
    <w:rsid w:val="00A40871"/>
    <w:rsid w:val="00A412AB"/>
    <w:rsid w:val="00A4193E"/>
    <w:rsid w:val="00A440E0"/>
    <w:rsid w:val="00A442EF"/>
    <w:rsid w:val="00A51D1A"/>
    <w:rsid w:val="00A5418D"/>
    <w:rsid w:val="00A5474E"/>
    <w:rsid w:val="00A64234"/>
    <w:rsid w:val="00A70ADF"/>
    <w:rsid w:val="00A71466"/>
    <w:rsid w:val="00A74B5E"/>
    <w:rsid w:val="00A81BED"/>
    <w:rsid w:val="00A81EC4"/>
    <w:rsid w:val="00A824E8"/>
    <w:rsid w:val="00A82661"/>
    <w:rsid w:val="00A967FD"/>
    <w:rsid w:val="00AA2DE5"/>
    <w:rsid w:val="00AB156C"/>
    <w:rsid w:val="00AB2687"/>
    <w:rsid w:val="00AB5852"/>
    <w:rsid w:val="00AB6814"/>
    <w:rsid w:val="00AC04BA"/>
    <w:rsid w:val="00AC0E39"/>
    <w:rsid w:val="00AD227B"/>
    <w:rsid w:val="00AD3082"/>
    <w:rsid w:val="00AD32B4"/>
    <w:rsid w:val="00AD4AD0"/>
    <w:rsid w:val="00AD5436"/>
    <w:rsid w:val="00AD60CD"/>
    <w:rsid w:val="00AD6C8C"/>
    <w:rsid w:val="00AE091D"/>
    <w:rsid w:val="00AE3B60"/>
    <w:rsid w:val="00AE53A1"/>
    <w:rsid w:val="00AF2484"/>
    <w:rsid w:val="00AF4E7E"/>
    <w:rsid w:val="00AF63E7"/>
    <w:rsid w:val="00AF6E17"/>
    <w:rsid w:val="00B0165D"/>
    <w:rsid w:val="00B01B60"/>
    <w:rsid w:val="00B031F3"/>
    <w:rsid w:val="00B052A4"/>
    <w:rsid w:val="00B125DE"/>
    <w:rsid w:val="00B13FDD"/>
    <w:rsid w:val="00B22EB2"/>
    <w:rsid w:val="00B27442"/>
    <w:rsid w:val="00B31167"/>
    <w:rsid w:val="00B329D8"/>
    <w:rsid w:val="00B32BB9"/>
    <w:rsid w:val="00B33AE1"/>
    <w:rsid w:val="00B37C38"/>
    <w:rsid w:val="00B4288C"/>
    <w:rsid w:val="00B43262"/>
    <w:rsid w:val="00B44100"/>
    <w:rsid w:val="00B46CBA"/>
    <w:rsid w:val="00B46F94"/>
    <w:rsid w:val="00B6003C"/>
    <w:rsid w:val="00B61F03"/>
    <w:rsid w:val="00B626E4"/>
    <w:rsid w:val="00B63525"/>
    <w:rsid w:val="00B72F4A"/>
    <w:rsid w:val="00B83C27"/>
    <w:rsid w:val="00B84BC3"/>
    <w:rsid w:val="00B84BDD"/>
    <w:rsid w:val="00B92812"/>
    <w:rsid w:val="00BA4FBD"/>
    <w:rsid w:val="00BB45A1"/>
    <w:rsid w:val="00BB6335"/>
    <w:rsid w:val="00BB7686"/>
    <w:rsid w:val="00BB7802"/>
    <w:rsid w:val="00BC23F9"/>
    <w:rsid w:val="00BC3421"/>
    <w:rsid w:val="00BC732C"/>
    <w:rsid w:val="00BD4421"/>
    <w:rsid w:val="00BE2580"/>
    <w:rsid w:val="00BE266D"/>
    <w:rsid w:val="00BE3938"/>
    <w:rsid w:val="00BE4C11"/>
    <w:rsid w:val="00BE71C0"/>
    <w:rsid w:val="00BF610C"/>
    <w:rsid w:val="00BF755C"/>
    <w:rsid w:val="00BF7E7C"/>
    <w:rsid w:val="00C0060B"/>
    <w:rsid w:val="00C01A6C"/>
    <w:rsid w:val="00C0277D"/>
    <w:rsid w:val="00C02F26"/>
    <w:rsid w:val="00C053A1"/>
    <w:rsid w:val="00C12CA3"/>
    <w:rsid w:val="00C16198"/>
    <w:rsid w:val="00C2083D"/>
    <w:rsid w:val="00C24A53"/>
    <w:rsid w:val="00C34A05"/>
    <w:rsid w:val="00C35CCE"/>
    <w:rsid w:val="00C4032F"/>
    <w:rsid w:val="00C41F21"/>
    <w:rsid w:val="00C44047"/>
    <w:rsid w:val="00C45155"/>
    <w:rsid w:val="00C5498F"/>
    <w:rsid w:val="00C55235"/>
    <w:rsid w:val="00C64CD0"/>
    <w:rsid w:val="00C65F61"/>
    <w:rsid w:val="00C6684F"/>
    <w:rsid w:val="00C70E70"/>
    <w:rsid w:val="00C75F8D"/>
    <w:rsid w:val="00C77380"/>
    <w:rsid w:val="00C87E8A"/>
    <w:rsid w:val="00C913D6"/>
    <w:rsid w:val="00C95E17"/>
    <w:rsid w:val="00C97736"/>
    <w:rsid w:val="00CA345A"/>
    <w:rsid w:val="00CB1E82"/>
    <w:rsid w:val="00CB2C2C"/>
    <w:rsid w:val="00CB4BA8"/>
    <w:rsid w:val="00CB52D7"/>
    <w:rsid w:val="00CC060A"/>
    <w:rsid w:val="00CC6732"/>
    <w:rsid w:val="00CD6ACF"/>
    <w:rsid w:val="00CE3C96"/>
    <w:rsid w:val="00CE51A8"/>
    <w:rsid w:val="00CF0BFE"/>
    <w:rsid w:val="00CF369B"/>
    <w:rsid w:val="00D00E28"/>
    <w:rsid w:val="00D0269E"/>
    <w:rsid w:val="00D05D6C"/>
    <w:rsid w:val="00D15810"/>
    <w:rsid w:val="00D16D4E"/>
    <w:rsid w:val="00D16FE3"/>
    <w:rsid w:val="00D27F41"/>
    <w:rsid w:val="00D36441"/>
    <w:rsid w:val="00D4064E"/>
    <w:rsid w:val="00D44E9B"/>
    <w:rsid w:val="00D47AEB"/>
    <w:rsid w:val="00D50DB9"/>
    <w:rsid w:val="00D51302"/>
    <w:rsid w:val="00D52C43"/>
    <w:rsid w:val="00D61243"/>
    <w:rsid w:val="00D6507F"/>
    <w:rsid w:val="00D730BC"/>
    <w:rsid w:val="00D73912"/>
    <w:rsid w:val="00D85226"/>
    <w:rsid w:val="00D87B94"/>
    <w:rsid w:val="00D926D8"/>
    <w:rsid w:val="00D92D49"/>
    <w:rsid w:val="00D92EC1"/>
    <w:rsid w:val="00D95208"/>
    <w:rsid w:val="00D95FE3"/>
    <w:rsid w:val="00D96DEA"/>
    <w:rsid w:val="00DA4E41"/>
    <w:rsid w:val="00DB117A"/>
    <w:rsid w:val="00DB5173"/>
    <w:rsid w:val="00DB7873"/>
    <w:rsid w:val="00DC187B"/>
    <w:rsid w:val="00DD1A43"/>
    <w:rsid w:val="00DD73C2"/>
    <w:rsid w:val="00DE319B"/>
    <w:rsid w:val="00DF34FE"/>
    <w:rsid w:val="00DF56AA"/>
    <w:rsid w:val="00DF56AF"/>
    <w:rsid w:val="00DF78E7"/>
    <w:rsid w:val="00E00EBE"/>
    <w:rsid w:val="00E00FB1"/>
    <w:rsid w:val="00E110E0"/>
    <w:rsid w:val="00E15371"/>
    <w:rsid w:val="00E21056"/>
    <w:rsid w:val="00E24104"/>
    <w:rsid w:val="00E302D0"/>
    <w:rsid w:val="00E35707"/>
    <w:rsid w:val="00E36AA1"/>
    <w:rsid w:val="00E41ECB"/>
    <w:rsid w:val="00E42676"/>
    <w:rsid w:val="00E46F34"/>
    <w:rsid w:val="00E54FDB"/>
    <w:rsid w:val="00E5617D"/>
    <w:rsid w:val="00E563D7"/>
    <w:rsid w:val="00E56E4D"/>
    <w:rsid w:val="00E663F4"/>
    <w:rsid w:val="00E666F2"/>
    <w:rsid w:val="00E66DD4"/>
    <w:rsid w:val="00E71872"/>
    <w:rsid w:val="00E748CC"/>
    <w:rsid w:val="00E75415"/>
    <w:rsid w:val="00E76617"/>
    <w:rsid w:val="00E775B1"/>
    <w:rsid w:val="00E810A7"/>
    <w:rsid w:val="00E8152A"/>
    <w:rsid w:val="00E93629"/>
    <w:rsid w:val="00E93B5C"/>
    <w:rsid w:val="00E94CEC"/>
    <w:rsid w:val="00E961F3"/>
    <w:rsid w:val="00EA04EF"/>
    <w:rsid w:val="00EA6C79"/>
    <w:rsid w:val="00EA6F19"/>
    <w:rsid w:val="00EB7090"/>
    <w:rsid w:val="00EC1B42"/>
    <w:rsid w:val="00EC1BBE"/>
    <w:rsid w:val="00EC2B68"/>
    <w:rsid w:val="00EC3AEF"/>
    <w:rsid w:val="00EC5CD7"/>
    <w:rsid w:val="00EC60C7"/>
    <w:rsid w:val="00ED1864"/>
    <w:rsid w:val="00ED3CCF"/>
    <w:rsid w:val="00EE5FB3"/>
    <w:rsid w:val="00EE7F79"/>
    <w:rsid w:val="00EF715A"/>
    <w:rsid w:val="00F048DD"/>
    <w:rsid w:val="00F06E14"/>
    <w:rsid w:val="00F179D4"/>
    <w:rsid w:val="00F22A23"/>
    <w:rsid w:val="00F33C56"/>
    <w:rsid w:val="00F347C7"/>
    <w:rsid w:val="00F34848"/>
    <w:rsid w:val="00F41AD1"/>
    <w:rsid w:val="00F42D46"/>
    <w:rsid w:val="00F4496C"/>
    <w:rsid w:val="00F44B7A"/>
    <w:rsid w:val="00F44F3A"/>
    <w:rsid w:val="00F51F10"/>
    <w:rsid w:val="00F529A5"/>
    <w:rsid w:val="00F5310D"/>
    <w:rsid w:val="00F60F00"/>
    <w:rsid w:val="00F614C0"/>
    <w:rsid w:val="00F83848"/>
    <w:rsid w:val="00F90A66"/>
    <w:rsid w:val="00F975E9"/>
    <w:rsid w:val="00FA1B7D"/>
    <w:rsid w:val="00FC07B9"/>
    <w:rsid w:val="00FC4E21"/>
    <w:rsid w:val="00FC5F6D"/>
    <w:rsid w:val="00FD0107"/>
    <w:rsid w:val="00FD2C2F"/>
    <w:rsid w:val="00FD3B31"/>
    <w:rsid w:val="00FE1823"/>
    <w:rsid w:val="00FE38C1"/>
    <w:rsid w:val="00FE487A"/>
    <w:rsid w:val="00FF0569"/>
    <w:rsid w:val="00FF206E"/>
    <w:rsid w:val="00FF3C69"/>
    <w:rsid w:val="00FF6E0A"/>
  </w:rsids>
  <m:mathPr>
    <m:mathFont m:val="Cambria Math"/>
    <m:brkBin m:val="before"/>
    <m:brkBinSub m:val="--"/>
    <m:smallFrac/>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colormru v:ext="edit" colors="red,#4d4d4f"/>
    </o:shapedefaults>
    <o:shapelayout v:ext="edit">
      <o:idmap v:ext="edit" data="1"/>
    </o:shapelayout>
  </w:shapeDefaults>
  <w:decimalSymbol w:val="."/>
  <w:listSeparator w:val=","/>
  <w14:docId w14:val="541CC7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sz w:val="24"/>
        <w:szCs w:val="24"/>
        <w:lang w:val="en-AU" w:eastAsia="en-AU" w:bidi="ar-SA"/>
      </w:rPr>
    </w:rPrDefault>
    <w:pPrDefault/>
  </w:docDefaults>
  <w:latentStyles w:defLockedState="0" w:defUIPriority="0" w:defSemiHidden="0" w:defUnhideWhenUsed="0" w:defQFormat="0" w:count="376">
    <w:lsdException w:name="heading 1" w:qFormat="1"/>
    <w:lsdException w:name="heading 2" w:qFormat="1"/>
    <w:lsdException w:name="heading 3" w:qFormat="1"/>
    <w:lsdException w:name="index 1" w:semiHidden="1" w:unhideWhenUsed="1"/>
    <w:lsdException w:name="index 2" w:semiHidden="1"/>
    <w:lsdException w:name="index 3" w:semiHidden="1"/>
    <w:lsdException w:name="index 4" w:semiHidden="1"/>
    <w:lsdException w:name="index 5" w:semiHidden="1"/>
    <w:lsdException w:name="index 6" w:semiHidden="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qFormat="1"/>
    <w:lsdException w:name="List Bullet 3" w:semiHidden="1" w:unhideWhenUsed="1"/>
    <w:lsdException w:name="List Bullet 4" w:semiHidden="1" w:unhideWhenUsed="1"/>
    <w:lsdException w:name="List Bullet 5" w:semiHidden="1" w:unhideWhenUsed="1"/>
    <w:lsdException w:name="List Number 2" w:qFormat="1"/>
    <w:lsdException w:name="List Number 3" w:semiHidden="1" w:unhideWhenUsed="1"/>
    <w:lsdException w:name="List Number 4" w:semiHidden="1" w:unhideWhenUsed="1"/>
    <w:lsdException w:name="List Number 5" w:semiHidden="1"/>
    <w:lsdException w:name="Title" w:semiHidden="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lsdException w:name="Block Text" w:semiHidden="1"/>
    <w:lsdException w:name="Hyperlink" w:uiPriority="99" w:qFormat="1"/>
    <w:lsdException w:name="Strong" w:semiHidden="1"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semiHidden="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semiHidden="1"/>
    <w:lsdException w:name="Quote" w:semiHidden="1"/>
    <w:lsdException w:name="Intense Quote" w:semiHidden="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semiHidden="1"/>
    <w:lsdException w:name="Intense Emphasis" w:semiHidden="1"/>
    <w:lsdException w:name="Subtle Reference" w:semiHidden="1"/>
    <w:lsdException w:name="Intense Reference" w:semiHidden="1"/>
    <w:lsdException w:name="Book Title" w:semiHidden="1"/>
    <w:lsdException w:name="Bibliography" w:semiHidden="1" w:unhideWhenUsed="1"/>
    <w:lsdException w:name="TOC Heading" w:semiHidden="1" w:unhideWhenUsed="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semiHidden/>
    <w:qFormat/>
    <w:rsid w:val="005C34EF"/>
    <w:pPr>
      <w:spacing w:after="240" w:line="240" w:lineRule="atLeast"/>
    </w:pPr>
    <w:rPr>
      <w:rFonts w:ascii="Arial" w:hAnsi="Arial"/>
      <w:sz w:val="20"/>
    </w:rPr>
  </w:style>
  <w:style w:type="paragraph" w:styleId="Heading1">
    <w:name w:val="heading 1"/>
    <w:basedOn w:val="Normal"/>
    <w:next w:val="Normal"/>
    <w:link w:val="Heading1Char"/>
    <w:uiPriority w:val="1"/>
    <w:qFormat/>
    <w:rsid w:val="00C55235"/>
    <w:pPr>
      <w:keepNext/>
      <w:pageBreakBefore/>
      <w:widowControl w:val="0"/>
      <w:spacing w:after="360" w:line="550" w:lineRule="exact"/>
      <w:outlineLvl w:val="0"/>
    </w:pPr>
    <w:rPr>
      <w:rFonts w:cs="Arial"/>
      <w:bCs/>
      <w:color w:val="323232"/>
      <w:kern w:val="32"/>
      <w:sz w:val="53"/>
      <w:szCs w:val="32"/>
    </w:rPr>
  </w:style>
  <w:style w:type="paragraph" w:styleId="Heading2">
    <w:name w:val="heading 2"/>
    <w:basedOn w:val="Normal"/>
    <w:next w:val="Paragraph"/>
    <w:link w:val="Heading2Char"/>
    <w:qFormat/>
    <w:rsid w:val="00C55235"/>
    <w:pPr>
      <w:keepNext/>
      <w:spacing w:before="320" w:after="60"/>
      <w:outlineLvl w:val="1"/>
    </w:pPr>
    <w:rPr>
      <w:rFonts w:cs="Arial"/>
      <w:b/>
      <w:bCs/>
      <w:iCs/>
      <w:sz w:val="28"/>
      <w:szCs w:val="28"/>
    </w:rPr>
  </w:style>
  <w:style w:type="paragraph" w:styleId="Heading3">
    <w:name w:val="heading 3"/>
    <w:basedOn w:val="Normal"/>
    <w:next w:val="Normal"/>
    <w:link w:val="Heading3Char"/>
    <w:qFormat/>
    <w:rsid w:val="00C55235"/>
    <w:pPr>
      <w:keepNext/>
      <w:spacing w:before="60" w:after="60"/>
      <w:outlineLvl w:val="2"/>
    </w:pPr>
    <w:rPr>
      <w:rFonts w:cs="Arial"/>
      <w:b/>
      <w:bCs/>
      <w:szCs w:val="26"/>
    </w:rPr>
  </w:style>
  <w:style w:type="paragraph" w:styleId="Heading4">
    <w:name w:val="heading 4"/>
    <w:basedOn w:val="BodySubHeader"/>
    <w:next w:val="Normal"/>
    <w:uiPriority w:val="2"/>
    <w:qFormat/>
    <w:rsid w:val="005B2F0D"/>
    <w:pPr>
      <w:outlineLvl w:val="3"/>
    </w:pPr>
    <w:rPr>
      <w:rFonts w:cs="Arial"/>
    </w:rPr>
  </w:style>
  <w:style w:type="paragraph" w:styleId="Heading5">
    <w:name w:val="heading 5"/>
    <w:basedOn w:val="Normal"/>
    <w:next w:val="Normal"/>
    <w:semiHidden/>
    <w:qFormat/>
    <w:rsid w:val="00AD5436"/>
    <w:pPr>
      <w:numPr>
        <w:ilvl w:val="4"/>
        <w:numId w:val="5"/>
      </w:numPr>
      <w:spacing w:before="240" w:after="60"/>
      <w:outlineLvl w:val="4"/>
    </w:pPr>
    <w:rPr>
      <w:b/>
      <w:bCs/>
      <w:i/>
      <w:iCs/>
      <w:sz w:val="26"/>
      <w:szCs w:val="26"/>
    </w:rPr>
  </w:style>
  <w:style w:type="paragraph" w:styleId="Heading6">
    <w:name w:val="heading 6"/>
    <w:basedOn w:val="Normal"/>
    <w:next w:val="Normal"/>
    <w:semiHidden/>
    <w:qFormat/>
    <w:rsid w:val="00AD5436"/>
    <w:pPr>
      <w:numPr>
        <w:ilvl w:val="5"/>
        <w:numId w:val="5"/>
      </w:num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AD5436"/>
    <w:pPr>
      <w:numPr>
        <w:ilvl w:val="6"/>
        <w:numId w:val="5"/>
      </w:numPr>
      <w:spacing w:before="240" w:after="60"/>
      <w:outlineLvl w:val="6"/>
    </w:pPr>
    <w:rPr>
      <w:rFonts w:ascii="Times New Roman" w:hAnsi="Times New Roman"/>
      <w:sz w:val="24"/>
    </w:rPr>
  </w:style>
  <w:style w:type="paragraph" w:styleId="Heading8">
    <w:name w:val="heading 8"/>
    <w:basedOn w:val="Normal"/>
    <w:next w:val="Normal"/>
    <w:semiHidden/>
    <w:qFormat/>
    <w:rsid w:val="00AD5436"/>
    <w:pPr>
      <w:numPr>
        <w:ilvl w:val="7"/>
        <w:numId w:val="5"/>
      </w:numPr>
      <w:spacing w:before="240" w:after="60"/>
      <w:outlineLvl w:val="7"/>
    </w:pPr>
    <w:rPr>
      <w:rFonts w:ascii="Times New Roman" w:hAnsi="Times New Roman"/>
      <w:i/>
      <w:iCs/>
      <w:sz w:val="24"/>
    </w:rPr>
  </w:style>
  <w:style w:type="paragraph" w:styleId="Heading9">
    <w:name w:val="heading 9"/>
    <w:basedOn w:val="Normal"/>
    <w:next w:val="Normal"/>
    <w:semiHidden/>
    <w:qFormat/>
    <w:rsid w:val="00AD5436"/>
    <w:pPr>
      <w:numPr>
        <w:ilvl w:val="8"/>
        <w:numId w:val="5"/>
      </w:num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semiHidden/>
    <w:rsid w:val="0070791C"/>
    <w:pPr>
      <w:tabs>
        <w:tab w:val="center" w:pos="4153"/>
        <w:tab w:val="right" w:pos="8306"/>
      </w:tabs>
      <w:spacing w:line="240" w:lineRule="auto"/>
    </w:pPr>
    <w:rPr>
      <w:sz w:val="16"/>
    </w:rPr>
  </w:style>
  <w:style w:type="paragraph" w:styleId="Footer">
    <w:name w:val="footer"/>
    <w:basedOn w:val="Normal"/>
    <w:link w:val="FooterChar"/>
    <w:semiHidden/>
    <w:qFormat/>
    <w:rsid w:val="0094078F"/>
    <w:pPr>
      <w:tabs>
        <w:tab w:val="right" w:pos="113"/>
      </w:tabs>
      <w:spacing w:line="240" w:lineRule="auto"/>
    </w:pPr>
    <w:rPr>
      <w:color w:val="323232"/>
      <w:sz w:val="16"/>
    </w:rPr>
  </w:style>
  <w:style w:type="character" w:customStyle="1" w:styleId="FooterChar">
    <w:name w:val="Footer Char"/>
    <w:basedOn w:val="DefaultParagraphFont"/>
    <w:link w:val="Footer"/>
    <w:semiHidden/>
    <w:rsid w:val="00EC2B68"/>
    <w:rPr>
      <w:rFonts w:ascii="Arial" w:hAnsi="Arial"/>
      <w:color w:val="323232"/>
      <w:sz w:val="16"/>
    </w:rPr>
  </w:style>
  <w:style w:type="paragraph" w:customStyle="1" w:styleId="Reporttitle">
    <w:name w:val="Report title"/>
    <w:basedOn w:val="Normal"/>
    <w:uiPriority w:val="19"/>
    <w:qFormat/>
    <w:rsid w:val="00A51D1A"/>
    <w:pPr>
      <w:spacing w:after="0" w:line="560" w:lineRule="exact"/>
    </w:pPr>
    <w:rPr>
      <w:b/>
      <w:spacing w:val="-28"/>
      <w:sz w:val="53"/>
    </w:rPr>
  </w:style>
  <w:style w:type="paragraph" w:customStyle="1" w:styleId="Reportsubtitle">
    <w:name w:val="Report subtitle"/>
    <w:basedOn w:val="Normal"/>
    <w:uiPriority w:val="20"/>
    <w:qFormat/>
    <w:rsid w:val="00950159"/>
    <w:pPr>
      <w:spacing w:after="200" w:line="560" w:lineRule="exact"/>
    </w:pPr>
    <w:rPr>
      <w:color w:val="323232"/>
      <w:spacing w:val="-28"/>
      <w:sz w:val="53"/>
    </w:rPr>
  </w:style>
  <w:style w:type="table" w:styleId="TableGrid">
    <w:name w:val="Table Grid"/>
    <w:basedOn w:val="TableNormal"/>
    <w:uiPriority w:val="59"/>
    <w:rsid w:val="00226819"/>
    <w:pPr>
      <w:spacing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Reportdate">
    <w:name w:val="Report date"/>
    <w:basedOn w:val="Reportsubtitle"/>
    <w:uiPriority w:val="21"/>
    <w:qFormat/>
    <w:rsid w:val="00950159"/>
    <w:pPr>
      <w:spacing w:after="1200" w:line="240" w:lineRule="auto"/>
    </w:pPr>
    <w:rPr>
      <w:caps/>
      <w:spacing w:val="-10"/>
      <w:sz w:val="20"/>
    </w:rPr>
  </w:style>
  <w:style w:type="paragraph" w:customStyle="1" w:styleId="Tableheaderrow">
    <w:name w:val="Table header row"/>
    <w:basedOn w:val="Normal"/>
    <w:uiPriority w:val="14"/>
    <w:qFormat/>
    <w:rsid w:val="00774FDB"/>
    <w:pPr>
      <w:spacing w:after="0"/>
    </w:pPr>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styleId="TOCHeading">
    <w:name w:val="TOC Heading"/>
    <w:basedOn w:val="Normal"/>
    <w:semiHidden/>
    <w:qFormat/>
    <w:rsid w:val="00950159"/>
    <w:pPr>
      <w:spacing w:before="1200" w:line="240" w:lineRule="auto"/>
    </w:pPr>
    <w:rPr>
      <w:b/>
      <w:color w:val="323232"/>
      <w:spacing w:val="-28"/>
      <w:sz w:val="53"/>
    </w:rPr>
  </w:style>
  <w:style w:type="paragraph" w:styleId="Caption">
    <w:name w:val="caption"/>
    <w:aliases w:val="Caption table"/>
    <w:basedOn w:val="Normal"/>
    <w:next w:val="Normal"/>
    <w:semiHidden/>
    <w:qFormat/>
    <w:rsid w:val="00E8152A"/>
    <w:pPr>
      <w:numPr>
        <w:numId w:val="9"/>
      </w:numPr>
      <w:spacing w:after="0"/>
    </w:pPr>
    <w:rPr>
      <w:b/>
      <w:bCs/>
      <w:color w:val="323232"/>
      <w:szCs w:val="20"/>
    </w:rPr>
  </w:style>
  <w:style w:type="paragraph" w:customStyle="1" w:styleId="BodySubHeader">
    <w:name w:val="BodySubHeader"/>
    <w:basedOn w:val="Normal"/>
    <w:next w:val="Normal"/>
    <w:semiHidden/>
    <w:rsid w:val="00146CE6"/>
    <w:pPr>
      <w:spacing w:before="240" w:after="0"/>
    </w:pPr>
    <w:rPr>
      <w:b/>
      <w:i/>
    </w:rPr>
  </w:style>
  <w:style w:type="paragraph" w:styleId="ListBullet">
    <w:name w:val="List Bullet"/>
    <w:basedOn w:val="Normal"/>
    <w:qFormat/>
    <w:rsid w:val="001C6AEE"/>
    <w:pPr>
      <w:numPr>
        <w:numId w:val="1"/>
      </w:numPr>
      <w:spacing w:after="80"/>
    </w:pPr>
  </w:style>
  <w:style w:type="paragraph" w:styleId="ListBullet2">
    <w:name w:val="List Bullet 2"/>
    <w:basedOn w:val="Normal"/>
    <w:semiHidden/>
    <w:qFormat/>
    <w:rsid w:val="001C6AEE"/>
    <w:pPr>
      <w:numPr>
        <w:numId w:val="2"/>
      </w:numPr>
      <w:spacing w:after="80"/>
    </w:pPr>
  </w:style>
  <w:style w:type="paragraph" w:styleId="ListNumber">
    <w:name w:val="List Number"/>
    <w:basedOn w:val="Normal"/>
    <w:semiHidden/>
    <w:qFormat/>
    <w:rsid w:val="00C24A53"/>
    <w:pPr>
      <w:numPr>
        <w:numId w:val="3"/>
      </w:numPr>
      <w:spacing w:after="80"/>
    </w:pPr>
  </w:style>
  <w:style w:type="paragraph" w:styleId="ListNumber2">
    <w:name w:val="List Number 2"/>
    <w:basedOn w:val="Normal"/>
    <w:semiHidden/>
    <w:qFormat/>
    <w:rsid w:val="004A70D6"/>
    <w:pPr>
      <w:numPr>
        <w:numId w:val="4"/>
      </w:numPr>
      <w:spacing w:after="80"/>
      <w:ind w:left="828" w:hanging="357"/>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uiPriority w:val="22"/>
    <w:qFormat/>
    <w:rsid w:val="006B52DE"/>
    <w:pPr>
      <w:pageBreakBefore/>
      <w:spacing w:after="1440" w:line="550" w:lineRule="exact"/>
    </w:pPr>
    <w:rPr>
      <w:b/>
      <w:color w:val="323232"/>
      <w:spacing w:val="-18"/>
      <w:sz w:val="53"/>
    </w:rPr>
  </w:style>
  <w:style w:type="character" w:styleId="PageNumber0">
    <w:name w:val="page number"/>
    <w:basedOn w:val="DefaultParagraphFont"/>
    <w:semiHidden/>
    <w:rsid w:val="00542377"/>
  </w:style>
  <w:style w:type="paragraph" w:styleId="ListContinue5">
    <w:name w:val="List Continue 5"/>
    <w:basedOn w:val="Normal"/>
    <w:semiHidden/>
    <w:rsid w:val="00EC2B68"/>
    <w:pPr>
      <w:spacing w:after="120"/>
      <w:ind w:left="1415"/>
      <w:contextualSpacing/>
    </w:pPr>
  </w:style>
  <w:style w:type="paragraph" w:customStyle="1" w:styleId="Paragraphbeforelist">
    <w:name w:val="Paragraph before list"/>
    <w:basedOn w:val="Paragraph"/>
    <w:uiPriority w:val="4"/>
    <w:qFormat/>
    <w:rsid w:val="00C87E8A"/>
    <w:pPr>
      <w:spacing w:after="80"/>
    </w:pPr>
  </w:style>
  <w:style w:type="paragraph" w:styleId="TOC1">
    <w:name w:val="toc 1"/>
    <w:basedOn w:val="Normal"/>
    <w:next w:val="Normal"/>
    <w:uiPriority w:val="39"/>
    <w:qFormat/>
    <w:rsid w:val="007A6CC0"/>
    <w:pPr>
      <w:tabs>
        <w:tab w:val="right" w:pos="7660"/>
      </w:tabs>
      <w:spacing w:before="280" w:after="80" w:line="320" w:lineRule="exact"/>
      <w:ind w:right="851"/>
    </w:pPr>
    <w:rPr>
      <w:b/>
      <w:noProof/>
      <w:spacing w:val="-14"/>
      <w:sz w:val="28"/>
    </w:rPr>
  </w:style>
  <w:style w:type="paragraph" w:styleId="TOC2">
    <w:name w:val="toc 2"/>
    <w:basedOn w:val="Normal"/>
    <w:next w:val="Normal"/>
    <w:uiPriority w:val="39"/>
    <w:qFormat/>
    <w:rsid w:val="007A6CC0"/>
    <w:pPr>
      <w:tabs>
        <w:tab w:val="right" w:pos="7660"/>
      </w:tabs>
      <w:spacing w:after="80" w:line="300" w:lineRule="exact"/>
      <w:ind w:left="885" w:hanging="885"/>
    </w:pPr>
    <w:rPr>
      <w:noProof/>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qFormat/>
    <w:rsid w:val="007A6CC0"/>
    <w:pPr>
      <w:tabs>
        <w:tab w:val="right" w:pos="7661"/>
      </w:tabs>
      <w:spacing w:after="80" w:line="240" w:lineRule="auto"/>
    </w:pPr>
    <w:rPr>
      <w:noProof/>
      <w:sz w:val="22"/>
      <w:szCs w:val="22"/>
    </w:rPr>
  </w:style>
  <w:style w:type="character" w:styleId="Hyperlink">
    <w:name w:val="Hyperlink"/>
    <w:basedOn w:val="DefaultParagraphFont"/>
    <w:uiPriority w:val="99"/>
    <w:qFormat/>
    <w:rsid w:val="00C35CCE"/>
    <w:rPr>
      <w:color w:val="0000FF"/>
      <w:u w:val="single" w:color="0000FF"/>
    </w:rPr>
  </w:style>
  <w:style w:type="character" w:styleId="FootnoteReference">
    <w:name w:val="footnote reference"/>
    <w:aliases w:val="Appel note de bas de p,Appel note de bas de p + 11 pt,Italic,Footnote,Appel note de bas de p1,Appel note de bas de p2,Appel note de bas de p3,Footnote Reference/,Style 12,(NECG) Footnote Reference,Style 124,o,fr,Style 3"/>
    <w:basedOn w:val="DefaultParagraphFont"/>
    <w:rsid w:val="00566AB4"/>
    <w:rPr>
      <w:rFonts w:ascii="Arial" w:hAnsi="Arial"/>
      <w:vertAlign w:val="superscript"/>
    </w:rPr>
  </w:style>
  <w:style w:type="paragraph" w:styleId="FootnoteText">
    <w:name w:val="footnote text"/>
    <w:aliases w:val="Footnote text,ACMA Footnote Text,footnote text,Footnote Text Char1,Footnote Text Char Char,Footnote Text Char1 Char Char,Footnote Text Char Char Char Char,Footnote Text Char1 Char Char Char Char,Footnote Text Char Char Char Char Char Char"/>
    <w:basedOn w:val="Normal"/>
    <w:link w:val="FootnoteTextChar"/>
    <w:rsid w:val="00D61243"/>
    <w:pPr>
      <w:spacing w:after="0"/>
    </w:pPr>
    <w:rPr>
      <w:sz w:val="16"/>
      <w:szCs w:val="16"/>
    </w:rPr>
  </w:style>
  <w:style w:type="paragraph" w:customStyle="1" w:styleId="TableBody">
    <w:name w:val="Table Body"/>
    <w:basedOn w:val="Normal"/>
    <w:uiPriority w:val="15"/>
    <w:qFormat/>
    <w:rsid w:val="00774FDB"/>
    <w:pPr>
      <w:spacing w:after="0" w:line="240" w:lineRule="auto"/>
    </w:pPr>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ACMAInstructions">
    <w:name w:val="ACMA_Instructions"/>
    <w:basedOn w:val="Normal"/>
    <w:semiHidden/>
    <w:unhideWhenUsed/>
    <w:qFormat/>
    <w:rsid w:val="00BF610C"/>
    <w:pPr>
      <w:spacing w:after="200"/>
    </w:pPr>
    <w:rPr>
      <w:rFonts w:cs="Arial"/>
      <w:b/>
      <w:vanish/>
      <w:sz w:val="24"/>
    </w:rPr>
  </w:style>
  <w:style w:type="paragraph" w:customStyle="1" w:styleId="CorporateAddresses">
    <w:name w:val="Corporate Addresses"/>
    <w:basedOn w:val="Normal"/>
    <w:semiHidden/>
    <w:rsid w:val="0005011A"/>
    <w:pPr>
      <w:spacing w:line="140" w:lineRule="exact"/>
    </w:pPr>
    <w:rPr>
      <w:color w:val="4D4D4F"/>
      <w:sz w:val="13"/>
    </w:rPr>
  </w:style>
  <w:style w:type="paragraph" w:customStyle="1" w:styleId="Bulletlevel1">
    <w:name w:val="Bullet level 1"/>
    <w:basedOn w:val="ListBullet"/>
    <w:uiPriority w:val="5"/>
    <w:qFormat/>
    <w:rsid w:val="00A824E8"/>
    <w:rPr>
      <w:rFonts w:cs="Arial"/>
    </w:rPr>
  </w:style>
  <w:style w:type="paragraph" w:customStyle="1" w:styleId="ACMACorporateAddressHeader">
    <w:name w:val="ACMA_CorporateAddressHeader"/>
    <w:basedOn w:val="Normal"/>
    <w:next w:val="ACMACorporateAddresses"/>
    <w:semiHidden/>
    <w:unhideWhenUsed/>
    <w:qFormat/>
    <w:rsid w:val="00FC07B9"/>
    <w:pPr>
      <w:tabs>
        <w:tab w:val="left" w:pos="142"/>
      </w:tabs>
      <w:spacing w:before="240" w:after="0" w:line="140" w:lineRule="exact"/>
    </w:pPr>
    <w:rPr>
      <w:b/>
      <w:sz w:val="13"/>
    </w:rPr>
  </w:style>
  <w:style w:type="paragraph" w:customStyle="1" w:styleId="ACMACorporateAddresses">
    <w:name w:val="ACMA_CorporateAddresses"/>
    <w:basedOn w:val="ACMACorporateAddressHeader"/>
    <w:semiHidden/>
    <w:unhideWhenUsed/>
    <w:qFormat/>
    <w:rsid w:val="00FC07B9"/>
    <w:pPr>
      <w:spacing w:before="0" w:after="120"/>
    </w:pPr>
    <w:rPr>
      <w:b w:val="0"/>
    </w:rPr>
  </w:style>
  <w:style w:type="paragraph" w:customStyle="1" w:styleId="ACMACopyrightHeader">
    <w:name w:val="ACMA_CopyrightHeader"/>
    <w:basedOn w:val="ACMACorporateAddressHeader"/>
    <w:semiHidden/>
    <w:unhideWhenUsed/>
    <w:qFormat/>
    <w:rsid w:val="00950159"/>
    <w:pPr>
      <w:spacing w:before="3000"/>
    </w:pPr>
  </w:style>
  <w:style w:type="paragraph" w:customStyle="1" w:styleId="ACMACClogo">
    <w:name w:val="ACMA_CClogo"/>
    <w:semiHidden/>
    <w:unhideWhenUsed/>
    <w:qFormat/>
    <w:rsid w:val="00623FF9"/>
    <w:pPr>
      <w:spacing w:before="160" w:after="120"/>
    </w:pPr>
    <w:rPr>
      <w:rFonts w:ascii="Arial" w:hAnsi="Arial"/>
      <w:b/>
      <w:sz w:val="13"/>
    </w:rPr>
  </w:style>
  <w:style w:type="paragraph" w:customStyle="1" w:styleId="ListBulletLast">
    <w:name w:val="List Bullet Last"/>
    <w:basedOn w:val="ListBullet"/>
    <w:qFormat/>
    <w:rsid w:val="00146CE6"/>
    <w:pPr>
      <w:spacing w:after="240"/>
    </w:pPr>
    <w:rPr>
      <w:rFonts w:cs="Arial"/>
    </w:rPr>
  </w:style>
  <w:style w:type="paragraph" w:customStyle="1" w:styleId="ListNumberLast">
    <w:name w:val="List Number Last"/>
    <w:basedOn w:val="ListNumber"/>
    <w:semiHidden/>
    <w:qFormat/>
    <w:rsid w:val="00C16198"/>
    <w:pPr>
      <w:spacing w:after="240"/>
      <w:ind w:left="357" w:hanging="357"/>
    </w:pPr>
    <w:rPr>
      <w:rFonts w:cs="Arial"/>
    </w:rPr>
  </w:style>
  <w:style w:type="paragraph" w:customStyle="1" w:styleId="ACMATableHeader">
    <w:name w:val="ACMA_TableHeader"/>
    <w:semiHidden/>
    <w:qFormat/>
    <w:rsid w:val="003F10EE"/>
    <w:pPr>
      <w:numPr>
        <w:numId w:val="7"/>
      </w:numPr>
      <w:spacing w:after="160"/>
    </w:pPr>
    <w:rPr>
      <w:rFonts w:ascii="Arial" w:hAnsi="Arial"/>
      <w:b/>
      <w:bCs/>
      <w:color w:val="323232"/>
      <w:sz w:val="20"/>
      <w:szCs w:val="20"/>
    </w:rPr>
  </w:style>
  <w:style w:type="paragraph" w:customStyle="1" w:styleId="ACMANotes">
    <w:name w:val="ACMA_Notes"/>
    <w:semiHidden/>
    <w:rsid w:val="00FF206E"/>
    <w:pPr>
      <w:spacing w:before="80"/>
    </w:pPr>
    <w:rPr>
      <w:rFonts w:ascii="Arial" w:hAnsi="Arial" w:cs="Arial"/>
      <w:i/>
      <w:sz w:val="16"/>
    </w:rPr>
  </w:style>
  <w:style w:type="paragraph" w:customStyle="1" w:styleId="Numberlistlevel1">
    <w:name w:val="Number list level 1"/>
    <w:basedOn w:val="ListNumber"/>
    <w:uiPriority w:val="9"/>
    <w:qFormat/>
    <w:rsid w:val="004A70D6"/>
  </w:style>
  <w:style w:type="character" w:styleId="Emphasis">
    <w:name w:val="Emphasis"/>
    <w:basedOn w:val="DefaultParagraphFont"/>
    <w:semiHidden/>
    <w:qFormat/>
    <w:rsid w:val="006D576C"/>
    <w:rPr>
      <w:i/>
      <w:iCs/>
    </w:rPr>
  </w:style>
  <w:style w:type="paragraph" w:customStyle="1" w:styleId="ListNumber2Last">
    <w:name w:val="List Number 2 Last"/>
    <w:basedOn w:val="ListNumber2"/>
    <w:semiHidden/>
    <w:qFormat/>
    <w:rsid w:val="00E35707"/>
    <w:pPr>
      <w:spacing w:after="240"/>
      <w:ind w:left="907"/>
    </w:pPr>
    <w:rPr>
      <w:rFonts w:cs="Arial"/>
    </w:rPr>
  </w:style>
  <w:style w:type="paragraph" w:customStyle="1" w:styleId="Spaceaftertable">
    <w:name w:val="Space after table"/>
    <w:basedOn w:val="Normal"/>
    <w:uiPriority w:val="99"/>
    <w:qFormat/>
    <w:rsid w:val="00C2083D"/>
    <w:rPr>
      <w:rFonts w:cs="Arial"/>
    </w:rPr>
  </w:style>
  <w:style w:type="paragraph" w:customStyle="1" w:styleId="FooterLeft">
    <w:name w:val="Footer Left"/>
    <w:basedOn w:val="Footer"/>
    <w:semiHidden/>
    <w:qFormat/>
    <w:rsid w:val="00950159"/>
    <w:pPr>
      <w:framePr w:w="1440" w:h="357" w:hRule="exact" w:vSpace="425" w:wrap="around" w:vAnchor="page" w:hAnchor="page" w:x="935" w:y="15871"/>
      <w:pBdr>
        <w:top w:val="single" w:sz="4" w:space="1" w:color="auto"/>
      </w:pBdr>
    </w:pPr>
    <w:rPr>
      <w:rFonts w:cs="Arial"/>
    </w:rPr>
  </w:style>
  <w:style w:type="paragraph" w:customStyle="1" w:styleId="ACMAFigureHeader">
    <w:name w:val="ACMA_FigureHeader"/>
    <w:semiHidden/>
    <w:qFormat/>
    <w:rsid w:val="003F10EE"/>
    <w:pPr>
      <w:numPr>
        <w:numId w:val="6"/>
      </w:numPr>
      <w:spacing w:after="160"/>
    </w:pPr>
    <w:rPr>
      <w:rFonts w:ascii="Arial" w:hAnsi="Arial"/>
      <w:b/>
      <w:bCs/>
      <w:color w:val="323232"/>
      <w:sz w:val="20"/>
      <w:szCs w:val="20"/>
    </w:rPr>
  </w:style>
  <w:style w:type="paragraph" w:customStyle="1" w:styleId="Captionfigure">
    <w:name w:val="Caption figure"/>
    <w:basedOn w:val="Caption"/>
    <w:semiHidden/>
    <w:qFormat/>
    <w:rsid w:val="00E8152A"/>
    <w:pPr>
      <w:keepNext/>
      <w:numPr>
        <w:numId w:val="8"/>
      </w:numPr>
    </w:pPr>
    <w:rPr>
      <w:rFonts w:cs="Arial"/>
    </w:rPr>
  </w:style>
  <w:style w:type="paragraph" w:customStyle="1" w:styleId="GridTable31">
    <w:name w:val="Grid Table 31"/>
    <w:basedOn w:val="Normal"/>
    <w:semiHidden/>
    <w:qFormat/>
    <w:rsid w:val="00971914"/>
    <w:pPr>
      <w:spacing w:after="0" w:line="240" w:lineRule="auto"/>
    </w:pPr>
    <w:rPr>
      <w:b/>
      <w:color w:val="4D4D4F"/>
      <w:spacing w:val="-28"/>
      <w:sz w:val="53"/>
    </w:rPr>
  </w:style>
  <w:style w:type="character" w:customStyle="1" w:styleId="HeaderChar">
    <w:name w:val="Header Char"/>
    <w:link w:val="Header"/>
    <w:semiHidden/>
    <w:rsid w:val="00971914"/>
    <w:rPr>
      <w:rFonts w:ascii="Arial" w:hAnsi="Arial"/>
      <w:sz w:val="16"/>
    </w:rPr>
  </w:style>
  <w:style w:type="character" w:customStyle="1" w:styleId="Heading1Char">
    <w:name w:val="Heading 1 Char"/>
    <w:basedOn w:val="DefaultParagraphFont"/>
    <w:link w:val="Heading1"/>
    <w:uiPriority w:val="1"/>
    <w:rsid w:val="00F5310D"/>
    <w:rPr>
      <w:rFonts w:ascii="Arial" w:hAnsi="Arial" w:cs="Arial"/>
      <w:bCs/>
      <w:color w:val="323232"/>
      <w:kern w:val="32"/>
      <w:sz w:val="53"/>
      <w:szCs w:val="32"/>
    </w:rPr>
  </w:style>
  <w:style w:type="character" w:customStyle="1" w:styleId="Heading2Char">
    <w:name w:val="Heading 2 Char"/>
    <w:basedOn w:val="DefaultParagraphFont"/>
    <w:link w:val="Heading2"/>
    <w:rsid w:val="00800CCD"/>
    <w:rPr>
      <w:rFonts w:ascii="Arial" w:hAnsi="Arial" w:cs="Arial"/>
      <w:b/>
      <w:bCs/>
      <w:iCs/>
      <w:sz w:val="28"/>
      <w:szCs w:val="28"/>
    </w:rPr>
  </w:style>
  <w:style w:type="character" w:styleId="UnresolvedMention">
    <w:name w:val="Unresolved Mention"/>
    <w:basedOn w:val="DefaultParagraphFont"/>
    <w:uiPriority w:val="99"/>
    <w:semiHidden/>
    <w:unhideWhenUsed/>
    <w:rsid w:val="006B52DE"/>
    <w:rPr>
      <w:color w:val="605E5C"/>
      <w:shd w:val="clear" w:color="auto" w:fill="E1DFDD"/>
    </w:rPr>
  </w:style>
  <w:style w:type="character" w:customStyle="1" w:styleId="Heading3Char">
    <w:name w:val="Heading 3 Char"/>
    <w:basedOn w:val="DefaultParagraphFont"/>
    <w:link w:val="Heading3"/>
    <w:rsid w:val="00800CCD"/>
    <w:rPr>
      <w:rFonts w:ascii="Arial" w:hAnsi="Arial" w:cs="Arial"/>
      <w:b/>
      <w:bCs/>
      <w:sz w:val="20"/>
      <w:szCs w:val="26"/>
    </w:rPr>
  </w:style>
  <w:style w:type="paragraph" w:customStyle="1" w:styleId="Paragraph">
    <w:name w:val="Paragraph"/>
    <w:basedOn w:val="Normal"/>
    <w:qFormat/>
    <w:rsid w:val="00A824E8"/>
    <w:rPr>
      <w:rFonts w:cs="Arial"/>
    </w:rPr>
  </w:style>
  <w:style w:type="paragraph" w:customStyle="1" w:styleId="Bulletlevel2">
    <w:name w:val="Bullet level 2"/>
    <w:basedOn w:val="ListBullet2"/>
    <w:uiPriority w:val="7"/>
    <w:qFormat/>
    <w:rsid w:val="00A824E8"/>
    <w:rPr>
      <w:rFonts w:cs="Arial"/>
    </w:rPr>
  </w:style>
  <w:style w:type="paragraph" w:customStyle="1" w:styleId="Bulletlevel1last">
    <w:name w:val="Bullet level 1 last"/>
    <w:basedOn w:val="ListBulletLast"/>
    <w:uiPriority w:val="6"/>
    <w:qFormat/>
    <w:rsid w:val="00A824E8"/>
  </w:style>
  <w:style w:type="paragraph" w:customStyle="1" w:styleId="Numberlistlevel2">
    <w:name w:val="Number list level 2"/>
    <w:basedOn w:val="ListNumber2"/>
    <w:uiPriority w:val="11"/>
    <w:qFormat/>
    <w:rsid w:val="004A70D6"/>
  </w:style>
  <w:style w:type="paragraph" w:customStyle="1" w:styleId="Numberlistlast">
    <w:name w:val="Number list last"/>
    <w:basedOn w:val="ListNumberLast"/>
    <w:uiPriority w:val="10"/>
    <w:qFormat/>
    <w:rsid w:val="004A70D6"/>
  </w:style>
  <w:style w:type="paragraph" w:customStyle="1" w:styleId="Numberlistlevel2last">
    <w:name w:val="Number list level 2 last"/>
    <w:basedOn w:val="Numberlistlevel2"/>
    <w:uiPriority w:val="12"/>
    <w:qFormat/>
    <w:rsid w:val="004A70D6"/>
    <w:pPr>
      <w:spacing w:after="240"/>
    </w:pPr>
  </w:style>
  <w:style w:type="paragraph" w:customStyle="1" w:styleId="Bulletlevel2last">
    <w:name w:val="Bullet level 2 last"/>
    <w:basedOn w:val="Bulletlevel2"/>
    <w:uiPriority w:val="8"/>
    <w:qFormat/>
    <w:rsid w:val="004A70D6"/>
    <w:pPr>
      <w:spacing w:after="240"/>
    </w:pPr>
  </w:style>
  <w:style w:type="table" w:customStyle="1" w:styleId="ACMAtablestyle">
    <w:name w:val="ACMA table style"/>
    <w:basedOn w:val="TableNormal"/>
    <w:uiPriority w:val="99"/>
    <w:rsid w:val="0063346D"/>
    <w:rPr>
      <w:rFonts w:ascii="Arial" w:hAnsi="Arial"/>
      <w:sz w:val="20"/>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8" w:type="dxa"/>
        <w:bottom w:w="28" w:type="dxa"/>
      </w:tblCellMar>
    </w:tblPr>
    <w:tblStylePr w:type="firstRow">
      <w:rPr>
        <w:rFonts w:ascii="Arial" w:hAnsi="Arial"/>
        <w:b w:val="0"/>
        <w:color w:val="FFFFFF" w:themeColor="background1"/>
        <w:sz w:val="20"/>
      </w:rPr>
      <w:tblPr/>
      <w:trPr>
        <w:tblHeader/>
      </w:trPr>
      <w:tcPr>
        <w:tcBorders>
          <w:top w:val="single" w:sz="4" w:space="0" w:color="auto"/>
          <w:left w:val="single" w:sz="4" w:space="0" w:color="auto"/>
          <w:bottom w:val="single" w:sz="4" w:space="0" w:color="auto"/>
          <w:right w:val="single" w:sz="4" w:space="0" w:color="auto"/>
          <w:insideH w:val="nil"/>
          <w:insideV w:val="nil"/>
        </w:tcBorders>
        <w:shd w:val="clear" w:color="auto" w:fill="404040" w:themeFill="text1" w:themeFillTint="BF"/>
      </w:tcPr>
    </w:tblStylePr>
    <w:tblStylePr w:type="band1Horz">
      <w:rPr>
        <w:rFonts w:ascii="Arial" w:hAnsi="Arial"/>
        <w:sz w:val="20"/>
      </w:rPr>
      <w:tblPr/>
      <w:tcPr>
        <w:shd w:val="clear" w:color="auto" w:fill="F2F2F2" w:themeFill="background1" w:themeFillShade="F2"/>
      </w:tcPr>
    </w:tblStylePr>
    <w:tblStylePr w:type="band2Horz">
      <w:rPr>
        <w:rFonts w:ascii="Arial" w:hAnsi="Arial"/>
        <w:sz w:val="20"/>
      </w:rPr>
    </w:tblStylePr>
  </w:style>
  <w:style w:type="paragraph" w:customStyle="1" w:styleId="Tableheading">
    <w:name w:val="Table heading"/>
    <w:basedOn w:val="ACMATableHeader"/>
    <w:next w:val="Paragraph"/>
    <w:uiPriority w:val="13"/>
    <w:qFormat/>
    <w:rsid w:val="0063346D"/>
    <w:pPr>
      <w:keepNext/>
      <w:spacing w:line="240" w:lineRule="atLeast"/>
    </w:pPr>
  </w:style>
  <w:style w:type="paragraph" w:customStyle="1" w:styleId="Tableorfigurenote">
    <w:name w:val="Table or figure note"/>
    <w:basedOn w:val="ACMANotes"/>
    <w:uiPriority w:val="17"/>
    <w:qFormat/>
    <w:rsid w:val="00930510"/>
    <w:pPr>
      <w:spacing w:after="240"/>
    </w:pPr>
  </w:style>
  <w:style w:type="paragraph" w:customStyle="1" w:styleId="Figureheading">
    <w:name w:val="Figure heading"/>
    <w:basedOn w:val="ACMAFigureHeader"/>
    <w:next w:val="Paragraph"/>
    <w:uiPriority w:val="16"/>
    <w:qFormat/>
    <w:rsid w:val="0063346D"/>
    <w:pPr>
      <w:keepNext/>
      <w:spacing w:line="240" w:lineRule="atLeast"/>
    </w:pPr>
  </w:style>
  <w:style w:type="paragraph" w:customStyle="1" w:styleId="Tableorfigurenotemultiple">
    <w:name w:val="Table or figure note multiple"/>
    <w:basedOn w:val="Tableorfigurenote"/>
    <w:uiPriority w:val="18"/>
    <w:qFormat/>
    <w:rsid w:val="00930510"/>
    <w:pPr>
      <w:spacing w:after="80"/>
    </w:pPr>
  </w:style>
  <w:style w:type="paragraph" w:styleId="BalloonText">
    <w:name w:val="Balloon Text"/>
    <w:basedOn w:val="Normal"/>
    <w:link w:val="BalloonTextChar"/>
    <w:semiHidden/>
    <w:unhideWhenUsed/>
    <w:rsid w:val="003933E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semiHidden/>
    <w:rsid w:val="003933E8"/>
    <w:rPr>
      <w:rFonts w:ascii="Segoe UI" w:hAnsi="Segoe UI" w:cs="Segoe UI"/>
      <w:sz w:val="18"/>
      <w:szCs w:val="18"/>
    </w:rPr>
  </w:style>
  <w:style w:type="paragraph" w:customStyle="1" w:styleId="Note">
    <w:name w:val="Note"/>
    <w:basedOn w:val="ACMANotes"/>
    <w:uiPriority w:val="23"/>
    <w:semiHidden/>
    <w:qFormat/>
    <w:rsid w:val="00D61243"/>
  </w:style>
  <w:style w:type="paragraph" w:customStyle="1" w:styleId="ACMABulletLevel1">
    <w:name w:val="ACMA Bullet Level 1"/>
    <w:rsid w:val="005C34EF"/>
    <w:pPr>
      <w:numPr>
        <w:numId w:val="16"/>
      </w:numPr>
      <w:tabs>
        <w:tab w:val="num" w:pos="-31680"/>
      </w:tabs>
      <w:spacing w:after="120"/>
    </w:pPr>
    <w:rPr>
      <w:szCs w:val="20"/>
      <w:lang w:eastAsia="en-US"/>
    </w:rPr>
  </w:style>
  <w:style w:type="paragraph" w:customStyle="1" w:styleId="Protectivemarking">
    <w:name w:val="Protective marking"/>
    <w:basedOn w:val="ACMABulletLevel1"/>
    <w:uiPriority w:val="99"/>
    <w:qFormat/>
    <w:rsid w:val="005C34EF"/>
    <w:pPr>
      <w:numPr>
        <w:numId w:val="0"/>
      </w:numPr>
      <w:tabs>
        <w:tab w:val="left" w:pos="720"/>
      </w:tabs>
      <w:spacing w:after="0"/>
      <w:jc w:val="center"/>
    </w:pPr>
    <w:rPr>
      <w:rFonts w:ascii="Arial" w:hAnsi="Arial" w:cs="Arial"/>
      <w:b/>
      <w:bCs/>
      <w:color w:val="FF0000"/>
      <w:sz w:val="32"/>
      <w:szCs w:val="24"/>
    </w:rPr>
  </w:style>
  <w:style w:type="character" w:customStyle="1" w:styleId="FootnoteTextChar">
    <w:name w:val="Footnote Text Char"/>
    <w:aliases w:val="Footnote text Char,ACMA Footnote Text Char,footnote text Char,Footnote Text Char1 Char,Footnote Text Char Char Char,Footnote Text Char1 Char Char Char,Footnote Text Char Char Char Char Char,Footnote Text Char1 Char Char Char Char Char"/>
    <w:basedOn w:val="DefaultParagraphFont"/>
    <w:link w:val="FootnoteText"/>
    <w:locked/>
    <w:rsid w:val="007D6B04"/>
    <w:rPr>
      <w:rFonts w:ascii="Arial" w:hAnsi="Arial"/>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82813674">
      <w:bodyDiv w:val="1"/>
      <w:marLeft w:val="0"/>
      <w:marRight w:val="0"/>
      <w:marTop w:val="0"/>
      <w:marBottom w:val="0"/>
      <w:divBdr>
        <w:top w:val="none" w:sz="0" w:space="0" w:color="auto"/>
        <w:left w:val="none" w:sz="0" w:space="0" w:color="auto"/>
        <w:bottom w:val="none" w:sz="0" w:space="0" w:color="auto"/>
        <w:right w:val="none" w:sz="0" w:space="0" w:color="auto"/>
      </w:divBdr>
    </w:div>
    <w:div w:id="576784553">
      <w:bodyDiv w:val="1"/>
      <w:marLeft w:val="0"/>
      <w:marRight w:val="0"/>
      <w:marTop w:val="0"/>
      <w:marBottom w:val="0"/>
      <w:divBdr>
        <w:top w:val="none" w:sz="0" w:space="0" w:color="auto"/>
        <w:left w:val="none" w:sz="0" w:space="0" w:color="auto"/>
        <w:bottom w:val="none" w:sz="0" w:space="0" w:color="auto"/>
        <w:right w:val="none" w:sz="0" w:space="0" w:color="auto"/>
      </w:divBdr>
    </w:div>
    <w:div w:id="1409771268">
      <w:bodyDiv w:val="1"/>
      <w:marLeft w:val="0"/>
      <w:marRight w:val="0"/>
      <w:marTop w:val="0"/>
      <w:marBottom w:val="0"/>
      <w:divBdr>
        <w:top w:val="none" w:sz="0" w:space="0" w:color="auto"/>
        <w:left w:val="none" w:sz="0" w:space="0" w:color="auto"/>
        <w:bottom w:val="none" w:sz="0" w:space="0" w:color="auto"/>
        <w:right w:val="none" w:sz="0" w:space="0" w:color="auto"/>
      </w:divBdr>
    </w:div>
    <w:div w:id="1566910818">
      <w:bodyDiv w:val="1"/>
      <w:marLeft w:val="0"/>
      <w:marRight w:val="0"/>
      <w:marTop w:val="0"/>
      <w:marBottom w:val="0"/>
      <w:divBdr>
        <w:top w:val="none" w:sz="0" w:space="0" w:color="auto"/>
        <w:left w:val="none" w:sz="0" w:space="0" w:color="auto"/>
        <w:bottom w:val="none" w:sz="0" w:space="0" w:color="auto"/>
        <w:right w:val="none" w:sz="0" w:space="0" w:color="auto"/>
      </w:divBdr>
    </w:div>
    <w:div w:id="192591231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creativecommons.org/licenses/by/4.0/" TargetMode="External"/><Relationship Id="rId18" Type="http://schemas.openxmlformats.org/officeDocument/2006/relationships/footer" Target="footer3.xml"/><Relationship Id="rId26" Type="http://schemas.openxmlformats.org/officeDocument/2006/relationships/header" Target="header8.xml"/><Relationship Id="rId3" Type="http://schemas.openxmlformats.org/officeDocument/2006/relationships/styles" Target="styles.xml"/><Relationship Id="rId21" Type="http://schemas.openxmlformats.org/officeDocument/2006/relationships/footer" Target="footer4.xml"/><Relationship Id="rId34" Type="http://schemas.openxmlformats.org/officeDocument/2006/relationships/fontTable" Target="fontTable.xml"/><Relationship Id="rId7" Type="http://schemas.openxmlformats.org/officeDocument/2006/relationships/endnotes" Target="endnotes.xml"/><Relationship Id="rId12" Type="http://schemas.openxmlformats.org/officeDocument/2006/relationships/image" Target="media/image3.png"/><Relationship Id="rId17" Type="http://schemas.openxmlformats.org/officeDocument/2006/relationships/footer" Target="footer2.xml"/><Relationship Id="rId25" Type="http://schemas.openxmlformats.org/officeDocument/2006/relationships/header" Target="header7.xml"/><Relationship Id="rId33" Type="http://schemas.openxmlformats.org/officeDocument/2006/relationships/hyperlink" Target="https://www.acma.gov.au/privacy-policy" TargetMode="External"/><Relationship Id="rId2" Type="http://schemas.openxmlformats.org/officeDocument/2006/relationships/numbering" Target="numbering.xml"/><Relationship Id="rId16" Type="http://schemas.openxmlformats.org/officeDocument/2006/relationships/header" Target="header4.xml"/><Relationship Id="rId20" Type="http://schemas.openxmlformats.org/officeDocument/2006/relationships/header" Target="header6.xml"/><Relationship Id="rId29" Type="http://schemas.openxmlformats.org/officeDocument/2006/relationships/hyperlink" Target="https://www.acma.gov.au/publications/2019-11/guide/rali-ms22-400-mhz-plan"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i.creativecommons.org/l/by/3.0/88x31.png" TargetMode="External"/><Relationship Id="rId24" Type="http://schemas.openxmlformats.org/officeDocument/2006/relationships/hyperlink" Target="https://www.communications.gov.au/have-your-say/exposure-draft-radiocommunications-legislation-amendment-reform-and-modernisation-bill" TargetMode="External"/><Relationship Id="rId32" Type="http://schemas.openxmlformats.org/officeDocument/2006/relationships/hyperlink" Target="https://www.acma.gov.au/publication-submissions" TargetMode="External"/><Relationship Id="rId5" Type="http://schemas.openxmlformats.org/officeDocument/2006/relationships/webSettings" Target="webSettings.xml"/><Relationship Id="rId15" Type="http://schemas.openxmlformats.org/officeDocument/2006/relationships/header" Target="header3.xml"/><Relationship Id="rId23" Type="http://schemas.openxmlformats.org/officeDocument/2006/relationships/footer" Target="footer6.xml"/><Relationship Id="rId28" Type="http://schemas.openxmlformats.org/officeDocument/2006/relationships/footer" Target="footer8.xml"/><Relationship Id="rId10" Type="http://schemas.openxmlformats.org/officeDocument/2006/relationships/header" Target="header2.xml"/><Relationship Id="rId19" Type="http://schemas.openxmlformats.org/officeDocument/2006/relationships/header" Target="header5.xml"/><Relationship Id="rId31" Type="http://schemas.openxmlformats.org/officeDocument/2006/relationships/hyperlink" Target="mailto:freqplan@acma.gov.au"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mailto:info@acma.gov.au" TargetMode="External"/><Relationship Id="rId22" Type="http://schemas.openxmlformats.org/officeDocument/2006/relationships/footer" Target="footer5.xml"/><Relationship Id="rId27" Type="http://schemas.openxmlformats.org/officeDocument/2006/relationships/footer" Target="footer7.xml"/><Relationship Id="rId30" Type="http://schemas.openxmlformats.org/officeDocument/2006/relationships/hyperlink" Target="https://www.acma.gov.au/have-your-say" TargetMode="External"/><Relationship Id="rId35" Type="http://schemas.openxmlformats.org/officeDocument/2006/relationships/theme" Target="theme/theme1.xml"/></Relationships>
</file>

<file path=word/_rels/foot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hyperlink" Target="https://acma.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itu.int/pub/R-REG-RR-2016"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714E44B-4E3F-4551-B3E4-BBF9DCB2E5B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2438</Words>
  <Characters>13899</Characters>
  <Application>Microsoft Office Word</Application>
  <DocSecurity>0</DocSecurity>
  <Lines>115</Lines>
  <Paragraphs>32</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16305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2020-08-25T05:38:00Z</dcterms:created>
  <dcterms:modified xsi:type="dcterms:W3CDTF">2020-08-25T05:38:00Z</dcterms:modified>
  <cp:category/>
</cp:coreProperties>
</file>