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9E3A850" w14:textId="77777777" w:rsidR="00F06E14" w:rsidRPr="00A51D1A" w:rsidRDefault="006D60F1" w:rsidP="00A51D1A">
      <w:pPr>
        <w:pStyle w:val="ACMAReportTitle"/>
      </w:pPr>
      <w:r>
        <w:t>Planning principles for the e</w:t>
      </w:r>
      <w:r w:rsidR="00763DDC">
        <w:t>xpansion of digital radio to regional Australia</w:t>
      </w:r>
    </w:p>
    <w:p w14:paraId="7DBCC7AC" w14:textId="77777777" w:rsidR="00876CDA" w:rsidRDefault="00876CDA" w:rsidP="00D47AEB">
      <w:pPr>
        <w:pStyle w:val="ACMAReportDate"/>
        <w:spacing w:after="720"/>
      </w:pPr>
    </w:p>
    <w:p w14:paraId="4E44FDAE" w14:textId="77777777" w:rsidR="00F06E14" w:rsidRDefault="00763DDC" w:rsidP="00D47AEB">
      <w:pPr>
        <w:pStyle w:val="ACMAReportDate"/>
        <w:spacing w:after="720"/>
      </w:pPr>
      <w:r>
        <w:t>December 2016</w:t>
      </w:r>
    </w:p>
    <w:p w14:paraId="47C4E124" w14:textId="77777777" w:rsidR="00C97736" w:rsidRPr="000D76E0" w:rsidRDefault="00C97736" w:rsidP="0041071D">
      <w:pPr>
        <w:rPr>
          <w:rFonts w:cs="Arial"/>
        </w:rPr>
      </w:pPr>
    </w:p>
    <w:p w14:paraId="66FDEF41" w14:textId="77777777" w:rsidR="00C97736" w:rsidRPr="000D76E0" w:rsidRDefault="00C97736" w:rsidP="0041071D">
      <w:pPr>
        <w:rPr>
          <w:rFonts w:cs="Arial"/>
        </w:rPr>
        <w:sectPr w:rsidR="00C97736" w:rsidRPr="000D76E0" w:rsidSect="004F556E">
          <w:headerReference w:type="default" r:id="rId11"/>
          <w:footerReference w:type="default" r:id="rId12"/>
          <w:headerReference w:type="first" r:id="rId13"/>
          <w:pgSz w:w="11906" w:h="16838" w:code="9"/>
          <w:pgMar w:top="3924" w:right="1797" w:bottom="1440" w:left="1134" w:header="709" w:footer="454" w:gutter="0"/>
          <w:cols w:space="708"/>
          <w:docGrid w:linePitch="360"/>
        </w:sectPr>
      </w:pPr>
    </w:p>
    <w:p w14:paraId="36D06DE6" w14:textId="77777777" w:rsidR="0005011A" w:rsidRPr="00F44F3A" w:rsidRDefault="0005011A" w:rsidP="00FC07B9">
      <w:pPr>
        <w:pStyle w:val="ACMACorporateAddressHeader"/>
      </w:pPr>
      <w:r w:rsidRPr="00F44F3A">
        <w:lastRenderedPageBreak/>
        <w:t>Canberra</w:t>
      </w:r>
    </w:p>
    <w:p w14:paraId="7514EFDC"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3F42CCEC" w14:textId="77777777" w:rsidR="0005011A" w:rsidRPr="00FC07B9" w:rsidRDefault="0005011A" w:rsidP="00FC07B9">
      <w:pPr>
        <w:pStyle w:val="ACMACorporateAddresses"/>
      </w:pPr>
      <w:r w:rsidRPr="00FC07B9">
        <w:t>PO Box 78</w:t>
      </w:r>
      <w:r w:rsidRPr="00FC07B9">
        <w:br/>
        <w:t>Belconnen ACT 2616</w:t>
      </w:r>
    </w:p>
    <w:p w14:paraId="00BC5946"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4B9763F" w14:textId="77777777" w:rsidR="0005011A" w:rsidRPr="00F44F3A" w:rsidRDefault="0005011A" w:rsidP="00FC07B9">
      <w:pPr>
        <w:pStyle w:val="ACMACorporateAddressHeader"/>
      </w:pPr>
      <w:r w:rsidRPr="00F44F3A">
        <w:t>Melbourne</w:t>
      </w:r>
    </w:p>
    <w:p w14:paraId="69FA21FB"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3BF69059"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7D0C6AF7"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60706E41" w14:textId="77777777" w:rsidR="0005011A" w:rsidRPr="00F44F3A" w:rsidRDefault="0005011A" w:rsidP="00FC07B9">
      <w:pPr>
        <w:pStyle w:val="ACMACorporateAddressHeader"/>
      </w:pPr>
      <w:r w:rsidRPr="00F44F3A">
        <w:t>Sydney</w:t>
      </w:r>
    </w:p>
    <w:p w14:paraId="54429C70"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A7852F3"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512FB1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1437476C" w14:textId="77777777" w:rsidR="00140318" w:rsidRPr="006D46E5" w:rsidRDefault="00140318" w:rsidP="00FC07B9">
      <w:pPr>
        <w:pStyle w:val="ACMACopyrightHeader"/>
      </w:pPr>
      <w:r w:rsidRPr="00140318">
        <w:t>Copyright notice</w:t>
      </w:r>
    </w:p>
    <w:p w14:paraId="27BBB834" w14:textId="77777777" w:rsidR="00140318" w:rsidRPr="006D46E5" w:rsidRDefault="00623FF9" w:rsidP="00623FF9">
      <w:pPr>
        <w:pStyle w:val="ACMACClogo"/>
      </w:pPr>
      <w:r w:rsidRPr="00623FF9">
        <w:rPr>
          <w:noProof/>
        </w:rPr>
        <w:drawing>
          <wp:inline distT="0" distB="0" distL="0" distR="0" wp14:anchorId="5E313FA2" wp14:editId="2262FFB9">
            <wp:extent cx="838200" cy="295275"/>
            <wp:effectExtent l="0" t="0" r="0" b="0"/>
            <wp:docPr id="1" name="Picture 1" title="Creative Commons logo">
              <a:hlinkClick xmlns:a="http://schemas.openxmlformats.org/drawingml/2006/main" r:id="rId14"/>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4"/>
                    </pic:cNvPr>
                    <pic:cNvPicPr>
                      <a:picLocks noChangeAspect="1" noChangeArrowheads="1"/>
                    </pic:cNvPicPr>
                  </pic:nvPicPr>
                  <pic:blipFill>
                    <a:blip r:embed="rId15" cstate="print"/>
                    <a:srcRect/>
                    <a:stretch>
                      <a:fillRect/>
                    </a:stretch>
                  </pic:blipFill>
                  <pic:spPr bwMode="auto">
                    <a:xfrm>
                      <a:off x="0" y="0"/>
                      <a:ext cx="838200" cy="295275"/>
                    </a:xfrm>
                    <a:prstGeom prst="rect">
                      <a:avLst/>
                    </a:prstGeom>
                    <a:noFill/>
                  </pic:spPr>
                </pic:pic>
              </a:graphicData>
            </a:graphic>
          </wp:inline>
        </w:drawing>
      </w:r>
    </w:p>
    <w:p w14:paraId="67965EAE" w14:textId="77777777" w:rsidR="00140318" w:rsidRPr="00431792" w:rsidRDefault="009D3C25" w:rsidP="00FC07B9">
      <w:pPr>
        <w:pStyle w:val="ACMACorporateAddresses"/>
        <w:rPr>
          <w:rStyle w:val="Hyperlink"/>
        </w:rPr>
      </w:pPr>
      <w:hyperlink r:id="rId16" w:tooltip="Creative Commons Licenses" w:history="1">
        <w:r w:rsidR="00140318" w:rsidRPr="00431792">
          <w:rPr>
            <w:rStyle w:val="Hyperlink"/>
          </w:rPr>
          <w:t>http://creativecommons.org/licenses/by/3.0/au/</w:t>
        </w:r>
      </w:hyperlink>
    </w:p>
    <w:p w14:paraId="0EBB3778" w14:textId="77777777" w:rsidR="00140318" w:rsidRPr="006D46E5" w:rsidRDefault="00140318" w:rsidP="00FC07B9">
      <w:pPr>
        <w:pStyle w:val="ACMACorporateAddresses"/>
      </w:pPr>
      <w:r w:rsidRPr="006D46E5">
        <w:t xml:space="preserve">With the exception of coats of arms, logos, emblems, images, other third-party material or devices protected by a trademark, this content is licensed under the Creative Commons Australia Attribution 3.0 Licence. </w:t>
      </w:r>
    </w:p>
    <w:p w14:paraId="3F4BAC8B" w14:textId="77777777" w:rsidR="00140318" w:rsidRPr="006D46E5" w:rsidRDefault="00C34A05" w:rsidP="00FC07B9">
      <w:pPr>
        <w:pStyle w:val="ACMACorporateAddresses"/>
      </w:pPr>
      <w:r>
        <w:t>We request attribution as</w:t>
      </w:r>
      <w:r w:rsidR="00140318" w:rsidRPr="006D46E5">
        <w:t xml:space="preserve"> © Commonwealth of Australia (Australian Communic</w:t>
      </w:r>
      <w:r w:rsidR="00B6003C">
        <w:t>ations and Media Authority) 2016</w:t>
      </w:r>
      <w:r w:rsidR="00140318" w:rsidRPr="006D46E5">
        <w:t>.</w:t>
      </w:r>
    </w:p>
    <w:p w14:paraId="552721F1" w14:textId="77777777" w:rsidR="00140318" w:rsidRPr="006D46E5" w:rsidRDefault="00140318" w:rsidP="00FC07B9">
      <w:pPr>
        <w:pStyle w:val="ACMACorporateAddresses"/>
      </w:pPr>
      <w:r>
        <w:t>All other rights are reserved.</w:t>
      </w:r>
    </w:p>
    <w:p w14:paraId="594E0566" w14:textId="77777777" w:rsidR="00140318" w:rsidRPr="006D46E5" w:rsidRDefault="00140318" w:rsidP="00FC07B9">
      <w:pPr>
        <w:pStyle w:val="ACMACorporateAddresses"/>
      </w:pPr>
      <w:r w:rsidRPr="006D46E5">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131F4A5" w14:textId="77777777" w:rsidR="00140318" w:rsidRPr="006D46E5" w:rsidRDefault="00140318" w:rsidP="00FC07B9">
      <w:pPr>
        <w:pStyle w:val="ACMACorporateAddresses"/>
      </w:pPr>
      <w:r w:rsidRPr="006D46E5">
        <w:t>Written enquiries may be sent to:</w:t>
      </w:r>
    </w:p>
    <w:p w14:paraId="14832893" w14:textId="77777777" w:rsidR="00D16FE3" w:rsidRDefault="00140318" w:rsidP="00D16FE3">
      <w:pPr>
        <w:pStyle w:val="ACMACorporateAddresses"/>
        <w:rPr>
          <w:rStyle w:val="Hyperlink"/>
        </w:rPr>
      </w:pPr>
      <w:r w:rsidRPr="006D46E5">
        <w:t>Manager, Editorial and Design</w:t>
      </w:r>
      <w:r w:rsidR="00623FF9">
        <w:br/>
      </w:r>
      <w:r w:rsidRPr="006D46E5">
        <w:t>PO Box 13112</w:t>
      </w:r>
      <w:r w:rsidR="00623FF9">
        <w:br/>
      </w:r>
      <w:r w:rsidRPr="006D46E5">
        <w:t>Law Courts</w:t>
      </w:r>
      <w:r w:rsidR="00623FF9">
        <w:br/>
      </w:r>
      <w:r w:rsidRPr="006D46E5">
        <w:t>Melbourne VIC 8010</w:t>
      </w:r>
      <w:r w:rsidR="00623FF9">
        <w:br/>
      </w:r>
      <w:r w:rsidRPr="006D46E5">
        <w:t xml:space="preserve">Email: </w:t>
      </w:r>
      <w:hyperlink r:id="rId17" w:history="1">
        <w:r w:rsidRPr="00431792">
          <w:rPr>
            <w:rStyle w:val="Hyperlink"/>
          </w:rPr>
          <w:t>candinfo@acma.gov.au</w:t>
        </w:r>
      </w:hyperlink>
    </w:p>
    <w:p w14:paraId="06B83F96" w14:textId="77777777" w:rsidR="00D16FE3" w:rsidRDefault="00D16FE3" w:rsidP="00D16FE3">
      <w:pPr>
        <w:pStyle w:val="ACMACorporateAddresses"/>
        <w:rPr>
          <w:rStyle w:val="Hyperlink"/>
        </w:rPr>
      </w:pPr>
    </w:p>
    <w:p w14:paraId="656C0919" w14:textId="77777777" w:rsidR="00D16FE3" w:rsidRPr="00D16FE3" w:rsidRDefault="00D16FE3" w:rsidP="00D16FE3">
      <w:pPr>
        <w:pStyle w:val="ACMACorporateAddresses"/>
        <w:sectPr w:rsidR="00D16FE3" w:rsidRPr="00D16FE3">
          <w:headerReference w:type="even" r:id="rId18"/>
          <w:headerReference w:type="default" r:id="rId19"/>
          <w:footerReference w:type="even" r:id="rId20"/>
          <w:footerReference w:type="default" r:id="rId21"/>
          <w:pgSz w:w="11906" w:h="16838" w:code="9"/>
          <w:pgMar w:top="3924" w:right="1797" w:bottom="697" w:left="1134" w:header="709" w:footer="119" w:gutter="0"/>
          <w:cols w:space="708"/>
          <w:docGrid w:linePitch="360"/>
        </w:sectPr>
      </w:pPr>
    </w:p>
    <w:p w14:paraId="7CA5F957" w14:textId="77777777" w:rsidR="004D0802" w:rsidRDefault="006C13C4">
      <w:pPr>
        <w:pStyle w:val="TOC1"/>
        <w:rPr>
          <w:rFonts w:asciiTheme="minorHAnsi" w:eastAsiaTheme="minorEastAsia" w:hAnsiTheme="minorHAnsi" w:cstheme="minorBidi"/>
          <w:b w:val="0"/>
          <w:spacing w:val="0"/>
          <w:sz w:val="22"/>
          <w:szCs w:val="22"/>
        </w:rPr>
      </w:pPr>
      <w:r>
        <w:rPr>
          <w:rFonts w:cs="Arial"/>
        </w:rPr>
        <w:lastRenderedPageBreak/>
        <w:fldChar w:fldCharType="begin"/>
      </w:r>
      <w:r>
        <w:rPr>
          <w:rFonts w:cs="Arial"/>
        </w:rPr>
        <w:instrText xml:space="preserve"> TOC \o "1-3" \h \z \t "ACMA_ExecSummaryHeading,1" </w:instrText>
      </w:r>
      <w:r>
        <w:rPr>
          <w:rFonts w:cs="Arial"/>
        </w:rPr>
        <w:fldChar w:fldCharType="separate"/>
      </w:r>
      <w:hyperlink w:anchor="_Toc469331627" w:history="1">
        <w:r w:rsidR="004D0802" w:rsidRPr="0050342F">
          <w:rPr>
            <w:rStyle w:val="Hyperlink"/>
          </w:rPr>
          <w:t>Overview</w:t>
        </w:r>
        <w:r w:rsidR="004D0802">
          <w:rPr>
            <w:webHidden/>
          </w:rPr>
          <w:tab/>
        </w:r>
        <w:r w:rsidR="004D0802">
          <w:rPr>
            <w:webHidden/>
          </w:rPr>
          <w:fldChar w:fldCharType="begin"/>
        </w:r>
        <w:r w:rsidR="004D0802">
          <w:rPr>
            <w:webHidden/>
          </w:rPr>
          <w:instrText xml:space="preserve"> PAGEREF _Toc469331627 \h </w:instrText>
        </w:r>
        <w:r w:rsidR="004D0802">
          <w:rPr>
            <w:webHidden/>
          </w:rPr>
        </w:r>
        <w:r w:rsidR="004D0802">
          <w:rPr>
            <w:webHidden/>
          </w:rPr>
          <w:fldChar w:fldCharType="separate"/>
        </w:r>
        <w:r w:rsidR="00876CDA">
          <w:rPr>
            <w:webHidden/>
          </w:rPr>
          <w:t>1</w:t>
        </w:r>
        <w:r w:rsidR="004D0802">
          <w:rPr>
            <w:webHidden/>
          </w:rPr>
          <w:fldChar w:fldCharType="end"/>
        </w:r>
      </w:hyperlink>
    </w:p>
    <w:p w14:paraId="065B8914" w14:textId="77777777" w:rsidR="004D0802" w:rsidRDefault="009D3C25">
      <w:pPr>
        <w:pStyle w:val="TOC2"/>
        <w:rPr>
          <w:rFonts w:asciiTheme="minorHAnsi" w:eastAsiaTheme="minorEastAsia" w:hAnsiTheme="minorHAnsi" w:cstheme="minorBidi"/>
          <w:spacing w:val="0"/>
          <w:sz w:val="22"/>
          <w:szCs w:val="22"/>
        </w:rPr>
      </w:pPr>
      <w:hyperlink w:anchor="_Toc469331628" w:history="1">
        <w:r w:rsidR="004D0802" w:rsidRPr="0050342F">
          <w:rPr>
            <w:rStyle w:val="Hyperlink"/>
          </w:rPr>
          <w:t>Digital Radio Planning Committee</w:t>
        </w:r>
        <w:r w:rsidR="004D0802">
          <w:rPr>
            <w:webHidden/>
          </w:rPr>
          <w:tab/>
        </w:r>
        <w:r w:rsidR="004D0802">
          <w:rPr>
            <w:webHidden/>
          </w:rPr>
          <w:fldChar w:fldCharType="begin"/>
        </w:r>
        <w:r w:rsidR="004D0802">
          <w:rPr>
            <w:webHidden/>
          </w:rPr>
          <w:instrText xml:space="preserve"> PAGEREF _Toc469331628 \h </w:instrText>
        </w:r>
        <w:r w:rsidR="004D0802">
          <w:rPr>
            <w:webHidden/>
          </w:rPr>
        </w:r>
        <w:r w:rsidR="004D0802">
          <w:rPr>
            <w:webHidden/>
          </w:rPr>
          <w:fldChar w:fldCharType="separate"/>
        </w:r>
        <w:r w:rsidR="00876CDA">
          <w:rPr>
            <w:webHidden/>
          </w:rPr>
          <w:t>1</w:t>
        </w:r>
        <w:r w:rsidR="004D0802">
          <w:rPr>
            <w:webHidden/>
          </w:rPr>
          <w:fldChar w:fldCharType="end"/>
        </w:r>
      </w:hyperlink>
    </w:p>
    <w:p w14:paraId="00A66B28" w14:textId="77777777" w:rsidR="004D0802" w:rsidRDefault="009D3C25">
      <w:pPr>
        <w:pStyle w:val="TOC3"/>
        <w:rPr>
          <w:rFonts w:asciiTheme="minorHAnsi" w:eastAsiaTheme="minorEastAsia" w:hAnsiTheme="minorHAnsi" w:cstheme="minorBidi"/>
        </w:rPr>
      </w:pPr>
      <w:hyperlink w:anchor="_Toc469331629" w:history="1">
        <w:r w:rsidR="004D0802" w:rsidRPr="0050342F">
          <w:rPr>
            <w:rStyle w:val="Hyperlink"/>
          </w:rPr>
          <w:t>The Role of the Technical Sub-Committee</w:t>
        </w:r>
        <w:r w:rsidR="004D0802">
          <w:rPr>
            <w:webHidden/>
          </w:rPr>
          <w:tab/>
        </w:r>
        <w:r w:rsidR="004D0802">
          <w:rPr>
            <w:webHidden/>
          </w:rPr>
          <w:fldChar w:fldCharType="begin"/>
        </w:r>
        <w:r w:rsidR="004D0802">
          <w:rPr>
            <w:webHidden/>
          </w:rPr>
          <w:instrText xml:space="preserve"> PAGEREF _Toc469331629 \h </w:instrText>
        </w:r>
        <w:r w:rsidR="004D0802">
          <w:rPr>
            <w:webHidden/>
          </w:rPr>
        </w:r>
        <w:r w:rsidR="004D0802">
          <w:rPr>
            <w:webHidden/>
          </w:rPr>
          <w:fldChar w:fldCharType="separate"/>
        </w:r>
        <w:r w:rsidR="00876CDA">
          <w:rPr>
            <w:webHidden/>
          </w:rPr>
          <w:t>1</w:t>
        </w:r>
        <w:r w:rsidR="004D0802">
          <w:rPr>
            <w:webHidden/>
          </w:rPr>
          <w:fldChar w:fldCharType="end"/>
        </w:r>
      </w:hyperlink>
    </w:p>
    <w:p w14:paraId="0B699B6D" w14:textId="77777777" w:rsidR="004D0802" w:rsidRDefault="009D3C25">
      <w:pPr>
        <w:pStyle w:val="TOC2"/>
        <w:rPr>
          <w:rFonts w:asciiTheme="minorHAnsi" w:eastAsiaTheme="minorEastAsia" w:hAnsiTheme="minorHAnsi" w:cstheme="minorBidi"/>
          <w:spacing w:val="0"/>
          <w:sz w:val="22"/>
          <w:szCs w:val="22"/>
        </w:rPr>
      </w:pPr>
      <w:hyperlink w:anchor="_Toc469331630" w:history="1">
        <w:r w:rsidR="004D0802" w:rsidRPr="0050342F">
          <w:rPr>
            <w:rStyle w:val="Hyperlink"/>
          </w:rPr>
          <w:t>Proposed planning principles</w:t>
        </w:r>
        <w:r w:rsidR="004D0802">
          <w:rPr>
            <w:webHidden/>
          </w:rPr>
          <w:tab/>
        </w:r>
        <w:r w:rsidR="004D0802">
          <w:rPr>
            <w:webHidden/>
          </w:rPr>
          <w:fldChar w:fldCharType="begin"/>
        </w:r>
        <w:r w:rsidR="004D0802">
          <w:rPr>
            <w:webHidden/>
          </w:rPr>
          <w:instrText xml:space="preserve"> PAGEREF _Toc469331630 \h </w:instrText>
        </w:r>
        <w:r w:rsidR="004D0802">
          <w:rPr>
            <w:webHidden/>
          </w:rPr>
        </w:r>
        <w:r w:rsidR="004D0802">
          <w:rPr>
            <w:webHidden/>
          </w:rPr>
          <w:fldChar w:fldCharType="separate"/>
        </w:r>
        <w:r w:rsidR="00876CDA">
          <w:rPr>
            <w:webHidden/>
          </w:rPr>
          <w:t>1</w:t>
        </w:r>
        <w:r w:rsidR="004D0802">
          <w:rPr>
            <w:webHidden/>
          </w:rPr>
          <w:fldChar w:fldCharType="end"/>
        </w:r>
      </w:hyperlink>
    </w:p>
    <w:p w14:paraId="6D7C596C" w14:textId="77777777" w:rsidR="004D0802" w:rsidRDefault="009D3C25">
      <w:pPr>
        <w:pStyle w:val="TOC3"/>
        <w:rPr>
          <w:rFonts w:asciiTheme="minorHAnsi" w:eastAsiaTheme="minorEastAsia" w:hAnsiTheme="minorHAnsi" w:cstheme="minorBidi"/>
        </w:rPr>
      </w:pPr>
      <w:hyperlink w:anchor="_Toc469331631" w:history="1">
        <w:r w:rsidR="004D0802" w:rsidRPr="0050342F">
          <w:rPr>
            <w:rStyle w:val="Hyperlink"/>
          </w:rPr>
          <w:t>A Note on Principle 3—Licence area aggregation</w:t>
        </w:r>
        <w:r w:rsidR="004D0802">
          <w:rPr>
            <w:webHidden/>
          </w:rPr>
          <w:tab/>
        </w:r>
        <w:r w:rsidR="004D0802">
          <w:rPr>
            <w:webHidden/>
          </w:rPr>
          <w:fldChar w:fldCharType="begin"/>
        </w:r>
        <w:r w:rsidR="004D0802">
          <w:rPr>
            <w:webHidden/>
          </w:rPr>
          <w:instrText xml:space="preserve"> PAGEREF _Toc469331631 \h </w:instrText>
        </w:r>
        <w:r w:rsidR="004D0802">
          <w:rPr>
            <w:webHidden/>
          </w:rPr>
        </w:r>
        <w:r w:rsidR="004D0802">
          <w:rPr>
            <w:webHidden/>
          </w:rPr>
          <w:fldChar w:fldCharType="separate"/>
        </w:r>
        <w:r w:rsidR="00876CDA">
          <w:rPr>
            <w:webHidden/>
          </w:rPr>
          <w:t>1</w:t>
        </w:r>
        <w:r w:rsidR="004D0802">
          <w:rPr>
            <w:webHidden/>
          </w:rPr>
          <w:fldChar w:fldCharType="end"/>
        </w:r>
      </w:hyperlink>
    </w:p>
    <w:p w14:paraId="567F6BBF" w14:textId="77777777" w:rsidR="004D0802" w:rsidRDefault="009D3C25">
      <w:pPr>
        <w:pStyle w:val="TOC3"/>
        <w:rPr>
          <w:rFonts w:asciiTheme="minorHAnsi" w:eastAsiaTheme="minorEastAsia" w:hAnsiTheme="minorHAnsi" w:cstheme="minorBidi"/>
        </w:rPr>
      </w:pPr>
      <w:hyperlink w:anchor="_Toc469331632" w:history="1">
        <w:r w:rsidR="004D0802" w:rsidRPr="0050342F">
          <w:rPr>
            <w:rStyle w:val="Hyperlink"/>
          </w:rPr>
          <w:t>Future review of planning parameters in Principle 5</w:t>
        </w:r>
        <w:r w:rsidR="004D0802">
          <w:rPr>
            <w:webHidden/>
          </w:rPr>
          <w:tab/>
        </w:r>
        <w:r w:rsidR="004D0802">
          <w:rPr>
            <w:webHidden/>
          </w:rPr>
          <w:fldChar w:fldCharType="begin"/>
        </w:r>
        <w:r w:rsidR="004D0802">
          <w:rPr>
            <w:webHidden/>
          </w:rPr>
          <w:instrText xml:space="preserve"> PAGEREF _Toc469331632 \h </w:instrText>
        </w:r>
        <w:r w:rsidR="004D0802">
          <w:rPr>
            <w:webHidden/>
          </w:rPr>
        </w:r>
        <w:r w:rsidR="004D0802">
          <w:rPr>
            <w:webHidden/>
          </w:rPr>
          <w:fldChar w:fldCharType="separate"/>
        </w:r>
        <w:r w:rsidR="00876CDA">
          <w:rPr>
            <w:webHidden/>
          </w:rPr>
          <w:t>2</w:t>
        </w:r>
        <w:r w:rsidR="004D0802">
          <w:rPr>
            <w:webHidden/>
          </w:rPr>
          <w:fldChar w:fldCharType="end"/>
        </w:r>
      </w:hyperlink>
    </w:p>
    <w:p w14:paraId="71556902" w14:textId="77777777" w:rsidR="004D0802" w:rsidRDefault="009D3C25">
      <w:pPr>
        <w:pStyle w:val="TOC2"/>
        <w:rPr>
          <w:rFonts w:asciiTheme="minorHAnsi" w:eastAsiaTheme="minorEastAsia" w:hAnsiTheme="minorHAnsi" w:cstheme="minorBidi"/>
          <w:spacing w:val="0"/>
          <w:sz w:val="22"/>
          <w:szCs w:val="22"/>
        </w:rPr>
      </w:pPr>
      <w:hyperlink w:anchor="_Toc469331633" w:history="1">
        <w:r w:rsidR="004D0802" w:rsidRPr="0050342F">
          <w:rPr>
            <w:rStyle w:val="Hyperlink"/>
          </w:rPr>
          <w:t>The ACMA’s planning approach</w:t>
        </w:r>
        <w:r w:rsidR="004D0802">
          <w:rPr>
            <w:webHidden/>
          </w:rPr>
          <w:tab/>
        </w:r>
        <w:r w:rsidR="004D0802">
          <w:rPr>
            <w:webHidden/>
          </w:rPr>
          <w:fldChar w:fldCharType="begin"/>
        </w:r>
        <w:r w:rsidR="004D0802">
          <w:rPr>
            <w:webHidden/>
          </w:rPr>
          <w:instrText xml:space="preserve"> PAGEREF _Toc469331633 \h </w:instrText>
        </w:r>
        <w:r w:rsidR="004D0802">
          <w:rPr>
            <w:webHidden/>
          </w:rPr>
        </w:r>
        <w:r w:rsidR="004D0802">
          <w:rPr>
            <w:webHidden/>
          </w:rPr>
          <w:fldChar w:fldCharType="separate"/>
        </w:r>
        <w:r w:rsidR="00876CDA">
          <w:rPr>
            <w:webHidden/>
          </w:rPr>
          <w:t>2</w:t>
        </w:r>
        <w:r w:rsidR="004D0802">
          <w:rPr>
            <w:webHidden/>
          </w:rPr>
          <w:fldChar w:fldCharType="end"/>
        </w:r>
      </w:hyperlink>
    </w:p>
    <w:p w14:paraId="74AA5DC5" w14:textId="77777777" w:rsidR="004D0802" w:rsidRDefault="009D3C25">
      <w:pPr>
        <w:pStyle w:val="TOC3"/>
        <w:rPr>
          <w:rFonts w:asciiTheme="minorHAnsi" w:eastAsiaTheme="minorEastAsia" w:hAnsiTheme="minorHAnsi" w:cstheme="minorBidi"/>
        </w:rPr>
      </w:pPr>
      <w:hyperlink w:anchor="_Toc469331634" w:history="1">
        <w:r w:rsidR="004D0802" w:rsidRPr="0050342F">
          <w:rPr>
            <w:rStyle w:val="Hyperlink"/>
          </w:rPr>
          <w:t>The ACMA’s planning functions</w:t>
        </w:r>
        <w:r w:rsidR="004D0802">
          <w:rPr>
            <w:webHidden/>
          </w:rPr>
          <w:tab/>
        </w:r>
        <w:r w:rsidR="004D0802">
          <w:rPr>
            <w:webHidden/>
          </w:rPr>
          <w:fldChar w:fldCharType="begin"/>
        </w:r>
        <w:r w:rsidR="004D0802">
          <w:rPr>
            <w:webHidden/>
          </w:rPr>
          <w:instrText xml:space="preserve"> PAGEREF _Toc469331634 \h </w:instrText>
        </w:r>
        <w:r w:rsidR="004D0802">
          <w:rPr>
            <w:webHidden/>
          </w:rPr>
        </w:r>
        <w:r w:rsidR="004D0802">
          <w:rPr>
            <w:webHidden/>
          </w:rPr>
          <w:fldChar w:fldCharType="separate"/>
        </w:r>
        <w:r w:rsidR="00876CDA">
          <w:rPr>
            <w:webHidden/>
          </w:rPr>
          <w:t>2</w:t>
        </w:r>
        <w:r w:rsidR="004D0802">
          <w:rPr>
            <w:webHidden/>
          </w:rPr>
          <w:fldChar w:fldCharType="end"/>
        </w:r>
      </w:hyperlink>
    </w:p>
    <w:p w14:paraId="46DC4C12" w14:textId="77777777" w:rsidR="004D0802" w:rsidRDefault="009D3C25">
      <w:pPr>
        <w:pStyle w:val="TOC3"/>
        <w:rPr>
          <w:rFonts w:asciiTheme="minorHAnsi" w:eastAsiaTheme="minorEastAsia" w:hAnsiTheme="minorHAnsi" w:cstheme="minorBidi"/>
        </w:rPr>
      </w:pPr>
      <w:hyperlink w:anchor="_Toc469331635" w:history="1">
        <w:r w:rsidR="004D0802" w:rsidRPr="0050342F">
          <w:rPr>
            <w:rStyle w:val="Hyperlink"/>
          </w:rPr>
          <w:t>Explanatory notes on planning principles</w:t>
        </w:r>
        <w:r w:rsidR="004D0802">
          <w:rPr>
            <w:webHidden/>
          </w:rPr>
          <w:tab/>
        </w:r>
        <w:r w:rsidR="004D0802">
          <w:rPr>
            <w:webHidden/>
          </w:rPr>
          <w:fldChar w:fldCharType="begin"/>
        </w:r>
        <w:r w:rsidR="004D0802">
          <w:rPr>
            <w:webHidden/>
          </w:rPr>
          <w:instrText xml:space="preserve"> PAGEREF _Toc469331635 \h </w:instrText>
        </w:r>
        <w:r w:rsidR="004D0802">
          <w:rPr>
            <w:webHidden/>
          </w:rPr>
        </w:r>
        <w:r w:rsidR="004D0802">
          <w:rPr>
            <w:webHidden/>
          </w:rPr>
          <w:fldChar w:fldCharType="separate"/>
        </w:r>
        <w:r w:rsidR="00876CDA">
          <w:rPr>
            <w:webHidden/>
          </w:rPr>
          <w:t>2</w:t>
        </w:r>
        <w:r w:rsidR="004D0802">
          <w:rPr>
            <w:webHidden/>
          </w:rPr>
          <w:fldChar w:fldCharType="end"/>
        </w:r>
      </w:hyperlink>
    </w:p>
    <w:p w14:paraId="0C5F31F9" w14:textId="77777777" w:rsidR="004D0802" w:rsidRDefault="009D3C25">
      <w:pPr>
        <w:pStyle w:val="TOC1"/>
        <w:rPr>
          <w:rFonts w:asciiTheme="minorHAnsi" w:eastAsiaTheme="minorEastAsia" w:hAnsiTheme="minorHAnsi" w:cstheme="minorBidi"/>
          <w:b w:val="0"/>
          <w:spacing w:val="0"/>
          <w:sz w:val="22"/>
          <w:szCs w:val="22"/>
        </w:rPr>
      </w:pPr>
      <w:hyperlink w:anchor="_Toc469331636" w:history="1">
        <w:r w:rsidR="004D0802" w:rsidRPr="0050342F">
          <w:rPr>
            <w:rStyle w:val="Hyperlink"/>
          </w:rPr>
          <w:t>Planning principles</w:t>
        </w:r>
        <w:r w:rsidR="004D0802">
          <w:rPr>
            <w:webHidden/>
          </w:rPr>
          <w:tab/>
        </w:r>
        <w:r w:rsidR="004D0802">
          <w:rPr>
            <w:webHidden/>
          </w:rPr>
          <w:fldChar w:fldCharType="begin"/>
        </w:r>
        <w:r w:rsidR="004D0802">
          <w:rPr>
            <w:webHidden/>
          </w:rPr>
          <w:instrText xml:space="preserve"> PAGEREF _Toc469331636 \h </w:instrText>
        </w:r>
        <w:r w:rsidR="004D0802">
          <w:rPr>
            <w:webHidden/>
          </w:rPr>
        </w:r>
        <w:r w:rsidR="004D0802">
          <w:rPr>
            <w:webHidden/>
          </w:rPr>
          <w:fldChar w:fldCharType="separate"/>
        </w:r>
        <w:r w:rsidR="00876CDA">
          <w:rPr>
            <w:webHidden/>
          </w:rPr>
          <w:t>3</w:t>
        </w:r>
        <w:r w:rsidR="004D0802">
          <w:rPr>
            <w:webHidden/>
          </w:rPr>
          <w:fldChar w:fldCharType="end"/>
        </w:r>
      </w:hyperlink>
    </w:p>
    <w:p w14:paraId="3B0CD25B" w14:textId="77777777" w:rsidR="004D0802" w:rsidRDefault="009D3C25">
      <w:pPr>
        <w:pStyle w:val="TOC2"/>
        <w:rPr>
          <w:rFonts w:asciiTheme="minorHAnsi" w:eastAsiaTheme="minorEastAsia" w:hAnsiTheme="minorHAnsi" w:cstheme="minorBidi"/>
          <w:spacing w:val="0"/>
          <w:sz w:val="22"/>
          <w:szCs w:val="22"/>
        </w:rPr>
      </w:pPr>
      <w:hyperlink w:anchor="_Toc469331637" w:history="1">
        <w:r w:rsidR="004D0802" w:rsidRPr="0050342F">
          <w:rPr>
            <w:rStyle w:val="Hyperlink"/>
          </w:rPr>
          <w:t>Principle 1—Overall planning approach</w:t>
        </w:r>
        <w:r w:rsidR="004D0802">
          <w:rPr>
            <w:webHidden/>
          </w:rPr>
          <w:tab/>
        </w:r>
        <w:r w:rsidR="004D0802">
          <w:rPr>
            <w:webHidden/>
          </w:rPr>
          <w:fldChar w:fldCharType="begin"/>
        </w:r>
        <w:r w:rsidR="004D0802">
          <w:rPr>
            <w:webHidden/>
          </w:rPr>
          <w:instrText xml:space="preserve"> PAGEREF _Toc469331637 \h </w:instrText>
        </w:r>
        <w:r w:rsidR="004D0802">
          <w:rPr>
            <w:webHidden/>
          </w:rPr>
        </w:r>
        <w:r w:rsidR="004D0802">
          <w:rPr>
            <w:webHidden/>
          </w:rPr>
          <w:fldChar w:fldCharType="separate"/>
        </w:r>
        <w:r w:rsidR="00876CDA">
          <w:rPr>
            <w:webHidden/>
          </w:rPr>
          <w:t>3</w:t>
        </w:r>
        <w:r w:rsidR="004D0802">
          <w:rPr>
            <w:webHidden/>
          </w:rPr>
          <w:fldChar w:fldCharType="end"/>
        </w:r>
      </w:hyperlink>
    </w:p>
    <w:p w14:paraId="75EED009" w14:textId="77777777" w:rsidR="004D0802" w:rsidRDefault="009D3C25">
      <w:pPr>
        <w:pStyle w:val="TOC2"/>
        <w:rPr>
          <w:rFonts w:asciiTheme="minorHAnsi" w:eastAsiaTheme="minorEastAsia" w:hAnsiTheme="minorHAnsi" w:cstheme="minorBidi"/>
          <w:spacing w:val="0"/>
          <w:sz w:val="22"/>
          <w:szCs w:val="22"/>
        </w:rPr>
      </w:pPr>
      <w:hyperlink w:anchor="_Toc469331638" w:history="1">
        <w:r w:rsidR="004D0802" w:rsidRPr="0050342F">
          <w:rPr>
            <w:rStyle w:val="Hyperlink"/>
          </w:rPr>
          <w:t>Principle 2—Proposed frequency allotment planning approach</w:t>
        </w:r>
        <w:r w:rsidR="004D0802">
          <w:rPr>
            <w:webHidden/>
          </w:rPr>
          <w:tab/>
        </w:r>
        <w:r w:rsidR="004D0802">
          <w:rPr>
            <w:webHidden/>
          </w:rPr>
          <w:fldChar w:fldCharType="begin"/>
        </w:r>
        <w:r w:rsidR="004D0802">
          <w:rPr>
            <w:webHidden/>
          </w:rPr>
          <w:instrText xml:space="preserve"> PAGEREF _Toc469331638 \h </w:instrText>
        </w:r>
        <w:r w:rsidR="004D0802">
          <w:rPr>
            <w:webHidden/>
          </w:rPr>
        </w:r>
        <w:r w:rsidR="004D0802">
          <w:rPr>
            <w:webHidden/>
          </w:rPr>
          <w:fldChar w:fldCharType="separate"/>
        </w:r>
        <w:r w:rsidR="00876CDA">
          <w:rPr>
            <w:webHidden/>
          </w:rPr>
          <w:t>3</w:t>
        </w:r>
        <w:r w:rsidR="004D0802">
          <w:rPr>
            <w:webHidden/>
          </w:rPr>
          <w:fldChar w:fldCharType="end"/>
        </w:r>
      </w:hyperlink>
    </w:p>
    <w:p w14:paraId="65AFE772" w14:textId="77777777" w:rsidR="004D0802" w:rsidRDefault="009D3C25">
      <w:pPr>
        <w:pStyle w:val="TOC2"/>
        <w:rPr>
          <w:rFonts w:asciiTheme="minorHAnsi" w:eastAsiaTheme="minorEastAsia" w:hAnsiTheme="minorHAnsi" w:cstheme="minorBidi"/>
          <w:spacing w:val="0"/>
          <w:sz w:val="22"/>
          <w:szCs w:val="22"/>
        </w:rPr>
      </w:pPr>
      <w:hyperlink w:anchor="_Toc469331639" w:history="1">
        <w:r w:rsidR="004D0802" w:rsidRPr="0050342F">
          <w:rPr>
            <w:rStyle w:val="Hyperlink"/>
          </w:rPr>
          <w:t>Principle 3—Licence area aggregation</w:t>
        </w:r>
        <w:r w:rsidR="004D0802">
          <w:rPr>
            <w:webHidden/>
          </w:rPr>
          <w:tab/>
        </w:r>
        <w:r w:rsidR="004D0802">
          <w:rPr>
            <w:webHidden/>
          </w:rPr>
          <w:fldChar w:fldCharType="begin"/>
        </w:r>
        <w:r w:rsidR="004D0802">
          <w:rPr>
            <w:webHidden/>
          </w:rPr>
          <w:instrText xml:space="preserve"> PAGEREF _Toc469331639 \h </w:instrText>
        </w:r>
        <w:r w:rsidR="004D0802">
          <w:rPr>
            <w:webHidden/>
          </w:rPr>
        </w:r>
        <w:r w:rsidR="004D0802">
          <w:rPr>
            <w:webHidden/>
          </w:rPr>
          <w:fldChar w:fldCharType="separate"/>
        </w:r>
        <w:r w:rsidR="00876CDA">
          <w:rPr>
            <w:webHidden/>
          </w:rPr>
          <w:t>4</w:t>
        </w:r>
        <w:r w:rsidR="004D0802">
          <w:rPr>
            <w:webHidden/>
          </w:rPr>
          <w:fldChar w:fldCharType="end"/>
        </w:r>
      </w:hyperlink>
    </w:p>
    <w:p w14:paraId="284EFC1F" w14:textId="77777777" w:rsidR="004D0802" w:rsidRDefault="009D3C25">
      <w:pPr>
        <w:pStyle w:val="TOC2"/>
        <w:rPr>
          <w:rFonts w:asciiTheme="minorHAnsi" w:eastAsiaTheme="minorEastAsia" w:hAnsiTheme="minorHAnsi" w:cstheme="minorBidi"/>
          <w:spacing w:val="0"/>
          <w:sz w:val="22"/>
          <w:szCs w:val="22"/>
        </w:rPr>
      </w:pPr>
      <w:hyperlink w:anchor="_Toc469331640" w:history="1">
        <w:r w:rsidR="004D0802" w:rsidRPr="0050342F">
          <w:rPr>
            <w:rStyle w:val="Hyperlink"/>
          </w:rPr>
          <w:t>Principle 4—Transmitter site selection</w:t>
        </w:r>
        <w:r w:rsidR="004D0802">
          <w:rPr>
            <w:webHidden/>
          </w:rPr>
          <w:tab/>
        </w:r>
        <w:r w:rsidR="004D0802">
          <w:rPr>
            <w:webHidden/>
          </w:rPr>
          <w:fldChar w:fldCharType="begin"/>
        </w:r>
        <w:r w:rsidR="004D0802">
          <w:rPr>
            <w:webHidden/>
          </w:rPr>
          <w:instrText xml:space="preserve"> PAGEREF _Toc469331640 \h </w:instrText>
        </w:r>
        <w:r w:rsidR="004D0802">
          <w:rPr>
            <w:webHidden/>
          </w:rPr>
        </w:r>
        <w:r w:rsidR="004D0802">
          <w:rPr>
            <w:webHidden/>
          </w:rPr>
          <w:fldChar w:fldCharType="separate"/>
        </w:r>
        <w:r w:rsidR="00876CDA">
          <w:rPr>
            <w:webHidden/>
          </w:rPr>
          <w:t>4</w:t>
        </w:r>
        <w:r w:rsidR="004D0802">
          <w:rPr>
            <w:webHidden/>
          </w:rPr>
          <w:fldChar w:fldCharType="end"/>
        </w:r>
      </w:hyperlink>
    </w:p>
    <w:p w14:paraId="792B06D4" w14:textId="77777777" w:rsidR="004D0802" w:rsidRDefault="009D3C25">
      <w:pPr>
        <w:pStyle w:val="TOC2"/>
        <w:rPr>
          <w:rFonts w:asciiTheme="minorHAnsi" w:eastAsiaTheme="minorEastAsia" w:hAnsiTheme="minorHAnsi" w:cstheme="minorBidi"/>
          <w:spacing w:val="0"/>
          <w:sz w:val="22"/>
          <w:szCs w:val="22"/>
        </w:rPr>
      </w:pPr>
      <w:hyperlink w:anchor="_Toc469331641" w:history="1">
        <w:r w:rsidR="004D0802" w:rsidRPr="0050342F">
          <w:rPr>
            <w:rStyle w:val="Hyperlink"/>
          </w:rPr>
          <w:t>Principle 5—RF planning parameters</w:t>
        </w:r>
        <w:r w:rsidR="004D0802">
          <w:rPr>
            <w:webHidden/>
          </w:rPr>
          <w:tab/>
        </w:r>
        <w:r w:rsidR="004D0802">
          <w:rPr>
            <w:webHidden/>
          </w:rPr>
          <w:fldChar w:fldCharType="begin"/>
        </w:r>
        <w:r w:rsidR="004D0802">
          <w:rPr>
            <w:webHidden/>
          </w:rPr>
          <w:instrText xml:space="preserve"> PAGEREF _Toc469331641 \h </w:instrText>
        </w:r>
        <w:r w:rsidR="004D0802">
          <w:rPr>
            <w:webHidden/>
          </w:rPr>
        </w:r>
        <w:r w:rsidR="004D0802">
          <w:rPr>
            <w:webHidden/>
          </w:rPr>
          <w:fldChar w:fldCharType="separate"/>
        </w:r>
        <w:r w:rsidR="00876CDA">
          <w:rPr>
            <w:webHidden/>
          </w:rPr>
          <w:t>5</w:t>
        </w:r>
        <w:r w:rsidR="004D0802">
          <w:rPr>
            <w:webHidden/>
          </w:rPr>
          <w:fldChar w:fldCharType="end"/>
        </w:r>
      </w:hyperlink>
    </w:p>
    <w:p w14:paraId="02B1DD7E" w14:textId="77777777" w:rsidR="000A4A51" w:rsidRPr="000D76E0" w:rsidRDefault="006C13C4">
      <w:pPr>
        <w:rPr>
          <w:rFonts w:cs="Arial"/>
        </w:rPr>
      </w:pPr>
      <w:r>
        <w:rPr>
          <w:rFonts w:cs="Arial"/>
          <w:noProof/>
          <w:spacing w:val="-14"/>
          <w:sz w:val="28"/>
        </w:rPr>
        <w:fldChar w:fldCharType="end"/>
      </w:r>
    </w:p>
    <w:p w14:paraId="7C8AE297" w14:textId="77777777" w:rsidR="004D56FF" w:rsidRPr="000D76E0" w:rsidRDefault="004D56FF">
      <w:pPr>
        <w:rPr>
          <w:rFonts w:cs="Arial"/>
        </w:rPr>
        <w:sectPr w:rsidR="004D56FF" w:rsidRPr="000D76E0" w:rsidSect="00C77380">
          <w:headerReference w:type="even" r:id="rId22"/>
          <w:headerReference w:type="default" r:id="rId23"/>
          <w:footerReference w:type="even" r:id="rId24"/>
          <w:footerReference w:type="default" r:id="rId25"/>
          <w:footerReference w:type="first" r:id="rId26"/>
          <w:pgSz w:w="11906" w:h="16838" w:code="9"/>
          <w:pgMar w:top="3646" w:right="3101" w:bottom="1134" w:left="1134" w:header="709" w:footer="119" w:gutter="0"/>
          <w:cols w:space="708"/>
          <w:titlePg/>
          <w:docGrid w:linePitch="360"/>
        </w:sectPr>
      </w:pPr>
    </w:p>
    <w:p w14:paraId="7723C76C" w14:textId="77777777" w:rsidR="00763DDC" w:rsidRDefault="001B6240" w:rsidP="002D27A2">
      <w:pPr>
        <w:pStyle w:val="ACMAExecSummaryHeading"/>
        <w:pageBreakBefore/>
      </w:pPr>
      <w:bookmarkStart w:id="0" w:name="_Toc469331627"/>
      <w:r w:rsidRPr="00B60247">
        <w:lastRenderedPageBreak/>
        <w:t>Overview</w:t>
      </w:r>
      <w:bookmarkEnd w:id="0"/>
    </w:p>
    <w:p w14:paraId="32A661DD" w14:textId="77777777" w:rsidR="00763DDC" w:rsidRDefault="00763DDC" w:rsidP="004D667C">
      <w:pPr>
        <w:pStyle w:val="Heading2"/>
      </w:pPr>
      <w:bookmarkStart w:id="1" w:name="_Toc469331628"/>
      <w:r>
        <w:t>Digital Radio Planning Committee</w:t>
      </w:r>
      <w:bookmarkEnd w:id="1"/>
    </w:p>
    <w:p w14:paraId="340516DB" w14:textId="77777777" w:rsidR="003617E2" w:rsidRDefault="00563913" w:rsidP="004D667C">
      <w:r>
        <w:t>The Digital Radio Planning C</w:t>
      </w:r>
      <w:r w:rsidR="00763DDC">
        <w:t>ommittee</w:t>
      </w:r>
      <w:r>
        <w:t xml:space="preserve"> for Regional Australia</w:t>
      </w:r>
      <w:r w:rsidR="00763DDC">
        <w:t xml:space="preserve"> </w:t>
      </w:r>
      <w:r w:rsidR="00ED096B">
        <w:t xml:space="preserve">(the committee) </w:t>
      </w:r>
      <w:r w:rsidR="00763DDC">
        <w:t xml:space="preserve">was established in September 2015 with a mandate, among other things, </w:t>
      </w:r>
      <w:r w:rsidR="00006548">
        <w:t xml:space="preserve">to </w:t>
      </w:r>
      <w:r w:rsidR="00763DDC">
        <w:t>develop high</w:t>
      </w:r>
      <w:r w:rsidR="000E09D2">
        <w:t>-</w:t>
      </w:r>
      <w:r w:rsidR="00763DDC">
        <w:t>level principles for the allotment of frequency blocks that would be used to guide planning for the expansion of digital radio to regional Australia.</w:t>
      </w:r>
    </w:p>
    <w:p w14:paraId="424A928B" w14:textId="77777777" w:rsidR="00763DDC" w:rsidRDefault="00763DDC" w:rsidP="00763DDC">
      <w:r>
        <w:t xml:space="preserve">The committee, chaired by the ACMA and comprised of representatives from the </w:t>
      </w:r>
      <w:r w:rsidR="003617E2">
        <w:t xml:space="preserve">commercial </w:t>
      </w:r>
      <w:r>
        <w:t xml:space="preserve">radio broadcasting industry, </w:t>
      </w:r>
      <w:r w:rsidR="003617E2">
        <w:t>the national broadcasters, the community broadcasting industry and the Department of Communications and the Arts</w:t>
      </w:r>
      <w:r w:rsidR="002D27A2">
        <w:t xml:space="preserve"> and the Australian Competition and Consumer Commission</w:t>
      </w:r>
      <w:r w:rsidR="003617E2">
        <w:t xml:space="preserve"> </w:t>
      </w:r>
      <w:r>
        <w:t xml:space="preserve">has been working collaboratively towards an economically feasible rollout of digital radio to regional Australia. </w:t>
      </w:r>
    </w:p>
    <w:p w14:paraId="41E4C72C" w14:textId="77777777" w:rsidR="00AB79EE" w:rsidRDefault="00AB79EE" w:rsidP="00763DDC">
      <w:r>
        <w:t>The committee’s terms of reference also charged the committee with prioritising the regularisation of the Canberra and Darwin digital radio trial services.</w:t>
      </w:r>
    </w:p>
    <w:p w14:paraId="00B9B350" w14:textId="77777777" w:rsidR="00763DDC" w:rsidRDefault="00680E96" w:rsidP="00763DDC">
      <w:pPr>
        <w:pStyle w:val="Heading3"/>
      </w:pPr>
      <w:bookmarkStart w:id="2" w:name="_Toc469331629"/>
      <w:r>
        <w:t>The Role</w:t>
      </w:r>
      <w:r w:rsidR="003617E2">
        <w:t xml:space="preserve"> of the </w:t>
      </w:r>
      <w:r w:rsidR="00763DDC">
        <w:t>Technical Sub-Committee</w:t>
      </w:r>
      <w:bookmarkEnd w:id="2"/>
    </w:p>
    <w:p w14:paraId="6F20ACBF" w14:textId="77777777" w:rsidR="003617E2" w:rsidRDefault="00763DDC" w:rsidP="00763DDC">
      <w:r>
        <w:t xml:space="preserve">A technical sub-committee (TSC), </w:t>
      </w:r>
      <w:r w:rsidR="00ED096B">
        <w:t>chaired by</w:t>
      </w:r>
      <w:r>
        <w:t xml:space="preserve"> Commercial Radio Australia (CRA</w:t>
      </w:r>
      <w:r w:rsidR="00ED096B">
        <w:t>)</w:t>
      </w:r>
      <w:r>
        <w:t>, was created by the committee to develop draft recommendations on the high</w:t>
      </w:r>
      <w:r w:rsidR="000E09D2">
        <w:t>-</w:t>
      </w:r>
      <w:r>
        <w:t xml:space="preserve">level planning principles. </w:t>
      </w:r>
    </w:p>
    <w:p w14:paraId="53900D6E" w14:textId="77777777" w:rsidR="003617E2" w:rsidRDefault="00763DDC" w:rsidP="00763DDC">
      <w:r>
        <w:t xml:space="preserve">After 12 months of extensive feasibility studies and research, the </w:t>
      </w:r>
      <w:r w:rsidR="000E09D2">
        <w:t>TSC</w:t>
      </w:r>
      <w:r>
        <w:t xml:space="preserve"> presented a comprehensive technical report</w:t>
      </w:r>
      <w:r w:rsidR="000E09D2">
        <w:t>,</w:t>
      </w:r>
      <w:r>
        <w:t xml:space="preserve"> along with the results of the feasibility studies undertaken by the ACMA and CRA to the committee. </w:t>
      </w:r>
    </w:p>
    <w:p w14:paraId="58600582" w14:textId="77777777" w:rsidR="00763DDC" w:rsidRDefault="00763DDC" w:rsidP="00763DDC">
      <w:r>
        <w:t xml:space="preserve">This substantial body of work led to the TSC recommending a set of planning principles. The committee discussed the principles at its meeting of 14 September 2016. </w:t>
      </w:r>
    </w:p>
    <w:p w14:paraId="76C0302E" w14:textId="77777777" w:rsidR="00763DDC" w:rsidRDefault="00763DDC" w:rsidP="00ED35DD">
      <w:pPr>
        <w:pStyle w:val="Heading2"/>
      </w:pPr>
      <w:bookmarkStart w:id="3" w:name="_Toc469331630"/>
      <w:r>
        <w:t xml:space="preserve">Proposed </w:t>
      </w:r>
      <w:r w:rsidR="000E09D2">
        <w:t>p</w:t>
      </w:r>
      <w:r>
        <w:t xml:space="preserve">lanning </w:t>
      </w:r>
      <w:r w:rsidR="000E09D2">
        <w:t>p</w:t>
      </w:r>
      <w:r>
        <w:t>rinciples</w:t>
      </w:r>
      <w:bookmarkEnd w:id="3"/>
    </w:p>
    <w:p w14:paraId="46053A63" w14:textId="77777777" w:rsidR="00763DDC" w:rsidRDefault="00763DDC" w:rsidP="00763DDC">
      <w:r>
        <w:t>The planning principles presented below are based on the planning principles considered by the committee. Some minor wording changes have been made to reflect the complete set of radio freque</w:t>
      </w:r>
      <w:r w:rsidR="004A02C7">
        <w:t>ncy</w:t>
      </w:r>
      <w:r>
        <w:t xml:space="preserve"> planning parameters that have been adopted, and to remove references to the original value of each parameter as used in planning for metropolitan digital radio in the period 2007</w:t>
      </w:r>
      <w:r w:rsidR="000E09D2">
        <w:t>–</w:t>
      </w:r>
      <w:r>
        <w:t>09.</w:t>
      </w:r>
    </w:p>
    <w:p w14:paraId="519DD489" w14:textId="77777777" w:rsidR="00763DDC" w:rsidRDefault="00763DDC" w:rsidP="004D667C">
      <w:pPr>
        <w:pStyle w:val="Heading3"/>
      </w:pPr>
      <w:bookmarkStart w:id="4" w:name="_Toc469331631"/>
      <w:r>
        <w:t xml:space="preserve">A Note on </w:t>
      </w:r>
      <w:r w:rsidR="00AB79EE">
        <w:t>Principle 3</w:t>
      </w:r>
      <w:r w:rsidR="000E09D2">
        <w:t>—</w:t>
      </w:r>
      <w:r>
        <w:t xml:space="preserve">Licence </w:t>
      </w:r>
      <w:r w:rsidR="000E09D2">
        <w:t>a</w:t>
      </w:r>
      <w:r>
        <w:t xml:space="preserve">rea </w:t>
      </w:r>
      <w:r w:rsidR="000E09D2">
        <w:t>a</w:t>
      </w:r>
      <w:r>
        <w:t>ggregation</w:t>
      </w:r>
      <w:bookmarkEnd w:id="4"/>
    </w:p>
    <w:p w14:paraId="2EEF6D2D" w14:textId="77777777" w:rsidR="00B968FB" w:rsidRDefault="00763DDC" w:rsidP="00763DDC">
      <w:r w:rsidRPr="004C3995">
        <w:t>As part of the principle</w:t>
      </w:r>
      <w:r w:rsidR="000E09D2">
        <w:t>-</w:t>
      </w:r>
      <w:r w:rsidRPr="004C3995">
        <w:t>setting process</w:t>
      </w:r>
      <w:r w:rsidR="000E09D2">
        <w:t>,</w:t>
      </w:r>
      <w:r w:rsidRPr="004C3995">
        <w:t xml:space="preserve"> the TSC had </w:t>
      </w:r>
      <w:r>
        <w:t xml:space="preserve">recommended to the committee that licence area aggregations should be used as a tool to minimise the extent of interference between digital radio services.  </w:t>
      </w:r>
    </w:p>
    <w:p w14:paraId="323C3648" w14:textId="77777777" w:rsidR="00B968FB" w:rsidRDefault="00763DDC" w:rsidP="00763DDC">
      <w:r>
        <w:t xml:space="preserve">Subsequent to the 14 September 2016 committee meeting, CRA has advised that its members do not support the use of licence area aggregations. </w:t>
      </w:r>
    </w:p>
    <w:p w14:paraId="4AFB4751" w14:textId="77777777" w:rsidR="00763DDC" w:rsidRDefault="00763DDC" w:rsidP="00763DDC">
      <w:r>
        <w:t>Consequently, Principle 3 has been revised to reflect that the ACMA will not generally assume aggregation of licence areas in planning digital radio</w:t>
      </w:r>
      <w:r w:rsidRPr="004D667C">
        <w:t xml:space="preserve"> </w:t>
      </w:r>
      <w:r>
        <w:t>allotments.</w:t>
      </w:r>
    </w:p>
    <w:p w14:paraId="24EBBC21" w14:textId="77777777" w:rsidR="00C16E90" w:rsidRDefault="00C16E90" w:rsidP="004D667C">
      <w:pPr>
        <w:pStyle w:val="Heading3"/>
      </w:pPr>
      <w:bookmarkStart w:id="5" w:name="_Toc469331632"/>
      <w:r>
        <w:lastRenderedPageBreak/>
        <w:t xml:space="preserve">Future review of </w:t>
      </w:r>
      <w:r w:rsidR="004B7706">
        <w:t>p</w:t>
      </w:r>
      <w:r>
        <w:t xml:space="preserve">lanning </w:t>
      </w:r>
      <w:r w:rsidR="004B7706" w:rsidRPr="004D667C">
        <w:t>p</w:t>
      </w:r>
      <w:r w:rsidRPr="004D667C">
        <w:t>arameters</w:t>
      </w:r>
      <w:r>
        <w:t xml:space="preserve"> in Principle 5</w:t>
      </w:r>
      <w:bookmarkEnd w:id="5"/>
    </w:p>
    <w:p w14:paraId="029CFF54" w14:textId="77777777" w:rsidR="00C16E90" w:rsidRDefault="00C16E90" w:rsidP="00763DDC">
      <w:r>
        <w:t>There may be a future</w:t>
      </w:r>
      <w:r w:rsidRPr="0048784A">
        <w:t xml:space="preserve"> </w:t>
      </w:r>
      <w:r w:rsidRPr="00EF3BF8">
        <w:t>revis</w:t>
      </w:r>
      <w:r w:rsidRPr="0048784A">
        <w:t xml:space="preserve">ion of </w:t>
      </w:r>
      <w:r w:rsidRPr="00EF3BF8">
        <w:t xml:space="preserve">the </w:t>
      </w:r>
      <w:r>
        <w:t xml:space="preserve">radio frequency </w:t>
      </w:r>
      <w:r w:rsidR="004B7706">
        <w:t xml:space="preserve">(RF) </w:t>
      </w:r>
      <w:r w:rsidRPr="00EF3BF8">
        <w:t>planning parameters</w:t>
      </w:r>
      <w:r w:rsidRPr="0048784A">
        <w:t xml:space="preserve"> </w:t>
      </w:r>
      <w:r>
        <w:t xml:space="preserve">set out in Principle 5. </w:t>
      </w:r>
    </w:p>
    <w:p w14:paraId="5BFBFBFA" w14:textId="77777777" w:rsidR="00C16E90" w:rsidRDefault="00C16E90" w:rsidP="00763DDC">
      <w:r w:rsidRPr="0048784A">
        <w:t>The TSC has been tracking and</w:t>
      </w:r>
      <w:r>
        <w:t xml:space="preserve"> (</w:t>
      </w:r>
      <w:r w:rsidRPr="0048784A">
        <w:t>through CRA</w:t>
      </w:r>
      <w:r>
        <w:t>)</w:t>
      </w:r>
      <w:r w:rsidRPr="0048784A">
        <w:t xml:space="preserve"> providing input to a European Broadcasting Union group reviewing DAB+ technical planning parameters. </w:t>
      </w:r>
    </w:p>
    <w:p w14:paraId="6CFE8414" w14:textId="77777777" w:rsidR="003617E2" w:rsidRDefault="00C16E90" w:rsidP="00763DDC">
      <w:r w:rsidRPr="0048784A">
        <w:t>As this work progresses</w:t>
      </w:r>
      <w:r w:rsidR="004B7706">
        <w:t>,</w:t>
      </w:r>
      <w:r w:rsidRPr="0048784A">
        <w:t xml:space="preserve"> new information may become available</w:t>
      </w:r>
      <w:r w:rsidR="004B7706">
        <w:t>,</w:t>
      </w:r>
      <w:r w:rsidRPr="0048784A">
        <w:t xml:space="preserve"> which could lead to a further </w:t>
      </w:r>
      <w:r w:rsidRPr="00EF3BF8">
        <w:t>revis</w:t>
      </w:r>
      <w:r w:rsidRPr="0048784A">
        <w:t xml:space="preserve">ion of </w:t>
      </w:r>
      <w:r w:rsidRPr="00EF3BF8">
        <w:t>the</w:t>
      </w:r>
      <w:r>
        <w:t>se</w:t>
      </w:r>
      <w:r w:rsidRPr="00EF3BF8">
        <w:t xml:space="preserve"> </w:t>
      </w:r>
      <w:r>
        <w:t xml:space="preserve">RF </w:t>
      </w:r>
      <w:r w:rsidRPr="00EF3BF8">
        <w:t>planning parameters</w:t>
      </w:r>
      <w:r>
        <w:t>.</w:t>
      </w:r>
    </w:p>
    <w:p w14:paraId="7B1DF770" w14:textId="77777777" w:rsidR="00763DDC" w:rsidRDefault="00763DDC" w:rsidP="004D667C">
      <w:pPr>
        <w:pStyle w:val="Heading2"/>
      </w:pPr>
      <w:bookmarkStart w:id="6" w:name="_Toc469331633"/>
      <w:r>
        <w:t xml:space="preserve">The ACMA’s </w:t>
      </w:r>
      <w:r w:rsidR="004B7706">
        <w:t>p</w:t>
      </w:r>
      <w:r>
        <w:t xml:space="preserve">lanning </w:t>
      </w:r>
      <w:r w:rsidR="004B7706">
        <w:t>a</w:t>
      </w:r>
      <w:r>
        <w:t>pproach</w:t>
      </w:r>
      <w:bookmarkEnd w:id="6"/>
    </w:p>
    <w:p w14:paraId="47AA6D69" w14:textId="77777777" w:rsidR="003617E2" w:rsidRDefault="003617E2" w:rsidP="004D667C">
      <w:pPr>
        <w:pStyle w:val="Heading3"/>
      </w:pPr>
      <w:bookmarkStart w:id="7" w:name="_Toc469331634"/>
      <w:r>
        <w:t xml:space="preserve">The ACMA’s </w:t>
      </w:r>
      <w:r w:rsidRPr="004D667C">
        <w:t>planning</w:t>
      </w:r>
      <w:r>
        <w:t xml:space="preserve"> functions</w:t>
      </w:r>
      <w:bookmarkEnd w:id="7"/>
    </w:p>
    <w:p w14:paraId="70343A5F" w14:textId="77777777" w:rsidR="003617E2" w:rsidRDefault="00763DDC" w:rsidP="00763DDC">
      <w:r>
        <w:t xml:space="preserve">The ACMA proposes to take the planning principles presented below into consideration when carrying out its digital radio planning functions under section 44A of the </w:t>
      </w:r>
      <w:r w:rsidRPr="004C3995">
        <w:rPr>
          <w:i/>
        </w:rPr>
        <w:t>Radiocommunications Act 1992</w:t>
      </w:r>
      <w:r>
        <w:t xml:space="preserve">. </w:t>
      </w:r>
    </w:p>
    <w:p w14:paraId="1EB03790" w14:textId="77777777" w:rsidR="00763DDC" w:rsidRDefault="00763DDC" w:rsidP="00763DDC">
      <w:r>
        <w:t>From time</w:t>
      </w:r>
      <w:r w:rsidR="0015305C">
        <w:t>-</w:t>
      </w:r>
      <w:r>
        <w:t>to</w:t>
      </w:r>
      <w:r w:rsidR="0015305C">
        <w:t>-</w:t>
      </w:r>
      <w:r>
        <w:t xml:space="preserve">time during the planning process, circumstances may arise where it is necessary and appropriate for the ACMA to depart from the planning principles. In these instances, the ACMA will provide information about any </w:t>
      </w:r>
      <w:r w:rsidR="00D40F41">
        <w:t xml:space="preserve">proposed </w:t>
      </w:r>
      <w:r>
        <w:t xml:space="preserve">significant </w:t>
      </w:r>
      <w:r w:rsidR="00D40F41">
        <w:t xml:space="preserve">departure </w:t>
      </w:r>
      <w:r>
        <w:t xml:space="preserve">from the planning principles during the consultation process. </w:t>
      </w:r>
    </w:p>
    <w:p w14:paraId="69505C43" w14:textId="77777777" w:rsidR="003617E2" w:rsidRDefault="003617E2" w:rsidP="003617E2">
      <w:pPr>
        <w:pStyle w:val="Heading3"/>
      </w:pPr>
      <w:bookmarkStart w:id="8" w:name="_Toc469331635"/>
      <w:r>
        <w:t xml:space="preserve">Explanatory </w:t>
      </w:r>
      <w:r w:rsidR="0015305C">
        <w:t>n</w:t>
      </w:r>
      <w:r>
        <w:t xml:space="preserve">otes on </w:t>
      </w:r>
      <w:r w:rsidR="0015305C">
        <w:t>p</w:t>
      </w:r>
      <w:r>
        <w:t xml:space="preserve">lanning </w:t>
      </w:r>
      <w:r w:rsidR="0015305C">
        <w:t>p</w:t>
      </w:r>
      <w:r>
        <w:t>rinciples</w:t>
      </w:r>
      <w:bookmarkEnd w:id="8"/>
    </w:p>
    <w:p w14:paraId="4AF06515" w14:textId="77777777" w:rsidR="00763DDC" w:rsidRDefault="00763DDC" w:rsidP="00763DDC">
      <w:r>
        <w:t>Each of the high</w:t>
      </w:r>
      <w:r w:rsidR="0015305C">
        <w:t>-</w:t>
      </w:r>
      <w:r>
        <w:t xml:space="preserve">level planning principles set out </w:t>
      </w:r>
      <w:r w:rsidR="003617E2">
        <w:t xml:space="preserve">below </w:t>
      </w:r>
      <w:r w:rsidR="00006548">
        <w:t>is fo</w:t>
      </w:r>
      <w:r>
        <w:t xml:space="preserve">llowed by </w:t>
      </w:r>
      <w:r w:rsidR="00006548">
        <w:t xml:space="preserve">an </w:t>
      </w:r>
      <w:r>
        <w:t xml:space="preserve">explanatory note, which </w:t>
      </w:r>
      <w:r w:rsidR="00006548">
        <w:t>clarifies</w:t>
      </w:r>
      <w:r>
        <w:t xml:space="preserve"> the meaning and application of the principle</w:t>
      </w:r>
      <w:r w:rsidR="0015305C">
        <w:t>,</w:t>
      </w:r>
      <w:r>
        <w:t xml:space="preserve"> or indicate</w:t>
      </w:r>
      <w:r w:rsidR="00006548">
        <w:t>s</w:t>
      </w:r>
      <w:r w:rsidR="003617E2">
        <w:t xml:space="preserve"> the change from the previous radio</w:t>
      </w:r>
      <w:r w:rsidR="004A02C7">
        <w:t xml:space="preserve"> </w:t>
      </w:r>
      <w:r w:rsidR="003617E2">
        <w:t>frequency</w:t>
      </w:r>
      <w:r>
        <w:t xml:space="preserve"> planning parameter.</w:t>
      </w:r>
    </w:p>
    <w:p w14:paraId="0362C24E" w14:textId="77777777" w:rsidR="00763DDC" w:rsidRPr="00B15C28" w:rsidRDefault="00763DDC" w:rsidP="00D40F41">
      <w:pPr>
        <w:pStyle w:val="Heading1"/>
      </w:pPr>
      <w:bookmarkStart w:id="9" w:name="_Toc467829125"/>
      <w:bookmarkStart w:id="10" w:name="_Toc469331636"/>
      <w:r w:rsidRPr="00B15C28">
        <w:lastRenderedPageBreak/>
        <w:t xml:space="preserve">Planning </w:t>
      </w:r>
      <w:r w:rsidR="0015305C">
        <w:t>p</w:t>
      </w:r>
      <w:r w:rsidRPr="00B15C28">
        <w:t>rinciples</w:t>
      </w:r>
      <w:bookmarkEnd w:id="9"/>
      <w:bookmarkEnd w:id="10"/>
    </w:p>
    <w:p w14:paraId="7EC4DE7C" w14:textId="77777777" w:rsidR="00763DDC" w:rsidRDefault="00763DDC" w:rsidP="004D667C">
      <w:pPr>
        <w:pStyle w:val="Heading2"/>
      </w:pPr>
      <w:bookmarkStart w:id="11" w:name="_Toc469331637"/>
      <w:r w:rsidRPr="00763DDC">
        <w:t>Principle 1</w:t>
      </w:r>
      <w:r w:rsidR="0015305C">
        <w:t>—</w:t>
      </w:r>
      <w:r w:rsidRPr="00763DDC">
        <w:t>Overall planning approach</w:t>
      </w:r>
      <w:bookmarkEnd w:id="11"/>
    </w:p>
    <w:p w14:paraId="61982512" w14:textId="77777777" w:rsidR="00763DDC" w:rsidRPr="00265E12" w:rsidRDefault="00763DDC" w:rsidP="00763DDC">
      <w:pPr>
        <w:keepNext/>
        <w:shd w:val="clear" w:color="auto" w:fill="D9D9D9" w:themeFill="background1" w:themeFillShade="D9"/>
        <w:ind w:left="425" w:hanging="425"/>
        <w:rPr>
          <w:i/>
        </w:rPr>
      </w:pPr>
      <w:r w:rsidRPr="00F26F7D">
        <w:rPr>
          <w:i/>
        </w:rPr>
        <w:t>1.</w:t>
      </w:r>
      <w:r>
        <w:rPr>
          <w:i/>
        </w:rPr>
        <w:tab/>
      </w:r>
      <w:r w:rsidRPr="00265E12">
        <w:rPr>
          <w:i/>
        </w:rPr>
        <w:t>The planning of a licence area should address the wider area through the development of a regional plan encompassing all areas which may be affected by the transmissions in the target licence area.</w:t>
      </w:r>
    </w:p>
    <w:p w14:paraId="24D2FE47" w14:textId="77777777" w:rsidR="00763DDC" w:rsidRDefault="00763DDC" w:rsidP="00763DDC">
      <w:r>
        <w:t xml:space="preserve">This means that the first step in preparing the legislative </w:t>
      </w:r>
      <w:r w:rsidR="006E2872">
        <w:t>d</w:t>
      </w:r>
      <w:r>
        <w:t xml:space="preserve">igital </w:t>
      </w:r>
      <w:r w:rsidR="006E2872">
        <w:t>r</w:t>
      </w:r>
      <w:r>
        <w:t xml:space="preserve">adio </w:t>
      </w:r>
      <w:r w:rsidR="006E2872">
        <w:t>c</w:t>
      </w:r>
      <w:r>
        <w:t xml:space="preserve">hannel </w:t>
      </w:r>
      <w:r w:rsidR="006E2872">
        <w:t>p</w:t>
      </w:r>
      <w:r>
        <w:t>lan</w:t>
      </w:r>
      <w:r w:rsidR="006E2872">
        <w:rPr>
          <w:rStyle w:val="FootnoteReference"/>
        </w:rPr>
        <w:footnoteReference w:id="1"/>
      </w:r>
      <w:r w:rsidR="0015305C">
        <w:t>,</w:t>
      </w:r>
      <w:r>
        <w:t xml:space="preserve"> so that digital radio services can be licensed in a particular licence area</w:t>
      </w:r>
      <w:r w:rsidR="0015305C">
        <w:t>,</w:t>
      </w:r>
      <w:r>
        <w:t xml:space="preserve"> is the development of an indicative allotment plan for surrounding licence areas (most likely including all licence areas within a 300</w:t>
      </w:r>
      <w:r w:rsidR="0015305C">
        <w:t>–</w:t>
      </w:r>
      <w:r>
        <w:t>400 km radius).</w:t>
      </w:r>
    </w:p>
    <w:p w14:paraId="4D71C25C" w14:textId="77777777" w:rsidR="009F29EA" w:rsidRPr="00265E12" w:rsidRDefault="009F29EA" w:rsidP="009F29EA">
      <w:r>
        <w:rPr>
          <w:szCs w:val="22"/>
        </w:rPr>
        <w:t>The planning of any early markets progressed in advance of the completion of relevant</w:t>
      </w:r>
      <w:r w:rsidRPr="002F74A3">
        <w:rPr>
          <w:szCs w:val="22"/>
        </w:rPr>
        <w:t xml:space="preserve"> indicative regional allotment plans</w:t>
      </w:r>
      <w:r>
        <w:rPr>
          <w:szCs w:val="22"/>
        </w:rPr>
        <w:t xml:space="preserve"> may need to be revisited once the relevant regional allotment plan is completed.  </w:t>
      </w:r>
      <w:r w:rsidRPr="002F74A3">
        <w:rPr>
          <w:szCs w:val="22"/>
        </w:rPr>
        <w:t xml:space="preserve"> </w:t>
      </w:r>
    </w:p>
    <w:p w14:paraId="203A11B9" w14:textId="77777777" w:rsidR="00763DDC" w:rsidRDefault="00763DDC" w:rsidP="00ED35DD">
      <w:pPr>
        <w:pStyle w:val="Heading2"/>
      </w:pPr>
      <w:bookmarkStart w:id="12" w:name="_Toc469331638"/>
      <w:r w:rsidRPr="00763DDC">
        <w:t>Principle 2</w:t>
      </w:r>
      <w:r w:rsidR="0015305C">
        <w:t>—</w:t>
      </w:r>
      <w:r w:rsidRPr="00763DDC">
        <w:t>Proposed frequency allotment planning approach</w:t>
      </w:r>
      <w:bookmarkEnd w:id="12"/>
    </w:p>
    <w:p w14:paraId="6EC6B8ED" w14:textId="77777777" w:rsidR="00763DDC" w:rsidRDefault="00763DDC" w:rsidP="00763DDC">
      <w:pPr>
        <w:keepNext/>
        <w:shd w:val="clear" w:color="auto" w:fill="D9D9D9" w:themeFill="background1" w:themeFillShade="D9"/>
        <w:ind w:left="425" w:hanging="425"/>
        <w:rPr>
          <w:i/>
        </w:rPr>
      </w:pPr>
      <w:r>
        <w:rPr>
          <w:i/>
        </w:rPr>
        <w:t>2.1</w:t>
      </w:r>
      <w:r>
        <w:rPr>
          <w:i/>
        </w:rPr>
        <w:tab/>
      </w:r>
      <w:r w:rsidRPr="0088169D">
        <w:rPr>
          <w:i/>
        </w:rPr>
        <w:t>That the 6/2</w:t>
      </w:r>
      <w:r w:rsidR="00ED35DD">
        <w:rPr>
          <w:rStyle w:val="FootnoteReference"/>
          <w:i/>
        </w:rPr>
        <w:footnoteReference w:id="2"/>
      </w:r>
      <w:r w:rsidRPr="0088169D">
        <w:rPr>
          <w:i/>
        </w:rPr>
        <w:t xml:space="preserve"> frequency allotment scenario should be adopted</w:t>
      </w:r>
      <w:r w:rsidR="0015305C">
        <w:rPr>
          <w:i/>
        </w:rPr>
        <w:t>,</w:t>
      </w:r>
      <w:r w:rsidRPr="0088169D">
        <w:rPr>
          <w:i/>
        </w:rPr>
        <w:t xml:space="preserve"> with the national </w:t>
      </w:r>
      <w:r>
        <w:rPr>
          <w:i/>
        </w:rPr>
        <w:t xml:space="preserve">broadcaster </w:t>
      </w:r>
      <w:r w:rsidRPr="0088169D">
        <w:rPr>
          <w:i/>
        </w:rPr>
        <w:t>frequency blocks being 9C and 8B.</w:t>
      </w:r>
      <w:r>
        <w:rPr>
          <w:i/>
        </w:rPr>
        <w:t xml:space="preserve"> Frequency blocks 8A, 8C, 8D, 9A, 9B and 9D will be available for allotment in each licence area to multiplexes carrying commercial and community services.</w:t>
      </w:r>
    </w:p>
    <w:p w14:paraId="58B14A51" w14:textId="77777777" w:rsidR="00763DDC" w:rsidRDefault="00763DDC" w:rsidP="00763DDC">
      <w:pPr>
        <w:keepNext/>
        <w:shd w:val="clear" w:color="auto" w:fill="D9D9D9" w:themeFill="background1" w:themeFillShade="D9"/>
        <w:ind w:left="425" w:hanging="425"/>
        <w:rPr>
          <w:i/>
        </w:rPr>
      </w:pPr>
      <w:r>
        <w:rPr>
          <w:i/>
        </w:rPr>
        <w:t>2.2</w:t>
      </w:r>
      <w:r>
        <w:rPr>
          <w:i/>
        </w:rPr>
        <w:tab/>
      </w:r>
      <w:r w:rsidRPr="003E3B12">
        <w:rPr>
          <w:i/>
        </w:rPr>
        <w:t>A power limitation for all regional licence areas of 5</w:t>
      </w:r>
      <w:r>
        <w:rPr>
          <w:i/>
        </w:rPr>
        <w:t xml:space="preserve"> </w:t>
      </w:r>
      <w:r w:rsidRPr="003E3B12">
        <w:rPr>
          <w:i/>
        </w:rPr>
        <w:t xml:space="preserve">kW </w:t>
      </w:r>
      <w:r w:rsidRPr="00B472D5">
        <w:rPr>
          <w:i/>
        </w:rPr>
        <w:t>nominal</w:t>
      </w:r>
      <w:r w:rsidRPr="003E3B12">
        <w:rPr>
          <w:i/>
        </w:rPr>
        <w:t xml:space="preserve"> </w:t>
      </w:r>
      <w:r w:rsidR="00601046">
        <w:rPr>
          <w:i/>
        </w:rPr>
        <w:t>effective radiated power</w:t>
      </w:r>
      <w:r w:rsidRPr="003E3B12">
        <w:rPr>
          <w:i/>
        </w:rPr>
        <w:t xml:space="preserve"> should be used in determining the allotments and baseline interference levels. Higher power </w:t>
      </w:r>
      <w:r w:rsidRPr="00B472D5">
        <w:rPr>
          <w:i/>
        </w:rPr>
        <w:t>will</w:t>
      </w:r>
      <w:r w:rsidRPr="003E3B12">
        <w:rPr>
          <w:i/>
        </w:rPr>
        <w:t xml:space="preserve"> be considered on a case</w:t>
      </w:r>
      <w:r w:rsidR="0015305C">
        <w:rPr>
          <w:i/>
        </w:rPr>
        <w:t>-</w:t>
      </w:r>
      <w:r w:rsidRPr="003E3B12">
        <w:rPr>
          <w:i/>
        </w:rPr>
        <w:t>by</w:t>
      </w:r>
      <w:r w:rsidR="0015305C">
        <w:rPr>
          <w:i/>
        </w:rPr>
        <w:t>-</w:t>
      </w:r>
      <w:r w:rsidRPr="003E3B12">
        <w:rPr>
          <w:i/>
        </w:rPr>
        <w:t>case basis if there is minimal additional interference to other areas. Note</w:t>
      </w:r>
      <w:r w:rsidR="0015305C">
        <w:rPr>
          <w:i/>
        </w:rPr>
        <w:t>,</w:t>
      </w:r>
      <w:r w:rsidRPr="003E3B12">
        <w:rPr>
          <w:i/>
        </w:rPr>
        <w:t xml:space="preserve"> however</w:t>
      </w:r>
      <w:r w:rsidR="0015305C">
        <w:rPr>
          <w:i/>
        </w:rPr>
        <w:t>,</w:t>
      </w:r>
      <w:r w:rsidRPr="003E3B12">
        <w:rPr>
          <w:i/>
        </w:rPr>
        <w:t xml:space="preserve"> that some areas may need to be even lower power (</w:t>
      </w:r>
      <w:r w:rsidR="0015305C">
        <w:rPr>
          <w:i/>
        </w:rPr>
        <w:t>for example,</w:t>
      </w:r>
      <w:r w:rsidRPr="003E3B12">
        <w:rPr>
          <w:i/>
        </w:rPr>
        <w:t xml:space="preserve"> Katoomba)</w:t>
      </w:r>
      <w:r w:rsidR="0015305C">
        <w:rPr>
          <w:i/>
        </w:rPr>
        <w:t>,</w:t>
      </w:r>
      <w:r w:rsidRPr="003E3B12">
        <w:rPr>
          <w:i/>
        </w:rPr>
        <w:t xml:space="preserve"> due to the local topography and proximity to other licence areas.</w:t>
      </w:r>
    </w:p>
    <w:p w14:paraId="247CE6C2" w14:textId="77777777" w:rsidR="00763DDC" w:rsidRDefault="00763DDC" w:rsidP="00763DDC">
      <w:r>
        <w:t xml:space="preserve">The ACMA expects to prepare, in collaboration with </w:t>
      </w:r>
      <w:r w:rsidR="00455DB8">
        <w:t>the radio broadcasting i</w:t>
      </w:r>
      <w:r>
        <w:t xml:space="preserve">ndustry, a series of regional indicative allotment plans showing how </w:t>
      </w:r>
      <w:r w:rsidR="00006548">
        <w:t xml:space="preserve">the </w:t>
      </w:r>
      <w:r>
        <w:t xml:space="preserve">six frequency blocks </w:t>
      </w:r>
      <w:r w:rsidR="00006548">
        <w:t xml:space="preserve">identified for multiplexes carrying commercial and community services </w:t>
      </w:r>
      <w:r>
        <w:t>would be used in each regional commercial radio licence area.</w:t>
      </w:r>
    </w:p>
    <w:p w14:paraId="66AD7871" w14:textId="77777777" w:rsidR="00763DDC" w:rsidRDefault="00763DDC" w:rsidP="00763DDC">
      <w:r>
        <w:t xml:space="preserve">To prepare such plans, notional transmitter networks for each licence area would be proposed and the level of interference between each network evaluated. </w:t>
      </w:r>
      <w:r w:rsidR="00B93E56">
        <w:t>All transmitters in a notional transmitter network for each licence area will be assumed to be part of a single frequency network</w:t>
      </w:r>
      <w:r w:rsidR="0015305C">
        <w:t>,</w:t>
      </w:r>
      <w:r w:rsidR="00B93E56">
        <w:t xml:space="preserve"> with the transmitter synchronisation optimised to minimise interference. </w:t>
      </w:r>
      <w:r>
        <w:t xml:space="preserve">The maximum </w:t>
      </w:r>
      <w:r w:rsidR="00601046">
        <w:t>effective radiated power</w:t>
      </w:r>
      <w:r>
        <w:t xml:space="preserve"> of any transmitter in these notional transmitter networks would be 5</w:t>
      </w:r>
      <w:r w:rsidR="00601046">
        <w:t> </w:t>
      </w:r>
      <w:r>
        <w:t>kW.</w:t>
      </w:r>
    </w:p>
    <w:p w14:paraId="27F26A55" w14:textId="77777777" w:rsidR="00763DDC" w:rsidRPr="00CF7A70" w:rsidRDefault="00763DDC" w:rsidP="00763DDC">
      <w:r>
        <w:t>National broadcasters would be consulted on which of the two available frequency blocks (</w:t>
      </w:r>
      <w:r w:rsidR="006D60F1">
        <w:t xml:space="preserve">8B </w:t>
      </w:r>
      <w:r>
        <w:t xml:space="preserve">or 9C) identified for the national multiplexes should be included when preparing each </w:t>
      </w:r>
      <w:r w:rsidR="006E2872">
        <w:t>d</w:t>
      </w:r>
      <w:r>
        <w:t xml:space="preserve">igital </w:t>
      </w:r>
      <w:r w:rsidR="006E2872">
        <w:t>r</w:t>
      </w:r>
      <w:r>
        <w:t xml:space="preserve">adio </w:t>
      </w:r>
      <w:r w:rsidR="006E2872">
        <w:t>c</w:t>
      </w:r>
      <w:r>
        <w:t xml:space="preserve">hannel </w:t>
      </w:r>
      <w:r w:rsidR="006E2872">
        <w:t>p</w:t>
      </w:r>
      <w:r>
        <w:t>lan.</w:t>
      </w:r>
    </w:p>
    <w:p w14:paraId="19E60C35" w14:textId="77777777" w:rsidR="00763DDC" w:rsidRDefault="00763DDC" w:rsidP="00ED35DD">
      <w:pPr>
        <w:pStyle w:val="Heading2"/>
      </w:pPr>
      <w:bookmarkStart w:id="13" w:name="_Toc469331639"/>
      <w:r w:rsidRPr="00763DDC">
        <w:lastRenderedPageBreak/>
        <w:t>Principle 3</w:t>
      </w:r>
      <w:r w:rsidR="0015305C">
        <w:t>—</w:t>
      </w:r>
      <w:r w:rsidRPr="00763DDC">
        <w:t>Licence area aggregation</w:t>
      </w:r>
      <w:bookmarkEnd w:id="13"/>
    </w:p>
    <w:p w14:paraId="296F121D" w14:textId="77777777" w:rsidR="00763DDC" w:rsidRDefault="00763DDC" w:rsidP="00763DDC">
      <w:pPr>
        <w:keepNext/>
        <w:shd w:val="clear" w:color="auto" w:fill="D9D9D9" w:themeFill="background1" w:themeFillShade="D9"/>
        <w:ind w:left="425" w:hanging="425"/>
        <w:rPr>
          <w:i/>
        </w:rPr>
      </w:pPr>
      <w:r w:rsidRPr="00CF7A70">
        <w:rPr>
          <w:i/>
        </w:rPr>
        <w:t>3.</w:t>
      </w:r>
      <w:r>
        <w:rPr>
          <w:i/>
        </w:rPr>
        <w:tab/>
      </w:r>
      <w:r w:rsidRPr="00CF7A70">
        <w:rPr>
          <w:i/>
        </w:rPr>
        <w:t>In preparing indicative allotment plans</w:t>
      </w:r>
      <w:r w:rsidR="0015305C">
        <w:rPr>
          <w:i/>
        </w:rPr>
        <w:t>,</w:t>
      </w:r>
      <w:r w:rsidRPr="00CF7A70">
        <w:rPr>
          <w:i/>
        </w:rPr>
        <w:t xml:space="preserve"> </w:t>
      </w:r>
      <w:r>
        <w:rPr>
          <w:i/>
        </w:rPr>
        <w:t>the ACMA</w:t>
      </w:r>
      <w:r w:rsidRPr="00CF7A70">
        <w:rPr>
          <w:i/>
        </w:rPr>
        <w:t xml:space="preserve"> would </w:t>
      </w:r>
      <w:r>
        <w:rPr>
          <w:i/>
        </w:rPr>
        <w:t>generally</w:t>
      </w:r>
      <w:r w:rsidRPr="00CF7A70">
        <w:rPr>
          <w:i/>
        </w:rPr>
        <w:t xml:space="preserve"> assume that licence areas would not be aggregated.</w:t>
      </w:r>
    </w:p>
    <w:p w14:paraId="2516B99B" w14:textId="77777777" w:rsidR="00763DDC" w:rsidRDefault="00763DDC" w:rsidP="00763DDC">
      <w:r>
        <w:t xml:space="preserve">The work of the TSC identified that a limited amount of licence area aggregation would be a useful tool in reducing interference to acceptable levels and making efficient use of the spectrum and multiplex capacity. </w:t>
      </w:r>
      <w:r w:rsidR="00E724AF">
        <w:t>This licence area aggregation proposal only related to the provision of digital radio services and was not intended to affect analog radio services.</w:t>
      </w:r>
      <w:r>
        <w:t xml:space="preserve"> While the utility of aggregation as a planning tool is well understood by industry, the commercial radio sector, represented by </w:t>
      </w:r>
      <w:r w:rsidR="0015305C">
        <w:t>CRA</w:t>
      </w:r>
      <w:r>
        <w:t xml:space="preserve">, has indicated that it is not disposed to progress licence area aggregation as a broad planning principle at this time. </w:t>
      </w:r>
    </w:p>
    <w:p w14:paraId="73DB2554" w14:textId="77777777" w:rsidR="00763DDC" w:rsidRDefault="00763DDC" w:rsidP="004D667C">
      <w:r>
        <w:t>Given that there is no current proposal to amend legislation in favour of licence area aggregation</w:t>
      </w:r>
      <w:r w:rsidR="00E724AF">
        <w:t xml:space="preserve"> for the purposes of digital radio</w:t>
      </w:r>
      <w:r>
        <w:t>, the planning principles</w:t>
      </w:r>
      <w:r w:rsidR="00455DB8">
        <w:t xml:space="preserve"> </w:t>
      </w:r>
      <w:r>
        <w:t>assume that licence areas will not be aggregated.</w:t>
      </w:r>
    </w:p>
    <w:p w14:paraId="3934064C" w14:textId="77777777" w:rsidR="00763DDC" w:rsidRDefault="009F29EA" w:rsidP="00763DDC">
      <w:r>
        <w:t xml:space="preserve">In the absence of a planning principle that supports licence area aggregation, there may be circumstances where extreme spectrum congestion will </w:t>
      </w:r>
      <w:r w:rsidR="00FA1E3B">
        <w:t>affect</w:t>
      </w:r>
      <w:r>
        <w:t xml:space="preserve"> the </w:t>
      </w:r>
      <w:r w:rsidR="00FA1E3B">
        <w:t xml:space="preserve">ability </w:t>
      </w:r>
      <w:r>
        <w:t>of licensees to offer digital radio services in their licence areas. In these situations, the ACMA would pursue bespoke planning solutions in consultation with affected parties.</w:t>
      </w:r>
    </w:p>
    <w:p w14:paraId="1BE251FA" w14:textId="77777777" w:rsidR="00763DDC" w:rsidRDefault="00763DDC" w:rsidP="00ED35DD">
      <w:pPr>
        <w:pStyle w:val="Heading2"/>
      </w:pPr>
      <w:bookmarkStart w:id="14" w:name="_Toc469331640"/>
      <w:r w:rsidRPr="00763DDC">
        <w:t>Principle 4</w:t>
      </w:r>
      <w:r w:rsidR="0015305C">
        <w:t>—</w:t>
      </w:r>
      <w:r w:rsidRPr="00763DDC">
        <w:t>Transmitter site selection</w:t>
      </w:r>
      <w:bookmarkEnd w:id="14"/>
    </w:p>
    <w:p w14:paraId="546F986B" w14:textId="77777777" w:rsidR="00763DDC" w:rsidRPr="00DF4057" w:rsidRDefault="00763DDC" w:rsidP="006D60F1">
      <w:pPr>
        <w:keepNext/>
        <w:shd w:val="clear" w:color="auto" w:fill="D9D9D9" w:themeFill="background1" w:themeFillShade="D9"/>
        <w:tabs>
          <w:tab w:val="left" w:pos="426"/>
          <w:tab w:val="left" w:pos="851"/>
        </w:tabs>
        <w:spacing w:after="80"/>
        <w:ind w:left="425" w:hanging="425"/>
        <w:rPr>
          <w:i/>
        </w:rPr>
      </w:pPr>
      <w:r w:rsidRPr="00CF7A70">
        <w:t>4.</w:t>
      </w:r>
      <w:r w:rsidRPr="00CF7A70">
        <w:tab/>
      </w:r>
      <w:r w:rsidRPr="00635088">
        <w:rPr>
          <w:i/>
        </w:rPr>
        <w:t>W</w:t>
      </w:r>
      <w:r w:rsidRPr="00DF4057">
        <w:rPr>
          <w:i/>
        </w:rPr>
        <w:t>hen selecting sites for main transmitters and repeaters</w:t>
      </w:r>
      <w:r w:rsidR="0015305C">
        <w:rPr>
          <w:i/>
        </w:rPr>
        <w:t>,</w:t>
      </w:r>
      <w:r w:rsidRPr="00DF4057">
        <w:rPr>
          <w:i/>
        </w:rPr>
        <w:t xml:space="preserve"> the following rules should be followed:</w:t>
      </w:r>
    </w:p>
    <w:p w14:paraId="58372E57" w14:textId="77777777" w:rsidR="00763DDC" w:rsidRPr="00CF7A70" w:rsidRDefault="00763DDC" w:rsidP="006D60F1">
      <w:pPr>
        <w:keepNext/>
        <w:shd w:val="clear" w:color="auto" w:fill="D9D9D9" w:themeFill="background1" w:themeFillShade="D9"/>
        <w:tabs>
          <w:tab w:val="left" w:pos="426"/>
          <w:tab w:val="left" w:pos="851"/>
        </w:tabs>
        <w:spacing w:after="80"/>
        <w:ind w:left="851" w:hanging="851"/>
        <w:rPr>
          <w:i/>
        </w:rPr>
      </w:pPr>
      <w:r>
        <w:rPr>
          <w:i/>
        </w:rPr>
        <w:tab/>
      </w:r>
      <w:r w:rsidRPr="00635088">
        <w:rPr>
          <w:i/>
        </w:rPr>
        <w:t>a)</w:t>
      </w:r>
      <w:r>
        <w:rPr>
          <w:i/>
        </w:rPr>
        <w:tab/>
      </w:r>
      <w:r w:rsidR="0015305C">
        <w:rPr>
          <w:i/>
        </w:rPr>
        <w:t>m</w:t>
      </w:r>
      <w:r w:rsidRPr="00CF7A70">
        <w:rPr>
          <w:i/>
        </w:rPr>
        <w:t xml:space="preserve">ain transmitters (or repeaters) should be co-sited with local VHF </w:t>
      </w:r>
      <w:r>
        <w:rPr>
          <w:i/>
        </w:rPr>
        <w:t xml:space="preserve">digital television </w:t>
      </w:r>
      <w:r w:rsidRPr="00CF7A70">
        <w:rPr>
          <w:i/>
        </w:rPr>
        <w:t>when it is used in a licence area</w:t>
      </w:r>
      <w:r w:rsidR="0015305C">
        <w:rPr>
          <w:i/>
        </w:rPr>
        <w:t>,</w:t>
      </w:r>
      <w:r w:rsidRPr="00CF7A70">
        <w:rPr>
          <w:i/>
        </w:rPr>
        <w:t xml:space="preserve"> wherever practical</w:t>
      </w:r>
    </w:p>
    <w:p w14:paraId="57F9A7E8" w14:textId="77777777" w:rsidR="00601046" w:rsidRPr="00CF7A70" w:rsidRDefault="00763DDC" w:rsidP="006D60F1">
      <w:pPr>
        <w:keepNext/>
        <w:shd w:val="clear" w:color="auto" w:fill="D9D9D9" w:themeFill="background1" w:themeFillShade="D9"/>
        <w:tabs>
          <w:tab w:val="left" w:pos="426"/>
          <w:tab w:val="left" w:pos="851"/>
        </w:tabs>
        <w:spacing w:after="80"/>
        <w:ind w:left="851" w:hanging="851"/>
        <w:rPr>
          <w:i/>
        </w:rPr>
      </w:pPr>
      <w:r>
        <w:rPr>
          <w:i/>
        </w:rPr>
        <w:tab/>
        <w:t>b)</w:t>
      </w:r>
      <w:r>
        <w:rPr>
          <w:i/>
        </w:rPr>
        <w:tab/>
      </w:r>
      <w:r w:rsidR="0015305C">
        <w:rPr>
          <w:i/>
        </w:rPr>
        <w:t>w</w:t>
      </w:r>
      <w:r w:rsidRPr="00CF7A70">
        <w:rPr>
          <w:i/>
        </w:rPr>
        <w:t>here there are multiple DAB+ transmissions in the same area</w:t>
      </w:r>
      <w:r w:rsidR="0015305C">
        <w:rPr>
          <w:i/>
        </w:rPr>
        <w:t>,</w:t>
      </w:r>
      <w:r w:rsidRPr="00CF7A70">
        <w:rPr>
          <w:i/>
        </w:rPr>
        <w:t xml:space="preserve"> the main transmitters should be co-sited</w:t>
      </w:r>
      <w:r w:rsidR="0015305C">
        <w:rPr>
          <w:i/>
        </w:rPr>
        <w:t>,</w:t>
      </w:r>
      <w:r w:rsidRPr="00CF7A70">
        <w:rPr>
          <w:i/>
        </w:rPr>
        <w:t xml:space="preserve"> wherever practical</w:t>
      </w:r>
    </w:p>
    <w:p w14:paraId="1FAB4321" w14:textId="77777777" w:rsidR="00601046" w:rsidRPr="00CF7A70" w:rsidRDefault="00763DDC" w:rsidP="006D60F1">
      <w:pPr>
        <w:keepNext/>
        <w:shd w:val="clear" w:color="auto" w:fill="D9D9D9" w:themeFill="background1" w:themeFillShade="D9"/>
        <w:tabs>
          <w:tab w:val="left" w:pos="426"/>
          <w:tab w:val="left" w:pos="851"/>
        </w:tabs>
        <w:spacing w:after="80"/>
        <w:ind w:left="851" w:hanging="851"/>
        <w:rPr>
          <w:i/>
        </w:rPr>
      </w:pPr>
      <w:r>
        <w:rPr>
          <w:i/>
        </w:rPr>
        <w:tab/>
        <w:t>c)</w:t>
      </w:r>
      <w:r>
        <w:rPr>
          <w:i/>
        </w:rPr>
        <w:tab/>
      </w:r>
      <w:r w:rsidR="0015305C">
        <w:rPr>
          <w:i/>
        </w:rPr>
        <w:t>w</w:t>
      </w:r>
      <w:r w:rsidRPr="00CF7A70">
        <w:rPr>
          <w:i/>
        </w:rPr>
        <w:t>here transmitters and repeaters are proposed after the establishment of the first DAB+ multiplex operating in the area</w:t>
      </w:r>
      <w:r w:rsidR="0015305C">
        <w:rPr>
          <w:i/>
        </w:rPr>
        <w:t>,</w:t>
      </w:r>
      <w:r w:rsidRPr="00CF7A70">
        <w:rPr>
          <w:i/>
        </w:rPr>
        <w:t xml:space="preserve"> the licensee of any subsequent DAB+ multiplex should ensure that there is no interference into the established DAB+ multiplexes (earlier deployment has precedence)</w:t>
      </w:r>
      <w:r w:rsidR="00601046" w:rsidRPr="00601046">
        <w:rPr>
          <w:i/>
        </w:rPr>
        <w:t xml:space="preserve"> </w:t>
      </w:r>
    </w:p>
    <w:p w14:paraId="083B0649" w14:textId="77777777" w:rsidR="00601046" w:rsidRPr="00CF7A70" w:rsidRDefault="00763DDC" w:rsidP="006D60F1">
      <w:pPr>
        <w:keepNext/>
        <w:shd w:val="clear" w:color="auto" w:fill="D9D9D9" w:themeFill="background1" w:themeFillShade="D9"/>
        <w:tabs>
          <w:tab w:val="left" w:pos="426"/>
          <w:tab w:val="left" w:pos="851"/>
        </w:tabs>
        <w:spacing w:after="80"/>
        <w:ind w:left="851" w:hanging="851"/>
        <w:rPr>
          <w:i/>
        </w:rPr>
      </w:pPr>
      <w:r>
        <w:rPr>
          <w:i/>
        </w:rPr>
        <w:tab/>
        <w:t>d)</w:t>
      </w:r>
      <w:r>
        <w:rPr>
          <w:i/>
        </w:rPr>
        <w:tab/>
      </w:r>
      <w:r w:rsidRPr="00CF7A70">
        <w:rPr>
          <w:i/>
        </w:rPr>
        <w:t xml:space="preserve">Repeaters </w:t>
      </w:r>
      <w:r w:rsidR="0015305C">
        <w:rPr>
          <w:i/>
        </w:rPr>
        <w:t>that</w:t>
      </w:r>
      <w:r w:rsidR="0015305C" w:rsidRPr="00CF7A70">
        <w:rPr>
          <w:i/>
        </w:rPr>
        <w:t xml:space="preserve"> </w:t>
      </w:r>
      <w:r w:rsidRPr="00CF7A70">
        <w:rPr>
          <w:i/>
        </w:rPr>
        <w:t>are not co-sited with VHF television transmitters should as far as practical</w:t>
      </w:r>
      <w:r w:rsidR="0015305C">
        <w:rPr>
          <w:i/>
        </w:rPr>
        <w:t>,</w:t>
      </w:r>
      <w:r w:rsidRPr="00CF7A70">
        <w:rPr>
          <w:i/>
        </w:rPr>
        <w:t xml:space="preserve"> ensure that either</w:t>
      </w:r>
      <w:r w:rsidR="00601046">
        <w:rPr>
          <w:i/>
        </w:rPr>
        <w:t>:</w:t>
      </w:r>
    </w:p>
    <w:p w14:paraId="5B6CC1F6" w14:textId="77777777" w:rsidR="00601046" w:rsidRPr="00CF7A70" w:rsidRDefault="00763DDC" w:rsidP="006D60F1">
      <w:pPr>
        <w:keepNext/>
        <w:shd w:val="clear" w:color="auto" w:fill="D9D9D9" w:themeFill="background1" w:themeFillShade="D9"/>
        <w:tabs>
          <w:tab w:val="left" w:pos="851"/>
          <w:tab w:val="left" w:pos="1276"/>
        </w:tabs>
        <w:spacing w:after="80"/>
        <w:ind w:left="1276" w:hanging="1276"/>
        <w:rPr>
          <w:i/>
        </w:rPr>
      </w:pPr>
      <w:r w:rsidRPr="00635088">
        <w:rPr>
          <w:i/>
        </w:rPr>
        <w:tab/>
        <w:t>i</w:t>
      </w:r>
      <w:r>
        <w:rPr>
          <w:i/>
        </w:rPr>
        <w:t>.</w:t>
      </w:r>
      <w:r>
        <w:rPr>
          <w:i/>
        </w:rPr>
        <w:tab/>
      </w:r>
      <w:r w:rsidRPr="00CF7A70">
        <w:rPr>
          <w:i/>
        </w:rPr>
        <w:t>there is an alternative television source available</w:t>
      </w:r>
      <w:r w:rsidR="0015305C">
        <w:rPr>
          <w:i/>
        </w:rPr>
        <w:t>,</w:t>
      </w:r>
      <w:r w:rsidRPr="00CF7A70">
        <w:rPr>
          <w:i/>
        </w:rPr>
        <w:t xml:space="preserve"> </w:t>
      </w:r>
      <w:r w:rsidR="0015305C">
        <w:rPr>
          <w:i/>
        </w:rPr>
        <w:t>for example,</w:t>
      </w:r>
      <w:r w:rsidRPr="00CF7A70">
        <w:rPr>
          <w:i/>
        </w:rPr>
        <w:t xml:space="preserve"> UHF, or</w:t>
      </w:r>
    </w:p>
    <w:p w14:paraId="7659D0FB" w14:textId="77777777" w:rsidR="00763DDC" w:rsidRPr="00DF4057" w:rsidRDefault="00763DDC" w:rsidP="00601046">
      <w:pPr>
        <w:keepNext/>
        <w:shd w:val="clear" w:color="auto" w:fill="D9D9D9" w:themeFill="background1" w:themeFillShade="D9"/>
        <w:tabs>
          <w:tab w:val="left" w:pos="851"/>
          <w:tab w:val="left" w:pos="1276"/>
        </w:tabs>
        <w:ind w:left="1276" w:hanging="1276"/>
        <w:rPr>
          <w:i/>
        </w:rPr>
      </w:pPr>
      <w:r w:rsidRPr="009E3FB5">
        <w:rPr>
          <w:i/>
        </w:rPr>
        <w:tab/>
        <w:t>i</w:t>
      </w:r>
      <w:r>
        <w:rPr>
          <w:i/>
        </w:rPr>
        <w:t>i.</w:t>
      </w:r>
      <w:r>
        <w:rPr>
          <w:i/>
        </w:rPr>
        <w:tab/>
      </w:r>
      <w:r w:rsidRPr="00DF4057">
        <w:rPr>
          <w:i/>
        </w:rPr>
        <w:t>no VHF services are lost by existing consumers. Note that fortuitous coverage is not included.</w:t>
      </w:r>
    </w:p>
    <w:p w14:paraId="6EB32C7C" w14:textId="77777777" w:rsidR="00763DDC" w:rsidRDefault="00763DDC" w:rsidP="004D667C">
      <w:r>
        <w:t>These transmitter site selection criteria are intended to minimise the risk of interference to digital television services and to other digital radio services.</w:t>
      </w:r>
    </w:p>
    <w:p w14:paraId="6ABE8243" w14:textId="77777777" w:rsidR="00763DDC" w:rsidRDefault="00763DDC" w:rsidP="00763DDC">
      <w:r>
        <w:t>In developing the notional transmitter networks, which are a pre-requisite to preparing indicative allotment plans, the ACMA would have regard to these transmitter site selection criteria. However, site selection is ultimately a matter for licensees in planning the rollout of their networks.</w:t>
      </w:r>
    </w:p>
    <w:p w14:paraId="29982FDD" w14:textId="77777777" w:rsidR="00763DDC" w:rsidRPr="00CF7A70" w:rsidRDefault="00763DDC" w:rsidP="004D667C">
      <w:r w:rsidRPr="00CF7A70">
        <w:t>In planning the rollout of DAB+ transmitters</w:t>
      </w:r>
      <w:r w:rsidR="004D667C">
        <w:t>,</w:t>
      </w:r>
      <w:r w:rsidRPr="00CF7A70">
        <w:t xml:space="preserve"> all licensees (and prospective licensees) </w:t>
      </w:r>
      <w:r w:rsidR="00FA1E3B">
        <w:t xml:space="preserve">will </w:t>
      </w:r>
      <w:r w:rsidRPr="00CF7A70">
        <w:t>be encouraged to collaborate with the other licensee(s) that will operate in the same area</w:t>
      </w:r>
      <w:r w:rsidR="004D667C">
        <w:t>,</w:t>
      </w:r>
      <w:r w:rsidRPr="00CF7A70">
        <w:t xml:space="preserve"> to minimise the potential for </w:t>
      </w:r>
      <w:r>
        <w:t>adjacent channel interference (</w:t>
      </w:r>
      <w:r w:rsidRPr="00CF7A70">
        <w:t>ACI</w:t>
      </w:r>
      <w:r>
        <w:t>)</w:t>
      </w:r>
      <w:r w:rsidR="004D667C">
        <w:t>. C</w:t>
      </w:r>
      <w:r w:rsidRPr="00CF7A70">
        <w:t xml:space="preserve">o-siting of transmitters and repeaters </w:t>
      </w:r>
      <w:r w:rsidR="004D667C">
        <w:t xml:space="preserve">are </w:t>
      </w:r>
      <w:r w:rsidRPr="00CF7A70">
        <w:t xml:space="preserve">recommended as an effective way of preventing </w:t>
      </w:r>
      <w:r>
        <w:t>ACI ‘punching holes’ in the coverage of overlapping services</w:t>
      </w:r>
      <w:r w:rsidRPr="00CF7A70">
        <w:t>.</w:t>
      </w:r>
    </w:p>
    <w:p w14:paraId="4E70FDDC" w14:textId="77777777" w:rsidR="00763DDC" w:rsidRDefault="00763DDC" w:rsidP="00ED35DD">
      <w:pPr>
        <w:pStyle w:val="Heading2"/>
      </w:pPr>
      <w:bookmarkStart w:id="15" w:name="_Toc469331641"/>
      <w:r w:rsidRPr="00763DDC">
        <w:lastRenderedPageBreak/>
        <w:t>Principle 5</w:t>
      </w:r>
      <w:r w:rsidR="004D667C">
        <w:t>—</w:t>
      </w:r>
      <w:r w:rsidRPr="00763DDC">
        <w:t>RF planning parameters</w:t>
      </w:r>
      <w:bookmarkEnd w:id="15"/>
    </w:p>
    <w:p w14:paraId="5FC7D330" w14:textId="77777777" w:rsidR="00763DDC" w:rsidRDefault="00763DDC" w:rsidP="00763DDC">
      <w:pPr>
        <w:keepNext/>
        <w:shd w:val="clear" w:color="auto" w:fill="D9D9D9" w:themeFill="background1" w:themeFillShade="D9"/>
        <w:ind w:left="425" w:hanging="425"/>
        <w:rPr>
          <w:i/>
        </w:rPr>
      </w:pPr>
      <w:r w:rsidRPr="00CF7A70">
        <w:t>5.1</w:t>
      </w:r>
      <w:r w:rsidRPr="00CF7A70">
        <w:tab/>
      </w:r>
      <w:r w:rsidRPr="00635088">
        <w:rPr>
          <w:i/>
        </w:rPr>
        <w:t>The planning of DAB+ in regional Australia will assume Protection Level EEP-3A</w:t>
      </w:r>
      <w:r>
        <w:rPr>
          <w:i/>
        </w:rPr>
        <w:br/>
      </w:r>
      <w:r w:rsidRPr="00635088">
        <w:rPr>
          <w:i/>
        </w:rPr>
        <w:t>(FEC code rate ½).</w:t>
      </w:r>
    </w:p>
    <w:p w14:paraId="0FFDB25B" w14:textId="77777777" w:rsidR="00763DDC" w:rsidRPr="00CF7A70" w:rsidRDefault="00763DDC" w:rsidP="00763DDC">
      <w:r>
        <w:t xml:space="preserve">This is the protection level to be assumed in allotment planning. However, licensees </w:t>
      </w:r>
      <w:r w:rsidR="00E724AF">
        <w:t xml:space="preserve">and broadcasters </w:t>
      </w:r>
      <w:r>
        <w:t xml:space="preserve">are free to use other equal error protection (EEP) levels </w:t>
      </w:r>
      <w:r w:rsidR="004D667C">
        <w:t xml:space="preserve">that </w:t>
      </w:r>
      <w:r>
        <w:t xml:space="preserve">have different forward error correction (FEC) code rates, noting the impact that </w:t>
      </w:r>
      <w:r w:rsidR="006D60F1">
        <w:t xml:space="preserve">these may </w:t>
      </w:r>
      <w:r>
        <w:t xml:space="preserve">have on the multiplex capacity </w:t>
      </w:r>
      <w:r w:rsidR="00E724AF">
        <w:t xml:space="preserve">(as a whole, or for each fraction to which </w:t>
      </w:r>
      <w:r w:rsidR="006D60F1">
        <w:t>they are</w:t>
      </w:r>
      <w:r w:rsidR="00E724AF">
        <w:t xml:space="preserve"> applied)</w:t>
      </w:r>
      <w:r w:rsidR="004D667C">
        <w:t>,</w:t>
      </w:r>
      <w:r w:rsidR="00E724AF">
        <w:t xml:space="preserve"> </w:t>
      </w:r>
      <w:r>
        <w:t>as well as the</w:t>
      </w:r>
      <w:r w:rsidR="002B5872">
        <w:t>ir</w:t>
      </w:r>
      <w:r>
        <w:t xml:space="preserve"> relative robustness and immunity to interference.</w:t>
      </w:r>
    </w:p>
    <w:p w14:paraId="12AFFF57" w14:textId="77777777" w:rsidR="00763DDC" w:rsidRDefault="00763DDC" w:rsidP="00763DDC">
      <w:pPr>
        <w:keepNext/>
        <w:shd w:val="clear" w:color="auto" w:fill="D9D9D9" w:themeFill="background1" w:themeFillShade="D9"/>
        <w:ind w:left="425" w:hanging="425"/>
        <w:rPr>
          <w:i/>
        </w:rPr>
      </w:pPr>
      <w:r w:rsidRPr="00CF7A70">
        <w:t>5</w:t>
      </w:r>
      <w:r>
        <w:t>.2</w:t>
      </w:r>
      <w:r>
        <w:tab/>
      </w:r>
      <w:r>
        <w:rPr>
          <w:i/>
        </w:rPr>
        <w:t xml:space="preserve">A </w:t>
      </w:r>
      <w:r w:rsidRPr="00635088">
        <w:rPr>
          <w:i/>
        </w:rPr>
        <w:t xml:space="preserve">location variation standard deviation parameter </w:t>
      </w:r>
      <w:r>
        <w:rPr>
          <w:i/>
        </w:rPr>
        <w:t>of</w:t>
      </w:r>
      <w:r w:rsidRPr="00635088">
        <w:rPr>
          <w:i/>
        </w:rPr>
        <w:t xml:space="preserve"> 4.0</w:t>
      </w:r>
      <w:r>
        <w:rPr>
          <w:i/>
        </w:rPr>
        <w:t xml:space="preserve"> </w:t>
      </w:r>
      <w:r w:rsidRPr="00635088">
        <w:rPr>
          <w:i/>
        </w:rPr>
        <w:t>dB</w:t>
      </w:r>
      <w:r>
        <w:rPr>
          <w:i/>
        </w:rPr>
        <w:t xml:space="preserve"> will</w:t>
      </w:r>
      <w:r w:rsidRPr="00635088">
        <w:rPr>
          <w:i/>
        </w:rPr>
        <w:t xml:space="preserve"> </w:t>
      </w:r>
      <w:r>
        <w:rPr>
          <w:i/>
        </w:rPr>
        <w:t>be</w:t>
      </w:r>
      <w:r w:rsidRPr="00635088">
        <w:rPr>
          <w:i/>
        </w:rPr>
        <w:t xml:space="preserve"> used</w:t>
      </w:r>
      <w:r>
        <w:rPr>
          <w:i/>
        </w:rPr>
        <w:t xml:space="preserve"> for digital radio planning</w:t>
      </w:r>
      <w:r w:rsidRPr="00635088">
        <w:rPr>
          <w:i/>
        </w:rPr>
        <w:t>.</w:t>
      </w:r>
    </w:p>
    <w:p w14:paraId="04E35B84" w14:textId="77777777" w:rsidR="00763DDC" w:rsidRPr="009E3FB5" w:rsidRDefault="00763DDC" w:rsidP="00763DDC">
      <w:r>
        <w:t>The location variation standard deviation is a measure of the variation in signal levels that occurs at different locations within a small area (</w:t>
      </w:r>
      <w:r w:rsidR="004D667C">
        <w:t>for example,</w:t>
      </w:r>
      <w:r>
        <w:t xml:space="preserve"> 100 m x </w:t>
      </w:r>
      <w:r w:rsidR="004D667C">
        <w:t>100 </w:t>
      </w:r>
      <w:r>
        <w:t>m).</w:t>
      </w:r>
      <w:r w:rsidRPr="00CC7CC2">
        <w:t xml:space="preserve"> </w:t>
      </w:r>
      <w:r>
        <w:t>Analysis of measurements undertaken by CRA supports a reduction in this value from the previously used value of 5.5 dB. A value of 4.0 dB is consistent with that used in the UK for digital radio planning.</w:t>
      </w:r>
    </w:p>
    <w:p w14:paraId="213A7F31" w14:textId="77777777" w:rsidR="00763DDC" w:rsidRDefault="00763DDC" w:rsidP="00763DDC">
      <w:pPr>
        <w:keepNext/>
        <w:shd w:val="clear" w:color="auto" w:fill="D9D9D9" w:themeFill="background1" w:themeFillShade="D9"/>
        <w:ind w:left="425" w:hanging="425"/>
        <w:rPr>
          <w:i/>
        </w:rPr>
      </w:pPr>
      <w:r>
        <w:t>5.3</w:t>
      </w:r>
      <w:r>
        <w:tab/>
      </w:r>
      <w:r w:rsidRPr="00635088">
        <w:rPr>
          <w:i/>
        </w:rPr>
        <w:t>The height g</w:t>
      </w:r>
      <w:r w:rsidRPr="00CC7CC2">
        <w:rPr>
          <w:i/>
        </w:rPr>
        <w:t>ain parameter used to convert field strengths required at 1.5</w:t>
      </w:r>
      <w:r>
        <w:rPr>
          <w:i/>
        </w:rPr>
        <w:t xml:space="preserve"> </w:t>
      </w:r>
      <w:r w:rsidRPr="00635088">
        <w:rPr>
          <w:i/>
        </w:rPr>
        <w:t xml:space="preserve">m to </w:t>
      </w:r>
      <w:r w:rsidR="000D724B" w:rsidRPr="00635088">
        <w:rPr>
          <w:i/>
        </w:rPr>
        <w:t>10</w:t>
      </w:r>
      <w:r w:rsidR="000D724B">
        <w:rPr>
          <w:i/>
        </w:rPr>
        <w:t> </w:t>
      </w:r>
      <w:r w:rsidRPr="00635088">
        <w:rPr>
          <w:i/>
        </w:rPr>
        <w:t xml:space="preserve">m </w:t>
      </w:r>
      <w:r>
        <w:rPr>
          <w:i/>
        </w:rPr>
        <w:t xml:space="preserve">will </w:t>
      </w:r>
      <w:r w:rsidRPr="00635088">
        <w:rPr>
          <w:i/>
        </w:rPr>
        <w:t>be 10</w:t>
      </w:r>
      <w:r>
        <w:rPr>
          <w:i/>
        </w:rPr>
        <w:t xml:space="preserve"> </w:t>
      </w:r>
      <w:r w:rsidRPr="00635088">
        <w:rPr>
          <w:i/>
        </w:rPr>
        <w:t>dB.</w:t>
      </w:r>
      <w:r w:rsidRPr="00F01A5E">
        <w:rPr>
          <w:i/>
        </w:rPr>
        <w:t xml:space="preserve"> </w:t>
      </w:r>
    </w:p>
    <w:p w14:paraId="5C2E4308" w14:textId="77777777" w:rsidR="00763DDC" w:rsidRPr="009E3FB5" w:rsidRDefault="00763DDC" w:rsidP="00763DDC">
      <w:r w:rsidRPr="004A2ECB">
        <w:t xml:space="preserve">The height gain parameter </w:t>
      </w:r>
      <w:r>
        <w:t xml:space="preserve">is </w:t>
      </w:r>
      <w:r w:rsidRPr="004A2ECB">
        <w:t>used to convert field strengths required at 1.5 m to 10 m</w:t>
      </w:r>
      <w:r>
        <w:t xml:space="preserve">. TSC members undertook measurements and concluded that the height gain should </w:t>
      </w:r>
      <w:r w:rsidRPr="004A2ECB">
        <w:t>be adjusted from 13 dB to 10</w:t>
      </w:r>
      <w:r>
        <w:t> </w:t>
      </w:r>
      <w:r w:rsidRPr="004A2ECB">
        <w:t>dB</w:t>
      </w:r>
      <w:r>
        <w:t>.</w:t>
      </w:r>
      <w:r w:rsidRPr="00F01A5E">
        <w:t xml:space="preserve"> </w:t>
      </w:r>
    </w:p>
    <w:p w14:paraId="75CE67A3" w14:textId="77777777" w:rsidR="00763DDC" w:rsidRDefault="00763DDC" w:rsidP="00763DDC">
      <w:pPr>
        <w:keepNext/>
        <w:shd w:val="clear" w:color="auto" w:fill="D9D9D9" w:themeFill="background1" w:themeFillShade="D9"/>
        <w:ind w:left="425" w:hanging="425"/>
        <w:rPr>
          <w:i/>
        </w:rPr>
      </w:pPr>
      <w:r w:rsidRPr="00CF7A70">
        <w:t>5</w:t>
      </w:r>
      <w:r>
        <w:t>.4</w:t>
      </w:r>
      <w:r>
        <w:tab/>
      </w:r>
      <w:r w:rsidRPr="00635088">
        <w:rPr>
          <w:i/>
        </w:rPr>
        <w:t xml:space="preserve">The </w:t>
      </w:r>
      <w:r>
        <w:rPr>
          <w:i/>
        </w:rPr>
        <w:t xml:space="preserve">assumed </w:t>
      </w:r>
      <w:r w:rsidRPr="00635088">
        <w:rPr>
          <w:i/>
        </w:rPr>
        <w:t xml:space="preserve">antenna gain for mobile devices </w:t>
      </w:r>
      <w:r>
        <w:rPr>
          <w:i/>
        </w:rPr>
        <w:t xml:space="preserve">will </w:t>
      </w:r>
      <w:r w:rsidRPr="00635088">
        <w:rPr>
          <w:i/>
        </w:rPr>
        <w:t>be -10</w:t>
      </w:r>
      <w:r>
        <w:rPr>
          <w:i/>
        </w:rPr>
        <w:t xml:space="preserve"> </w:t>
      </w:r>
      <w:r w:rsidRPr="00635088">
        <w:rPr>
          <w:i/>
        </w:rPr>
        <w:t>dBd</w:t>
      </w:r>
      <w:r w:rsidR="004D667C">
        <w:rPr>
          <w:i/>
        </w:rPr>
        <w:t>,</w:t>
      </w:r>
      <w:r>
        <w:rPr>
          <w:i/>
        </w:rPr>
        <w:t xml:space="preserve"> and for portable devices will be -8 dBd.</w:t>
      </w:r>
    </w:p>
    <w:p w14:paraId="0A6AE156" w14:textId="77777777" w:rsidR="00763DDC" w:rsidRPr="009E3FB5" w:rsidRDefault="00763DDC" w:rsidP="00763DDC">
      <w:r>
        <w:t xml:space="preserve">The assumed antenna gain for mobile receivers has been revised from -5 dBd to </w:t>
      </w:r>
      <w:r w:rsidR="00224C0A">
        <w:br/>
      </w:r>
      <w:r>
        <w:t>-10</w:t>
      </w:r>
      <w:r w:rsidR="009F5102">
        <w:t> </w:t>
      </w:r>
      <w:r>
        <w:t>dBd</w:t>
      </w:r>
      <w:r w:rsidR="004D667C">
        <w:t>,</w:t>
      </w:r>
      <w:r>
        <w:t xml:space="preserve"> as experience with a range of factory</w:t>
      </w:r>
      <w:r w:rsidR="004D667C">
        <w:t>-</w:t>
      </w:r>
      <w:r>
        <w:t>fitted vehicle receivers has indicated significant variability in gain</w:t>
      </w:r>
      <w:r w:rsidR="004D667C">
        <w:t>,</w:t>
      </w:r>
      <w:r>
        <w:t xml:space="preserve"> and that the directional response of antennas is not uniform. The -8 dBd figure for portable receivers is used in the derivation of the required planning field strengths for </w:t>
      </w:r>
      <w:r w:rsidR="004D667C">
        <w:t>s</w:t>
      </w:r>
      <w:r>
        <w:t xml:space="preserve">uburban and </w:t>
      </w:r>
      <w:r w:rsidR="004D667C">
        <w:t>u</w:t>
      </w:r>
      <w:r>
        <w:t>rban environments.</w:t>
      </w:r>
    </w:p>
    <w:p w14:paraId="4153634E" w14:textId="77777777" w:rsidR="00763DDC" w:rsidRDefault="00763DDC" w:rsidP="00763DDC">
      <w:pPr>
        <w:keepNext/>
        <w:shd w:val="clear" w:color="auto" w:fill="D9D9D9" w:themeFill="background1" w:themeFillShade="D9"/>
        <w:ind w:left="425" w:hanging="425"/>
        <w:rPr>
          <w:i/>
        </w:rPr>
      </w:pPr>
      <w:r w:rsidRPr="00CF7A70">
        <w:t>5</w:t>
      </w:r>
      <w:r>
        <w:t>.5</w:t>
      </w:r>
      <w:r>
        <w:rPr>
          <w:i/>
        </w:rPr>
        <w:tab/>
        <w:t>A</w:t>
      </w:r>
      <w:r w:rsidRPr="00635088">
        <w:rPr>
          <w:i/>
        </w:rPr>
        <w:t>llowance</w:t>
      </w:r>
      <w:r>
        <w:rPr>
          <w:i/>
        </w:rPr>
        <w:t>s</w:t>
      </w:r>
      <w:r w:rsidRPr="00635088">
        <w:rPr>
          <w:i/>
        </w:rPr>
        <w:t xml:space="preserve"> for </w:t>
      </w:r>
      <w:r w:rsidRPr="00CC7CC2">
        <w:rPr>
          <w:i/>
        </w:rPr>
        <w:t>man-made</w:t>
      </w:r>
      <w:r w:rsidRPr="005C53AC">
        <w:rPr>
          <w:i/>
        </w:rPr>
        <w:t xml:space="preserve"> </w:t>
      </w:r>
      <w:r>
        <w:rPr>
          <w:i/>
        </w:rPr>
        <w:t>n</w:t>
      </w:r>
      <w:r w:rsidRPr="00635088">
        <w:rPr>
          <w:i/>
        </w:rPr>
        <w:t xml:space="preserve">oise and interference </w:t>
      </w:r>
      <w:r>
        <w:rPr>
          <w:i/>
        </w:rPr>
        <w:t xml:space="preserve">of 1 dB each (total 2 dB) will </w:t>
      </w:r>
      <w:r w:rsidRPr="00635088">
        <w:rPr>
          <w:i/>
        </w:rPr>
        <w:t xml:space="preserve">be </w:t>
      </w:r>
      <w:r>
        <w:rPr>
          <w:i/>
        </w:rPr>
        <w:t>applied for reception</w:t>
      </w:r>
      <w:r w:rsidRPr="00635088">
        <w:rPr>
          <w:i/>
        </w:rPr>
        <w:t xml:space="preserve"> at </w:t>
      </w:r>
      <w:r>
        <w:rPr>
          <w:i/>
        </w:rPr>
        <w:t xml:space="preserve">both </w:t>
      </w:r>
      <w:r w:rsidRPr="00635088">
        <w:rPr>
          <w:i/>
        </w:rPr>
        <w:t>1.5</w:t>
      </w:r>
      <w:r>
        <w:rPr>
          <w:i/>
        </w:rPr>
        <w:t> </w:t>
      </w:r>
      <w:r w:rsidRPr="00635088">
        <w:rPr>
          <w:i/>
        </w:rPr>
        <w:t>m</w:t>
      </w:r>
      <w:r>
        <w:rPr>
          <w:i/>
        </w:rPr>
        <w:t xml:space="preserve"> and 10 m antenna heights</w:t>
      </w:r>
      <w:r w:rsidRPr="00635088">
        <w:rPr>
          <w:i/>
        </w:rPr>
        <w:t>.</w:t>
      </w:r>
    </w:p>
    <w:p w14:paraId="3715709E" w14:textId="77777777" w:rsidR="00763DDC" w:rsidRPr="009E3FB5" w:rsidRDefault="00763DDC" w:rsidP="00763DDC">
      <w:r>
        <w:t>The derivation of minimum planning field strengths</w:t>
      </w:r>
      <w:r w:rsidR="00224C0A">
        <w:t xml:space="preserve"> previously</w:t>
      </w:r>
      <w:r>
        <w:t xml:space="preserve"> included a total allowance of only 1 dB in deriving the field strength at 1.5 m, while 2 dB was applied at 10 m.</w:t>
      </w:r>
    </w:p>
    <w:p w14:paraId="4C8E299A" w14:textId="77777777" w:rsidR="00763DDC" w:rsidRDefault="00763DDC" w:rsidP="00763DDC">
      <w:pPr>
        <w:keepNext/>
        <w:shd w:val="clear" w:color="auto" w:fill="D9D9D9" w:themeFill="background1" w:themeFillShade="D9"/>
        <w:ind w:left="425" w:hanging="425"/>
        <w:rPr>
          <w:i/>
        </w:rPr>
      </w:pPr>
      <w:r w:rsidRPr="00CF7A70">
        <w:t>5</w:t>
      </w:r>
      <w:r>
        <w:t>.6</w:t>
      </w:r>
      <w:r>
        <w:tab/>
      </w:r>
      <w:r>
        <w:rPr>
          <w:i/>
        </w:rPr>
        <w:t>A R</w:t>
      </w:r>
      <w:r w:rsidRPr="00635088">
        <w:rPr>
          <w:i/>
        </w:rPr>
        <w:t xml:space="preserve">ayleigh fading allowance </w:t>
      </w:r>
      <w:r>
        <w:rPr>
          <w:i/>
        </w:rPr>
        <w:t xml:space="preserve">of </w:t>
      </w:r>
      <w:r w:rsidRPr="00635088">
        <w:rPr>
          <w:i/>
        </w:rPr>
        <w:t>4.6</w:t>
      </w:r>
      <w:r>
        <w:rPr>
          <w:i/>
        </w:rPr>
        <w:t xml:space="preserve"> </w:t>
      </w:r>
      <w:r w:rsidRPr="00635088">
        <w:rPr>
          <w:i/>
        </w:rPr>
        <w:t xml:space="preserve">dB </w:t>
      </w:r>
      <w:r>
        <w:rPr>
          <w:i/>
        </w:rPr>
        <w:t>will be assumed</w:t>
      </w:r>
      <w:r w:rsidR="004D667C">
        <w:rPr>
          <w:i/>
        </w:rPr>
        <w:t>,</w:t>
      </w:r>
      <w:r>
        <w:rPr>
          <w:i/>
        </w:rPr>
        <w:t xml:space="preserve"> which means </w:t>
      </w:r>
      <w:r w:rsidRPr="00635088">
        <w:rPr>
          <w:i/>
        </w:rPr>
        <w:t>the minimum carrier to noise ratio required by a DAB+ receiver to provide error</w:t>
      </w:r>
      <w:r w:rsidR="004D667C">
        <w:rPr>
          <w:i/>
        </w:rPr>
        <w:t>-</w:t>
      </w:r>
      <w:r w:rsidRPr="00635088">
        <w:rPr>
          <w:i/>
        </w:rPr>
        <w:t xml:space="preserve">free audio for a typical Rayleigh channel </w:t>
      </w:r>
      <w:r>
        <w:rPr>
          <w:i/>
        </w:rPr>
        <w:t>is</w:t>
      </w:r>
      <w:r w:rsidRPr="00635088">
        <w:rPr>
          <w:i/>
        </w:rPr>
        <w:t xml:space="preserve"> 12</w:t>
      </w:r>
      <w:r>
        <w:rPr>
          <w:i/>
        </w:rPr>
        <w:t> </w:t>
      </w:r>
      <w:r w:rsidRPr="00635088">
        <w:rPr>
          <w:i/>
        </w:rPr>
        <w:t>dB.</w:t>
      </w:r>
    </w:p>
    <w:p w14:paraId="04DEC860" w14:textId="77777777" w:rsidR="00763DDC" w:rsidRPr="009E3FB5" w:rsidRDefault="00763DDC" w:rsidP="004D667C">
      <w:r w:rsidRPr="00CC7CC2">
        <w:t xml:space="preserve">A Rayleigh fading allowance </w:t>
      </w:r>
      <w:r>
        <w:t>is necessary to take into account the variability of signal levels when a receiver is moving</w:t>
      </w:r>
      <w:r w:rsidR="004D667C">
        <w:t>,</w:t>
      </w:r>
      <w:r>
        <w:t xml:space="preserve"> or is placed in an environment with multiple reflected signals (such as indoors). Changing this value from </w:t>
      </w:r>
      <w:r w:rsidRPr="00CC7CC2">
        <w:t xml:space="preserve">5.6 to 4.6 dB </w:t>
      </w:r>
      <w:r>
        <w:t xml:space="preserve">results in a </w:t>
      </w:r>
      <w:r w:rsidRPr="00CC7CC2">
        <w:t xml:space="preserve">change </w:t>
      </w:r>
      <w:r w:rsidR="00224C0A">
        <w:t xml:space="preserve">to </w:t>
      </w:r>
      <w:r w:rsidRPr="00CC7CC2">
        <w:t>the minimum carrier to noise ratio required by a DAB+ receiver to provide error</w:t>
      </w:r>
      <w:r w:rsidR="004D667C">
        <w:t>-</w:t>
      </w:r>
      <w:r w:rsidRPr="00CC7CC2">
        <w:t>free audio for a typical Rayleigh channel from 13 dB to 12 dB</w:t>
      </w:r>
      <w:r>
        <w:t>, which is more consistent with measurements of DAB+ receivers. It also brings the Rayleigh fading allowance in</w:t>
      </w:r>
      <w:r w:rsidR="00245F86">
        <w:t>to</w:t>
      </w:r>
      <w:r>
        <w:t xml:space="preserve"> line with the value adopted in the UK (</w:t>
      </w:r>
      <w:r w:rsidR="004D667C">
        <w:t>that is,</w:t>
      </w:r>
      <w:r>
        <w:t xml:space="preserve"> 4.6 dB).</w:t>
      </w:r>
    </w:p>
    <w:p w14:paraId="71B9ACAA" w14:textId="77777777" w:rsidR="00763DDC" w:rsidRPr="00635088" w:rsidRDefault="00763DDC" w:rsidP="006C13C4">
      <w:pPr>
        <w:keepNext/>
        <w:shd w:val="clear" w:color="auto" w:fill="D9D9D9" w:themeFill="background1" w:themeFillShade="D9"/>
        <w:ind w:left="425" w:hanging="425"/>
        <w:rPr>
          <w:i/>
        </w:rPr>
      </w:pPr>
      <w:r w:rsidRPr="00CF7A70">
        <w:lastRenderedPageBreak/>
        <w:t>5</w:t>
      </w:r>
      <w:r>
        <w:t>.7</w:t>
      </w:r>
      <w:r>
        <w:tab/>
      </w:r>
      <w:r w:rsidRPr="00635088">
        <w:rPr>
          <w:i/>
        </w:rPr>
        <w:t xml:space="preserve">The planning field strengths </w:t>
      </w:r>
      <w:r>
        <w:rPr>
          <w:i/>
        </w:rPr>
        <w:t>to be used in planning digital radio are</w:t>
      </w:r>
      <w:r w:rsidRPr="00635088">
        <w:rPr>
          <w:i/>
        </w:rPr>
        <w:t xml:space="preserve"> as follows:</w:t>
      </w:r>
    </w:p>
    <w:tbl>
      <w:tblPr>
        <w:tblStyle w:val="TableGrid"/>
        <w:tblW w:w="0" w:type="auto"/>
        <w:shd w:val="clear" w:color="auto" w:fill="D9D9D9" w:themeFill="background1" w:themeFillShade="D9"/>
        <w:tblLook w:val="04A0" w:firstRow="1" w:lastRow="0" w:firstColumn="1" w:lastColumn="0" w:noHBand="0" w:noVBand="1"/>
        <w:tblCaption w:val="Planning field strengths to be used in planning digital radio "/>
        <w:tblDescription w:val="Includes location availability target, minimum median equivalent field strengths for 1.5 and 10 m for mobile, suburban and urban areas."/>
      </w:tblPr>
      <w:tblGrid>
        <w:gridCol w:w="3983"/>
        <w:gridCol w:w="1133"/>
        <w:gridCol w:w="1150"/>
        <w:gridCol w:w="1082"/>
      </w:tblGrid>
      <w:tr w:rsidR="00763DDC" w:rsidRPr="002C4CBD" w14:paraId="606FD57D" w14:textId="77777777" w:rsidTr="00245F86">
        <w:trPr>
          <w:tblHeader/>
        </w:trPr>
        <w:tc>
          <w:tcPr>
            <w:tcW w:w="7348" w:type="dxa"/>
            <w:gridSpan w:val="4"/>
            <w:tcBorders>
              <w:bottom w:val="single" w:sz="4" w:space="0" w:color="000000"/>
            </w:tcBorders>
            <w:shd w:val="clear" w:color="auto" w:fill="D9D9D9" w:themeFill="background1" w:themeFillShade="D9"/>
          </w:tcPr>
          <w:p w14:paraId="7B21F2E3" w14:textId="77777777" w:rsidR="00763DDC" w:rsidRPr="002C4CBD" w:rsidRDefault="00763DDC" w:rsidP="00245F86">
            <w:pPr>
              <w:pStyle w:val="TableHeading"/>
              <w:shd w:val="clear" w:color="auto" w:fill="D9D9D9" w:themeFill="background1" w:themeFillShade="D9"/>
            </w:pPr>
            <w:r w:rsidRPr="002C4CBD">
              <w:t>Planning field strengths (dBμV/m)</w:t>
            </w:r>
          </w:p>
        </w:tc>
      </w:tr>
      <w:tr w:rsidR="00763DDC" w:rsidRPr="002C4CBD" w14:paraId="7BE4841D" w14:textId="77777777" w:rsidTr="007111B8">
        <w:tc>
          <w:tcPr>
            <w:tcW w:w="3983" w:type="dxa"/>
            <w:tcBorders>
              <w:bottom w:val="single" w:sz="4" w:space="0" w:color="000000"/>
            </w:tcBorders>
            <w:shd w:val="clear" w:color="auto" w:fill="D9D9D9" w:themeFill="background1" w:themeFillShade="D9"/>
          </w:tcPr>
          <w:p w14:paraId="3D5E1352" w14:textId="77777777" w:rsidR="00763DDC" w:rsidRPr="002C4CBD" w:rsidRDefault="00763DDC" w:rsidP="00245F86">
            <w:pPr>
              <w:pStyle w:val="NoSpacing"/>
              <w:keepNext/>
              <w:shd w:val="clear" w:color="auto" w:fill="D9D9D9" w:themeFill="background1" w:themeFillShade="D9"/>
              <w:rPr>
                <w:rFonts w:ascii="Arial" w:hAnsi="Arial" w:cs="Arial"/>
                <w:sz w:val="20"/>
              </w:rPr>
            </w:pPr>
          </w:p>
        </w:tc>
        <w:tc>
          <w:tcPr>
            <w:tcW w:w="1133" w:type="dxa"/>
            <w:tcBorders>
              <w:bottom w:val="single" w:sz="4" w:space="0" w:color="000000"/>
            </w:tcBorders>
            <w:shd w:val="clear" w:color="auto" w:fill="D9D9D9" w:themeFill="background1" w:themeFillShade="D9"/>
          </w:tcPr>
          <w:p w14:paraId="5D1814BE" w14:textId="77777777" w:rsidR="00763DDC" w:rsidRPr="002C4CBD" w:rsidRDefault="00763DDC" w:rsidP="00245F86">
            <w:pPr>
              <w:pStyle w:val="NoSpacing"/>
              <w:keepNext/>
              <w:shd w:val="clear" w:color="auto" w:fill="D9D9D9" w:themeFill="background1" w:themeFillShade="D9"/>
              <w:jc w:val="right"/>
              <w:rPr>
                <w:rFonts w:ascii="Arial" w:hAnsi="Arial" w:cs="Arial"/>
                <w:b/>
                <w:sz w:val="20"/>
              </w:rPr>
            </w:pPr>
            <w:r w:rsidRPr="002C4CBD">
              <w:rPr>
                <w:rFonts w:ascii="Arial" w:hAnsi="Arial" w:cs="Arial"/>
                <w:b/>
                <w:sz w:val="20"/>
              </w:rPr>
              <w:t>Mobile</w:t>
            </w:r>
          </w:p>
        </w:tc>
        <w:tc>
          <w:tcPr>
            <w:tcW w:w="1150" w:type="dxa"/>
            <w:tcBorders>
              <w:bottom w:val="single" w:sz="4" w:space="0" w:color="000000"/>
            </w:tcBorders>
            <w:shd w:val="clear" w:color="auto" w:fill="D9D9D9" w:themeFill="background1" w:themeFillShade="D9"/>
          </w:tcPr>
          <w:p w14:paraId="7FE0A2B3" w14:textId="77777777" w:rsidR="00763DDC" w:rsidRPr="002C4CBD" w:rsidRDefault="00763DDC" w:rsidP="00245F86">
            <w:pPr>
              <w:pStyle w:val="NoSpacing"/>
              <w:keepNext/>
              <w:shd w:val="clear" w:color="auto" w:fill="D9D9D9" w:themeFill="background1" w:themeFillShade="D9"/>
              <w:jc w:val="right"/>
              <w:rPr>
                <w:rFonts w:ascii="Arial" w:hAnsi="Arial" w:cs="Arial"/>
                <w:b/>
                <w:sz w:val="20"/>
              </w:rPr>
            </w:pPr>
            <w:r w:rsidRPr="002C4CBD">
              <w:rPr>
                <w:rFonts w:ascii="Arial" w:hAnsi="Arial" w:cs="Arial"/>
                <w:b/>
                <w:sz w:val="20"/>
              </w:rPr>
              <w:t>Suburban</w:t>
            </w:r>
          </w:p>
        </w:tc>
        <w:tc>
          <w:tcPr>
            <w:tcW w:w="1082" w:type="dxa"/>
            <w:tcBorders>
              <w:bottom w:val="single" w:sz="4" w:space="0" w:color="000000"/>
            </w:tcBorders>
            <w:shd w:val="clear" w:color="auto" w:fill="D9D9D9" w:themeFill="background1" w:themeFillShade="D9"/>
          </w:tcPr>
          <w:p w14:paraId="67CE9985" w14:textId="77777777" w:rsidR="00763DDC" w:rsidRPr="002C4CBD" w:rsidRDefault="00763DDC" w:rsidP="00245F86">
            <w:pPr>
              <w:pStyle w:val="NoSpacing"/>
              <w:keepNext/>
              <w:shd w:val="clear" w:color="auto" w:fill="D9D9D9" w:themeFill="background1" w:themeFillShade="D9"/>
              <w:jc w:val="right"/>
              <w:rPr>
                <w:rFonts w:ascii="Arial" w:hAnsi="Arial" w:cs="Arial"/>
                <w:b/>
                <w:sz w:val="20"/>
              </w:rPr>
            </w:pPr>
            <w:r w:rsidRPr="002C4CBD">
              <w:rPr>
                <w:rFonts w:ascii="Arial" w:hAnsi="Arial" w:cs="Arial"/>
                <w:b/>
                <w:sz w:val="20"/>
              </w:rPr>
              <w:t>Urban</w:t>
            </w:r>
          </w:p>
        </w:tc>
      </w:tr>
      <w:tr w:rsidR="00763DDC" w:rsidRPr="002C4CBD" w14:paraId="53B5DA88" w14:textId="77777777" w:rsidTr="007111B8">
        <w:tc>
          <w:tcPr>
            <w:tcW w:w="3983" w:type="dxa"/>
            <w:tcBorders>
              <w:bottom w:val="single" w:sz="4" w:space="0" w:color="000000"/>
            </w:tcBorders>
            <w:shd w:val="clear" w:color="auto" w:fill="D9D9D9" w:themeFill="background1" w:themeFillShade="D9"/>
          </w:tcPr>
          <w:p w14:paraId="08AD55F5" w14:textId="77777777" w:rsidR="00763DDC" w:rsidRPr="002C4CBD" w:rsidRDefault="00763DDC" w:rsidP="00245F86">
            <w:pPr>
              <w:pStyle w:val="NoSpacing"/>
              <w:keepNext/>
              <w:shd w:val="clear" w:color="auto" w:fill="D9D9D9" w:themeFill="background1" w:themeFillShade="D9"/>
              <w:rPr>
                <w:rFonts w:ascii="Arial" w:hAnsi="Arial" w:cs="Arial"/>
                <w:sz w:val="20"/>
              </w:rPr>
            </w:pPr>
            <w:r>
              <w:rPr>
                <w:rFonts w:ascii="Arial" w:hAnsi="Arial" w:cs="Arial"/>
                <w:sz w:val="20"/>
              </w:rPr>
              <w:t>Location availability target</w:t>
            </w:r>
          </w:p>
        </w:tc>
        <w:tc>
          <w:tcPr>
            <w:tcW w:w="1133" w:type="dxa"/>
            <w:tcBorders>
              <w:bottom w:val="single" w:sz="4" w:space="0" w:color="000000"/>
            </w:tcBorders>
            <w:shd w:val="clear" w:color="auto" w:fill="D9D9D9" w:themeFill="background1" w:themeFillShade="D9"/>
          </w:tcPr>
          <w:p w14:paraId="7CC75092"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Pr>
                <w:rFonts w:ascii="Arial" w:hAnsi="Arial" w:cs="Arial"/>
                <w:sz w:val="20"/>
              </w:rPr>
              <w:t>99%</w:t>
            </w:r>
          </w:p>
        </w:tc>
        <w:tc>
          <w:tcPr>
            <w:tcW w:w="1150" w:type="dxa"/>
            <w:tcBorders>
              <w:bottom w:val="single" w:sz="4" w:space="0" w:color="000000"/>
            </w:tcBorders>
            <w:shd w:val="clear" w:color="auto" w:fill="D9D9D9" w:themeFill="background1" w:themeFillShade="D9"/>
          </w:tcPr>
          <w:p w14:paraId="056AF691"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Pr>
                <w:rFonts w:ascii="Arial" w:hAnsi="Arial" w:cs="Arial"/>
                <w:sz w:val="20"/>
              </w:rPr>
              <w:t>95%</w:t>
            </w:r>
          </w:p>
        </w:tc>
        <w:tc>
          <w:tcPr>
            <w:tcW w:w="1082" w:type="dxa"/>
            <w:tcBorders>
              <w:bottom w:val="single" w:sz="4" w:space="0" w:color="000000"/>
            </w:tcBorders>
            <w:shd w:val="clear" w:color="auto" w:fill="D9D9D9" w:themeFill="background1" w:themeFillShade="D9"/>
          </w:tcPr>
          <w:p w14:paraId="7381C029"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Pr>
                <w:rFonts w:ascii="Arial" w:hAnsi="Arial" w:cs="Arial"/>
                <w:sz w:val="20"/>
              </w:rPr>
              <w:t>95%</w:t>
            </w:r>
          </w:p>
        </w:tc>
      </w:tr>
      <w:tr w:rsidR="00763DDC" w:rsidRPr="002C4CBD" w14:paraId="315E5A67" w14:textId="77777777" w:rsidTr="007111B8">
        <w:tc>
          <w:tcPr>
            <w:tcW w:w="3983" w:type="dxa"/>
            <w:tcBorders>
              <w:bottom w:val="single" w:sz="4" w:space="0" w:color="000000"/>
            </w:tcBorders>
            <w:shd w:val="clear" w:color="auto" w:fill="D9D9D9" w:themeFill="background1" w:themeFillShade="D9"/>
          </w:tcPr>
          <w:p w14:paraId="028D7425" w14:textId="77777777" w:rsidR="00763DDC" w:rsidRPr="002C4CBD" w:rsidRDefault="00763DDC" w:rsidP="00245F86">
            <w:pPr>
              <w:pStyle w:val="NoSpacing"/>
              <w:keepNext/>
              <w:shd w:val="clear" w:color="auto" w:fill="D9D9D9" w:themeFill="background1" w:themeFillShade="D9"/>
              <w:rPr>
                <w:rFonts w:ascii="Arial" w:hAnsi="Arial" w:cs="Arial"/>
                <w:sz w:val="20"/>
              </w:rPr>
            </w:pPr>
            <w:r>
              <w:rPr>
                <w:rFonts w:ascii="Arial" w:hAnsi="Arial" w:cs="Arial"/>
                <w:sz w:val="20"/>
              </w:rPr>
              <w:t xml:space="preserve">Minimum median equivalent </w:t>
            </w:r>
            <w:r w:rsidRPr="002C4CBD">
              <w:rPr>
                <w:rFonts w:ascii="Arial" w:hAnsi="Arial" w:cs="Arial"/>
                <w:sz w:val="20"/>
              </w:rPr>
              <w:t>field strength (1.5</w:t>
            </w:r>
            <w:r w:rsidR="00224C0A">
              <w:rPr>
                <w:rFonts w:ascii="Arial" w:hAnsi="Arial" w:cs="Arial"/>
                <w:sz w:val="20"/>
              </w:rPr>
              <w:t xml:space="preserve"> </w:t>
            </w:r>
            <w:r w:rsidRPr="002C4CBD">
              <w:rPr>
                <w:rFonts w:ascii="Arial" w:hAnsi="Arial" w:cs="Arial"/>
                <w:sz w:val="20"/>
              </w:rPr>
              <w:t>m)</w:t>
            </w:r>
          </w:p>
        </w:tc>
        <w:tc>
          <w:tcPr>
            <w:tcW w:w="1133" w:type="dxa"/>
            <w:tcBorders>
              <w:bottom w:val="single" w:sz="4" w:space="0" w:color="000000"/>
            </w:tcBorders>
            <w:shd w:val="clear" w:color="auto" w:fill="D9D9D9" w:themeFill="background1" w:themeFillShade="D9"/>
          </w:tcPr>
          <w:p w14:paraId="07AD4FAA"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sidRPr="002C4CBD">
              <w:rPr>
                <w:rFonts w:ascii="Arial" w:hAnsi="Arial" w:cs="Arial"/>
                <w:sz w:val="20"/>
              </w:rPr>
              <w:t>50</w:t>
            </w:r>
          </w:p>
        </w:tc>
        <w:tc>
          <w:tcPr>
            <w:tcW w:w="1150" w:type="dxa"/>
            <w:tcBorders>
              <w:bottom w:val="single" w:sz="4" w:space="0" w:color="000000"/>
            </w:tcBorders>
            <w:shd w:val="clear" w:color="auto" w:fill="D9D9D9" w:themeFill="background1" w:themeFillShade="D9"/>
          </w:tcPr>
          <w:p w14:paraId="1ED5E449"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sidRPr="002C4CBD">
              <w:rPr>
                <w:rFonts w:ascii="Arial" w:hAnsi="Arial" w:cs="Arial"/>
                <w:sz w:val="20"/>
              </w:rPr>
              <w:t>54</w:t>
            </w:r>
          </w:p>
        </w:tc>
        <w:tc>
          <w:tcPr>
            <w:tcW w:w="1082" w:type="dxa"/>
            <w:tcBorders>
              <w:bottom w:val="single" w:sz="4" w:space="0" w:color="000000"/>
            </w:tcBorders>
            <w:shd w:val="clear" w:color="auto" w:fill="D9D9D9" w:themeFill="background1" w:themeFillShade="D9"/>
          </w:tcPr>
          <w:p w14:paraId="0EA37F7B"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sidRPr="002C4CBD">
              <w:rPr>
                <w:rFonts w:ascii="Arial" w:hAnsi="Arial" w:cs="Arial"/>
                <w:sz w:val="20"/>
              </w:rPr>
              <w:t>60</w:t>
            </w:r>
          </w:p>
        </w:tc>
      </w:tr>
      <w:tr w:rsidR="00763DDC" w:rsidRPr="002C4CBD" w14:paraId="6487C000" w14:textId="77777777" w:rsidTr="007111B8">
        <w:tc>
          <w:tcPr>
            <w:tcW w:w="3983" w:type="dxa"/>
            <w:shd w:val="clear" w:color="auto" w:fill="D9D9D9" w:themeFill="background1" w:themeFillShade="D9"/>
          </w:tcPr>
          <w:p w14:paraId="0BBEF2E8" w14:textId="77777777" w:rsidR="00763DDC" w:rsidRPr="002C4CBD" w:rsidRDefault="00763DDC" w:rsidP="00245F86">
            <w:pPr>
              <w:pStyle w:val="NoSpacing"/>
              <w:keepNext/>
              <w:shd w:val="clear" w:color="auto" w:fill="D9D9D9" w:themeFill="background1" w:themeFillShade="D9"/>
              <w:rPr>
                <w:rFonts w:ascii="Arial" w:hAnsi="Arial" w:cs="Arial"/>
                <w:sz w:val="20"/>
              </w:rPr>
            </w:pPr>
            <w:r>
              <w:rPr>
                <w:rFonts w:ascii="Arial" w:hAnsi="Arial" w:cs="Arial"/>
                <w:sz w:val="20"/>
              </w:rPr>
              <w:t>Minimum median</w:t>
            </w:r>
            <w:r w:rsidRPr="002C4CBD">
              <w:rPr>
                <w:rFonts w:ascii="Arial" w:hAnsi="Arial" w:cs="Arial"/>
                <w:sz w:val="20"/>
              </w:rPr>
              <w:t xml:space="preserve"> </w:t>
            </w:r>
            <w:r>
              <w:rPr>
                <w:rFonts w:ascii="Arial" w:hAnsi="Arial" w:cs="Arial"/>
                <w:sz w:val="20"/>
              </w:rPr>
              <w:t xml:space="preserve">equivalent </w:t>
            </w:r>
            <w:r w:rsidRPr="002C4CBD">
              <w:rPr>
                <w:rFonts w:ascii="Arial" w:hAnsi="Arial" w:cs="Arial"/>
                <w:sz w:val="20"/>
              </w:rPr>
              <w:t>field strength (10</w:t>
            </w:r>
            <w:r w:rsidR="00224C0A">
              <w:rPr>
                <w:rFonts w:ascii="Arial" w:hAnsi="Arial" w:cs="Arial"/>
                <w:sz w:val="20"/>
              </w:rPr>
              <w:t xml:space="preserve"> </w:t>
            </w:r>
            <w:r w:rsidRPr="002C4CBD">
              <w:rPr>
                <w:rFonts w:ascii="Arial" w:hAnsi="Arial" w:cs="Arial"/>
                <w:sz w:val="20"/>
              </w:rPr>
              <w:t>m)</w:t>
            </w:r>
          </w:p>
        </w:tc>
        <w:tc>
          <w:tcPr>
            <w:tcW w:w="1133" w:type="dxa"/>
            <w:shd w:val="clear" w:color="auto" w:fill="D9D9D9" w:themeFill="background1" w:themeFillShade="D9"/>
          </w:tcPr>
          <w:p w14:paraId="37796312"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sidRPr="002C4CBD">
              <w:rPr>
                <w:rFonts w:ascii="Arial" w:hAnsi="Arial" w:cs="Arial"/>
                <w:sz w:val="20"/>
              </w:rPr>
              <w:t>60</w:t>
            </w:r>
          </w:p>
        </w:tc>
        <w:tc>
          <w:tcPr>
            <w:tcW w:w="1150" w:type="dxa"/>
            <w:shd w:val="clear" w:color="auto" w:fill="D9D9D9" w:themeFill="background1" w:themeFillShade="D9"/>
          </w:tcPr>
          <w:p w14:paraId="46DA6EE3"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sidRPr="002C4CBD">
              <w:rPr>
                <w:rFonts w:ascii="Arial" w:hAnsi="Arial" w:cs="Arial"/>
                <w:sz w:val="20"/>
              </w:rPr>
              <w:t>64</w:t>
            </w:r>
          </w:p>
        </w:tc>
        <w:tc>
          <w:tcPr>
            <w:tcW w:w="1082" w:type="dxa"/>
            <w:shd w:val="clear" w:color="auto" w:fill="D9D9D9" w:themeFill="background1" w:themeFillShade="D9"/>
          </w:tcPr>
          <w:p w14:paraId="44DCC53E" w14:textId="77777777" w:rsidR="00763DDC" w:rsidRPr="002C4CBD" w:rsidRDefault="00763DDC" w:rsidP="00245F86">
            <w:pPr>
              <w:pStyle w:val="NoSpacing"/>
              <w:keepNext/>
              <w:shd w:val="clear" w:color="auto" w:fill="D9D9D9" w:themeFill="background1" w:themeFillShade="D9"/>
              <w:jc w:val="right"/>
              <w:rPr>
                <w:rFonts w:ascii="Arial" w:hAnsi="Arial" w:cs="Arial"/>
                <w:sz w:val="20"/>
              </w:rPr>
            </w:pPr>
            <w:r w:rsidRPr="002C4CBD">
              <w:rPr>
                <w:rFonts w:ascii="Arial" w:hAnsi="Arial" w:cs="Arial"/>
                <w:sz w:val="20"/>
              </w:rPr>
              <w:t>70</w:t>
            </w:r>
          </w:p>
        </w:tc>
      </w:tr>
    </w:tbl>
    <w:p w14:paraId="46DDB018" w14:textId="77777777" w:rsidR="00763DDC" w:rsidRDefault="00763DDC" w:rsidP="00763DDC">
      <w:pPr>
        <w:spacing w:before="200"/>
      </w:pPr>
      <w:r>
        <w:t>The ACMA, in performing field strength predictions for allotment planning and estimating the level of signal overspill, will use the 10 m values. Licensees undertaking detailed predictions to evaluate coverage and areas of poor coverage may prefer to use the 1.5 m values.</w:t>
      </w:r>
    </w:p>
    <w:p w14:paraId="41B9585E" w14:textId="77777777" w:rsidR="004D667C" w:rsidRDefault="00763DDC" w:rsidP="00245F86">
      <w:pPr>
        <w:spacing w:before="200" w:after="80"/>
      </w:pPr>
      <w:r>
        <w:t>In deriving these minimum median equivalent figures</w:t>
      </w:r>
      <w:r w:rsidR="004D667C">
        <w:t>,</w:t>
      </w:r>
      <w:r>
        <w:t xml:space="preserve"> some additional parameters were taken into account. </w:t>
      </w:r>
      <w:r w:rsidR="004D667C">
        <w:t>These include:</w:t>
      </w:r>
    </w:p>
    <w:p w14:paraId="7E7FEB35" w14:textId="77777777" w:rsidR="004D667C" w:rsidRDefault="00763DDC" w:rsidP="00D643A1">
      <w:pPr>
        <w:pStyle w:val="ListBullet"/>
      </w:pPr>
      <w:r>
        <w:t>frequency = 200 MHz</w:t>
      </w:r>
    </w:p>
    <w:p w14:paraId="0C6F4106" w14:textId="77777777" w:rsidR="004D667C" w:rsidRDefault="00763DDC" w:rsidP="00D643A1">
      <w:pPr>
        <w:pStyle w:val="ListBullet"/>
      </w:pPr>
      <w:r>
        <w:t>receiver noise figure = 8</w:t>
      </w:r>
      <w:r w:rsidR="009F5102">
        <w:t> </w:t>
      </w:r>
      <w:r>
        <w:t>dB</w:t>
      </w:r>
    </w:p>
    <w:p w14:paraId="231E44E5" w14:textId="77777777" w:rsidR="004D667C" w:rsidRDefault="00763DDC" w:rsidP="00D643A1">
      <w:pPr>
        <w:pStyle w:val="ListBullet"/>
      </w:pPr>
      <w:r>
        <w:t>required Gaussian threshold C/N = 7.4 dB</w:t>
      </w:r>
    </w:p>
    <w:p w14:paraId="5B45C421" w14:textId="77777777" w:rsidR="004D667C" w:rsidRDefault="00763DDC" w:rsidP="00D643A1">
      <w:pPr>
        <w:pStyle w:val="ListBullet"/>
      </w:pPr>
      <w:r>
        <w:t>building penetration losses of 5 dB (suburban) and 11 dB (urban</w:t>
      </w:r>
      <w:r w:rsidR="004D667C">
        <w:t>)</w:t>
      </w:r>
    </w:p>
    <w:p w14:paraId="1E821602" w14:textId="77777777" w:rsidR="00763DDC" w:rsidRDefault="00763DDC" w:rsidP="00D643A1">
      <w:pPr>
        <w:pStyle w:val="ListBulletLast"/>
      </w:pPr>
      <w:r>
        <w:t>building penetration loss standard deviation = 4.4 dB.</w:t>
      </w:r>
    </w:p>
    <w:p w14:paraId="7F931367" w14:textId="77777777" w:rsidR="00763DDC" w:rsidRDefault="00763DDC" w:rsidP="00763DDC">
      <w:r>
        <w:t>Note that the parameters described in principles 5.1 to 5.6 above are all used in the derivation of the planning field strengths.</w:t>
      </w:r>
    </w:p>
    <w:p w14:paraId="485C5DF7" w14:textId="77777777" w:rsidR="00763DDC" w:rsidRDefault="00763DDC" w:rsidP="00763DDC">
      <w:pPr>
        <w:keepNext/>
        <w:shd w:val="clear" w:color="auto" w:fill="D9D9D9" w:themeFill="background1" w:themeFillShade="D9"/>
        <w:ind w:left="425" w:hanging="425"/>
        <w:rPr>
          <w:i/>
        </w:rPr>
      </w:pPr>
      <w:r w:rsidRPr="00CF7A70">
        <w:t>5</w:t>
      </w:r>
      <w:r>
        <w:t>.8</w:t>
      </w:r>
      <w:r>
        <w:rPr>
          <w:i/>
        </w:rPr>
        <w:tab/>
      </w:r>
      <w:r w:rsidRPr="00635088">
        <w:rPr>
          <w:i/>
        </w:rPr>
        <w:t>Where possible</w:t>
      </w:r>
      <w:r w:rsidR="004D667C">
        <w:rPr>
          <w:i/>
        </w:rPr>
        <w:t>,</w:t>
      </w:r>
      <w:r w:rsidRPr="00635088">
        <w:rPr>
          <w:i/>
        </w:rPr>
        <w:t xml:space="preserve"> avoid using frequency blocks 8A and 9D</w:t>
      </w:r>
      <w:r w:rsidR="004D667C">
        <w:rPr>
          <w:i/>
        </w:rPr>
        <w:t>,</w:t>
      </w:r>
      <w:r w:rsidRPr="00635088">
        <w:rPr>
          <w:i/>
        </w:rPr>
        <w:t xml:space="preserve"> where VHF </w:t>
      </w:r>
      <w:r>
        <w:rPr>
          <w:i/>
        </w:rPr>
        <w:t>digital television</w:t>
      </w:r>
      <w:r w:rsidRPr="00635088">
        <w:rPr>
          <w:i/>
        </w:rPr>
        <w:t xml:space="preserve"> is provided with no UHF alternative.</w:t>
      </w:r>
    </w:p>
    <w:p w14:paraId="1A8D96D6" w14:textId="77777777" w:rsidR="00763DDC" w:rsidRPr="009E3FB5" w:rsidRDefault="00763DDC" w:rsidP="00763DDC">
      <w:r>
        <w:t>There is a small risk that viewers of VHF television transmissions may receive interference fr</w:t>
      </w:r>
      <w:r w:rsidR="00F7768F">
        <w:t xml:space="preserve">om digital radio transmissions. </w:t>
      </w:r>
      <w:r>
        <w:t>The potential for interference is greater when the radio and television transmissions aren’t co-sited and/or when the digital radio transmissions are on blocks 8A and 9D, directly adjacent to digital television channels 8 and 10. The preparation of indicative allotment plans will aim to minimise, as far as is practicable, the population potentially affected by such interference.</w:t>
      </w:r>
    </w:p>
    <w:p w14:paraId="44E05BDF" w14:textId="77777777" w:rsidR="00763DDC" w:rsidRDefault="00763DDC" w:rsidP="00763DDC">
      <w:pPr>
        <w:keepNext/>
        <w:shd w:val="clear" w:color="auto" w:fill="D9D9D9" w:themeFill="background1" w:themeFillShade="D9"/>
        <w:ind w:left="425" w:hanging="425"/>
        <w:rPr>
          <w:i/>
        </w:rPr>
      </w:pPr>
      <w:r w:rsidRPr="00CF7A70">
        <w:t>5</w:t>
      </w:r>
      <w:r>
        <w:t>.9</w:t>
      </w:r>
      <w:r>
        <w:tab/>
      </w:r>
      <w:r w:rsidRPr="00CF7A70">
        <w:rPr>
          <w:i/>
        </w:rPr>
        <w:t>An</w:t>
      </w:r>
      <w:r w:rsidRPr="005C53AC">
        <w:rPr>
          <w:i/>
        </w:rPr>
        <w:t xml:space="preserve"> </w:t>
      </w:r>
      <w:r w:rsidRPr="00635088">
        <w:rPr>
          <w:i/>
        </w:rPr>
        <w:t xml:space="preserve">adjacent channel interference protection ratio </w:t>
      </w:r>
      <w:r>
        <w:rPr>
          <w:i/>
        </w:rPr>
        <w:t xml:space="preserve">of </w:t>
      </w:r>
      <w:r w:rsidRPr="00635088">
        <w:rPr>
          <w:i/>
        </w:rPr>
        <w:t>-5</w:t>
      </w:r>
      <w:r>
        <w:rPr>
          <w:i/>
        </w:rPr>
        <w:t xml:space="preserve"> </w:t>
      </w:r>
      <w:r w:rsidRPr="00635088">
        <w:rPr>
          <w:i/>
        </w:rPr>
        <w:t>dB</w:t>
      </w:r>
      <w:r>
        <w:rPr>
          <w:i/>
        </w:rPr>
        <w:t xml:space="preserve"> will be used in the case of DAB+ potentially interfering </w:t>
      </w:r>
      <w:r w:rsidR="000F2BF4">
        <w:rPr>
          <w:i/>
        </w:rPr>
        <w:t xml:space="preserve">with </w:t>
      </w:r>
      <w:r>
        <w:rPr>
          <w:i/>
        </w:rPr>
        <w:t>digital television services</w:t>
      </w:r>
      <w:r w:rsidRPr="00635088">
        <w:rPr>
          <w:i/>
        </w:rPr>
        <w:t>.</w:t>
      </w:r>
    </w:p>
    <w:p w14:paraId="6E314277" w14:textId="77777777" w:rsidR="00763DDC" w:rsidRDefault="00763DDC" w:rsidP="00763DDC">
      <w:r>
        <w:t xml:space="preserve">It is proposed to amend the relevant provisions of the </w:t>
      </w:r>
      <w:r w:rsidRPr="00245F86">
        <w:rPr>
          <w:i/>
        </w:rPr>
        <w:t>Broadcasting Services (Technical Planning) Guidelines 2007</w:t>
      </w:r>
      <w:r w:rsidRPr="004D667C">
        <w:t xml:space="preserve"> </w:t>
      </w:r>
      <w:r>
        <w:t>to change the specified protection from -9 dB to -5 dB. This change reflects that the original -9 dB figure was derived for digital television services using an FEC of 2/3</w:t>
      </w:r>
      <w:r w:rsidR="004D667C">
        <w:t>,</w:t>
      </w:r>
      <w:r>
        <w:t xml:space="preserve"> and that the -5 dB figure is appropriate now that the majority (if not all) </w:t>
      </w:r>
      <w:r w:rsidR="00677CD5">
        <w:t xml:space="preserve">of </w:t>
      </w:r>
      <w:r>
        <w:t>digital television services use an FEC of 3/4.</w:t>
      </w:r>
    </w:p>
    <w:p w14:paraId="72CFC1DE" w14:textId="77777777" w:rsidR="00763DDC" w:rsidRDefault="00763DDC" w:rsidP="00763DDC">
      <w:pPr>
        <w:keepNext/>
        <w:shd w:val="clear" w:color="auto" w:fill="D9D9D9" w:themeFill="background1" w:themeFillShade="D9"/>
        <w:ind w:left="425" w:hanging="425"/>
        <w:rPr>
          <w:i/>
        </w:rPr>
      </w:pPr>
      <w:r w:rsidRPr="00CF7A70">
        <w:t>5</w:t>
      </w:r>
      <w:r>
        <w:t>.10</w:t>
      </w:r>
      <w:r>
        <w:tab/>
      </w:r>
      <w:r w:rsidRPr="00CF7A70">
        <w:rPr>
          <w:i/>
        </w:rPr>
        <w:t>A</w:t>
      </w:r>
      <w:r w:rsidRPr="005C53AC">
        <w:rPr>
          <w:i/>
        </w:rPr>
        <w:t xml:space="preserve"> </w:t>
      </w:r>
      <w:r w:rsidRPr="00FD00D8">
        <w:rPr>
          <w:i/>
        </w:rPr>
        <w:t xml:space="preserve">protection ratio for co-channel DAB+ to DAB+ interference </w:t>
      </w:r>
      <w:r>
        <w:rPr>
          <w:i/>
        </w:rPr>
        <w:t>of 1</w:t>
      </w:r>
      <w:r w:rsidRPr="00FD00D8">
        <w:rPr>
          <w:i/>
        </w:rPr>
        <w:t>2</w:t>
      </w:r>
      <w:r>
        <w:rPr>
          <w:i/>
        </w:rPr>
        <w:t xml:space="preserve"> </w:t>
      </w:r>
      <w:r w:rsidRPr="00FD00D8">
        <w:rPr>
          <w:i/>
        </w:rPr>
        <w:t>dB</w:t>
      </w:r>
      <w:r>
        <w:rPr>
          <w:i/>
        </w:rPr>
        <w:t xml:space="preserve"> will be used</w:t>
      </w:r>
      <w:r w:rsidRPr="00FD00D8">
        <w:rPr>
          <w:i/>
        </w:rPr>
        <w:t>.</w:t>
      </w:r>
    </w:p>
    <w:p w14:paraId="274D5E8E" w14:textId="77777777" w:rsidR="00763DDC" w:rsidRPr="009E3FB5" w:rsidRDefault="00763DDC" w:rsidP="00763DDC">
      <w:r>
        <w:t xml:space="preserve">The </w:t>
      </w:r>
      <w:r w:rsidR="001617C2">
        <w:t xml:space="preserve">previously </w:t>
      </w:r>
      <w:r>
        <w:t>assumed protection ratio value of 15 dB was obtained from the ITU-R Final Acts of the Regional Radio Conference 2006</w:t>
      </w:r>
      <w:r w:rsidR="00677CD5">
        <w:t>,</w:t>
      </w:r>
      <w:r>
        <w:t xml:space="preserve"> as the then most recent reference source. Recent measurements undertaken by CRA indicate that a 12 dB value is more appropriate for DAB+.</w:t>
      </w:r>
    </w:p>
    <w:sectPr w:rsidR="00763DDC" w:rsidRPr="009E3FB5" w:rsidSect="0015305C">
      <w:headerReference w:type="even" r:id="rId27"/>
      <w:headerReference w:type="default" r:id="rId28"/>
      <w:footerReference w:type="even" r:id="rId29"/>
      <w:footerReference w:type="default" r:id="rId30"/>
      <w:type w:val="continuous"/>
      <w:pgSz w:w="11906" w:h="16838" w:code="9"/>
      <w:pgMar w:top="1945" w:right="3101" w:bottom="1134"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FDE81D3" w14:textId="77777777" w:rsidR="00286E15" w:rsidRDefault="00286E15">
      <w:r>
        <w:separator/>
      </w:r>
    </w:p>
  </w:endnote>
  <w:endnote w:type="continuationSeparator" w:id="0">
    <w:p w14:paraId="61744D00" w14:textId="77777777" w:rsidR="00286E15" w:rsidRDefault="00286E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HelveticaNeueLT Std Med">
    <w:altName w:val="Arial"/>
    <w:panose1 w:val="00000000000000000000"/>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54A953" w14:textId="77777777" w:rsidR="00C053A1" w:rsidRPr="00A5474E" w:rsidRDefault="00C053A1" w:rsidP="00A5474E">
    <w:pPr>
      <w:pStyle w:val="Footer"/>
    </w:pPr>
    <w:r>
      <w:rPr>
        <w:noProof/>
      </w:rPr>
      <w:drawing>
        <wp:inline distT="0" distB="0" distL="0" distR="0" wp14:anchorId="55DF1C09" wp14:editId="6B4361A7">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79340E" w14:textId="77777777" w:rsidR="00C053A1" w:rsidRDefault="00C053A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EDCF43" w14:textId="77777777" w:rsidR="00C053A1" w:rsidRDefault="00C053A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02E990" w14:textId="77777777" w:rsidR="00971914" w:rsidRPr="00622A3B" w:rsidRDefault="00971914"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2D27A2">
      <w:rPr>
        <w:noProof/>
        <w:color w:val="505050"/>
      </w:rPr>
      <w:t>iv</w:t>
    </w:r>
    <w:r w:rsidRPr="002E4DDC">
      <w:rPr>
        <w:color w:val="505050"/>
      </w:rPr>
      <w:fldChar w:fldCharType="end"/>
    </w:r>
  </w:p>
  <w:p w14:paraId="05C6F928" w14:textId="77777777" w:rsidR="00C053A1" w:rsidRPr="00A5474E" w:rsidRDefault="00C053A1"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EDD96F" w14:textId="77777777" w:rsidR="00971914" w:rsidRPr="00622A3B" w:rsidRDefault="00971914"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0C6AB4">
      <w:rPr>
        <w:noProof/>
        <w:color w:val="505050"/>
      </w:rPr>
      <w:t>v</w:t>
    </w:r>
    <w:r w:rsidRPr="002E4DDC">
      <w:rPr>
        <w:color w:val="505050"/>
      </w:rPr>
      <w:fldChar w:fldCharType="end"/>
    </w:r>
  </w:p>
  <w:p w14:paraId="1EBB5D01" w14:textId="77777777" w:rsidR="00C053A1" w:rsidRPr="00A5474E" w:rsidRDefault="00C053A1"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A18372" w14:textId="77777777" w:rsidR="00C053A1" w:rsidRPr="00622A3B" w:rsidRDefault="00C053A1"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D72AD5">
      <w:rPr>
        <w:noProof/>
        <w:color w:val="505050"/>
      </w:rPr>
      <w:t>iii</w:t>
    </w:r>
    <w:r w:rsidRPr="002E4DDC">
      <w:rPr>
        <w:color w:val="505050"/>
      </w:rPr>
      <w:fldChar w:fldCharType="end"/>
    </w:r>
  </w:p>
  <w:p w14:paraId="1C3C8B5A" w14:textId="77777777" w:rsidR="00C053A1" w:rsidRPr="00A5474E" w:rsidRDefault="00C053A1"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18FF18" w14:textId="77777777" w:rsidR="000E09D2" w:rsidRPr="00622A3B" w:rsidRDefault="000E09D2" w:rsidP="000E09D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sidR="00D72AD5">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51FF2E95" w14:textId="77777777" w:rsidR="00C053A1" w:rsidRPr="00A5474E" w:rsidRDefault="00C053A1"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A9634A2" w14:textId="77777777" w:rsidR="000E09D2" w:rsidRPr="00622A3B" w:rsidRDefault="000E09D2" w:rsidP="000E09D2">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D72AD5">
      <w:rPr>
        <w:noProof/>
        <w:color w:val="505050"/>
      </w:rPr>
      <w:t>5</w:t>
    </w:r>
    <w:r w:rsidRPr="00575AC5">
      <w:rPr>
        <w:color w:val="505050"/>
      </w:rPr>
      <w:fldChar w:fldCharType="end"/>
    </w:r>
  </w:p>
  <w:p w14:paraId="7F6E031D" w14:textId="77777777" w:rsidR="00C053A1" w:rsidRPr="00A5474E" w:rsidRDefault="00C053A1"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AF915D4" w14:textId="77777777" w:rsidR="00286E15" w:rsidRDefault="00286E15">
      <w:r>
        <w:separator/>
      </w:r>
    </w:p>
  </w:footnote>
  <w:footnote w:type="continuationSeparator" w:id="0">
    <w:p w14:paraId="0514FB51" w14:textId="77777777" w:rsidR="00286E15" w:rsidRDefault="00286E15">
      <w:r>
        <w:continuationSeparator/>
      </w:r>
    </w:p>
  </w:footnote>
  <w:footnote w:id="1">
    <w:p w14:paraId="13064273" w14:textId="77777777" w:rsidR="006E2872" w:rsidRDefault="006E2872" w:rsidP="00D72AD5">
      <w:pPr>
        <w:pStyle w:val="FootnoteText"/>
        <w:spacing w:after="40" w:line="200" w:lineRule="atLeast"/>
      </w:pPr>
      <w:r>
        <w:rPr>
          <w:rStyle w:val="FootnoteReference"/>
        </w:rPr>
        <w:footnoteRef/>
      </w:r>
      <w:r>
        <w:t xml:space="preserve"> The ACMA prepares digital radio channel plans under section 44A of the </w:t>
      </w:r>
      <w:r w:rsidRPr="004811A0">
        <w:rPr>
          <w:i/>
        </w:rPr>
        <w:t>Radiocommunications Act 1992</w:t>
      </w:r>
      <w:r>
        <w:t>.</w:t>
      </w:r>
    </w:p>
  </w:footnote>
  <w:footnote w:id="2">
    <w:p w14:paraId="722FF623" w14:textId="77777777" w:rsidR="00ED35DD" w:rsidRDefault="00ED35DD" w:rsidP="00D72AD5">
      <w:pPr>
        <w:pStyle w:val="FootnoteText"/>
        <w:spacing w:after="0" w:line="200" w:lineRule="atLeast"/>
      </w:pPr>
      <w:r>
        <w:rPr>
          <w:rStyle w:val="FootnoteReference"/>
        </w:rPr>
        <w:footnoteRef/>
      </w:r>
      <w:r>
        <w:t xml:space="preserve"> S</w:t>
      </w:r>
      <w:r w:rsidRPr="00D81EF1">
        <w:t xml:space="preserve">ix frequency blocks </w:t>
      </w:r>
      <w:r>
        <w:t>are</w:t>
      </w:r>
      <w:r w:rsidRPr="00D81EF1">
        <w:t xml:space="preserve"> available for allotment to a Cat</w:t>
      </w:r>
      <w:r>
        <w:t xml:space="preserve">egory </w:t>
      </w:r>
      <w:r w:rsidRPr="00D81EF1">
        <w:t>1</w:t>
      </w:r>
      <w:r>
        <w:t xml:space="preserve"> or 2</w:t>
      </w:r>
      <w:r w:rsidRPr="00D81EF1">
        <w:t xml:space="preserve"> mu</w:t>
      </w:r>
      <w:r>
        <w:t>ltiplex</w:t>
      </w:r>
      <w:r w:rsidRPr="00D81EF1">
        <w:t xml:space="preserve"> in each licence area</w:t>
      </w:r>
      <w:r w:rsidR="0015305C">
        <w:t>,</w:t>
      </w:r>
      <w:r w:rsidRPr="00D81EF1">
        <w:t xml:space="preserve"> and two frequency blocks </w:t>
      </w:r>
      <w:r w:rsidR="0015305C">
        <w:t xml:space="preserve">are </w:t>
      </w:r>
      <w:r w:rsidRPr="00D81EF1">
        <w:t>available for the deployment of Cat</w:t>
      </w:r>
      <w:r>
        <w:t xml:space="preserve">egory </w:t>
      </w:r>
      <w:r w:rsidRPr="00D81EF1">
        <w:t xml:space="preserve">3 national </w:t>
      </w:r>
      <w:r>
        <w:t>multiplex</w:t>
      </w:r>
      <w:r w:rsidRPr="00D81EF1">
        <w:t xml:space="preserve"> in a flexible manner </w:t>
      </w:r>
      <w:r>
        <w:t>across multiple licence areas.</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C84C4C7" w14:textId="77777777" w:rsidR="00C053A1" w:rsidRPr="00A5474E" w:rsidRDefault="00C053A1" w:rsidP="00A5474E">
    <w:pPr>
      <w:pStyle w:val="Header"/>
    </w:pPr>
    <w:r>
      <w:rPr>
        <w:noProof/>
      </w:rPr>
      <w:drawing>
        <wp:inline distT="0" distB="0" distL="0" distR="0" wp14:anchorId="2BA0E6AC" wp14:editId="56BE1958">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9F5B32" w14:textId="77777777" w:rsidR="00C053A1" w:rsidRPr="00A5474E" w:rsidRDefault="00C053A1"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A76950" w14:textId="77777777" w:rsidR="00C053A1" w:rsidRDefault="00C053A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01E2DF" w14:textId="77777777" w:rsidR="00C053A1" w:rsidRDefault="00C053A1">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10C82374" w14:textId="77777777" w:rsidTr="003B0421">
      <w:trPr>
        <w:trHeight w:hRule="exact" w:val="988"/>
      </w:trPr>
      <w:tc>
        <w:tcPr>
          <w:tcW w:w="7678" w:type="dxa"/>
          <w:shd w:val="clear" w:color="auto" w:fill="auto"/>
        </w:tcPr>
        <w:p w14:paraId="225778F5" w14:textId="77777777" w:rsidR="00971914" w:rsidRDefault="00971914" w:rsidP="00971914">
          <w:pPr>
            <w:pStyle w:val="Header"/>
          </w:pPr>
        </w:p>
      </w:tc>
    </w:tr>
    <w:tr w:rsidR="00971914" w14:paraId="767E4E56" w14:textId="77777777" w:rsidTr="003B0421">
      <w:tc>
        <w:tcPr>
          <w:tcW w:w="7678" w:type="dxa"/>
          <w:shd w:val="clear" w:color="auto" w:fill="auto"/>
        </w:tcPr>
        <w:p w14:paraId="6904C173" w14:textId="77777777" w:rsidR="00971914" w:rsidRDefault="00971914" w:rsidP="00971914">
          <w:pPr>
            <w:pStyle w:val="GridTable31"/>
          </w:pPr>
          <w:r>
            <w:t xml:space="preserve">Contents </w:t>
          </w:r>
          <w:r w:rsidRPr="00915B1C">
            <w:rPr>
              <w:b w:val="0"/>
              <w:spacing w:val="0"/>
              <w:sz w:val="28"/>
              <w:szCs w:val="28"/>
            </w:rPr>
            <w:t>(Continued)</w:t>
          </w:r>
        </w:p>
      </w:tc>
    </w:tr>
    <w:tr w:rsidR="00971914" w14:paraId="45EFFC79" w14:textId="77777777" w:rsidTr="003B0421">
      <w:trPr>
        <w:trHeight w:val="1220"/>
      </w:trPr>
      <w:tc>
        <w:tcPr>
          <w:tcW w:w="7678" w:type="dxa"/>
          <w:shd w:val="clear" w:color="auto" w:fill="auto"/>
        </w:tcPr>
        <w:p w14:paraId="66903938" w14:textId="77777777" w:rsidR="00971914" w:rsidRDefault="00971914" w:rsidP="00971914"/>
      </w:tc>
    </w:tr>
  </w:tbl>
  <w:p w14:paraId="22B593B6" w14:textId="77777777" w:rsidR="00971914" w:rsidRDefault="00971914"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971914" w14:paraId="5F5A12D3" w14:textId="77777777" w:rsidTr="003B0421">
      <w:trPr>
        <w:trHeight w:hRule="exact" w:val="988"/>
      </w:trPr>
      <w:tc>
        <w:tcPr>
          <w:tcW w:w="7678" w:type="dxa"/>
          <w:shd w:val="clear" w:color="auto" w:fill="auto"/>
        </w:tcPr>
        <w:p w14:paraId="668D8CA9" w14:textId="77777777" w:rsidR="00971914" w:rsidRDefault="00971914" w:rsidP="00971914">
          <w:pPr>
            <w:pStyle w:val="Header"/>
          </w:pPr>
        </w:p>
      </w:tc>
    </w:tr>
    <w:tr w:rsidR="00971914" w14:paraId="5F500AFD" w14:textId="77777777" w:rsidTr="003B0421">
      <w:tc>
        <w:tcPr>
          <w:tcW w:w="7678" w:type="dxa"/>
          <w:shd w:val="clear" w:color="auto" w:fill="auto"/>
        </w:tcPr>
        <w:p w14:paraId="1D9103EB" w14:textId="77777777" w:rsidR="00971914" w:rsidRDefault="00971914" w:rsidP="00971914">
          <w:pPr>
            <w:pStyle w:val="GridTable31"/>
          </w:pPr>
          <w:r>
            <w:t xml:space="preserve">Contents </w:t>
          </w:r>
          <w:r w:rsidRPr="00915B1C">
            <w:rPr>
              <w:b w:val="0"/>
              <w:spacing w:val="0"/>
              <w:sz w:val="28"/>
              <w:szCs w:val="28"/>
            </w:rPr>
            <w:t>(Continued)</w:t>
          </w:r>
        </w:p>
      </w:tc>
    </w:tr>
    <w:tr w:rsidR="00971914" w14:paraId="6878ABE9" w14:textId="77777777" w:rsidTr="003B0421">
      <w:trPr>
        <w:trHeight w:val="1220"/>
      </w:trPr>
      <w:tc>
        <w:tcPr>
          <w:tcW w:w="7678" w:type="dxa"/>
          <w:shd w:val="clear" w:color="auto" w:fill="auto"/>
        </w:tcPr>
        <w:p w14:paraId="1CC263BB" w14:textId="77777777" w:rsidR="00971914" w:rsidRDefault="00971914" w:rsidP="00971914"/>
      </w:tc>
    </w:tr>
  </w:tbl>
  <w:p w14:paraId="78680593" w14:textId="77777777" w:rsidR="00C053A1" w:rsidRPr="00A5474E" w:rsidRDefault="00C053A1"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AAB1379" w14:textId="77777777" w:rsidR="00C053A1" w:rsidRDefault="00C053A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1B45DB" w14:textId="77777777" w:rsidR="00C053A1" w:rsidRDefault="00C053A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in;height:43.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6608AFD4"/>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5"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6"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8"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9"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2"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4"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8"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9"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0"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1"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2"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3"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4"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39"/>
  </w:num>
  <w:num w:numId="12">
    <w:abstractNumId w:val="23"/>
  </w:num>
  <w:num w:numId="13">
    <w:abstractNumId w:val="28"/>
  </w:num>
  <w:num w:numId="14">
    <w:abstractNumId w:val="19"/>
  </w:num>
  <w:num w:numId="15">
    <w:abstractNumId w:val="21"/>
  </w:num>
  <w:num w:numId="16">
    <w:abstractNumId w:val="45"/>
  </w:num>
  <w:num w:numId="17">
    <w:abstractNumId w:val="41"/>
  </w:num>
  <w:num w:numId="18">
    <w:abstractNumId w:val="31"/>
  </w:num>
  <w:num w:numId="19">
    <w:abstractNumId w:val="13"/>
  </w:num>
  <w:num w:numId="20">
    <w:abstractNumId w:val="0"/>
  </w:num>
  <w:num w:numId="21">
    <w:abstractNumId w:val="15"/>
  </w:num>
  <w:num w:numId="22">
    <w:abstractNumId w:val="25"/>
  </w:num>
  <w:num w:numId="23">
    <w:abstractNumId w:val="22"/>
  </w:num>
  <w:num w:numId="24">
    <w:abstractNumId w:val="35"/>
  </w:num>
  <w:num w:numId="25">
    <w:abstractNumId w:val="43"/>
  </w:num>
  <w:num w:numId="26">
    <w:abstractNumId w:val="30"/>
  </w:num>
  <w:num w:numId="27">
    <w:abstractNumId w:val="32"/>
  </w:num>
  <w:num w:numId="28">
    <w:abstractNumId w:val="29"/>
  </w:num>
  <w:num w:numId="29">
    <w:abstractNumId w:val="20"/>
  </w:num>
  <w:num w:numId="30">
    <w:abstractNumId w:val="24"/>
  </w:num>
  <w:num w:numId="31">
    <w:abstractNumId w:val="33"/>
  </w:num>
  <w:num w:numId="32">
    <w:abstractNumId w:val="44"/>
  </w:num>
  <w:num w:numId="33">
    <w:abstractNumId w:val="26"/>
  </w:num>
  <w:num w:numId="34">
    <w:abstractNumId w:val="37"/>
  </w:num>
  <w:num w:numId="35">
    <w:abstractNumId w:val="18"/>
  </w:num>
  <w:num w:numId="36">
    <w:abstractNumId w:val="14"/>
  </w:num>
  <w:num w:numId="37">
    <w:abstractNumId w:val="16"/>
  </w:num>
  <w:num w:numId="38">
    <w:abstractNumId w:val="38"/>
  </w:num>
  <w:num w:numId="39">
    <w:abstractNumId w:val="27"/>
  </w:num>
  <w:num w:numId="40">
    <w:abstractNumId w:val="34"/>
  </w:num>
  <w:num w:numId="41">
    <w:abstractNumId w:val="40"/>
  </w:num>
  <w:num w:numId="42">
    <w:abstractNumId w:val="42"/>
  </w:num>
  <w:num w:numId="43">
    <w:abstractNumId w:val="36"/>
  </w:num>
  <w:num w:numId="44">
    <w:abstractNumId w:val="17"/>
  </w:num>
  <w:num w:numId="45">
    <w:abstractNumId w:val="12"/>
  </w:num>
  <w:num w:numId="46">
    <w:abstractNumId w:val="11"/>
  </w:num>
  <w:num w:numId="4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proofState w:spelling="clean" w:grammar="clean"/>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63DDC"/>
    <w:rsid w:val="00006548"/>
    <w:rsid w:val="00010667"/>
    <w:rsid w:val="000129D5"/>
    <w:rsid w:val="00015AE7"/>
    <w:rsid w:val="00016E21"/>
    <w:rsid w:val="0001719C"/>
    <w:rsid w:val="0002224E"/>
    <w:rsid w:val="00026F91"/>
    <w:rsid w:val="0004764C"/>
    <w:rsid w:val="0005011A"/>
    <w:rsid w:val="0005045A"/>
    <w:rsid w:val="00051C1E"/>
    <w:rsid w:val="000539F9"/>
    <w:rsid w:val="00054C27"/>
    <w:rsid w:val="00055EC3"/>
    <w:rsid w:val="000563CE"/>
    <w:rsid w:val="000659B6"/>
    <w:rsid w:val="0006686F"/>
    <w:rsid w:val="0006722A"/>
    <w:rsid w:val="00071CDD"/>
    <w:rsid w:val="000732CF"/>
    <w:rsid w:val="00075B96"/>
    <w:rsid w:val="0008196A"/>
    <w:rsid w:val="000915ED"/>
    <w:rsid w:val="0009209D"/>
    <w:rsid w:val="000969BD"/>
    <w:rsid w:val="000969BF"/>
    <w:rsid w:val="000A0C22"/>
    <w:rsid w:val="000A3C43"/>
    <w:rsid w:val="000A4A51"/>
    <w:rsid w:val="000A5D2B"/>
    <w:rsid w:val="000B5DE3"/>
    <w:rsid w:val="000C0A57"/>
    <w:rsid w:val="000C230C"/>
    <w:rsid w:val="000C6AB4"/>
    <w:rsid w:val="000D71D9"/>
    <w:rsid w:val="000D724B"/>
    <w:rsid w:val="000D76E0"/>
    <w:rsid w:val="000D7E8B"/>
    <w:rsid w:val="000E09D2"/>
    <w:rsid w:val="000E4449"/>
    <w:rsid w:val="000E6097"/>
    <w:rsid w:val="000F2BF4"/>
    <w:rsid w:val="00103829"/>
    <w:rsid w:val="00111FCE"/>
    <w:rsid w:val="001229A5"/>
    <w:rsid w:val="0012489B"/>
    <w:rsid w:val="00130017"/>
    <w:rsid w:val="00130F91"/>
    <w:rsid w:val="001349ED"/>
    <w:rsid w:val="00137424"/>
    <w:rsid w:val="00140318"/>
    <w:rsid w:val="00141AD9"/>
    <w:rsid w:val="00146CE6"/>
    <w:rsid w:val="00152903"/>
    <w:rsid w:val="0015305C"/>
    <w:rsid w:val="00153FD5"/>
    <w:rsid w:val="0015614F"/>
    <w:rsid w:val="001577C2"/>
    <w:rsid w:val="001617C2"/>
    <w:rsid w:val="001633C4"/>
    <w:rsid w:val="00171591"/>
    <w:rsid w:val="00173981"/>
    <w:rsid w:val="0017719D"/>
    <w:rsid w:val="00183FD7"/>
    <w:rsid w:val="00185CAB"/>
    <w:rsid w:val="001875B7"/>
    <w:rsid w:val="00187CB3"/>
    <w:rsid w:val="0019050A"/>
    <w:rsid w:val="001910D4"/>
    <w:rsid w:val="001976E3"/>
    <w:rsid w:val="001A44EC"/>
    <w:rsid w:val="001B58AA"/>
    <w:rsid w:val="001B6240"/>
    <w:rsid w:val="001B7E48"/>
    <w:rsid w:val="001C17CE"/>
    <w:rsid w:val="001C36CA"/>
    <w:rsid w:val="001C44D1"/>
    <w:rsid w:val="001C6AEE"/>
    <w:rsid w:val="001C7630"/>
    <w:rsid w:val="001D6D15"/>
    <w:rsid w:val="001F7558"/>
    <w:rsid w:val="00205B57"/>
    <w:rsid w:val="002157E0"/>
    <w:rsid w:val="00216A57"/>
    <w:rsid w:val="0022334F"/>
    <w:rsid w:val="00224C0A"/>
    <w:rsid w:val="00226819"/>
    <w:rsid w:val="00233101"/>
    <w:rsid w:val="00233817"/>
    <w:rsid w:val="002367FF"/>
    <w:rsid w:val="00240CE9"/>
    <w:rsid w:val="002434BA"/>
    <w:rsid w:val="00245F86"/>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86E15"/>
    <w:rsid w:val="0029593B"/>
    <w:rsid w:val="00297FC5"/>
    <w:rsid w:val="002A0417"/>
    <w:rsid w:val="002A16D8"/>
    <w:rsid w:val="002A1BC8"/>
    <w:rsid w:val="002A3EF2"/>
    <w:rsid w:val="002B0DED"/>
    <w:rsid w:val="002B19A2"/>
    <w:rsid w:val="002B381A"/>
    <w:rsid w:val="002B4FCC"/>
    <w:rsid w:val="002B5872"/>
    <w:rsid w:val="002B7408"/>
    <w:rsid w:val="002B7CFD"/>
    <w:rsid w:val="002C210F"/>
    <w:rsid w:val="002D27A2"/>
    <w:rsid w:val="002D3600"/>
    <w:rsid w:val="002E4DDC"/>
    <w:rsid w:val="00302480"/>
    <w:rsid w:val="003165E6"/>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17E2"/>
    <w:rsid w:val="003671BE"/>
    <w:rsid w:val="00372485"/>
    <w:rsid w:val="00373200"/>
    <w:rsid w:val="00375EF5"/>
    <w:rsid w:val="003767A5"/>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5DB8"/>
    <w:rsid w:val="0045605D"/>
    <w:rsid w:val="0046135B"/>
    <w:rsid w:val="00461D47"/>
    <w:rsid w:val="004718CC"/>
    <w:rsid w:val="004811A0"/>
    <w:rsid w:val="00481695"/>
    <w:rsid w:val="00495A96"/>
    <w:rsid w:val="00495BB3"/>
    <w:rsid w:val="004A02C7"/>
    <w:rsid w:val="004A56BB"/>
    <w:rsid w:val="004B1751"/>
    <w:rsid w:val="004B7706"/>
    <w:rsid w:val="004C0253"/>
    <w:rsid w:val="004D0802"/>
    <w:rsid w:val="004D56FF"/>
    <w:rsid w:val="004D667C"/>
    <w:rsid w:val="004E39D3"/>
    <w:rsid w:val="004E508A"/>
    <w:rsid w:val="004E616D"/>
    <w:rsid w:val="004F1BDE"/>
    <w:rsid w:val="004F2CEE"/>
    <w:rsid w:val="004F556E"/>
    <w:rsid w:val="004F7F44"/>
    <w:rsid w:val="005037B4"/>
    <w:rsid w:val="005079BF"/>
    <w:rsid w:val="0051269A"/>
    <w:rsid w:val="005219E7"/>
    <w:rsid w:val="00531B9A"/>
    <w:rsid w:val="00531D15"/>
    <w:rsid w:val="00533808"/>
    <w:rsid w:val="00537604"/>
    <w:rsid w:val="00542377"/>
    <w:rsid w:val="005476EB"/>
    <w:rsid w:val="00551782"/>
    <w:rsid w:val="00563913"/>
    <w:rsid w:val="00563EF1"/>
    <w:rsid w:val="00566AB4"/>
    <w:rsid w:val="00575AC5"/>
    <w:rsid w:val="0057605D"/>
    <w:rsid w:val="00581347"/>
    <w:rsid w:val="00581AC9"/>
    <w:rsid w:val="005849F8"/>
    <w:rsid w:val="005938DF"/>
    <w:rsid w:val="00594C65"/>
    <w:rsid w:val="00594E9C"/>
    <w:rsid w:val="005A099B"/>
    <w:rsid w:val="005A2D9C"/>
    <w:rsid w:val="005A55FE"/>
    <w:rsid w:val="005A6A11"/>
    <w:rsid w:val="005D2502"/>
    <w:rsid w:val="005D40BB"/>
    <w:rsid w:val="005D47F3"/>
    <w:rsid w:val="005D49BF"/>
    <w:rsid w:val="005D6F4E"/>
    <w:rsid w:val="005D7C73"/>
    <w:rsid w:val="005E3ACD"/>
    <w:rsid w:val="005E7226"/>
    <w:rsid w:val="005E7A57"/>
    <w:rsid w:val="005F24B0"/>
    <w:rsid w:val="00601046"/>
    <w:rsid w:val="00604315"/>
    <w:rsid w:val="00604E26"/>
    <w:rsid w:val="006052CF"/>
    <w:rsid w:val="00607B8D"/>
    <w:rsid w:val="00611F5C"/>
    <w:rsid w:val="00616E09"/>
    <w:rsid w:val="00622A3B"/>
    <w:rsid w:val="00622EEA"/>
    <w:rsid w:val="0062396C"/>
    <w:rsid w:val="00623FF9"/>
    <w:rsid w:val="00627D4E"/>
    <w:rsid w:val="00634478"/>
    <w:rsid w:val="00644373"/>
    <w:rsid w:val="00645915"/>
    <w:rsid w:val="006519C3"/>
    <w:rsid w:val="00652B30"/>
    <w:rsid w:val="00656345"/>
    <w:rsid w:val="00656DC6"/>
    <w:rsid w:val="00660EC6"/>
    <w:rsid w:val="00664110"/>
    <w:rsid w:val="00664D17"/>
    <w:rsid w:val="00666520"/>
    <w:rsid w:val="00667C5B"/>
    <w:rsid w:val="0067016B"/>
    <w:rsid w:val="00677CD5"/>
    <w:rsid w:val="00680E96"/>
    <w:rsid w:val="00692CDE"/>
    <w:rsid w:val="00693073"/>
    <w:rsid w:val="006977FF"/>
    <w:rsid w:val="006A01FA"/>
    <w:rsid w:val="006A0E9E"/>
    <w:rsid w:val="006A25C7"/>
    <w:rsid w:val="006A4AAD"/>
    <w:rsid w:val="006A6DA2"/>
    <w:rsid w:val="006A7AB2"/>
    <w:rsid w:val="006B5717"/>
    <w:rsid w:val="006B582F"/>
    <w:rsid w:val="006C0CEB"/>
    <w:rsid w:val="006C13C4"/>
    <w:rsid w:val="006C3B1E"/>
    <w:rsid w:val="006C47FD"/>
    <w:rsid w:val="006C5C19"/>
    <w:rsid w:val="006C70A0"/>
    <w:rsid w:val="006D27CB"/>
    <w:rsid w:val="006D2F08"/>
    <w:rsid w:val="006D576C"/>
    <w:rsid w:val="006D5865"/>
    <w:rsid w:val="006D60F1"/>
    <w:rsid w:val="006E2872"/>
    <w:rsid w:val="006E4B1B"/>
    <w:rsid w:val="006E5445"/>
    <w:rsid w:val="006E5CE5"/>
    <w:rsid w:val="006E7D93"/>
    <w:rsid w:val="007029A3"/>
    <w:rsid w:val="00706E4E"/>
    <w:rsid w:val="0070791C"/>
    <w:rsid w:val="007111B8"/>
    <w:rsid w:val="0071383C"/>
    <w:rsid w:val="007141A7"/>
    <w:rsid w:val="00715722"/>
    <w:rsid w:val="00721032"/>
    <w:rsid w:val="00721B55"/>
    <w:rsid w:val="00726CE4"/>
    <w:rsid w:val="00734143"/>
    <w:rsid w:val="00737E47"/>
    <w:rsid w:val="00740EAC"/>
    <w:rsid w:val="00741521"/>
    <w:rsid w:val="00744956"/>
    <w:rsid w:val="00745A5C"/>
    <w:rsid w:val="0074605F"/>
    <w:rsid w:val="00747E94"/>
    <w:rsid w:val="00754C83"/>
    <w:rsid w:val="00763DD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35B2"/>
    <w:rsid w:val="008044D4"/>
    <w:rsid w:val="00810AB4"/>
    <w:rsid w:val="00817B56"/>
    <w:rsid w:val="00821A88"/>
    <w:rsid w:val="0082495D"/>
    <w:rsid w:val="00831AC3"/>
    <w:rsid w:val="008408FF"/>
    <w:rsid w:val="00842C44"/>
    <w:rsid w:val="00846CC1"/>
    <w:rsid w:val="00851F3F"/>
    <w:rsid w:val="00856EDC"/>
    <w:rsid w:val="008623B5"/>
    <w:rsid w:val="00870ABA"/>
    <w:rsid w:val="008710E1"/>
    <w:rsid w:val="008716E5"/>
    <w:rsid w:val="00876CDA"/>
    <w:rsid w:val="00881CA9"/>
    <w:rsid w:val="00883628"/>
    <w:rsid w:val="00885544"/>
    <w:rsid w:val="0088634E"/>
    <w:rsid w:val="00893AB8"/>
    <w:rsid w:val="008A04C8"/>
    <w:rsid w:val="008A6913"/>
    <w:rsid w:val="008B70F3"/>
    <w:rsid w:val="008B76DF"/>
    <w:rsid w:val="008C10F4"/>
    <w:rsid w:val="008C65F7"/>
    <w:rsid w:val="008E4767"/>
    <w:rsid w:val="008E7A8C"/>
    <w:rsid w:val="00903285"/>
    <w:rsid w:val="00906F40"/>
    <w:rsid w:val="0090731E"/>
    <w:rsid w:val="00915B1C"/>
    <w:rsid w:val="009174F3"/>
    <w:rsid w:val="0091797D"/>
    <w:rsid w:val="00923CBA"/>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81898"/>
    <w:rsid w:val="0099577C"/>
    <w:rsid w:val="009B2601"/>
    <w:rsid w:val="009B4E9E"/>
    <w:rsid w:val="009C1690"/>
    <w:rsid w:val="009C6881"/>
    <w:rsid w:val="009C7759"/>
    <w:rsid w:val="009D043D"/>
    <w:rsid w:val="009D07C8"/>
    <w:rsid w:val="009D3C25"/>
    <w:rsid w:val="009D6C71"/>
    <w:rsid w:val="009E0631"/>
    <w:rsid w:val="009E16D0"/>
    <w:rsid w:val="009E1EF3"/>
    <w:rsid w:val="009E38FD"/>
    <w:rsid w:val="009E5F6B"/>
    <w:rsid w:val="009F13D6"/>
    <w:rsid w:val="009F29EA"/>
    <w:rsid w:val="009F4C6B"/>
    <w:rsid w:val="009F5102"/>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70ADF"/>
    <w:rsid w:val="00A71466"/>
    <w:rsid w:val="00A74B5E"/>
    <w:rsid w:val="00A81BED"/>
    <w:rsid w:val="00A81EC4"/>
    <w:rsid w:val="00A967FD"/>
    <w:rsid w:val="00AB156C"/>
    <w:rsid w:val="00AB6814"/>
    <w:rsid w:val="00AB79EE"/>
    <w:rsid w:val="00AC04BA"/>
    <w:rsid w:val="00AC0E39"/>
    <w:rsid w:val="00AD3082"/>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0247"/>
    <w:rsid w:val="00B60257"/>
    <w:rsid w:val="00B61F03"/>
    <w:rsid w:val="00B626E4"/>
    <w:rsid w:val="00B72F4A"/>
    <w:rsid w:val="00B83C27"/>
    <w:rsid w:val="00B84BC3"/>
    <w:rsid w:val="00B84BDD"/>
    <w:rsid w:val="00B92812"/>
    <w:rsid w:val="00B93E56"/>
    <w:rsid w:val="00B968FB"/>
    <w:rsid w:val="00BB45A1"/>
    <w:rsid w:val="00BB7686"/>
    <w:rsid w:val="00BC23F9"/>
    <w:rsid w:val="00BC3421"/>
    <w:rsid w:val="00BC732C"/>
    <w:rsid w:val="00BE2580"/>
    <w:rsid w:val="00BE266D"/>
    <w:rsid w:val="00BE3938"/>
    <w:rsid w:val="00BE4C11"/>
    <w:rsid w:val="00BE71C0"/>
    <w:rsid w:val="00BF610C"/>
    <w:rsid w:val="00C0060B"/>
    <w:rsid w:val="00C0277D"/>
    <w:rsid w:val="00C053A1"/>
    <w:rsid w:val="00C16198"/>
    <w:rsid w:val="00C16E90"/>
    <w:rsid w:val="00C2083D"/>
    <w:rsid w:val="00C24A53"/>
    <w:rsid w:val="00C34A05"/>
    <w:rsid w:val="00C4032F"/>
    <w:rsid w:val="00C44047"/>
    <w:rsid w:val="00C45155"/>
    <w:rsid w:val="00C5498F"/>
    <w:rsid w:val="00C55235"/>
    <w:rsid w:val="00C64CD0"/>
    <w:rsid w:val="00C6684F"/>
    <w:rsid w:val="00C70E70"/>
    <w:rsid w:val="00C75F8D"/>
    <w:rsid w:val="00C77380"/>
    <w:rsid w:val="00C97736"/>
    <w:rsid w:val="00CA345A"/>
    <w:rsid w:val="00CB1E82"/>
    <w:rsid w:val="00CB4BA8"/>
    <w:rsid w:val="00CB52D7"/>
    <w:rsid w:val="00CC6732"/>
    <w:rsid w:val="00CE3C96"/>
    <w:rsid w:val="00CE51A8"/>
    <w:rsid w:val="00CF369B"/>
    <w:rsid w:val="00D00E28"/>
    <w:rsid w:val="00D0269E"/>
    <w:rsid w:val="00D15810"/>
    <w:rsid w:val="00D16D4E"/>
    <w:rsid w:val="00D16FE3"/>
    <w:rsid w:val="00D27F41"/>
    <w:rsid w:val="00D36441"/>
    <w:rsid w:val="00D4064E"/>
    <w:rsid w:val="00D40F41"/>
    <w:rsid w:val="00D44E9B"/>
    <w:rsid w:val="00D47AEB"/>
    <w:rsid w:val="00D50DB9"/>
    <w:rsid w:val="00D51302"/>
    <w:rsid w:val="00D52C43"/>
    <w:rsid w:val="00D643A1"/>
    <w:rsid w:val="00D6507F"/>
    <w:rsid w:val="00D72AD5"/>
    <w:rsid w:val="00D730BC"/>
    <w:rsid w:val="00D73912"/>
    <w:rsid w:val="00D85226"/>
    <w:rsid w:val="00D87B94"/>
    <w:rsid w:val="00D92D49"/>
    <w:rsid w:val="00D92EC1"/>
    <w:rsid w:val="00D96DEA"/>
    <w:rsid w:val="00DA4E41"/>
    <w:rsid w:val="00DB117A"/>
    <w:rsid w:val="00DB5173"/>
    <w:rsid w:val="00DB7873"/>
    <w:rsid w:val="00DC187B"/>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63F4"/>
    <w:rsid w:val="00E666F2"/>
    <w:rsid w:val="00E66DD4"/>
    <w:rsid w:val="00E724AF"/>
    <w:rsid w:val="00E748CC"/>
    <w:rsid w:val="00E75415"/>
    <w:rsid w:val="00E775B1"/>
    <w:rsid w:val="00E8152A"/>
    <w:rsid w:val="00E93629"/>
    <w:rsid w:val="00E93B5C"/>
    <w:rsid w:val="00E94CEC"/>
    <w:rsid w:val="00EA04EF"/>
    <w:rsid w:val="00EA43A0"/>
    <w:rsid w:val="00EA6F19"/>
    <w:rsid w:val="00EB7090"/>
    <w:rsid w:val="00EC1BBE"/>
    <w:rsid w:val="00EC5CD7"/>
    <w:rsid w:val="00ED096B"/>
    <w:rsid w:val="00ED35DD"/>
    <w:rsid w:val="00EE5FB3"/>
    <w:rsid w:val="00EE7F79"/>
    <w:rsid w:val="00EF715A"/>
    <w:rsid w:val="00F06E14"/>
    <w:rsid w:val="00F15D3F"/>
    <w:rsid w:val="00F179D4"/>
    <w:rsid w:val="00F33C56"/>
    <w:rsid w:val="00F347C7"/>
    <w:rsid w:val="00F34848"/>
    <w:rsid w:val="00F42D46"/>
    <w:rsid w:val="00F4496C"/>
    <w:rsid w:val="00F44D44"/>
    <w:rsid w:val="00F44F3A"/>
    <w:rsid w:val="00F51F10"/>
    <w:rsid w:val="00F529A5"/>
    <w:rsid w:val="00F60F00"/>
    <w:rsid w:val="00F614C0"/>
    <w:rsid w:val="00F63FA7"/>
    <w:rsid w:val="00F7768F"/>
    <w:rsid w:val="00F83848"/>
    <w:rsid w:val="00F975E9"/>
    <w:rsid w:val="00FA1B7D"/>
    <w:rsid w:val="00FA1E3B"/>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033634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autoRedefine/>
    <w:qFormat/>
    <w:rsid w:val="000E09D2"/>
    <w:pPr>
      <w:keepNext/>
      <w:spacing w:before="320" w:after="120" w:line="280" w:lineRule="atLeast"/>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uiPriority w:val="99"/>
    <w:semiHidden/>
    <w:rsid w:val="00566AB4"/>
    <w:rPr>
      <w:rFonts w:ascii="Arial" w:hAnsi="Arial"/>
      <w:vertAlign w:val="superscript"/>
    </w:rPr>
  </w:style>
  <w:style w:type="paragraph" w:styleId="FootnoteText">
    <w:name w:val="footnote text"/>
    <w:aliases w:val="ACMA Footnote Text"/>
    <w:basedOn w:val="Normal"/>
    <w:link w:val="FootnoteTextChar"/>
    <w:uiPriority w:val="99"/>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rsid w:val="00EE7F79"/>
    <w:pPr>
      <w:spacing w:line="240" w:lineRule="auto"/>
    </w:pPr>
    <w:rPr>
      <w:szCs w:val="20"/>
    </w:rPr>
  </w:style>
  <w:style w:type="character" w:customStyle="1" w:styleId="CommentTextChar">
    <w:name w:val="Comment Text Char"/>
    <w:basedOn w:val="DefaultParagraphFont"/>
    <w:link w:val="CommentText"/>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semiHidden/>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paragraph" w:styleId="ListParagraph">
    <w:name w:val="List Paragraph"/>
    <w:basedOn w:val="Normal"/>
    <w:link w:val="ListParagraphChar"/>
    <w:uiPriority w:val="34"/>
    <w:qFormat/>
    <w:rsid w:val="00763DDC"/>
    <w:pPr>
      <w:ind w:left="720"/>
      <w:contextualSpacing/>
    </w:pPr>
  </w:style>
  <w:style w:type="paragraph" w:styleId="NoSpacing">
    <w:name w:val="No Spacing"/>
    <w:link w:val="NoSpacingChar"/>
    <w:uiPriority w:val="1"/>
    <w:qFormat/>
    <w:rsid w:val="00763DDC"/>
    <w:rPr>
      <w:rFonts w:asciiTheme="minorHAnsi" w:eastAsiaTheme="minorHAnsi" w:hAnsiTheme="minorHAnsi" w:cstheme="minorBidi"/>
      <w:sz w:val="22"/>
      <w:szCs w:val="22"/>
      <w:lang w:eastAsia="en-US"/>
    </w:rPr>
  </w:style>
  <w:style w:type="character" w:customStyle="1" w:styleId="ListParagraphChar">
    <w:name w:val="List Paragraph Char"/>
    <w:basedOn w:val="DefaultParagraphFont"/>
    <w:link w:val="ListParagraph"/>
    <w:uiPriority w:val="34"/>
    <w:locked/>
    <w:rsid w:val="00763DDC"/>
    <w:rPr>
      <w:rFonts w:ascii="Arial" w:hAnsi="Arial"/>
      <w:sz w:val="20"/>
    </w:rPr>
  </w:style>
  <w:style w:type="character" w:customStyle="1" w:styleId="NoSpacingChar">
    <w:name w:val="No Spacing Char"/>
    <w:basedOn w:val="DefaultParagraphFont"/>
    <w:link w:val="NoSpacing"/>
    <w:uiPriority w:val="1"/>
    <w:rsid w:val="00763DDC"/>
    <w:rPr>
      <w:rFonts w:asciiTheme="minorHAnsi" w:eastAsiaTheme="minorHAnsi" w:hAnsiTheme="minorHAnsi" w:cstheme="minorBidi"/>
      <w:sz w:val="22"/>
      <w:szCs w:val="22"/>
      <w:lang w:eastAsia="en-US"/>
    </w:rPr>
  </w:style>
  <w:style w:type="character" w:customStyle="1" w:styleId="FootnoteTextChar">
    <w:name w:val="Footnote Text Char"/>
    <w:aliases w:val="ACMA Footnote Text Char"/>
    <w:basedOn w:val="DefaultParagraphFont"/>
    <w:link w:val="FootnoteText"/>
    <w:uiPriority w:val="99"/>
    <w:rsid w:val="00763DDC"/>
    <w:rPr>
      <w:rFonts w:ascii="Arial" w:hAnsi="Arial"/>
      <w:sz w:val="16"/>
      <w:szCs w:val="16"/>
    </w:rPr>
  </w:style>
  <w:style w:type="paragraph" w:styleId="Revision">
    <w:name w:val="Revision"/>
    <w:hidden/>
    <w:semiHidden/>
    <w:rsid w:val="004D667C"/>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2.xml"/><Relationship Id="rId18" Type="http://schemas.openxmlformats.org/officeDocument/2006/relationships/header" Target="header3.xml"/><Relationship Id="rId26" Type="http://schemas.openxmlformats.org/officeDocument/2006/relationships/footer" Target="footer6.xm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mailto:candinfo@acma.gov.au" TargetMode="External"/><Relationship Id="rId25" Type="http://schemas.openxmlformats.org/officeDocument/2006/relationships/footer" Target="footer5.xml"/><Relationship Id="rId2" Type="http://schemas.openxmlformats.org/officeDocument/2006/relationships/customXml" Target="../customXml/item2.xml"/><Relationship Id="rId16" Type="http://schemas.openxmlformats.org/officeDocument/2006/relationships/hyperlink" Target="http://creativecommons.org/licenses/by/3.0/au/" TargetMode="External"/><Relationship Id="rId20" Type="http://schemas.openxmlformats.org/officeDocument/2006/relationships/footer" Target="footer2.xml"/><Relationship Id="rId29" Type="http://schemas.openxmlformats.org/officeDocument/2006/relationships/footer" Target="footer7.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footer" Target="footer4.xml"/><Relationship Id="rId32"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image" Target="media/image4.png"/><Relationship Id="rId23" Type="http://schemas.openxmlformats.org/officeDocument/2006/relationships/header" Target="header6.xml"/><Relationship Id="rId28" Type="http://schemas.openxmlformats.org/officeDocument/2006/relationships/header" Target="header8.xml"/><Relationship Id="rId10" Type="http://schemas.openxmlformats.org/officeDocument/2006/relationships/endnotes" Target="endnotes.xml"/><Relationship Id="rId19" Type="http://schemas.openxmlformats.org/officeDocument/2006/relationships/header" Target="header4.xml"/><Relationship Id="rId31"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i.creativecommons.org/l/by/3.0/88x31.png" TargetMode="External"/><Relationship Id="rId22" Type="http://schemas.openxmlformats.org/officeDocument/2006/relationships/header" Target="header5.xml"/><Relationship Id="rId27" Type="http://schemas.openxmlformats.org/officeDocument/2006/relationships/header" Target="header7.xml"/><Relationship Id="rId30" Type="http://schemas.openxmlformats.org/officeDocument/2006/relationships/footer" Target="footer8.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742ED998B5467D41B26639F861ED8A2B" ma:contentTypeVersion="12" ma:contentTypeDescription="Create a new document." ma:contentTypeScope="" ma:versionID="c3b34903db3342090d5ef6033074d648">
  <xsd:schema xmlns:xsd="http://www.w3.org/2001/XMLSchema" xmlns:xs="http://www.w3.org/2001/XMLSchema" xmlns:p="http://schemas.microsoft.com/office/2006/metadata/properties" xmlns:ns3="5df346a9-980b-4261-8e20-37cd8ca1f2ba" xmlns:ns4="a58a29f6-4078-447f-aa0a-52d5dcf743e6" targetNamespace="http://schemas.microsoft.com/office/2006/metadata/properties" ma:root="true" ma:fieldsID="5f1ef7e0b012f9b31dc518fe33c3552a" ns3:_="" ns4:_="">
    <xsd:import namespace="5df346a9-980b-4261-8e20-37cd8ca1f2ba"/>
    <xsd:import namespace="a58a29f6-4078-447f-aa0a-52d5dcf743e6"/>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df346a9-980b-4261-8e20-37cd8ca1f2b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8a29f6-4078-447f-aa0a-52d5dcf743e6"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1E10782A-4240-47DC-93EB-A9C9EEF87DA1}">
  <ds:schemaRefs>
    <ds:schemaRef ds:uri="http://schemas.openxmlformats.org/officeDocument/2006/bibliography"/>
  </ds:schemaRefs>
</ds:datastoreItem>
</file>

<file path=customXml/itemProps2.xml><?xml version="1.0" encoding="utf-8"?>
<ds:datastoreItem xmlns:ds="http://schemas.openxmlformats.org/officeDocument/2006/customXml" ds:itemID="{7B1BB149-A559-4341-9237-C3AAD94F0E2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df346a9-980b-4261-8e20-37cd8ca1f2ba"/>
    <ds:schemaRef ds:uri="a58a29f6-4078-447f-aa0a-52d5dcf743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F9F090A8-2FF3-44A9-AE8B-2CEE9B45DCB1}">
  <ds:schemaRefs>
    <ds:schemaRef ds:uri="http://schemas.microsoft.com/sharepoint/v3/contenttype/forms"/>
  </ds:schemaRefs>
</ds:datastoreItem>
</file>

<file path=customXml/itemProps4.xml><?xml version="1.0" encoding="utf-8"?>
<ds:datastoreItem xmlns:ds="http://schemas.openxmlformats.org/officeDocument/2006/customXml" ds:itemID="{6D7AFCB4-241B-40C6-BD55-CEE5E691BC2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2701</Words>
  <Characters>15399</Characters>
  <Application>Microsoft Office Word</Application>
  <DocSecurity>4</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18064</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2020-08-04T05:15:00Z</dcterms:created>
  <dcterms:modified xsi:type="dcterms:W3CDTF">2020-08-04T05:15:00Z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0x010100742ED998B5467D41B26639F861ED8A2B</vt:lpwstr>
  </property>
</Properties>
</file>