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1A1E09" w14:textId="77777777" w:rsidR="00784722" w:rsidRDefault="00784722" w:rsidP="00784722">
      <w:pPr>
        <w:pStyle w:val="ACMALinecover"/>
      </w:pPr>
      <w:r>
        <w:rPr>
          <w:noProof/>
        </w:rPr>
        <w:drawing>
          <wp:inline distT="0" distB="0" distL="0" distR="0" wp14:anchorId="0F9888B8" wp14:editId="69C1C0C0">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dgm="http://schemas.openxmlformats.org/drawingml/2006/diagram" xmlns:a16="http://schemas.microsoft.com/office/drawing/2014/main" xmlns:c="http://schemas.openxmlformats.org/drawingml/2006/chart"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Lst>
                  </pic:spPr>
                </pic:pic>
              </a:graphicData>
            </a:graphic>
          </wp:inline>
        </w:drawing>
      </w:r>
    </w:p>
    <w:p w14:paraId="3AF0E0F7" w14:textId="0CBD998D" w:rsidR="00944978" w:rsidRPr="00A51D1A" w:rsidRDefault="005F60FC" w:rsidP="00A51D1A">
      <w:pPr>
        <w:pStyle w:val="Reporttitle"/>
      </w:pPr>
      <w:r>
        <w:t xml:space="preserve">Internet of Things in </w:t>
      </w:r>
      <w:r w:rsidR="00282641">
        <w:t>m</w:t>
      </w:r>
      <w:r>
        <w:t xml:space="preserve">edia and </w:t>
      </w:r>
      <w:r w:rsidR="00282641">
        <w:t>c</w:t>
      </w:r>
      <w:r>
        <w:t>ommunications</w:t>
      </w:r>
    </w:p>
    <w:p w14:paraId="630914A6" w14:textId="295B1A22" w:rsidR="00F06E14" w:rsidRDefault="00944978" w:rsidP="00F06E14">
      <w:pPr>
        <w:pStyle w:val="Reportsubtitle"/>
      </w:pPr>
      <w:r>
        <w:t>Occasional paper</w:t>
      </w:r>
    </w:p>
    <w:p w14:paraId="6E6A015D" w14:textId="6A1D11F1" w:rsidR="00784722" w:rsidRDefault="000C0C74" w:rsidP="00EC2B68">
      <w:pPr>
        <w:pStyle w:val="Reportdate"/>
        <w:spacing w:after="720"/>
      </w:pPr>
      <w:r>
        <w:t>JU</w:t>
      </w:r>
      <w:r w:rsidR="00917F13">
        <w:t xml:space="preserve">LY </w:t>
      </w:r>
      <w:r w:rsidR="00BD4421">
        <w:t>20</w:t>
      </w:r>
      <w:r w:rsidR="0002275E">
        <w:t>20</w:t>
      </w:r>
    </w:p>
    <w:p w14:paraId="73C33D8D"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241D324D" w14:textId="77777777" w:rsidR="0005011A" w:rsidRPr="00F44F3A" w:rsidRDefault="0005011A" w:rsidP="00FC07B9">
      <w:pPr>
        <w:pStyle w:val="ACMACorporateAddressHeader"/>
      </w:pPr>
      <w:r w:rsidRPr="00F44F3A">
        <w:lastRenderedPageBreak/>
        <w:t>Canberra</w:t>
      </w:r>
    </w:p>
    <w:p w14:paraId="0F1F72F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48B2488" w14:textId="77777777" w:rsidR="0005011A" w:rsidRPr="00FC07B9" w:rsidRDefault="0005011A" w:rsidP="00FC07B9">
      <w:pPr>
        <w:pStyle w:val="ACMACorporateAddresses"/>
      </w:pPr>
      <w:r w:rsidRPr="00FC07B9">
        <w:t>PO Box 78</w:t>
      </w:r>
      <w:r w:rsidRPr="00FC07B9">
        <w:br/>
        <w:t>Belconnen ACT 2616</w:t>
      </w:r>
    </w:p>
    <w:p w14:paraId="2905605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E4D5812" w14:textId="77777777" w:rsidR="0005011A" w:rsidRPr="00F44F3A" w:rsidRDefault="0005011A" w:rsidP="00FC07B9">
      <w:pPr>
        <w:pStyle w:val="ACMACorporateAddressHeader"/>
      </w:pPr>
      <w:r w:rsidRPr="00F44F3A">
        <w:t>Melbourne</w:t>
      </w:r>
    </w:p>
    <w:p w14:paraId="0838976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E156E0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72C2A4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45E2D13" w14:textId="77777777" w:rsidR="0005011A" w:rsidRPr="00F44F3A" w:rsidRDefault="0005011A" w:rsidP="00FC07B9">
      <w:pPr>
        <w:pStyle w:val="ACMACorporateAddressHeader"/>
      </w:pPr>
      <w:r w:rsidRPr="00F44F3A">
        <w:t>Sydney</w:t>
      </w:r>
    </w:p>
    <w:p w14:paraId="7BF3F87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9908AE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92EBD3B"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11E4212" w14:textId="77777777" w:rsidR="00140318" w:rsidRPr="006D46E5" w:rsidRDefault="00140318" w:rsidP="00FC07B9">
      <w:pPr>
        <w:pStyle w:val="ACMACopyrightHeader"/>
      </w:pPr>
      <w:r w:rsidRPr="00140318">
        <w:t>Copyright notice</w:t>
      </w:r>
    </w:p>
    <w:p w14:paraId="70D98ADF" w14:textId="77777777" w:rsidR="00140318" w:rsidRPr="006D46E5" w:rsidRDefault="00623FF9" w:rsidP="00623FF9">
      <w:pPr>
        <w:pStyle w:val="ACMACClogo"/>
      </w:pPr>
      <w:r w:rsidRPr="00623FF9">
        <w:rPr>
          <w:noProof/>
        </w:rPr>
        <w:drawing>
          <wp:inline distT="0" distB="0" distL="0" distR="0" wp14:anchorId="490C71A6" wp14:editId="7D70B65B">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64B18126" w14:textId="77777777" w:rsidR="00AA2DE5" w:rsidRDefault="00A121AA" w:rsidP="00AA2DE5">
      <w:pPr>
        <w:pStyle w:val="ACMACorporateAddresses"/>
        <w:rPr>
          <w:rStyle w:val="Hyperlink"/>
        </w:rPr>
      </w:pPr>
      <w:hyperlink r:id="rId14" w:history="1">
        <w:r w:rsidR="00AA2DE5">
          <w:rPr>
            <w:rStyle w:val="Hyperlink"/>
          </w:rPr>
          <w:t>https://creativecommons.org/licenses/by/4.0/</w:t>
        </w:r>
      </w:hyperlink>
    </w:p>
    <w:p w14:paraId="08B47DA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F442F68" w14:textId="77777777" w:rsidR="00AA2DE5" w:rsidRDefault="00AA2DE5" w:rsidP="00AA2DE5">
      <w:pPr>
        <w:pStyle w:val="ACMACorporateAddresses"/>
      </w:pPr>
      <w:r>
        <w:t>We request attribution as © Commonwealth of Australia (Australian Communications and Media Authority) 20</w:t>
      </w:r>
      <w:r w:rsidR="0053036B">
        <w:t>20</w:t>
      </w:r>
      <w:r>
        <w:t>.</w:t>
      </w:r>
    </w:p>
    <w:p w14:paraId="45DB58CF" w14:textId="77777777" w:rsidR="00AA2DE5" w:rsidRDefault="00AA2DE5" w:rsidP="00AA2DE5">
      <w:pPr>
        <w:pStyle w:val="ACMACorporateAddresses"/>
      </w:pPr>
      <w:r>
        <w:t>All other rights are reserved.</w:t>
      </w:r>
    </w:p>
    <w:p w14:paraId="0AEAE79A"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0C3AFB9" w14:textId="77777777" w:rsidR="00AA2DE5" w:rsidRDefault="00AA2DE5" w:rsidP="00AA2DE5">
      <w:pPr>
        <w:pStyle w:val="ACMACorporateAddresses"/>
      </w:pPr>
      <w:r>
        <w:t>Written enquiries may be sent to:</w:t>
      </w:r>
    </w:p>
    <w:p w14:paraId="1E392F9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12E27BC2" w14:textId="77777777" w:rsidR="00D16FE3" w:rsidRDefault="00D16FE3" w:rsidP="00D16FE3">
      <w:pPr>
        <w:pStyle w:val="ACMACorporateAddresses"/>
        <w:rPr>
          <w:rStyle w:val="Hyperlink"/>
        </w:rPr>
      </w:pPr>
    </w:p>
    <w:p w14:paraId="15B29027"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6F1746A6" w14:textId="696A30DD" w:rsidR="00C00716"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C00716">
        <w:t>Executive summary</w:t>
      </w:r>
      <w:r w:rsidR="00C00716">
        <w:tab/>
      </w:r>
      <w:r w:rsidR="00C00716">
        <w:fldChar w:fldCharType="begin"/>
      </w:r>
      <w:r w:rsidR="00C00716">
        <w:instrText xml:space="preserve"> PAGEREF _Toc46335073 \h </w:instrText>
      </w:r>
      <w:r w:rsidR="00C00716">
        <w:fldChar w:fldCharType="separate"/>
      </w:r>
      <w:r w:rsidR="00A121AA">
        <w:t>1</w:t>
      </w:r>
      <w:r w:rsidR="00C00716">
        <w:fldChar w:fldCharType="end"/>
      </w:r>
    </w:p>
    <w:p w14:paraId="6AFE521A" w14:textId="4A6C8261" w:rsidR="00C00716" w:rsidRDefault="00C00716">
      <w:pPr>
        <w:pStyle w:val="TOC1"/>
        <w:rPr>
          <w:rFonts w:asciiTheme="minorHAnsi" w:eastAsiaTheme="minorEastAsia" w:hAnsiTheme="minorHAnsi" w:cstheme="minorBidi"/>
          <w:b w:val="0"/>
          <w:spacing w:val="0"/>
          <w:sz w:val="22"/>
          <w:szCs w:val="22"/>
        </w:rPr>
      </w:pPr>
      <w:r>
        <w:t>About the research</w:t>
      </w:r>
      <w:r>
        <w:tab/>
      </w:r>
      <w:r>
        <w:fldChar w:fldCharType="begin"/>
      </w:r>
      <w:r>
        <w:instrText xml:space="preserve"> PAGEREF _Toc46335074 \h </w:instrText>
      </w:r>
      <w:r>
        <w:fldChar w:fldCharType="separate"/>
      </w:r>
      <w:r w:rsidR="00A121AA">
        <w:t>2</w:t>
      </w:r>
      <w:r>
        <w:fldChar w:fldCharType="end"/>
      </w:r>
    </w:p>
    <w:p w14:paraId="39A09CC4" w14:textId="0DC9DAFA" w:rsidR="00C00716" w:rsidRDefault="00C00716">
      <w:pPr>
        <w:pStyle w:val="TOC2"/>
        <w:rPr>
          <w:rFonts w:asciiTheme="minorHAnsi" w:eastAsiaTheme="minorEastAsia" w:hAnsiTheme="minorHAnsi" w:cstheme="minorBidi"/>
          <w:spacing w:val="0"/>
          <w:sz w:val="22"/>
          <w:szCs w:val="22"/>
        </w:rPr>
      </w:pPr>
      <w:r w:rsidRPr="00E350F4">
        <w:t>research</w:t>
      </w:r>
      <w:r>
        <w:t>acma</w:t>
      </w:r>
      <w:r>
        <w:tab/>
      </w:r>
      <w:r>
        <w:fldChar w:fldCharType="begin"/>
      </w:r>
      <w:r>
        <w:instrText xml:space="preserve"> PAGEREF _Toc46335075 \h </w:instrText>
      </w:r>
      <w:r>
        <w:fldChar w:fldCharType="separate"/>
      </w:r>
      <w:r w:rsidR="00A121AA">
        <w:t>2</w:t>
      </w:r>
      <w:r>
        <w:fldChar w:fldCharType="end"/>
      </w:r>
    </w:p>
    <w:p w14:paraId="61AAE5A4" w14:textId="6D1B6B5E" w:rsidR="00C00716" w:rsidRDefault="00C00716">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_Toc46335076 \h </w:instrText>
      </w:r>
      <w:r>
        <w:fldChar w:fldCharType="separate"/>
      </w:r>
      <w:r w:rsidR="00A121AA">
        <w:t>3</w:t>
      </w:r>
      <w:r>
        <w:fldChar w:fldCharType="end"/>
      </w:r>
    </w:p>
    <w:p w14:paraId="7438A7A1" w14:textId="3317F958" w:rsidR="00C00716" w:rsidRDefault="00C00716">
      <w:pPr>
        <w:pStyle w:val="TOC2"/>
        <w:rPr>
          <w:rFonts w:asciiTheme="minorHAnsi" w:eastAsiaTheme="minorEastAsia" w:hAnsiTheme="minorHAnsi" w:cstheme="minorBidi"/>
          <w:spacing w:val="0"/>
          <w:sz w:val="22"/>
          <w:szCs w:val="22"/>
        </w:rPr>
      </w:pPr>
      <w:r>
        <w:t>Scope of this paper</w:t>
      </w:r>
      <w:r>
        <w:tab/>
      </w:r>
      <w:r>
        <w:fldChar w:fldCharType="begin"/>
      </w:r>
      <w:r>
        <w:instrText xml:space="preserve"> PAGEREF _Toc46335077 \h </w:instrText>
      </w:r>
      <w:r>
        <w:fldChar w:fldCharType="separate"/>
      </w:r>
      <w:r w:rsidR="00A121AA">
        <w:t>3</w:t>
      </w:r>
      <w:r>
        <w:fldChar w:fldCharType="end"/>
      </w:r>
    </w:p>
    <w:p w14:paraId="3C83D0A3" w14:textId="68793E8D" w:rsidR="00C00716" w:rsidRDefault="00C00716">
      <w:pPr>
        <w:pStyle w:val="TOC1"/>
        <w:rPr>
          <w:rFonts w:asciiTheme="minorHAnsi" w:eastAsiaTheme="minorEastAsia" w:hAnsiTheme="minorHAnsi" w:cstheme="minorBidi"/>
          <w:b w:val="0"/>
          <w:spacing w:val="0"/>
          <w:sz w:val="22"/>
          <w:szCs w:val="22"/>
        </w:rPr>
      </w:pPr>
      <w:r>
        <w:t>What is the Internet of Things?</w:t>
      </w:r>
      <w:r>
        <w:tab/>
      </w:r>
      <w:r>
        <w:fldChar w:fldCharType="begin"/>
      </w:r>
      <w:r>
        <w:instrText xml:space="preserve"> PAGEREF _Toc46335078 \h </w:instrText>
      </w:r>
      <w:r>
        <w:fldChar w:fldCharType="separate"/>
      </w:r>
      <w:r w:rsidR="00A121AA">
        <w:t>4</w:t>
      </w:r>
      <w:r>
        <w:fldChar w:fldCharType="end"/>
      </w:r>
    </w:p>
    <w:p w14:paraId="27E7CE84" w14:textId="4FD75B02" w:rsidR="00C00716" w:rsidRDefault="00C00716">
      <w:pPr>
        <w:pStyle w:val="TOC2"/>
        <w:rPr>
          <w:rFonts w:asciiTheme="minorHAnsi" w:eastAsiaTheme="minorEastAsia" w:hAnsiTheme="minorHAnsi" w:cstheme="minorBidi"/>
          <w:spacing w:val="0"/>
          <w:sz w:val="22"/>
          <w:szCs w:val="22"/>
        </w:rPr>
      </w:pPr>
      <w:r>
        <w:t>Australia’s IoT environment</w:t>
      </w:r>
      <w:r>
        <w:tab/>
      </w:r>
      <w:r>
        <w:fldChar w:fldCharType="begin"/>
      </w:r>
      <w:r>
        <w:instrText xml:space="preserve"> PAGEREF _Toc46335079 \h </w:instrText>
      </w:r>
      <w:r>
        <w:fldChar w:fldCharType="separate"/>
      </w:r>
      <w:r w:rsidR="00A121AA">
        <w:t>7</w:t>
      </w:r>
      <w:r>
        <w:fldChar w:fldCharType="end"/>
      </w:r>
    </w:p>
    <w:p w14:paraId="02EA5481" w14:textId="74D2F8DB" w:rsidR="00C00716" w:rsidRDefault="00C00716">
      <w:pPr>
        <w:pStyle w:val="TOC3"/>
        <w:rPr>
          <w:rFonts w:asciiTheme="minorHAnsi" w:eastAsiaTheme="minorEastAsia" w:hAnsiTheme="minorHAnsi" w:cstheme="minorBidi"/>
        </w:rPr>
      </w:pPr>
      <w:r>
        <w:t>IoT network availability</w:t>
      </w:r>
      <w:r>
        <w:tab/>
      </w:r>
      <w:r>
        <w:fldChar w:fldCharType="begin"/>
      </w:r>
      <w:r>
        <w:instrText xml:space="preserve"> PAGEREF _Toc46335080 \h </w:instrText>
      </w:r>
      <w:r>
        <w:fldChar w:fldCharType="separate"/>
      </w:r>
      <w:r w:rsidR="00A121AA">
        <w:t>7</w:t>
      </w:r>
      <w:r>
        <w:fldChar w:fldCharType="end"/>
      </w:r>
    </w:p>
    <w:p w14:paraId="72B89554" w14:textId="47F9AD63" w:rsidR="00C00716" w:rsidRDefault="00C00716">
      <w:pPr>
        <w:pStyle w:val="TOC3"/>
        <w:rPr>
          <w:rFonts w:asciiTheme="minorHAnsi" w:eastAsiaTheme="minorEastAsia" w:hAnsiTheme="minorHAnsi" w:cstheme="minorBidi"/>
        </w:rPr>
      </w:pPr>
      <w:r>
        <w:t>IoT in the Australian market</w:t>
      </w:r>
      <w:r>
        <w:tab/>
      </w:r>
      <w:r>
        <w:fldChar w:fldCharType="begin"/>
      </w:r>
      <w:r>
        <w:instrText xml:space="preserve"> PAGEREF _Toc46335081 \h </w:instrText>
      </w:r>
      <w:r>
        <w:fldChar w:fldCharType="separate"/>
      </w:r>
      <w:r w:rsidR="00A121AA">
        <w:t>8</w:t>
      </w:r>
      <w:r>
        <w:fldChar w:fldCharType="end"/>
      </w:r>
    </w:p>
    <w:p w14:paraId="2E45A7C3" w14:textId="79D3C591" w:rsidR="00C00716" w:rsidRDefault="00C00716">
      <w:pPr>
        <w:pStyle w:val="TOC1"/>
        <w:rPr>
          <w:rFonts w:asciiTheme="minorHAnsi" w:eastAsiaTheme="minorEastAsia" w:hAnsiTheme="minorHAnsi" w:cstheme="minorBidi"/>
          <w:b w:val="0"/>
          <w:spacing w:val="0"/>
          <w:sz w:val="22"/>
          <w:szCs w:val="22"/>
        </w:rPr>
      </w:pPr>
      <w:r>
        <w:t>ACMA’s perspective on IoT in Australia</w:t>
      </w:r>
      <w:r>
        <w:tab/>
      </w:r>
      <w:r>
        <w:fldChar w:fldCharType="begin"/>
      </w:r>
      <w:r>
        <w:instrText xml:space="preserve"> PAGEREF _Toc46335082 \h </w:instrText>
      </w:r>
      <w:r>
        <w:fldChar w:fldCharType="separate"/>
      </w:r>
      <w:r w:rsidR="00A121AA">
        <w:t>10</w:t>
      </w:r>
      <w:r>
        <w:fldChar w:fldCharType="end"/>
      </w:r>
    </w:p>
    <w:p w14:paraId="4141B224" w14:textId="18303326" w:rsidR="00C00716" w:rsidRDefault="00C00716">
      <w:pPr>
        <w:pStyle w:val="TOC2"/>
        <w:rPr>
          <w:rFonts w:asciiTheme="minorHAnsi" w:eastAsiaTheme="minorEastAsia" w:hAnsiTheme="minorHAnsi" w:cstheme="minorBidi"/>
          <w:spacing w:val="0"/>
          <w:sz w:val="22"/>
          <w:szCs w:val="22"/>
        </w:rPr>
      </w:pPr>
      <w:r>
        <w:t>Network infrastructure</w:t>
      </w:r>
      <w:r>
        <w:tab/>
      </w:r>
      <w:r>
        <w:fldChar w:fldCharType="begin"/>
      </w:r>
      <w:r>
        <w:instrText xml:space="preserve"> PAGEREF _Toc46335083 \h </w:instrText>
      </w:r>
      <w:r>
        <w:fldChar w:fldCharType="separate"/>
      </w:r>
      <w:r w:rsidR="00A121AA">
        <w:t>10</w:t>
      </w:r>
      <w:r>
        <w:fldChar w:fldCharType="end"/>
      </w:r>
    </w:p>
    <w:p w14:paraId="105BE1CD" w14:textId="4BB67E2A" w:rsidR="00C00716" w:rsidRDefault="00C00716">
      <w:pPr>
        <w:pStyle w:val="TOC2"/>
        <w:rPr>
          <w:rFonts w:asciiTheme="minorHAnsi" w:eastAsiaTheme="minorEastAsia" w:hAnsiTheme="minorHAnsi" w:cstheme="minorBidi"/>
          <w:spacing w:val="0"/>
          <w:sz w:val="22"/>
          <w:szCs w:val="22"/>
        </w:rPr>
      </w:pPr>
      <w:r>
        <w:t>Spectrum management</w:t>
      </w:r>
      <w:r>
        <w:tab/>
      </w:r>
      <w:r>
        <w:fldChar w:fldCharType="begin"/>
      </w:r>
      <w:r>
        <w:instrText xml:space="preserve"> PAGEREF _Toc46335084 \h </w:instrText>
      </w:r>
      <w:r>
        <w:fldChar w:fldCharType="separate"/>
      </w:r>
      <w:r w:rsidR="00A121AA">
        <w:t>12</w:t>
      </w:r>
      <w:r>
        <w:fldChar w:fldCharType="end"/>
      </w:r>
    </w:p>
    <w:p w14:paraId="2FF23D55" w14:textId="7944BF11" w:rsidR="00C00716" w:rsidRDefault="00C00716">
      <w:pPr>
        <w:pStyle w:val="TOC2"/>
        <w:rPr>
          <w:rFonts w:asciiTheme="minorHAnsi" w:eastAsiaTheme="minorEastAsia" w:hAnsiTheme="minorHAnsi" w:cstheme="minorBidi"/>
          <w:spacing w:val="0"/>
          <w:sz w:val="22"/>
          <w:szCs w:val="22"/>
        </w:rPr>
      </w:pPr>
      <w:r>
        <w:t>Equipment standards</w:t>
      </w:r>
      <w:r>
        <w:tab/>
      </w:r>
      <w:r>
        <w:fldChar w:fldCharType="begin"/>
      </w:r>
      <w:r>
        <w:instrText xml:space="preserve"> PAGEREF _Toc46335085 \h </w:instrText>
      </w:r>
      <w:r>
        <w:fldChar w:fldCharType="separate"/>
      </w:r>
      <w:r w:rsidR="00A121AA">
        <w:t>13</w:t>
      </w:r>
      <w:r>
        <w:fldChar w:fldCharType="end"/>
      </w:r>
    </w:p>
    <w:p w14:paraId="7B27A0C5" w14:textId="3846C565" w:rsidR="00C00716" w:rsidRDefault="00C00716">
      <w:pPr>
        <w:pStyle w:val="TOC2"/>
        <w:rPr>
          <w:rFonts w:asciiTheme="minorHAnsi" w:eastAsiaTheme="minorEastAsia" w:hAnsiTheme="minorHAnsi" w:cstheme="minorBidi"/>
          <w:spacing w:val="0"/>
          <w:sz w:val="22"/>
          <w:szCs w:val="22"/>
        </w:rPr>
      </w:pPr>
      <w:r>
        <w:t>Consumer safeguards</w:t>
      </w:r>
      <w:r>
        <w:tab/>
      </w:r>
      <w:r>
        <w:fldChar w:fldCharType="begin"/>
      </w:r>
      <w:r>
        <w:instrText xml:space="preserve"> PAGEREF _Toc46335086 \h </w:instrText>
      </w:r>
      <w:r>
        <w:fldChar w:fldCharType="separate"/>
      </w:r>
      <w:r w:rsidR="00A121AA">
        <w:t>14</w:t>
      </w:r>
      <w:r>
        <w:fldChar w:fldCharType="end"/>
      </w:r>
    </w:p>
    <w:p w14:paraId="3A4F9CEE" w14:textId="069881DD" w:rsidR="00C00716" w:rsidRDefault="00C00716">
      <w:pPr>
        <w:pStyle w:val="TOC1"/>
        <w:rPr>
          <w:rFonts w:asciiTheme="minorHAnsi" w:eastAsiaTheme="minorEastAsia" w:hAnsiTheme="minorHAnsi" w:cstheme="minorBidi"/>
          <w:b w:val="0"/>
          <w:spacing w:val="0"/>
          <w:sz w:val="22"/>
          <w:szCs w:val="22"/>
        </w:rPr>
      </w:pPr>
      <w:r>
        <w:t>Regulatory settings and supportive tools for IoT</w:t>
      </w:r>
      <w:r>
        <w:tab/>
      </w:r>
      <w:r>
        <w:fldChar w:fldCharType="begin"/>
      </w:r>
      <w:r>
        <w:instrText xml:space="preserve"> PAGEREF _Toc46335087 \h </w:instrText>
      </w:r>
      <w:r>
        <w:fldChar w:fldCharType="separate"/>
      </w:r>
      <w:r w:rsidR="00A121AA">
        <w:t>17</w:t>
      </w:r>
      <w:r>
        <w:fldChar w:fldCharType="end"/>
      </w:r>
    </w:p>
    <w:p w14:paraId="1B441794" w14:textId="4EB1FF46" w:rsidR="00C00716" w:rsidRDefault="00C00716">
      <w:pPr>
        <w:pStyle w:val="TOC2"/>
        <w:rPr>
          <w:rFonts w:asciiTheme="minorHAnsi" w:eastAsiaTheme="minorEastAsia" w:hAnsiTheme="minorHAnsi" w:cstheme="minorBidi"/>
          <w:spacing w:val="0"/>
          <w:sz w:val="22"/>
          <w:szCs w:val="22"/>
        </w:rPr>
      </w:pPr>
      <w:r>
        <w:t>ACMA IoT activities</w:t>
      </w:r>
      <w:r>
        <w:tab/>
      </w:r>
      <w:r>
        <w:fldChar w:fldCharType="begin"/>
      </w:r>
      <w:r>
        <w:instrText xml:space="preserve"> PAGEREF _Toc46335088 \h </w:instrText>
      </w:r>
      <w:r>
        <w:fldChar w:fldCharType="separate"/>
      </w:r>
      <w:r w:rsidR="00A121AA">
        <w:t>18</w:t>
      </w:r>
      <w:r>
        <w:fldChar w:fldCharType="end"/>
      </w:r>
    </w:p>
    <w:p w14:paraId="759D5284" w14:textId="1E493653"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2F73954E" w14:textId="77777777" w:rsidR="009D6C71" w:rsidRPr="009174F3" w:rsidRDefault="009D6C71" w:rsidP="009174F3">
      <w:pPr>
        <w:pStyle w:val="Execsummaryheading"/>
      </w:pPr>
      <w:bookmarkStart w:id="0" w:name="_Toc46335073"/>
      <w:r w:rsidRPr="009174F3">
        <w:lastRenderedPageBreak/>
        <w:t>Executive summary</w:t>
      </w:r>
      <w:bookmarkEnd w:id="0"/>
    </w:p>
    <w:p w14:paraId="6D300FA4" w14:textId="10ED8E6C" w:rsidR="005F60FC" w:rsidRDefault="005F60FC" w:rsidP="005901ED">
      <w:pPr>
        <w:pStyle w:val="Paragraph"/>
      </w:pPr>
      <w:r w:rsidRPr="007F5235">
        <w:t>Australia’s communications and media environment continues to undergo significant change</w:t>
      </w:r>
      <w:r>
        <w:t xml:space="preserve">, driven by new technologies and evolving consumer expectations. </w:t>
      </w:r>
      <w:r w:rsidRPr="007F5235">
        <w:t xml:space="preserve">Over the past decade, </w:t>
      </w:r>
      <w:r>
        <w:t>the Internet of Things (</w:t>
      </w:r>
      <w:r w:rsidRPr="007F5235">
        <w:t>IoT</w:t>
      </w:r>
      <w:r>
        <w:t>) has emerged as a key driver of change, transforming business models</w:t>
      </w:r>
      <w:r w:rsidR="00F41D07">
        <w:t xml:space="preserve"> and </w:t>
      </w:r>
      <w:r>
        <w:t xml:space="preserve">consumer experience. </w:t>
      </w:r>
    </w:p>
    <w:p w14:paraId="67D50667" w14:textId="2D76BEF1" w:rsidR="005F60FC" w:rsidRDefault="005F60FC" w:rsidP="005901ED">
      <w:pPr>
        <w:pStyle w:val="Paragraph"/>
      </w:pPr>
      <w:r>
        <w:t>While not limited to any specific technology platform, industry, object or device, IoT relates to</w:t>
      </w:r>
      <w:r w:rsidR="00D07246">
        <w:t xml:space="preserve"> </w:t>
      </w:r>
      <w:r>
        <w:t xml:space="preserve">multiple wireless and wired interconnections of personal, consumer and industrial devices supporting a diverse range of applications. The data generated by IoT devices is enabling new insights, particularly when combined with advanced analytical capability. </w:t>
      </w:r>
    </w:p>
    <w:p w14:paraId="7263991F" w14:textId="7537085F" w:rsidR="005F60FC" w:rsidRPr="00F84E9F" w:rsidRDefault="005F60FC" w:rsidP="005901ED">
      <w:pPr>
        <w:pStyle w:val="Paragraph"/>
        <w:rPr>
          <w:szCs w:val="20"/>
        </w:rPr>
      </w:pPr>
      <w:r w:rsidRPr="00F84E9F">
        <w:rPr>
          <w:szCs w:val="20"/>
        </w:rPr>
        <w:t xml:space="preserve">Consumer IoT applications such as wearable devices are </w:t>
      </w:r>
      <w:r>
        <w:rPr>
          <w:szCs w:val="20"/>
        </w:rPr>
        <w:t>allowing</w:t>
      </w:r>
      <w:r w:rsidRPr="00F84E9F">
        <w:rPr>
          <w:szCs w:val="20"/>
        </w:rPr>
        <w:t xml:space="preserve"> consumers to monitor daily exercise and sleeping patterns. Smart home applications are </w:t>
      </w:r>
      <w:r>
        <w:rPr>
          <w:szCs w:val="20"/>
        </w:rPr>
        <w:t xml:space="preserve">supporting </w:t>
      </w:r>
      <w:r w:rsidRPr="00F84E9F">
        <w:rPr>
          <w:szCs w:val="20"/>
        </w:rPr>
        <w:t xml:space="preserve">consumers to </w:t>
      </w:r>
      <w:r w:rsidR="001E1EA8">
        <w:rPr>
          <w:szCs w:val="20"/>
        </w:rPr>
        <w:t>enhance</w:t>
      </w:r>
      <w:r w:rsidR="001E1EA8" w:rsidRPr="00F84E9F">
        <w:rPr>
          <w:szCs w:val="20"/>
        </w:rPr>
        <w:t xml:space="preserve"> </w:t>
      </w:r>
      <w:r w:rsidRPr="00F84E9F">
        <w:rPr>
          <w:szCs w:val="20"/>
        </w:rPr>
        <w:t>household efficiency and effectiveness</w:t>
      </w:r>
      <w:r w:rsidR="00D0559A">
        <w:rPr>
          <w:szCs w:val="20"/>
        </w:rPr>
        <w:t xml:space="preserve"> by improving </w:t>
      </w:r>
      <w:r w:rsidR="00B2690A">
        <w:rPr>
          <w:szCs w:val="20"/>
        </w:rPr>
        <w:t xml:space="preserve">accessibility, </w:t>
      </w:r>
      <w:r w:rsidR="00D965A1">
        <w:rPr>
          <w:szCs w:val="20"/>
        </w:rPr>
        <w:t>security</w:t>
      </w:r>
      <w:r w:rsidR="00B2690A">
        <w:rPr>
          <w:szCs w:val="20"/>
        </w:rPr>
        <w:t xml:space="preserve"> and</w:t>
      </w:r>
      <w:r w:rsidR="00D965A1">
        <w:rPr>
          <w:szCs w:val="20"/>
        </w:rPr>
        <w:t xml:space="preserve"> energy efficien</w:t>
      </w:r>
      <w:r w:rsidR="003123C3">
        <w:rPr>
          <w:szCs w:val="20"/>
        </w:rPr>
        <w:t>cy</w:t>
      </w:r>
      <w:r w:rsidRPr="00F84E9F">
        <w:rPr>
          <w:szCs w:val="20"/>
        </w:rPr>
        <w:t xml:space="preserve">. </w:t>
      </w:r>
    </w:p>
    <w:p w14:paraId="71F63631" w14:textId="0FDE708A" w:rsidR="005F60FC" w:rsidRDefault="005F60FC" w:rsidP="005901ED">
      <w:pPr>
        <w:pStyle w:val="Paragraph"/>
      </w:pPr>
      <w:r>
        <w:t xml:space="preserve">Industrial </w:t>
      </w:r>
      <w:r w:rsidRPr="00F84E9F">
        <w:t xml:space="preserve">IoT </w:t>
      </w:r>
      <w:r>
        <w:t xml:space="preserve">applications are </w:t>
      </w:r>
      <w:r w:rsidRPr="00F84E9F">
        <w:t xml:space="preserve">transforming </w:t>
      </w:r>
      <w:r>
        <w:t xml:space="preserve">Australian </w:t>
      </w:r>
      <w:r w:rsidRPr="00F84E9F">
        <w:t xml:space="preserve">industries. Industrial IoT applications </w:t>
      </w:r>
      <w:r>
        <w:t xml:space="preserve">are optimising business processes, increasing performance and reducing costs. </w:t>
      </w:r>
      <w:r w:rsidR="00207182">
        <w:t>A</w:t>
      </w:r>
      <w:r>
        <w:t xml:space="preserve">pplications </w:t>
      </w:r>
      <w:r w:rsidRPr="00F84E9F">
        <w:t>such as connected factories are improving productivity and process flows. Smart sensors</w:t>
      </w:r>
      <w:r>
        <w:t>,</w:t>
      </w:r>
      <w:r w:rsidRPr="00F84E9F">
        <w:t xml:space="preserve"> which continuously monitor machines, buildings or equipment</w:t>
      </w:r>
      <w:r>
        <w:t>,</w:t>
      </w:r>
      <w:r w:rsidRPr="00F84E9F">
        <w:t xml:space="preserve"> are improving productivity and reducing </w:t>
      </w:r>
      <w:r>
        <w:t xml:space="preserve">business </w:t>
      </w:r>
      <w:r w:rsidRPr="00F84E9F">
        <w:t xml:space="preserve">costs. </w:t>
      </w:r>
    </w:p>
    <w:p w14:paraId="0D89E06D" w14:textId="5D956D97" w:rsidR="005F60FC" w:rsidRDefault="005F60FC" w:rsidP="005901ED">
      <w:pPr>
        <w:pStyle w:val="Paragraph"/>
      </w:pPr>
      <w:r>
        <w:t xml:space="preserve">The IoT market in Australia is growing rapidly, with industry </w:t>
      </w:r>
      <w:r w:rsidR="001E5F47">
        <w:t xml:space="preserve">research </w:t>
      </w:r>
      <w:r>
        <w:t xml:space="preserve">estimating the value of IoT at close to $19 billion in </w:t>
      </w:r>
      <w:r w:rsidR="00387C68">
        <w:t>2018 and</w:t>
      </w:r>
      <w:r w:rsidR="001E1EA8">
        <w:t xml:space="preserve"> </w:t>
      </w:r>
      <w:r>
        <w:t>growing to $30 billion by 2023.</w:t>
      </w:r>
      <w:r w:rsidR="00E25510">
        <w:rPr>
          <w:rStyle w:val="FootnoteReference"/>
        </w:rPr>
        <w:footnoteReference w:id="2"/>
      </w:r>
      <w:r>
        <w:t xml:space="preserve"> </w:t>
      </w:r>
      <w:r w:rsidRPr="00222968">
        <w:t>The continued rollout of 5G networks is expected to spur further IoT growth.</w:t>
      </w:r>
      <w:r w:rsidR="00A3666E" w:rsidRPr="00222968">
        <w:rPr>
          <w:rStyle w:val="FootnoteReference"/>
        </w:rPr>
        <w:footnoteReference w:id="3"/>
      </w:r>
    </w:p>
    <w:p w14:paraId="7D737B5A" w14:textId="751FE874" w:rsidR="005F60FC" w:rsidRPr="006B4062" w:rsidRDefault="005F60FC" w:rsidP="0021020B">
      <w:pPr>
        <w:pStyle w:val="Paragraph"/>
        <w:rPr>
          <w:bCs/>
        </w:rPr>
      </w:pPr>
      <w:r>
        <w:t xml:space="preserve">This paper explores the impacts of IoT across the media and communications environment. It examines the key components of IoT, consumer and industry applications, market and usage trends, key challenges and the implications for our </w:t>
      </w:r>
      <w:r w:rsidRPr="00E74250">
        <w:t>regulatory environment. It identifies regulatory touchpoints and activities planned or underway to support the ongoing development and deployment of IoT within Australia</w:t>
      </w:r>
      <w:r w:rsidRPr="000F1C01">
        <w:t>.</w:t>
      </w:r>
      <w:r w:rsidRPr="00E74250">
        <w:t xml:space="preserve"> </w:t>
      </w:r>
    </w:p>
    <w:p w14:paraId="52503005" w14:textId="6DEF686A" w:rsidR="005F60FC" w:rsidRDefault="005F60FC" w:rsidP="005901ED">
      <w:pPr>
        <w:pStyle w:val="Paragraph"/>
      </w:pPr>
      <w:r>
        <w:t xml:space="preserve">This work builds on existing research into IoT and </w:t>
      </w:r>
      <w:r w:rsidR="00A7097E">
        <w:t>discusses</w:t>
      </w:r>
      <w:r>
        <w:t xml:space="preserve"> a range of issues to help ensure the ACMA</w:t>
      </w:r>
      <w:r w:rsidR="00211095">
        <w:t>’s</w:t>
      </w:r>
      <w:r>
        <w:t xml:space="preserve"> regulatory settings and strategic direction are appropriate </w:t>
      </w:r>
      <w:r w:rsidR="001E1EA8">
        <w:t xml:space="preserve">for </w:t>
      </w:r>
      <w:r>
        <w:t xml:space="preserve">current and future IoT developments. </w:t>
      </w:r>
    </w:p>
    <w:p w14:paraId="485EB9A2" w14:textId="77777777" w:rsidR="00784722" w:rsidRDefault="00784722" w:rsidP="00784722">
      <w:pPr>
        <w:pStyle w:val="Heading1"/>
      </w:pPr>
      <w:bookmarkStart w:id="1" w:name="_Toc285789710"/>
      <w:bookmarkStart w:id="2" w:name="_Toc285791789"/>
      <w:bookmarkStart w:id="3" w:name="_Toc286994473"/>
      <w:bookmarkStart w:id="4" w:name="_Toc46335074"/>
      <w:r>
        <w:lastRenderedPageBreak/>
        <w:t xml:space="preserve">About the </w:t>
      </w:r>
      <w:r w:rsidRPr="00784722">
        <w:t>research</w:t>
      </w:r>
      <w:bookmarkEnd w:id="1"/>
      <w:bookmarkEnd w:id="2"/>
      <w:bookmarkEnd w:id="3"/>
      <w:bookmarkEnd w:id="4"/>
    </w:p>
    <w:p w14:paraId="233CF85F" w14:textId="4E63B443" w:rsidR="005F60FC" w:rsidRDefault="005F60FC" w:rsidP="005901ED">
      <w:pPr>
        <w:pStyle w:val="Paragraphbeforelist"/>
        <w:rPr>
          <w:rStyle w:val="normaltextrun"/>
          <w:szCs w:val="20"/>
        </w:rPr>
      </w:pPr>
      <w:bookmarkStart w:id="5" w:name="_Toc21531459"/>
      <w:bookmarkStart w:id="6" w:name="_Toc25927377"/>
      <w:r w:rsidRPr="005F60FC">
        <w:rPr>
          <w:rStyle w:val="normaltextrun"/>
          <w:szCs w:val="20"/>
        </w:rPr>
        <w:t xml:space="preserve">This paper </w:t>
      </w:r>
      <w:r w:rsidR="00FF5D77">
        <w:rPr>
          <w:rStyle w:val="normaltextrun"/>
          <w:szCs w:val="20"/>
        </w:rPr>
        <w:t xml:space="preserve">outlines </w:t>
      </w:r>
      <w:r w:rsidR="003F0419">
        <w:rPr>
          <w:rStyle w:val="normaltextrun"/>
          <w:szCs w:val="20"/>
        </w:rPr>
        <w:t xml:space="preserve">the ACMA’s </w:t>
      </w:r>
      <w:r w:rsidR="001112A1">
        <w:rPr>
          <w:rStyle w:val="normaltextrun"/>
          <w:szCs w:val="20"/>
        </w:rPr>
        <w:t xml:space="preserve">next steps </w:t>
      </w:r>
      <w:r w:rsidRPr="005F60FC">
        <w:rPr>
          <w:rStyle w:val="normaltextrun"/>
          <w:szCs w:val="20"/>
        </w:rPr>
        <w:t>for IoT and potential regulatory directions to meet the short</w:t>
      </w:r>
      <w:r w:rsidR="00C1596E">
        <w:rPr>
          <w:rStyle w:val="normaltextrun"/>
          <w:szCs w:val="20"/>
        </w:rPr>
        <w:t>-</w:t>
      </w:r>
      <w:r w:rsidRPr="005F60FC">
        <w:rPr>
          <w:rStyle w:val="normaltextrun"/>
          <w:szCs w:val="20"/>
        </w:rPr>
        <w:t xml:space="preserve">, </w:t>
      </w:r>
      <w:r w:rsidRPr="005901ED">
        <w:t>medium</w:t>
      </w:r>
      <w:r w:rsidR="00C1596E">
        <w:t>-</w:t>
      </w:r>
      <w:r w:rsidRPr="005901ED">
        <w:t xml:space="preserve"> </w:t>
      </w:r>
      <w:r w:rsidR="00D372AE" w:rsidRPr="005901ED">
        <w:t>and</w:t>
      </w:r>
      <w:r w:rsidRPr="005901ED">
        <w:t xml:space="preserve"> long</w:t>
      </w:r>
      <w:r w:rsidR="000C5539" w:rsidRPr="005901ED">
        <w:t>-</w:t>
      </w:r>
      <w:r w:rsidRPr="005901ED">
        <w:t xml:space="preserve">term challenges posed by IoT within the context of a dynamic and evolving media and communications environment. In producing this </w:t>
      </w:r>
      <w:r w:rsidR="00C82A04" w:rsidRPr="005901ED">
        <w:t>paper</w:t>
      </w:r>
      <w:r w:rsidRPr="005901ED">
        <w:t xml:space="preserve">, </w:t>
      </w:r>
      <w:r w:rsidR="009B38E8">
        <w:t>we</w:t>
      </w:r>
      <w:r w:rsidRPr="005901ED">
        <w:t xml:space="preserve"> conducted research </w:t>
      </w:r>
      <w:r w:rsidR="00004BD1" w:rsidRPr="005901ED">
        <w:t xml:space="preserve">that </w:t>
      </w:r>
      <w:r w:rsidRPr="005901ED">
        <w:t>considered:</w:t>
      </w:r>
      <w:r w:rsidRPr="005F60FC">
        <w:rPr>
          <w:rStyle w:val="eop"/>
          <w:szCs w:val="20"/>
        </w:rPr>
        <w:t> </w:t>
      </w:r>
    </w:p>
    <w:p w14:paraId="78A9C02B" w14:textId="1D8FC4E7" w:rsidR="005F60FC" w:rsidRPr="005F60FC" w:rsidRDefault="00004BD1" w:rsidP="005901ED">
      <w:pPr>
        <w:pStyle w:val="Bulletlevel1"/>
      </w:pPr>
      <w:r>
        <w:rPr>
          <w:rStyle w:val="normaltextrun"/>
          <w:szCs w:val="20"/>
        </w:rPr>
        <w:t>c</w:t>
      </w:r>
      <w:r w:rsidR="005F60FC" w:rsidRPr="005F60FC">
        <w:rPr>
          <w:rStyle w:val="normaltextrun"/>
          <w:szCs w:val="20"/>
        </w:rPr>
        <w:t>urrent and anticipated market developments in the deployment of IoT within an Australian context</w:t>
      </w:r>
      <w:r w:rsidR="005F60FC" w:rsidRPr="005F60FC">
        <w:rPr>
          <w:rStyle w:val="eop"/>
          <w:szCs w:val="20"/>
        </w:rPr>
        <w:t> </w:t>
      </w:r>
    </w:p>
    <w:p w14:paraId="0139B3BB" w14:textId="26FDB24A" w:rsidR="00FF049E" w:rsidRPr="005F60FC" w:rsidRDefault="00004BD1" w:rsidP="005901ED">
      <w:pPr>
        <w:pStyle w:val="Bulletlevel1last"/>
      </w:pPr>
      <w:r>
        <w:rPr>
          <w:rStyle w:val="normaltextrun"/>
          <w:szCs w:val="20"/>
        </w:rPr>
        <w:t>i</w:t>
      </w:r>
      <w:r w:rsidR="005F60FC" w:rsidRPr="005F60FC">
        <w:rPr>
          <w:rStyle w:val="normaltextrun"/>
          <w:szCs w:val="20"/>
        </w:rPr>
        <w:t xml:space="preserve">nternational and </w:t>
      </w:r>
      <w:r w:rsidR="005F60FC" w:rsidRPr="0021020B">
        <w:rPr>
          <w:rStyle w:val="normaltextrun"/>
        </w:rPr>
        <w:t>domestic</w:t>
      </w:r>
      <w:r w:rsidR="005F60FC" w:rsidRPr="005F60FC">
        <w:rPr>
          <w:rStyle w:val="normaltextrun"/>
          <w:szCs w:val="20"/>
        </w:rPr>
        <w:t xml:space="preserve"> regulatory developments relating to IoT</w:t>
      </w:r>
      <w:r w:rsidR="009B38E8">
        <w:rPr>
          <w:rStyle w:val="normaltextrun"/>
          <w:szCs w:val="20"/>
        </w:rPr>
        <w:t>.</w:t>
      </w:r>
      <w:r w:rsidR="005F60FC" w:rsidRPr="005F60FC">
        <w:rPr>
          <w:rStyle w:val="eop"/>
          <w:szCs w:val="20"/>
        </w:rPr>
        <w:t> </w:t>
      </w:r>
    </w:p>
    <w:p w14:paraId="2B6DB1C5" w14:textId="6D6AF117" w:rsidR="00211095" w:rsidRPr="003A7619" w:rsidRDefault="00A5096F" w:rsidP="00187724">
      <w:pPr>
        <w:pStyle w:val="ACMANormalTabbed"/>
        <w:rPr>
          <w:rStyle w:val="normaltextrun"/>
          <w:iCs/>
          <w:szCs w:val="20"/>
        </w:rPr>
      </w:pPr>
      <w:r>
        <w:rPr>
          <w:rStyle w:val="normaltextrun"/>
          <w:szCs w:val="20"/>
        </w:rPr>
        <w:t>We</w:t>
      </w:r>
      <w:r w:rsidR="00211095">
        <w:rPr>
          <w:rStyle w:val="normaltextrun"/>
          <w:szCs w:val="20"/>
        </w:rPr>
        <w:t xml:space="preserve"> </w:t>
      </w:r>
      <w:r w:rsidR="00211095" w:rsidRPr="003D59F6">
        <w:rPr>
          <w:rStyle w:val="normaltextrun"/>
          <w:szCs w:val="20"/>
        </w:rPr>
        <w:t xml:space="preserve">consulted with select Australian Government </w:t>
      </w:r>
      <w:r>
        <w:rPr>
          <w:rStyle w:val="normaltextrun"/>
          <w:szCs w:val="20"/>
        </w:rPr>
        <w:t>a</w:t>
      </w:r>
      <w:r w:rsidR="00211095" w:rsidRPr="003D59F6">
        <w:rPr>
          <w:rStyle w:val="normaltextrun"/>
          <w:szCs w:val="20"/>
        </w:rPr>
        <w:t>gencies and key IoT stakeholders.</w:t>
      </w:r>
      <w:r w:rsidR="00211095">
        <w:rPr>
          <w:rStyle w:val="normaltextrun"/>
          <w:szCs w:val="20"/>
        </w:rPr>
        <w:t xml:space="preserve"> Feedback from this consultation informed the development of the paper.</w:t>
      </w:r>
      <w:r w:rsidR="00211095" w:rsidRPr="003A7619">
        <w:rPr>
          <w:rStyle w:val="normaltextrun"/>
          <w:szCs w:val="20"/>
        </w:rPr>
        <w:t xml:space="preserve"> </w:t>
      </w:r>
      <w:r w:rsidR="00211095">
        <w:rPr>
          <w:rStyle w:val="normaltextrun"/>
          <w:szCs w:val="20"/>
        </w:rPr>
        <w:t xml:space="preserve"> </w:t>
      </w:r>
    </w:p>
    <w:p w14:paraId="1C8CDF1F" w14:textId="5E277984" w:rsidR="00784722" w:rsidRDefault="00784722" w:rsidP="00784722">
      <w:pPr>
        <w:pStyle w:val="Heading2"/>
      </w:pPr>
      <w:bookmarkStart w:id="7" w:name="_Toc46335075"/>
      <w:r>
        <w:rPr>
          <w:b w:val="0"/>
        </w:rPr>
        <w:t>research</w:t>
      </w:r>
      <w:r w:rsidRPr="005901ED">
        <w:t>acma</w:t>
      </w:r>
      <w:bookmarkEnd w:id="5"/>
      <w:bookmarkEnd w:id="6"/>
      <w:bookmarkEnd w:id="7"/>
    </w:p>
    <w:p w14:paraId="63585777" w14:textId="77777777" w:rsidR="00784722" w:rsidRDefault="00784722" w:rsidP="005901ED">
      <w:pPr>
        <w:pStyle w:val="Paragraph"/>
      </w:pPr>
      <w:r>
        <w:t xml:space="preserve">Our </w:t>
      </w:r>
      <w:hyperlink r:id="rId25" w:history="1">
        <w:r w:rsidRPr="00665475">
          <w:rPr>
            <w:rStyle w:val="Hyperlink"/>
          </w:rPr>
          <w:t>research program</w:t>
        </w:r>
      </w:hyperlink>
      <w:r>
        <w:t>—</w:t>
      </w:r>
      <w:r w:rsidRPr="001F09A8">
        <w:t>researchacma</w:t>
      </w:r>
      <w:r w:rsidRPr="00045057">
        <w:rPr>
          <w:bCs/>
        </w:rPr>
        <w:t>—</w:t>
      </w:r>
      <w:r>
        <w:t xml:space="preserve">underpins our work and decisions as an evidence-informed regulator. It contributes to our strategic policy development, regulatory reviews and investigations, </w:t>
      </w:r>
      <w:r w:rsidRPr="00441C9A">
        <w:t xml:space="preserve">and </w:t>
      </w:r>
      <w:r w:rsidRPr="0042385B">
        <w:t>provides a regulatory framework that anticipates change in dynamic communications and media markets.</w:t>
      </w:r>
    </w:p>
    <w:p w14:paraId="7AF94664" w14:textId="216BE8EE" w:rsidR="005B552A" w:rsidRDefault="005F60FC" w:rsidP="005901ED">
      <w:pPr>
        <w:pStyle w:val="Paragraph"/>
      </w:pPr>
      <w:r w:rsidRPr="005F60FC">
        <w:rPr>
          <w:rStyle w:val="normaltextrun"/>
          <w:color w:val="000000"/>
          <w:szCs w:val="20"/>
          <w:shd w:val="clear" w:color="auto" w:fill="FFFFFF"/>
        </w:rPr>
        <w:t xml:space="preserve">This </w:t>
      </w:r>
      <w:r w:rsidR="00973E7A">
        <w:rPr>
          <w:rStyle w:val="normaltextrun"/>
          <w:color w:val="000000"/>
          <w:szCs w:val="20"/>
          <w:shd w:val="clear" w:color="auto" w:fill="FFFFFF"/>
        </w:rPr>
        <w:t>paper</w:t>
      </w:r>
      <w:r w:rsidRPr="005F60FC">
        <w:rPr>
          <w:rStyle w:val="normaltextrun"/>
          <w:color w:val="000000"/>
          <w:szCs w:val="20"/>
          <w:shd w:val="clear" w:color="auto" w:fill="FFFFFF"/>
        </w:rPr>
        <w:t xml:space="preserve"> contributes to the ACMA’s market developments and regulatory best practice and development research themes, reflecting the importance of IoT as an enabling technology. This paper provides some insights </w:t>
      </w:r>
      <w:r w:rsidR="00DB2D46">
        <w:rPr>
          <w:rStyle w:val="normaltextrun"/>
          <w:color w:val="000000"/>
          <w:szCs w:val="20"/>
          <w:shd w:val="clear" w:color="auto" w:fill="FFFFFF"/>
        </w:rPr>
        <w:t>into</w:t>
      </w:r>
      <w:r w:rsidRPr="005F60FC">
        <w:rPr>
          <w:rStyle w:val="normaltextrun"/>
          <w:color w:val="000000"/>
          <w:szCs w:val="20"/>
          <w:shd w:val="clear" w:color="auto" w:fill="FFFFFF"/>
        </w:rPr>
        <w:t xml:space="preserve"> how future regulatory developments could provide a supportive environment for IoT applications. </w:t>
      </w:r>
      <w:r w:rsidR="00784722" w:rsidRPr="005F60FC">
        <w:t xml:space="preserve">More details can be found in the </w:t>
      </w:r>
      <w:hyperlink r:id="rId26" w:history="1">
        <w:r w:rsidR="00784722" w:rsidRPr="005F60FC">
          <w:rPr>
            <w:rStyle w:val="Hyperlink"/>
            <w:szCs w:val="20"/>
          </w:rPr>
          <w:t>ACMA research program</w:t>
        </w:r>
      </w:hyperlink>
      <w:r w:rsidR="00784722" w:rsidRPr="005F60FC">
        <w:t>.</w:t>
      </w:r>
      <w:bookmarkStart w:id="8" w:name="_Toc31371623"/>
    </w:p>
    <w:p w14:paraId="5579EA27" w14:textId="75E55BA2" w:rsidR="005F60FC" w:rsidRPr="000D76E0" w:rsidRDefault="005F60FC" w:rsidP="005F60FC">
      <w:pPr>
        <w:pStyle w:val="Heading1"/>
      </w:pPr>
      <w:bookmarkStart w:id="9" w:name="_Toc46335076"/>
      <w:r>
        <w:lastRenderedPageBreak/>
        <w:t>Introduction</w:t>
      </w:r>
      <w:bookmarkEnd w:id="8"/>
      <w:bookmarkEnd w:id="9"/>
      <w:r>
        <w:t xml:space="preserve"> </w:t>
      </w:r>
    </w:p>
    <w:p w14:paraId="4118CEC2" w14:textId="6FD47543" w:rsidR="005F60FC" w:rsidRPr="0021020B" w:rsidRDefault="005F60FC" w:rsidP="005901ED">
      <w:pPr>
        <w:pStyle w:val="Paragraph"/>
      </w:pPr>
      <w:r w:rsidRPr="0021020B">
        <w:t xml:space="preserve">The Internet of Things (IoT) is a significant driver of change within the markets regulated by the ACMA and across the broader economy. The growing reach of IoT is driving behavioural change in how consumers interact with machines and networks. It is also supporting industries to find new ways to improve productivity and efficiency.  </w:t>
      </w:r>
    </w:p>
    <w:p w14:paraId="6FC0B43A" w14:textId="0E60A9BF" w:rsidR="005F60FC" w:rsidRPr="0021020B" w:rsidRDefault="005F60FC" w:rsidP="005901ED">
      <w:pPr>
        <w:pStyle w:val="Paragraph"/>
      </w:pPr>
      <w:r w:rsidRPr="0021020B">
        <w:t>Identifying the opportunities and challenges posed by IoT, and ensuring our regulatory framework is fit for purpose, is important to ensure Australia realises the full economic and social benefits of IoT.</w:t>
      </w:r>
      <w:r w:rsidR="002652E9" w:rsidRPr="0021020B">
        <w:t xml:space="preserve"> </w:t>
      </w:r>
      <w:r w:rsidR="000E1458" w:rsidRPr="0021020B">
        <w:t>Pro</w:t>
      </w:r>
      <w:r w:rsidR="00BB683C" w:rsidRPr="0021020B">
        <w:t xml:space="preserve">active engagement with </w:t>
      </w:r>
      <w:r w:rsidR="004903F5" w:rsidRPr="0021020B">
        <w:t xml:space="preserve">consumers and industry </w:t>
      </w:r>
      <w:r w:rsidR="00260DC9" w:rsidRPr="0021020B">
        <w:t xml:space="preserve">can facilitate greater trust and acceptance of emerging technologies, such as IoT. </w:t>
      </w:r>
      <w:r w:rsidRPr="0021020B">
        <w:t xml:space="preserve"> </w:t>
      </w:r>
    </w:p>
    <w:p w14:paraId="73F03462" w14:textId="70EC455B" w:rsidR="005F60FC" w:rsidRPr="0021020B" w:rsidRDefault="005F60FC" w:rsidP="00475812">
      <w:pPr>
        <w:pStyle w:val="Paragraph"/>
      </w:pPr>
      <w:r w:rsidRPr="0021020B">
        <w:t xml:space="preserve">IoT intersects </w:t>
      </w:r>
      <w:r w:rsidR="00DB2D46" w:rsidRPr="0021020B">
        <w:t>with</w:t>
      </w:r>
      <w:r w:rsidRPr="0021020B">
        <w:t xml:space="preserve"> several elements of the ACMA’s regulatory framework </w:t>
      </w:r>
      <w:r w:rsidR="00E60937" w:rsidRPr="0021020B">
        <w:t xml:space="preserve">including </w:t>
      </w:r>
      <w:r w:rsidRPr="0021020B">
        <w:t xml:space="preserve">network infrastructure, consumer safeguards, equipment standards and spectrum management. </w:t>
      </w:r>
    </w:p>
    <w:p w14:paraId="5CAD7E8C" w14:textId="114461EF" w:rsidR="005F60FC" w:rsidRPr="0021020B" w:rsidRDefault="005F60FC" w:rsidP="00475812">
      <w:pPr>
        <w:pStyle w:val="Paragraph"/>
      </w:pPr>
      <w:r w:rsidRPr="0021020B">
        <w:t xml:space="preserve">The ACMA is responsible for managing Australia’s radiofrequency spectrum and ensuring it is managed in a way that maximises the overall public benefit derived from its use. As spectrum use and demand drivers continue to evolve, </w:t>
      </w:r>
      <w:r w:rsidR="009C0B98">
        <w:t>we are</w:t>
      </w:r>
      <w:r w:rsidRPr="0021020B">
        <w:t xml:space="preserve"> regularly monitoring the environment to ensure we have an accurate understanding of changes in technology, consumer preferences and market demands, including IoT. </w:t>
      </w:r>
    </w:p>
    <w:p w14:paraId="06DC9D06" w14:textId="655A1C58" w:rsidR="005F60FC" w:rsidRPr="0021020B" w:rsidRDefault="005F60FC" w:rsidP="005901ED">
      <w:pPr>
        <w:pStyle w:val="Paragraph"/>
      </w:pPr>
      <w:r w:rsidRPr="0021020B">
        <w:t xml:space="preserve">This paper </w:t>
      </w:r>
      <w:r w:rsidR="00C73917" w:rsidRPr="0021020B">
        <w:t xml:space="preserve">discusses </w:t>
      </w:r>
      <w:r w:rsidRPr="0021020B">
        <w:t xml:space="preserve">a range of issues to help ensure </w:t>
      </w:r>
      <w:r w:rsidR="005E1D62">
        <w:t>our</w:t>
      </w:r>
      <w:r w:rsidRPr="0021020B">
        <w:t xml:space="preserve"> regulatory settings and strategic direction </w:t>
      </w:r>
      <w:r w:rsidR="0010431C">
        <w:t>for</w:t>
      </w:r>
      <w:r w:rsidRPr="0021020B">
        <w:t xml:space="preserve"> IoT are appropriate</w:t>
      </w:r>
      <w:r w:rsidR="0010431C">
        <w:t>,</w:t>
      </w:r>
      <w:r w:rsidRPr="0021020B">
        <w:t xml:space="preserve"> given current and anticipated future developments. </w:t>
      </w:r>
    </w:p>
    <w:p w14:paraId="5880B2B0" w14:textId="77777777" w:rsidR="005F60FC" w:rsidRDefault="005F60FC" w:rsidP="005F60FC">
      <w:pPr>
        <w:pStyle w:val="Heading2"/>
      </w:pPr>
      <w:bookmarkStart w:id="10" w:name="_Toc31371624"/>
      <w:bookmarkStart w:id="11" w:name="_Toc46335077"/>
      <w:r>
        <w:t>Scope of this paper</w:t>
      </w:r>
      <w:bookmarkEnd w:id="10"/>
      <w:bookmarkEnd w:id="11"/>
    </w:p>
    <w:p w14:paraId="5C53FD07" w14:textId="6C12CBDB" w:rsidR="005F60FC" w:rsidRDefault="005F60FC" w:rsidP="005F60FC">
      <w:pPr>
        <w:pStyle w:val="Paragraph"/>
      </w:pPr>
      <w:r>
        <w:t>This paper explores the impacts of IoT across the media and communications environment. It examines the key components of IoT, consumer and industry applications, market and usage trends, key challenges and the implications for our regulatory environment. It identifies activities planned or underway to support the ongoing development and deployment of IoT within Australia and highlights potential areas for action over the medium</w:t>
      </w:r>
      <w:r w:rsidR="005E1D62">
        <w:t>-</w:t>
      </w:r>
      <w:r>
        <w:t xml:space="preserve"> to long</w:t>
      </w:r>
      <w:r w:rsidR="005E1D62">
        <w:t>-</w:t>
      </w:r>
      <w:r>
        <w:t xml:space="preserve">term. </w:t>
      </w:r>
    </w:p>
    <w:p w14:paraId="1D1ECF62" w14:textId="285FE225" w:rsidR="005F60FC" w:rsidRDefault="005F60FC" w:rsidP="005901ED">
      <w:pPr>
        <w:pStyle w:val="Paragraphbeforelist"/>
      </w:pPr>
      <w:r>
        <w:t xml:space="preserve">In this paper, </w:t>
      </w:r>
      <w:r w:rsidR="00C1596E">
        <w:t>we have</w:t>
      </w:r>
      <w:r>
        <w:t xml:space="preserve"> focused on the areas of our regulatory remit </w:t>
      </w:r>
      <w:r w:rsidR="00C1596E">
        <w:t xml:space="preserve">that </w:t>
      </w:r>
      <w:r>
        <w:t>intersect closely with IoT:</w:t>
      </w:r>
    </w:p>
    <w:p w14:paraId="4206B446" w14:textId="65DD153C" w:rsidR="005F60FC" w:rsidRPr="006B4062" w:rsidRDefault="00C1596E" w:rsidP="005F60FC">
      <w:pPr>
        <w:pStyle w:val="ListBullet"/>
        <w:rPr>
          <w:bCs/>
        </w:rPr>
      </w:pPr>
      <w:r>
        <w:rPr>
          <w:bCs/>
        </w:rPr>
        <w:t>n</w:t>
      </w:r>
      <w:r w:rsidR="005F60FC" w:rsidRPr="006B4062">
        <w:rPr>
          <w:bCs/>
        </w:rPr>
        <w:t>etwork infrastructure</w:t>
      </w:r>
    </w:p>
    <w:p w14:paraId="163EBAD2" w14:textId="6D8E1B5B" w:rsidR="005F60FC" w:rsidRPr="006B4062" w:rsidRDefault="00C1596E" w:rsidP="005F60FC">
      <w:pPr>
        <w:pStyle w:val="ListBullet"/>
        <w:rPr>
          <w:bCs/>
        </w:rPr>
      </w:pPr>
      <w:r>
        <w:rPr>
          <w:bCs/>
        </w:rPr>
        <w:t>s</w:t>
      </w:r>
      <w:r w:rsidR="005F60FC" w:rsidRPr="006B4062">
        <w:rPr>
          <w:bCs/>
        </w:rPr>
        <w:t>pectrum management</w:t>
      </w:r>
    </w:p>
    <w:p w14:paraId="3591AD2B" w14:textId="0CDDE960" w:rsidR="0065018B" w:rsidRPr="0065018B" w:rsidRDefault="00C1596E" w:rsidP="000F1C01">
      <w:pPr>
        <w:pStyle w:val="ListBullet"/>
        <w:rPr>
          <w:bCs/>
        </w:rPr>
      </w:pPr>
      <w:r>
        <w:rPr>
          <w:bCs/>
        </w:rPr>
        <w:t>e</w:t>
      </w:r>
      <w:r w:rsidR="005F60FC" w:rsidRPr="006B4062">
        <w:rPr>
          <w:bCs/>
        </w:rPr>
        <w:t>quipment standards</w:t>
      </w:r>
    </w:p>
    <w:p w14:paraId="4D9ED3A6" w14:textId="416D741C" w:rsidR="006A1DBD" w:rsidRPr="00C1596E" w:rsidRDefault="00C1596E" w:rsidP="005901ED">
      <w:pPr>
        <w:pStyle w:val="Bulletlevel1last"/>
        <w:rPr>
          <w:bCs/>
        </w:rPr>
      </w:pPr>
      <w:r>
        <w:t>c</w:t>
      </w:r>
      <w:r w:rsidR="006A1DBD" w:rsidRPr="006B4062">
        <w:t>onsumer safeguards</w:t>
      </w:r>
      <w:r>
        <w:t>.</w:t>
      </w:r>
    </w:p>
    <w:p w14:paraId="6241C8AF" w14:textId="267E98E8" w:rsidR="005F60FC" w:rsidRDefault="005F60FC" w:rsidP="005F60FC">
      <w:pPr>
        <w:pStyle w:val="Paragraph"/>
      </w:pPr>
      <w:r>
        <w:t xml:space="preserve">The paper is focused on pressures relating to the regulatory environment the ACMA administers. It does not address challenges </w:t>
      </w:r>
      <w:r w:rsidR="00C1596E">
        <w:t xml:space="preserve">that </w:t>
      </w:r>
      <w:r>
        <w:t>sit outside</w:t>
      </w:r>
      <w:r w:rsidR="00F92C7E">
        <w:t xml:space="preserve"> </w:t>
      </w:r>
      <w:r w:rsidR="00E35746">
        <w:t>our</w:t>
      </w:r>
      <w:r>
        <w:t xml:space="preserve"> remit. </w:t>
      </w:r>
    </w:p>
    <w:p w14:paraId="10BCD857" w14:textId="77777777" w:rsidR="005F60FC" w:rsidRDefault="005F60FC" w:rsidP="005901ED">
      <w:pPr>
        <w:pStyle w:val="Heading1"/>
      </w:pPr>
      <w:bookmarkStart w:id="12" w:name="_Toc31371625"/>
      <w:bookmarkStart w:id="13" w:name="_Toc46335078"/>
      <w:r>
        <w:lastRenderedPageBreak/>
        <w:t>What is the Internet of Things?</w:t>
      </w:r>
      <w:bookmarkEnd w:id="12"/>
      <w:bookmarkEnd w:id="13"/>
    </w:p>
    <w:p w14:paraId="01074A92" w14:textId="73CA4048" w:rsidR="00D71E62" w:rsidRPr="00D71E62" w:rsidRDefault="005F60FC" w:rsidP="00D71E62">
      <w:pPr>
        <w:pStyle w:val="Paragraph"/>
        <w:spacing w:after="0"/>
        <w:jc w:val="center"/>
        <w:rPr>
          <w:i/>
          <w:iCs/>
        </w:rPr>
      </w:pPr>
      <w:r w:rsidRPr="00D71E62">
        <w:rPr>
          <w:i/>
          <w:iCs/>
        </w:rPr>
        <w:t xml:space="preserve">From a conceptual standpoint, IoT is that ability to create digital awareness of the physical world we live in. It’s a digital pulse made up of data that we can aggregate to improve the world around us. </w:t>
      </w:r>
    </w:p>
    <w:p w14:paraId="7CA29EE5" w14:textId="37E092EF" w:rsidR="005F60FC" w:rsidRDefault="005F60FC" w:rsidP="004A6506">
      <w:pPr>
        <w:pStyle w:val="Paragraph"/>
        <w:spacing w:after="480"/>
        <w:jc w:val="center"/>
      </w:pPr>
      <w:r w:rsidRPr="00D71E62">
        <w:t>John Rossman</w:t>
      </w:r>
      <w:r w:rsidRPr="00D71E62">
        <w:rPr>
          <w:rStyle w:val="FootnoteReference"/>
        </w:rPr>
        <w:footnoteReference w:id="4"/>
      </w:r>
    </w:p>
    <w:p w14:paraId="2629A31E" w14:textId="3853D995" w:rsidR="006E5D13" w:rsidRPr="009C1D8A" w:rsidRDefault="00AB631B" w:rsidP="00D71E62">
      <w:pPr>
        <w:pStyle w:val="Paragraph"/>
      </w:pPr>
      <w:r w:rsidRPr="00BA29A7">
        <w:t xml:space="preserve">IoT is a network of </w:t>
      </w:r>
      <w:r w:rsidR="008B62A5" w:rsidRPr="00BA29A7">
        <w:t>connected things and people</w:t>
      </w:r>
      <w:r w:rsidR="00F24F89" w:rsidRPr="00BA29A7">
        <w:t xml:space="preserve">. </w:t>
      </w:r>
      <w:r w:rsidR="006E5D13" w:rsidRPr="00BA29A7">
        <w:t xml:space="preserve">It collects and shares data about </w:t>
      </w:r>
      <w:r w:rsidR="006E5D13" w:rsidRPr="00DD424B">
        <w:t xml:space="preserve">the way an IoT device is used and the environment around </w:t>
      </w:r>
      <w:r w:rsidR="00D11B16">
        <w:t>it</w:t>
      </w:r>
      <w:r w:rsidR="006E5D13" w:rsidRPr="00DD424B">
        <w:t>. It is an intelligent global network connecting a multitude of devices from wearables, medical sensors, vehicles, appliances, infrastructure and other objects</w:t>
      </w:r>
      <w:r w:rsidR="00720F4B">
        <w:t>,</w:t>
      </w:r>
      <w:r w:rsidR="006E5D13" w:rsidRPr="00DD424B">
        <w:t xml:space="preserve"> </w:t>
      </w:r>
      <w:r w:rsidR="006E5D13" w:rsidRPr="009C1D8A">
        <w:t>which are integrated with technology such as sensors, software, and actuators</w:t>
      </w:r>
      <w:r w:rsidR="006E5D13">
        <w:t xml:space="preserve">, enabling these devices to operate more efficiently and effectively. </w:t>
      </w:r>
    </w:p>
    <w:p w14:paraId="5EB5D31D" w14:textId="411A86BE" w:rsidR="00EF54B6" w:rsidRDefault="005339B8" w:rsidP="005901ED">
      <w:pPr>
        <w:pStyle w:val="Paragraph"/>
        <w:spacing w:after="120"/>
      </w:pPr>
      <w:r w:rsidRPr="001B6CF3">
        <w:t>T</w:t>
      </w:r>
      <w:r w:rsidR="00AF2D07" w:rsidRPr="001B6CF3">
        <w:t xml:space="preserve">he ACMA’s draft </w:t>
      </w:r>
      <w:r w:rsidR="00A0502C" w:rsidRPr="005901ED">
        <w:rPr>
          <w:i/>
          <w:iCs/>
        </w:rPr>
        <w:t>F</w:t>
      </w:r>
      <w:r w:rsidR="00AF2D07" w:rsidRPr="005901ED">
        <w:rPr>
          <w:i/>
          <w:iCs/>
        </w:rPr>
        <w:t>ive</w:t>
      </w:r>
      <w:r w:rsidR="00A0502C" w:rsidRPr="005901ED">
        <w:rPr>
          <w:i/>
          <w:iCs/>
        </w:rPr>
        <w:t>-y</w:t>
      </w:r>
      <w:r w:rsidR="00AF2D07" w:rsidRPr="005901ED">
        <w:rPr>
          <w:i/>
          <w:iCs/>
        </w:rPr>
        <w:t xml:space="preserve">ear </w:t>
      </w:r>
      <w:r w:rsidR="00A0502C" w:rsidRPr="005901ED">
        <w:rPr>
          <w:i/>
          <w:iCs/>
        </w:rPr>
        <w:t>s</w:t>
      </w:r>
      <w:r w:rsidR="00AF2D07" w:rsidRPr="005901ED">
        <w:rPr>
          <w:i/>
          <w:iCs/>
        </w:rPr>
        <w:t xml:space="preserve">pectrum </w:t>
      </w:r>
      <w:r w:rsidR="00A0502C" w:rsidRPr="005901ED">
        <w:rPr>
          <w:i/>
          <w:iCs/>
        </w:rPr>
        <w:t>o</w:t>
      </w:r>
      <w:r w:rsidR="00AF2D07" w:rsidRPr="005901ED">
        <w:rPr>
          <w:i/>
          <w:iCs/>
        </w:rPr>
        <w:t>utlook 2020</w:t>
      </w:r>
      <w:r w:rsidR="00A0502C" w:rsidRPr="005901ED">
        <w:rPr>
          <w:i/>
          <w:iCs/>
        </w:rPr>
        <w:t>–</w:t>
      </w:r>
      <w:r w:rsidR="00D66EB9" w:rsidRPr="005901ED">
        <w:rPr>
          <w:i/>
          <w:iCs/>
        </w:rPr>
        <w:t>24</w:t>
      </w:r>
      <w:r w:rsidR="00D66EB9" w:rsidRPr="00AD40A2">
        <w:t xml:space="preserve"> de</w:t>
      </w:r>
      <w:r w:rsidR="00A127BE" w:rsidRPr="00642448">
        <w:t>scri</w:t>
      </w:r>
      <w:r w:rsidR="00A127BE" w:rsidRPr="001F3462">
        <w:t>bes IoT as</w:t>
      </w:r>
      <w:r w:rsidR="00EF54B6">
        <w:t>:</w:t>
      </w:r>
    </w:p>
    <w:p w14:paraId="2FBC5453" w14:textId="479B54BD" w:rsidR="00EF0C7D" w:rsidRPr="000F1C01" w:rsidRDefault="00EF54B6" w:rsidP="00BD0CF2">
      <w:pPr>
        <w:pStyle w:val="Paragraph"/>
        <w:ind w:left="567" w:right="583"/>
      </w:pPr>
      <w:r w:rsidRPr="005901ED">
        <w:rPr>
          <w:sz w:val="18"/>
          <w:szCs w:val="18"/>
        </w:rPr>
        <w:t xml:space="preserve">… </w:t>
      </w:r>
      <w:r w:rsidR="00A127BE" w:rsidRPr="005901ED">
        <w:rPr>
          <w:sz w:val="18"/>
          <w:szCs w:val="18"/>
        </w:rPr>
        <w:t>t</w:t>
      </w:r>
      <w:r w:rsidR="00AF2D07" w:rsidRPr="005901ED">
        <w:rPr>
          <w:sz w:val="18"/>
          <w:szCs w:val="18"/>
        </w:rPr>
        <w:t>he interconnection of many devices and objects utilising internet protocols, with or without the</w:t>
      </w:r>
      <w:r w:rsidR="00F94401" w:rsidRPr="005901ED">
        <w:rPr>
          <w:sz w:val="18"/>
          <w:szCs w:val="18"/>
        </w:rPr>
        <w:t xml:space="preserve"> </w:t>
      </w:r>
      <w:r w:rsidR="00AF2D07" w:rsidRPr="005901ED">
        <w:rPr>
          <w:sz w:val="18"/>
          <w:szCs w:val="18"/>
        </w:rPr>
        <w:t>active involvement of individuals. This may include laptops, routers, tablets and smartphones,</w:t>
      </w:r>
      <w:r w:rsidR="00F76FD0" w:rsidRPr="005901ED">
        <w:rPr>
          <w:sz w:val="18"/>
          <w:szCs w:val="18"/>
        </w:rPr>
        <w:t xml:space="preserve"> </w:t>
      </w:r>
      <w:r w:rsidR="00AF2D07" w:rsidRPr="005901ED">
        <w:rPr>
          <w:sz w:val="18"/>
          <w:szCs w:val="18"/>
        </w:rPr>
        <w:t>which are integral to operating, reading and analysing the state of IoT devices.</w:t>
      </w:r>
      <w:r w:rsidR="00F76FD0" w:rsidRPr="00BA29A7">
        <w:rPr>
          <w:rStyle w:val="FootnoteReference"/>
          <w:szCs w:val="20"/>
        </w:rPr>
        <w:footnoteReference w:id="5"/>
      </w:r>
      <w:r w:rsidR="00AF2D07" w:rsidRPr="00BA29A7">
        <w:t xml:space="preserve"> </w:t>
      </w:r>
    </w:p>
    <w:p w14:paraId="05B6A2F1" w14:textId="3F18676E" w:rsidR="005F60FC" w:rsidRPr="00145B19" w:rsidRDefault="00403B54" w:rsidP="005901ED">
      <w:pPr>
        <w:pStyle w:val="Paragraph"/>
      </w:pPr>
      <w:r>
        <w:t xml:space="preserve">IoT is not </w:t>
      </w:r>
      <w:r w:rsidR="00C42222">
        <w:t xml:space="preserve">limited </w:t>
      </w:r>
      <w:r>
        <w:t xml:space="preserve">to </w:t>
      </w:r>
      <w:r w:rsidR="00C42222">
        <w:t xml:space="preserve">any specific technology, platform, device or use case. </w:t>
      </w:r>
      <w:r w:rsidR="005571A0">
        <w:t xml:space="preserve">Figure 1 </w:t>
      </w:r>
      <w:r w:rsidR="009D3E76">
        <w:t xml:space="preserve">shows some of the key features of IoT. </w:t>
      </w:r>
    </w:p>
    <w:p w14:paraId="6E7004FF" w14:textId="77777777" w:rsidR="005F60FC" w:rsidRDefault="005F60FC" w:rsidP="005F60FC">
      <w:pPr>
        <w:pStyle w:val="Figureheading"/>
      </w:pPr>
      <w:r>
        <w:t>Common features of IoT</w:t>
      </w:r>
    </w:p>
    <w:p w14:paraId="5A7C9FE6" w14:textId="5C3CC59F" w:rsidR="005F60FC" w:rsidRDefault="00133325" w:rsidP="005F60FC">
      <w:pPr>
        <w:shd w:val="clear" w:color="auto" w:fill="FFFFFF" w:themeFill="background1"/>
        <w:rPr>
          <w:rFonts w:cs="Arial"/>
        </w:rPr>
      </w:pPr>
      <w:r>
        <w:rPr>
          <w:noProof/>
        </w:rPr>
        <w:drawing>
          <wp:inline distT="0" distB="0" distL="0" distR="0" wp14:anchorId="22765DD9" wp14:editId="6BF95018">
            <wp:extent cx="5770585" cy="1716657"/>
            <wp:effectExtent l="0" t="0" r="1905" b="0"/>
            <wp:docPr id="8" name="Picture 8"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ure-1.png"/>
                    <pic:cNvPicPr/>
                  </pic:nvPicPr>
                  <pic:blipFill>
                    <a:blip r:embed="rId27"/>
                    <a:stretch>
                      <a:fillRect/>
                    </a:stretch>
                  </pic:blipFill>
                  <pic:spPr>
                    <a:xfrm>
                      <a:off x="0" y="0"/>
                      <a:ext cx="5797253" cy="1724590"/>
                    </a:xfrm>
                    <a:prstGeom prst="rect">
                      <a:avLst/>
                    </a:prstGeom>
                  </pic:spPr>
                </pic:pic>
              </a:graphicData>
            </a:graphic>
          </wp:inline>
        </w:drawing>
      </w:r>
      <w:r w:rsidR="005F60FC">
        <w:t xml:space="preserve"> </w:t>
      </w:r>
    </w:p>
    <w:p w14:paraId="7A0F1EBB" w14:textId="51D1E067" w:rsidR="005F60FC" w:rsidRDefault="008047FF" w:rsidP="00387C68">
      <w:pPr>
        <w:pStyle w:val="Paragraph"/>
        <w:spacing w:before="360"/>
      </w:pPr>
      <w:r>
        <w:t>Erics</w:t>
      </w:r>
      <w:r w:rsidR="002B70E6">
        <w:t>s</w:t>
      </w:r>
      <w:r>
        <w:t xml:space="preserve">on forecasts </w:t>
      </w:r>
      <w:r w:rsidR="00FF448B">
        <w:t>that by</w:t>
      </w:r>
      <w:r>
        <w:t xml:space="preserve"> 2022, there will be </w:t>
      </w:r>
      <w:r w:rsidR="00600B6D">
        <w:t>18 billion IoT connected devices worldwide.</w:t>
      </w:r>
      <w:r w:rsidR="00600B6D">
        <w:rPr>
          <w:rStyle w:val="FootnoteReference"/>
        </w:rPr>
        <w:footnoteReference w:id="6"/>
      </w:r>
      <w:r w:rsidR="00600B6D">
        <w:t xml:space="preserve"> </w:t>
      </w:r>
      <w:r w:rsidR="005F60FC">
        <w:t xml:space="preserve">Building on this, </w:t>
      </w:r>
      <w:r w:rsidR="00EF54B6">
        <w:t>we</w:t>
      </w:r>
      <w:r w:rsidR="005F60FC">
        <w:t xml:space="preserve"> see IoT as involving </w:t>
      </w:r>
      <w:r w:rsidR="005F60FC" w:rsidRPr="002076DC">
        <w:rPr>
          <w:i/>
          <w:iCs/>
        </w:rPr>
        <w:t>unprecedented numbers of wireless and wired interconnections of personal, consumer and industrial devices supporting a range of applications.</w:t>
      </w:r>
      <w:r w:rsidR="005F60FC">
        <w:rPr>
          <w:rStyle w:val="FootnoteReference"/>
          <w:i/>
          <w:iCs/>
        </w:rPr>
        <w:footnoteReference w:id="7"/>
      </w:r>
      <w:r w:rsidR="005F60FC">
        <w:rPr>
          <w:i/>
          <w:iCs/>
        </w:rPr>
        <w:t xml:space="preserve"> </w:t>
      </w:r>
      <w:r w:rsidR="005F60FC">
        <w:t xml:space="preserve">This is illustrated in </w:t>
      </w:r>
      <w:r w:rsidR="00B06D80">
        <w:t>F</w:t>
      </w:r>
      <w:r w:rsidR="005F60FC">
        <w:t>igure 2</w:t>
      </w:r>
      <w:r w:rsidR="00B06D80">
        <w:t>.</w:t>
      </w:r>
    </w:p>
    <w:p w14:paraId="700A3615" w14:textId="638D78A1" w:rsidR="005F60FC" w:rsidRDefault="005F60FC" w:rsidP="005901ED">
      <w:pPr>
        <w:pStyle w:val="ACMAFigureHeader"/>
        <w:keepNext/>
        <w:keepLines/>
      </w:pPr>
      <w:r>
        <w:lastRenderedPageBreak/>
        <w:t>The IoT</w:t>
      </w:r>
    </w:p>
    <w:p w14:paraId="52C9C58E" w14:textId="354F3C8B" w:rsidR="005F60FC" w:rsidRDefault="0044589C" w:rsidP="006E1AEB">
      <w:pPr>
        <w:pStyle w:val="Paragraph"/>
      </w:pPr>
      <w:r w:rsidRPr="0044589C">
        <w:rPr>
          <w:noProof/>
        </w:rPr>
        <w:t xml:space="preserve"> </w:t>
      </w:r>
      <w:r w:rsidR="006E1AEB">
        <w:rPr>
          <w:noProof/>
        </w:rPr>
        <w:drawing>
          <wp:inline distT="0" distB="0" distL="0" distR="0" wp14:anchorId="3BD2734B" wp14:editId="16E6014E">
            <wp:extent cx="4552950" cy="3699457"/>
            <wp:effectExtent l="0" t="0" r="0" b="0"/>
            <wp:docPr id="9" name="Picture 9" descr="A picture containing devi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ure-2.png"/>
                    <pic:cNvPicPr/>
                  </pic:nvPicPr>
                  <pic:blipFill>
                    <a:blip r:embed="rId28"/>
                    <a:stretch>
                      <a:fillRect/>
                    </a:stretch>
                  </pic:blipFill>
                  <pic:spPr>
                    <a:xfrm>
                      <a:off x="0" y="0"/>
                      <a:ext cx="4565055" cy="3709293"/>
                    </a:xfrm>
                    <a:prstGeom prst="rect">
                      <a:avLst/>
                    </a:prstGeom>
                  </pic:spPr>
                </pic:pic>
              </a:graphicData>
            </a:graphic>
          </wp:inline>
        </w:drawing>
      </w:r>
    </w:p>
    <w:p w14:paraId="21ACB13A" w14:textId="355BAA29" w:rsidR="005F60FC" w:rsidRDefault="005F60FC" w:rsidP="005901ED">
      <w:pPr>
        <w:pStyle w:val="Tableorfigurenote"/>
        <w:keepNext/>
        <w:keepLines/>
      </w:pPr>
      <w:r w:rsidRPr="002076DC">
        <w:t xml:space="preserve">Adapted from </w:t>
      </w:r>
      <w:hyperlink r:id="rId29" w:history="1">
        <w:r w:rsidRPr="002076DC">
          <w:rPr>
            <w:rStyle w:val="Hyperlink"/>
            <w:szCs w:val="16"/>
          </w:rPr>
          <w:t>Mimos Berhad, National Internet of Things Strategic Roadmap: A Summary</w:t>
        </w:r>
      </w:hyperlink>
      <w:r w:rsidRPr="002076DC">
        <w:t>, 2015, p</w:t>
      </w:r>
      <w:r w:rsidR="00D93D31">
        <w:t>.</w:t>
      </w:r>
      <w:r w:rsidRPr="002076DC">
        <w:t xml:space="preserve"> 4</w:t>
      </w:r>
      <w:r w:rsidR="00D93D31">
        <w:t>.</w:t>
      </w:r>
    </w:p>
    <w:p w14:paraId="6FE3928A" w14:textId="7AB4CC17" w:rsidR="000A7AB4" w:rsidRPr="00B85973" w:rsidRDefault="005F60FC" w:rsidP="00BD0CF2">
      <w:pPr>
        <w:pStyle w:val="Paragraph"/>
      </w:pPr>
      <w:r>
        <w:t xml:space="preserve">IoT applications vary in complexity and use cases, as shown in Figure 3. </w:t>
      </w:r>
      <w:r w:rsidRPr="00BA0D6B">
        <w:t>Consumer IoT</w:t>
      </w:r>
      <w:r>
        <w:t xml:space="preserve"> devices range </w:t>
      </w:r>
      <w:r w:rsidRPr="00BA0D6B">
        <w:t xml:space="preserve">from </w:t>
      </w:r>
      <w:r>
        <w:t xml:space="preserve">the </w:t>
      </w:r>
      <w:r w:rsidRPr="00BA0D6B">
        <w:t>relatively simple</w:t>
      </w:r>
      <w:r>
        <w:t xml:space="preserve">, </w:t>
      </w:r>
      <w:r w:rsidRPr="00BA0D6B">
        <w:t>such as a smart key</w:t>
      </w:r>
      <w:r w:rsidR="00B7241C">
        <w:t>-</w:t>
      </w:r>
      <w:r w:rsidRPr="00BA0D6B">
        <w:t>finder</w:t>
      </w:r>
      <w:r>
        <w:t>,</w:t>
      </w:r>
      <w:r w:rsidRPr="00BA0D6B">
        <w:t xml:space="preserve"> to premium smart home automation applications.</w:t>
      </w:r>
      <w:r>
        <w:t xml:space="preserve"> </w:t>
      </w:r>
      <w:r w:rsidRPr="00BA0D6B">
        <w:t>Industrial IoT</w:t>
      </w:r>
      <w:r>
        <w:t xml:space="preserve"> applications are generally more complex and</w:t>
      </w:r>
      <w:r w:rsidRPr="00BA0D6B">
        <w:t xml:space="preserve"> include the use of IoT within </w:t>
      </w:r>
      <w:r w:rsidRPr="00BA0D6B">
        <w:rPr>
          <w:shd w:val="clear" w:color="auto" w:fill="FFFFFF"/>
        </w:rPr>
        <w:t>industrial sectors and applications</w:t>
      </w:r>
      <w:r>
        <w:rPr>
          <w:shd w:val="clear" w:color="auto" w:fill="FFFFFF"/>
        </w:rPr>
        <w:t xml:space="preserve"> such as predictive maintenance, which enable companies to identify potential failures and increase production. </w:t>
      </w:r>
    </w:p>
    <w:p w14:paraId="08799DAA" w14:textId="77777777" w:rsidR="000A7AB4" w:rsidRPr="0012467C" w:rsidRDefault="000A7AB4" w:rsidP="005901ED">
      <w:pPr>
        <w:pStyle w:val="ACMAFigureHeader"/>
        <w:keepNext/>
        <w:keepLines/>
      </w:pPr>
      <w:r>
        <w:lastRenderedPageBreak/>
        <w:t>A day in the life of IoT</w:t>
      </w:r>
    </w:p>
    <w:p w14:paraId="1E8FFEDC" w14:textId="020965DE" w:rsidR="004E0FC6" w:rsidRDefault="00A01439" w:rsidP="005901ED">
      <w:pPr>
        <w:pStyle w:val="Paragraph"/>
        <w:keepNext/>
        <w:keepLines/>
        <w:spacing w:after="0"/>
        <w:rPr>
          <w:b/>
          <w:bCs/>
        </w:rPr>
      </w:pPr>
      <w:r>
        <w:rPr>
          <w:b/>
          <w:bCs/>
          <w:noProof/>
        </w:rPr>
        <w:drawing>
          <wp:inline distT="0" distB="0" distL="0" distR="0" wp14:anchorId="3D95AF0B" wp14:editId="61DCEBC4">
            <wp:extent cx="6098580" cy="5214285"/>
            <wp:effectExtent l="0" t="0" r="0"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gure-3.png"/>
                    <pic:cNvPicPr/>
                  </pic:nvPicPr>
                  <pic:blipFill>
                    <a:blip r:embed="rId30"/>
                    <a:stretch>
                      <a:fillRect/>
                    </a:stretch>
                  </pic:blipFill>
                  <pic:spPr>
                    <a:xfrm>
                      <a:off x="0" y="0"/>
                      <a:ext cx="6098580" cy="5214285"/>
                    </a:xfrm>
                    <a:prstGeom prst="rect">
                      <a:avLst/>
                    </a:prstGeom>
                  </pic:spPr>
                </pic:pic>
              </a:graphicData>
            </a:graphic>
          </wp:inline>
        </w:drawing>
      </w:r>
    </w:p>
    <w:p w14:paraId="45969DF5" w14:textId="68BB9E8C" w:rsidR="003A7619" w:rsidRPr="00037C54" w:rsidRDefault="003A7619" w:rsidP="005901ED">
      <w:pPr>
        <w:pStyle w:val="Tableorfigurenote"/>
        <w:spacing w:before="120"/>
      </w:pPr>
      <w:r w:rsidRPr="00037C54">
        <w:t>Source: ACMA</w:t>
      </w:r>
      <w:r w:rsidR="00ED5781">
        <w:t>, 2020</w:t>
      </w:r>
      <w:r w:rsidR="00D5520D">
        <w:t>.</w:t>
      </w:r>
    </w:p>
    <w:p w14:paraId="36DF3AE1" w14:textId="27AD1CF4" w:rsidR="0084326E" w:rsidRDefault="002D05D0" w:rsidP="000F1C01">
      <w:r>
        <w:rPr>
          <w:rFonts w:cs="Arial"/>
          <w:color w:val="080E14"/>
          <w:szCs w:val="20"/>
          <w:shd w:val="clear" w:color="auto" w:fill="FFFFFF"/>
        </w:rPr>
        <w:t>It</w:t>
      </w:r>
      <w:r w:rsidR="00F8391E">
        <w:rPr>
          <w:rFonts w:cs="Arial"/>
          <w:color w:val="080E14"/>
          <w:szCs w:val="20"/>
          <w:shd w:val="clear" w:color="auto" w:fill="FFFFFF"/>
        </w:rPr>
        <w:t xml:space="preserve"> is estimated</w:t>
      </w:r>
      <w:r w:rsidR="008C6894">
        <w:rPr>
          <w:rFonts w:cs="Arial"/>
          <w:color w:val="080E14"/>
          <w:szCs w:val="20"/>
          <w:shd w:val="clear" w:color="auto" w:fill="FFFFFF"/>
        </w:rPr>
        <w:t xml:space="preserve"> t</w:t>
      </w:r>
      <w:r w:rsidR="00F15453">
        <w:rPr>
          <w:rFonts w:cs="Arial"/>
          <w:color w:val="080E14"/>
          <w:szCs w:val="20"/>
          <w:shd w:val="clear" w:color="auto" w:fill="FFFFFF"/>
        </w:rPr>
        <w:t>here are</w:t>
      </w:r>
      <w:r>
        <w:rPr>
          <w:rFonts w:cs="Arial"/>
          <w:color w:val="080E14"/>
          <w:szCs w:val="20"/>
          <w:shd w:val="clear" w:color="auto" w:fill="FFFFFF"/>
        </w:rPr>
        <w:t xml:space="preserve"> currently</w:t>
      </w:r>
      <w:r w:rsidR="00F15453">
        <w:rPr>
          <w:rFonts w:cs="Arial"/>
          <w:color w:val="080E14"/>
          <w:szCs w:val="20"/>
          <w:shd w:val="clear" w:color="auto" w:fill="FFFFFF"/>
        </w:rPr>
        <w:t xml:space="preserve"> more </w:t>
      </w:r>
      <w:r w:rsidR="00717C15">
        <w:rPr>
          <w:rFonts w:cs="Arial"/>
          <w:color w:val="080E14"/>
          <w:szCs w:val="20"/>
          <w:shd w:val="clear" w:color="auto" w:fill="FFFFFF"/>
        </w:rPr>
        <w:t xml:space="preserve">connected </w:t>
      </w:r>
      <w:r w:rsidR="00F15453">
        <w:rPr>
          <w:rFonts w:cs="Arial"/>
          <w:color w:val="080E14"/>
          <w:szCs w:val="20"/>
          <w:shd w:val="clear" w:color="auto" w:fill="FFFFFF"/>
        </w:rPr>
        <w:t>IoT devices than people</w:t>
      </w:r>
      <w:r w:rsidR="0002632D">
        <w:rPr>
          <w:rFonts w:cs="Arial"/>
          <w:color w:val="080E14"/>
          <w:szCs w:val="20"/>
          <w:shd w:val="clear" w:color="auto" w:fill="FFFFFF"/>
        </w:rPr>
        <w:t>.</w:t>
      </w:r>
      <w:r w:rsidR="00CE0A23">
        <w:rPr>
          <w:rStyle w:val="FootnoteReference"/>
          <w:rFonts w:cs="Arial"/>
          <w:color w:val="080E14"/>
          <w:szCs w:val="20"/>
          <w:shd w:val="clear" w:color="auto" w:fill="FFFFFF"/>
        </w:rPr>
        <w:footnoteReference w:id="8"/>
      </w:r>
      <w:r w:rsidR="00F15453">
        <w:rPr>
          <w:rFonts w:cs="Arial"/>
          <w:color w:val="080E14"/>
          <w:szCs w:val="20"/>
          <w:shd w:val="clear" w:color="auto" w:fill="FFFFFF"/>
        </w:rPr>
        <w:t xml:space="preserve"> </w:t>
      </w:r>
      <w:r w:rsidR="002F7380">
        <w:rPr>
          <w:rFonts w:cs="Arial"/>
          <w:color w:val="080E14"/>
          <w:szCs w:val="20"/>
          <w:shd w:val="clear" w:color="auto" w:fill="FFFFFF"/>
        </w:rPr>
        <w:t>Low</w:t>
      </w:r>
      <w:r w:rsidR="00435F25" w:rsidRPr="00435F25">
        <w:rPr>
          <w:rFonts w:cs="Arial"/>
          <w:color w:val="080E14"/>
          <w:szCs w:val="20"/>
          <w:shd w:val="clear" w:color="auto" w:fill="FFFFFF"/>
        </w:rPr>
        <w:t>-cost</w:t>
      </w:r>
      <w:r w:rsidR="00432481" w:rsidRPr="000F1C01">
        <w:rPr>
          <w:rFonts w:cs="Arial"/>
          <w:color w:val="080E14"/>
          <w:szCs w:val="20"/>
          <w:shd w:val="clear" w:color="auto" w:fill="FFFFFF"/>
        </w:rPr>
        <w:t xml:space="preserve"> sensors and high-bandwidth wireless networks</w:t>
      </w:r>
      <w:r w:rsidR="004E567B">
        <w:rPr>
          <w:rFonts w:cs="Arial"/>
          <w:color w:val="080E14"/>
          <w:szCs w:val="20"/>
          <w:shd w:val="clear" w:color="auto" w:fill="FFFFFF"/>
        </w:rPr>
        <w:t xml:space="preserve"> </w:t>
      </w:r>
      <w:r w:rsidR="002F7380">
        <w:rPr>
          <w:rFonts w:cs="Arial"/>
          <w:color w:val="080E14"/>
          <w:szCs w:val="20"/>
          <w:shd w:val="clear" w:color="auto" w:fill="FFFFFF"/>
        </w:rPr>
        <w:t>are enabling mo</w:t>
      </w:r>
      <w:r w:rsidR="00FB2011">
        <w:rPr>
          <w:rFonts w:cs="Arial"/>
          <w:color w:val="080E14"/>
          <w:szCs w:val="20"/>
          <w:shd w:val="clear" w:color="auto" w:fill="FFFFFF"/>
        </w:rPr>
        <w:t xml:space="preserve">re devices to be </w:t>
      </w:r>
      <w:r w:rsidR="00432481" w:rsidRPr="000F1C01">
        <w:rPr>
          <w:rFonts w:cs="Arial"/>
          <w:color w:val="080E14"/>
          <w:szCs w:val="20"/>
          <w:shd w:val="clear" w:color="auto" w:fill="FFFFFF"/>
        </w:rPr>
        <w:t>connected, monitored and tracked,</w:t>
      </w:r>
      <w:r w:rsidR="00524BD3">
        <w:rPr>
          <w:rFonts w:cs="Arial"/>
          <w:color w:val="080E14"/>
          <w:szCs w:val="20"/>
          <w:shd w:val="clear" w:color="auto" w:fill="FFFFFF"/>
        </w:rPr>
        <w:t xml:space="preserve"> to</w:t>
      </w:r>
      <w:r w:rsidR="00432481" w:rsidRPr="000F1C01">
        <w:rPr>
          <w:rFonts w:cs="Arial"/>
          <w:color w:val="080E14"/>
          <w:szCs w:val="20"/>
          <w:shd w:val="clear" w:color="auto" w:fill="FFFFFF"/>
        </w:rPr>
        <w:t xml:space="preserve"> share data on their status and </w:t>
      </w:r>
      <w:r w:rsidR="00524BD3">
        <w:rPr>
          <w:rFonts w:cs="Arial"/>
          <w:color w:val="080E14"/>
          <w:szCs w:val="20"/>
          <w:shd w:val="clear" w:color="auto" w:fill="FFFFFF"/>
        </w:rPr>
        <w:t xml:space="preserve">to </w:t>
      </w:r>
      <w:r w:rsidR="00432481" w:rsidRPr="000F1C01">
        <w:rPr>
          <w:rFonts w:cs="Arial"/>
          <w:color w:val="080E14"/>
          <w:szCs w:val="20"/>
          <w:shd w:val="clear" w:color="auto" w:fill="FFFFFF"/>
        </w:rPr>
        <w:t xml:space="preserve">communicate with other devices. </w:t>
      </w:r>
      <w:r w:rsidR="00B41380">
        <w:rPr>
          <w:rFonts w:cs="Arial"/>
          <w:color w:val="080E14"/>
          <w:szCs w:val="20"/>
          <w:shd w:val="clear" w:color="auto" w:fill="FFFFFF"/>
        </w:rPr>
        <w:t>This</w:t>
      </w:r>
      <w:r w:rsidR="00432481" w:rsidRPr="000F1C01">
        <w:rPr>
          <w:rFonts w:cs="Arial"/>
          <w:color w:val="080E14"/>
          <w:szCs w:val="20"/>
          <w:shd w:val="clear" w:color="auto" w:fill="FFFFFF"/>
        </w:rPr>
        <w:t xml:space="preserve"> data </w:t>
      </w:r>
      <w:r w:rsidR="00CB03C6">
        <w:rPr>
          <w:rFonts w:cs="Arial"/>
          <w:color w:val="080E14"/>
          <w:szCs w:val="20"/>
          <w:shd w:val="clear" w:color="auto" w:fill="FFFFFF"/>
        </w:rPr>
        <w:t>generated by connected devices can be collected and anal</w:t>
      </w:r>
      <w:r w:rsidR="003D3E79">
        <w:rPr>
          <w:rFonts w:cs="Arial"/>
          <w:color w:val="080E14"/>
          <w:szCs w:val="20"/>
          <w:shd w:val="clear" w:color="auto" w:fill="FFFFFF"/>
        </w:rPr>
        <w:t xml:space="preserve">ysed to </w:t>
      </w:r>
      <w:r w:rsidR="00BF0CB5">
        <w:rPr>
          <w:rFonts w:cs="Arial"/>
          <w:color w:val="080E14"/>
          <w:szCs w:val="20"/>
          <w:shd w:val="clear" w:color="auto" w:fill="FFFFFF"/>
        </w:rPr>
        <w:t>improve production efficiency</w:t>
      </w:r>
      <w:r w:rsidR="00432481" w:rsidRPr="000F1C01">
        <w:rPr>
          <w:rFonts w:cs="Arial"/>
          <w:color w:val="080E14"/>
          <w:szCs w:val="20"/>
          <w:shd w:val="clear" w:color="auto" w:fill="FFFFFF"/>
        </w:rPr>
        <w:t>.</w:t>
      </w:r>
      <w:r w:rsidR="00435F25">
        <w:rPr>
          <w:rFonts w:cs="Arial"/>
          <w:color w:val="080E14"/>
          <w:sz w:val="27"/>
          <w:szCs w:val="27"/>
          <w:shd w:val="clear" w:color="auto" w:fill="FFFFFF"/>
        </w:rPr>
        <w:t xml:space="preserve"> </w:t>
      </w:r>
      <w:r w:rsidR="005F60FC" w:rsidRPr="00177315">
        <w:t xml:space="preserve">IoT is </w:t>
      </w:r>
      <w:r w:rsidR="005F60FC">
        <w:t>also an important enabler of intelligent and connected smart homes, offices</w:t>
      </w:r>
      <w:r w:rsidR="00677286">
        <w:t xml:space="preserve">, </w:t>
      </w:r>
      <w:r w:rsidR="005F60FC">
        <w:t>cities</w:t>
      </w:r>
      <w:r w:rsidR="00677286">
        <w:t xml:space="preserve"> and </w:t>
      </w:r>
      <w:r w:rsidR="007C0B0F">
        <w:t>regions</w:t>
      </w:r>
      <w:r w:rsidR="005F60FC">
        <w:rPr>
          <w:szCs w:val="20"/>
        </w:rPr>
        <w:t xml:space="preserve">. Table 1 highlights common uses for consumer and industrial IoT.  </w:t>
      </w:r>
      <w:r w:rsidR="005F60FC">
        <w:rPr>
          <w:rFonts w:cs="Arial"/>
          <w:szCs w:val="20"/>
          <w:shd w:val="clear" w:color="auto" w:fill="FFFFFF"/>
        </w:rPr>
        <w:t xml:space="preserve">  </w:t>
      </w:r>
    </w:p>
    <w:p w14:paraId="6C313EA7" w14:textId="1E7AD739" w:rsidR="005F60FC" w:rsidRDefault="005F60FC" w:rsidP="006140C8">
      <w:pPr>
        <w:pStyle w:val="Tableheading"/>
        <w:keepLines/>
      </w:pPr>
      <w:r>
        <w:lastRenderedPageBreak/>
        <w:t xml:space="preserve">Consumer IoT and </w:t>
      </w:r>
      <w:r w:rsidR="00500AD1">
        <w:t>i</w:t>
      </w:r>
      <w:r>
        <w:t>ndustrial IoT</w:t>
      </w:r>
    </w:p>
    <w:tbl>
      <w:tblPr>
        <w:tblStyle w:val="ACMAtablestyle"/>
        <w:tblW w:w="6799" w:type="dxa"/>
        <w:tblLayout w:type="fixed"/>
        <w:tblLook w:val="01E0" w:firstRow="1" w:lastRow="1" w:firstColumn="1" w:lastColumn="1" w:noHBand="0" w:noVBand="0"/>
        <w:tblCaption w:val="Table title to go here"/>
        <w:tblDescription w:val="Table description to go here"/>
      </w:tblPr>
      <w:tblGrid>
        <w:gridCol w:w="3397"/>
        <w:gridCol w:w="3402"/>
      </w:tblGrid>
      <w:tr w:rsidR="005F60FC" w:rsidRPr="006D46E5" w14:paraId="69535BD1" w14:textId="77777777" w:rsidTr="003304F3">
        <w:trPr>
          <w:cnfStyle w:val="100000000000" w:firstRow="1" w:lastRow="0" w:firstColumn="0" w:lastColumn="0" w:oddVBand="0" w:evenVBand="0" w:oddHBand="0" w:evenHBand="0" w:firstRowFirstColumn="0" w:firstRowLastColumn="0" w:lastRowFirstColumn="0" w:lastRowLastColumn="0"/>
        </w:trPr>
        <w:tc>
          <w:tcPr>
            <w:tcW w:w="3397" w:type="dxa"/>
          </w:tcPr>
          <w:p w14:paraId="383D6B4E" w14:textId="77777777" w:rsidR="005F60FC" w:rsidRPr="00930510" w:rsidRDefault="005F60FC" w:rsidP="006140C8">
            <w:pPr>
              <w:pStyle w:val="Tableheaderrow"/>
              <w:keepNext/>
              <w:keepLines/>
            </w:pPr>
            <w:r>
              <w:t>Consumer IoT</w:t>
            </w:r>
          </w:p>
        </w:tc>
        <w:tc>
          <w:tcPr>
            <w:tcW w:w="3402" w:type="dxa"/>
          </w:tcPr>
          <w:p w14:paraId="274A52B3" w14:textId="77777777" w:rsidR="005F60FC" w:rsidRPr="00930510" w:rsidRDefault="005F60FC" w:rsidP="006140C8">
            <w:pPr>
              <w:pStyle w:val="Tableheaderrow"/>
              <w:keepNext/>
              <w:keepLines/>
            </w:pPr>
            <w:r>
              <w:t xml:space="preserve">Industrial IoT </w:t>
            </w:r>
          </w:p>
        </w:tc>
      </w:tr>
      <w:tr w:rsidR="005F60FC" w:rsidRPr="006D46E5" w14:paraId="5CD1CC79" w14:textId="77777777" w:rsidTr="003304F3">
        <w:trPr>
          <w:cnfStyle w:val="000000100000" w:firstRow="0" w:lastRow="0" w:firstColumn="0" w:lastColumn="0" w:oddVBand="0" w:evenVBand="0" w:oddHBand="1" w:evenHBand="0" w:firstRowFirstColumn="0" w:firstRowLastColumn="0" w:lastRowFirstColumn="0" w:lastRowLastColumn="0"/>
        </w:trPr>
        <w:tc>
          <w:tcPr>
            <w:tcW w:w="3397" w:type="dxa"/>
          </w:tcPr>
          <w:p w14:paraId="3DF64302" w14:textId="77777777" w:rsidR="005F60FC" w:rsidRDefault="005F60FC" w:rsidP="006140C8">
            <w:pPr>
              <w:pStyle w:val="TableBody"/>
              <w:keepNext/>
              <w:keepLines/>
              <w:numPr>
                <w:ilvl w:val="0"/>
                <w:numId w:val="18"/>
              </w:numPr>
              <w:spacing w:after="60"/>
              <w:ind w:left="357" w:hanging="357"/>
            </w:pPr>
            <w:r>
              <w:t>Wearables</w:t>
            </w:r>
          </w:p>
          <w:p w14:paraId="2B7574A7" w14:textId="77777777" w:rsidR="005F60FC" w:rsidRDefault="005F60FC" w:rsidP="006140C8">
            <w:pPr>
              <w:pStyle w:val="TableBody"/>
              <w:keepNext/>
              <w:keepLines/>
              <w:numPr>
                <w:ilvl w:val="0"/>
                <w:numId w:val="18"/>
              </w:numPr>
              <w:spacing w:after="60"/>
              <w:ind w:left="357" w:hanging="357"/>
            </w:pPr>
            <w:r>
              <w:t>Smart TVs</w:t>
            </w:r>
          </w:p>
          <w:p w14:paraId="5408E4BD" w14:textId="77777777" w:rsidR="005F60FC" w:rsidRDefault="005F60FC" w:rsidP="006140C8">
            <w:pPr>
              <w:pStyle w:val="TableBody"/>
              <w:keepNext/>
              <w:keepLines/>
              <w:numPr>
                <w:ilvl w:val="0"/>
                <w:numId w:val="18"/>
              </w:numPr>
              <w:spacing w:after="60"/>
              <w:ind w:left="357" w:hanging="357"/>
            </w:pPr>
            <w:r>
              <w:t xml:space="preserve">Smart bike locks </w:t>
            </w:r>
          </w:p>
          <w:p w14:paraId="743BF7BB" w14:textId="77777777" w:rsidR="005F60FC" w:rsidRDefault="005F60FC" w:rsidP="006140C8">
            <w:pPr>
              <w:pStyle w:val="TableBody"/>
              <w:keepNext/>
              <w:keepLines/>
              <w:numPr>
                <w:ilvl w:val="0"/>
                <w:numId w:val="18"/>
              </w:numPr>
              <w:spacing w:after="60"/>
              <w:ind w:left="357" w:hanging="357"/>
            </w:pPr>
            <w:r>
              <w:t>Home monitoring</w:t>
            </w:r>
          </w:p>
          <w:p w14:paraId="3B9BAF4E" w14:textId="77777777" w:rsidR="005F60FC" w:rsidRDefault="005F60FC" w:rsidP="006140C8">
            <w:pPr>
              <w:pStyle w:val="TableBody"/>
              <w:keepNext/>
              <w:keepLines/>
              <w:numPr>
                <w:ilvl w:val="0"/>
                <w:numId w:val="18"/>
              </w:numPr>
              <w:spacing w:after="60"/>
              <w:ind w:left="357" w:hanging="357"/>
            </w:pPr>
            <w:r>
              <w:t>Home automation</w:t>
            </w:r>
          </w:p>
          <w:p w14:paraId="5EA10C3D" w14:textId="77777777" w:rsidR="005F60FC" w:rsidRPr="00930510" w:rsidRDefault="005F60FC" w:rsidP="006140C8">
            <w:pPr>
              <w:pStyle w:val="TableBody"/>
              <w:keepNext/>
              <w:keepLines/>
              <w:numPr>
                <w:ilvl w:val="0"/>
                <w:numId w:val="18"/>
              </w:numPr>
              <w:spacing w:after="60"/>
              <w:ind w:left="357" w:hanging="357"/>
            </w:pPr>
            <w:r>
              <w:t>Smart appliances</w:t>
            </w:r>
          </w:p>
        </w:tc>
        <w:tc>
          <w:tcPr>
            <w:tcW w:w="3402" w:type="dxa"/>
          </w:tcPr>
          <w:p w14:paraId="635F763F" w14:textId="77777777" w:rsidR="005F60FC" w:rsidRDefault="005F60FC" w:rsidP="006140C8">
            <w:pPr>
              <w:pStyle w:val="TableBody"/>
              <w:keepNext/>
              <w:keepLines/>
              <w:numPr>
                <w:ilvl w:val="0"/>
                <w:numId w:val="17"/>
              </w:numPr>
              <w:spacing w:after="60"/>
              <w:ind w:left="357" w:hanging="357"/>
            </w:pPr>
            <w:r>
              <w:t>Transportation</w:t>
            </w:r>
          </w:p>
          <w:p w14:paraId="604832EA" w14:textId="77777777" w:rsidR="005F60FC" w:rsidRDefault="005F60FC" w:rsidP="006140C8">
            <w:pPr>
              <w:pStyle w:val="TableBody"/>
              <w:keepNext/>
              <w:keepLines/>
              <w:numPr>
                <w:ilvl w:val="0"/>
                <w:numId w:val="17"/>
              </w:numPr>
              <w:spacing w:after="60"/>
              <w:ind w:left="357" w:hanging="357"/>
            </w:pPr>
            <w:r>
              <w:t>Smart cities</w:t>
            </w:r>
          </w:p>
          <w:p w14:paraId="4CD627A7" w14:textId="77777777" w:rsidR="005F60FC" w:rsidRDefault="005F60FC" w:rsidP="006140C8">
            <w:pPr>
              <w:pStyle w:val="TableBody"/>
              <w:keepNext/>
              <w:keepLines/>
              <w:numPr>
                <w:ilvl w:val="0"/>
                <w:numId w:val="17"/>
              </w:numPr>
              <w:spacing w:after="60"/>
              <w:ind w:left="357" w:hanging="357"/>
            </w:pPr>
            <w:r>
              <w:t xml:space="preserve">Asset tracking </w:t>
            </w:r>
          </w:p>
          <w:p w14:paraId="4EBC1A0B" w14:textId="77777777" w:rsidR="005F60FC" w:rsidRDefault="005F60FC" w:rsidP="006140C8">
            <w:pPr>
              <w:pStyle w:val="TableBody"/>
              <w:keepNext/>
              <w:keepLines/>
              <w:numPr>
                <w:ilvl w:val="0"/>
                <w:numId w:val="17"/>
              </w:numPr>
              <w:spacing w:after="60"/>
              <w:ind w:left="357" w:hanging="357"/>
            </w:pPr>
            <w:r>
              <w:t>Connected manufacturing</w:t>
            </w:r>
          </w:p>
          <w:p w14:paraId="213FF2D0" w14:textId="77777777" w:rsidR="005F60FC" w:rsidRDefault="005F60FC" w:rsidP="006140C8">
            <w:pPr>
              <w:pStyle w:val="TableBody"/>
              <w:keepNext/>
              <w:keepLines/>
              <w:numPr>
                <w:ilvl w:val="0"/>
                <w:numId w:val="17"/>
              </w:numPr>
              <w:spacing w:after="60"/>
              <w:ind w:left="357" w:hanging="357"/>
            </w:pPr>
            <w:r>
              <w:t>Smart utilities</w:t>
            </w:r>
          </w:p>
          <w:p w14:paraId="2D52CEBC" w14:textId="77777777" w:rsidR="005F60FC" w:rsidRPr="00930510" w:rsidRDefault="005F60FC" w:rsidP="006140C8">
            <w:pPr>
              <w:pStyle w:val="TableBody"/>
              <w:keepNext/>
              <w:keepLines/>
              <w:numPr>
                <w:ilvl w:val="0"/>
                <w:numId w:val="17"/>
              </w:numPr>
              <w:spacing w:after="60"/>
              <w:ind w:left="357" w:hanging="357"/>
            </w:pPr>
            <w:r>
              <w:t>Smart farming</w:t>
            </w:r>
          </w:p>
        </w:tc>
      </w:tr>
    </w:tbl>
    <w:p w14:paraId="2C62BAAB" w14:textId="6B7C07A0" w:rsidR="0084326E" w:rsidRDefault="0084326E" w:rsidP="005F60FC">
      <w:pPr>
        <w:pStyle w:val="ACMANormalTabbed"/>
      </w:pPr>
    </w:p>
    <w:p w14:paraId="6A8662CA" w14:textId="0224ED51" w:rsidR="0058330F" w:rsidRDefault="005F60FC" w:rsidP="005901ED">
      <w:pPr>
        <w:pStyle w:val="Heading2"/>
        <w:keepLines/>
      </w:pPr>
      <w:bookmarkStart w:id="14" w:name="_Toc46335079"/>
      <w:r>
        <w:t>Australia’s IoT environment</w:t>
      </w:r>
      <w:bookmarkEnd w:id="14"/>
    </w:p>
    <w:p w14:paraId="4BCB4827" w14:textId="560D2343" w:rsidR="005F60FC" w:rsidRPr="00F27C5F" w:rsidRDefault="005F60FC" w:rsidP="005901ED">
      <w:pPr>
        <w:pStyle w:val="Heading3"/>
        <w:keepLines/>
      </w:pPr>
      <w:bookmarkStart w:id="15" w:name="_Toc46335080"/>
      <w:r w:rsidRPr="00D71E62">
        <w:t>IoT network availability</w:t>
      </w:r>
      <w:bookmarkEnd w:id="15"/>
    </w:p>
    <w:p w14:paraId="36851E46" w14:textId="70256850" w:rsidR="00D71E62" w:rsidRDefault="005F60FC" w:rsidP="00D71E62">
      <w:pPr>
        <w:pStyle w:val="Paragraph"/>
        <w:keepNext/>
        <w:keepLines/>
      </w:pPr>
      <w:r>
        <w:t xml:space="preserve">IoT devices use a range of different networks. </w:t>
      </w:r>
      <w:r w:rsidR="00E6292B" w:rsidRPr="00E6292B">
        <w:t>In some cases, IoT device connectivity is served through domestic technologies for broader consumer networks, whereas others use bespoke technologies and dedicated network infrastructure.</w:t>
      </w:r>
    </w:p>
    <w:p w14:paraId="0F4EA2E2" w14:textId="640E33A9" w:rsidR="00CE1295" w:rsidRDefault="005F60FC" w:rsidP="00D71E62">
      <w:pPr>
        <w:pStyle w:val="Paragraph"/>
        <w:keepNext/>
        <w:keepLines/>
      </w:pPr>
      <w:r>
        <w:t>IoT devices vary regarding technical requirements, in terms of whether the device is short</w:t>
      </w:r>
      <w:r w:rsidR="000A1B85">
        <w:t>-</w:t>
      </w:r>
      <w:r>
        <w:t xml:space="preserve"> or long</w:t>
      </w:r>
      <w:r w:rsidR="000A1B85">
        <w:t>-</w:t>
      </w:r>
      <w:r>
        <w:t xml:space="preserve">range and whether </w:t>
      </w:r>
      <w:r w:rsidR="00395B47">
        <w:t>it</w:t>
      </w:r>
      <w:r>
        <w:t xml:space="preserve"> uses low, medium or high data rates. </w:t>
      </w:r>
      <w:r w:rsidR="00E33177">
        <w:t xml:space="preserve">IoT connectivity requirements </w:t>
      </w:r>
      <w:r w:rsidR="002738BF">
        <w:t>are application specific and have specific latency requirements as well</w:t>
      </w:r>
      <w:r w:rsidR="00CE1295">
        <w:t xml:space="preserve">. </w:t>
      </w:r>
    </w:p>
    <w:p w14:paraId="0CB43876" w14:textId="509353DD" w:rsidR="00A422C7" w:rsidRDefault="005F60FC" w:rsidP="00387C68">
      <w:pPr>
        <w:pStyle w:val="Paragraphbeforelist"/>
        <w:rPr>
          <w:lang w:val="en"/>
        </w:rPr>
      </w:pPr>
      <w:r>
        <w:rPr>
          <w:lang w:val="en"/>
        </w:rPr>
        <w:t>M</w:t>
      </w:r>
      <w:r w:rsidRPr="000F4591">
        <w:rPr>
          <w:lang w:val="en"/>
        </w:rPr>
        <w:t xml:space="preserve">ultiple IoT technologies </w:t>
      </w:r>
      <w:r>
        <w:rPr>
          <w:lang w:val="en"/>
        </w:rPr>
        <w:t xml:space="preserve">are </w:t>
      </w:r>
      <w:r w:rsidRPr="000F4591">
        <w:rPr>
          <w:lang w:val="en"/>
        </w:rPr>
        <w:t xml:space="preserve">being </w:t>
      </w:r>
      <w:r w:rsidR="00A2354B">
        <w:rPr>
          <w:lang w:val="en"/>
        </w:rPr>
        <w:t>deployed</w:t>
      </w:r>
      <w:r w:rsidRPr="000F4591">
        <w:rPr>
          <w:lang w:val="en"/>
        </w:rPr>
        <w:t xml:space="preserve"> across Australia, </w:t>
      </w:r>
      <w:r>
        <w:rPr>
          <w:lang w:val="en"/>
        </w:rPr>
        <w:t>including:</w:t>
      </w:r>
      <w:r w:rsidRPr="000F4591">
        <w:rPr>
          <w:lang w:val="en"/>
        </w:rPr>
        <w:t xml:space="preserve"> </w:t>
      </w:r>
    </w:p>
    <w:p w14:paraId="3449F665" w14:textId="77777777" w:rsidR="00A92AD4" w:rsidRPr="00A92AD4" w:rsidRDefault="00A92AD4" w:rsidP="00A92AD4">
      <w:pPr>
        <w:pStyle w:val="ListBullet"/>
        <w:spacing w:after="0"/>
        <w:rPr>
          <w:b/>
          <w:bCs/>
          <w:lang w:val="en-US"/>
        </w:rPr>
      </w:pPr>
      <w:r w:rsidRPr="00A92AD4">
        <w:rPr>
          <w:b/>
          <w:bCs/>
          <w:lang w:val="en-US"/>
        </w:rPr>
        <w:t>NB-IoT</w:t>
      </w:r>
    </w:p>
    <w:p w14:paraId="147E52E5" w14:textId="77777777" w:rsidR="00A92AD4" w:rsidRDefault="00A92AD4" w:rsidP="00387C68">
      <w:pPr>
        <w:pStyle w:val="Bulletlevel1"/>
        <w:numPr>
          <w:ilvl w:val="0"/>
          <w:numId w:val="0"/>
        </w:numPr>
        <w:spacing w:after="120"/>
        <w:ind w:left="295"/>
        <w:rPr>
          <w:lang w:val="en"/>
        </w:rPr>
      </w:pPr>
      <w:r>
        <w:rPr>
          <w:lang w:val="en-US"/>
        </w:rPr>
        <w:t>N</w:t>
      </w:r>
      <w:r w:rsidRPr="005C460B">
        <w:rPr>
          <w:lang w:val="en-US"/>
        </w:rPr>
        <w:t xml:space="preserve">B-IoT is </w:t>
      </w:r>
      <w:r>
        <w:rPr>
          <w:lang w:val="en-US"/>
        </w:rPr>
        <w:t xml:space="preserve">a </w:t>
      </w:r>
      <w:r w:rsidRPr="005C460B">
        <w:rPr>
          <w:lang w:val="en-US"/>
        </w:rPr>
        <w:t xml:space="preserve">commonly used IoT technology in Australia. </w:t>
      </w:r>
      <w:r w:rsidRPr="005C460B">
        <w:rPr>
          <w:lang w:val="en"/>
        </w:rPr>
        <w:t xml:space="preserve">NB-IoT </w:t>
      </w:r>
      <w:r>
        <w:rPr>
          <w:lang w:val="en"/>
        </w:rPr>
        <w:t xml:space="preserve">is </w:t>
      </w:r>
      <w:r w:rsidRPr="005C460B">
        <w:rPr>
          <w:lang w:val="en"/>
        </w:rPr>
        <w:t>well</w:t>
      </w:r>
      <w:r>
        <w:rPr>
          <w:lang w:val="en"/>
        </w:rPr>
        <w:t>-</w:t>
      </w:r>
      <w:r w:rsidRPr="005C460B">
        <w:rPr>
          <w:lang w:val="en"/>
        </w:rPr>
        <w:t xml:space="preserve">suited to communications in fixed environments. It is unable to carry voice communications. Within Australia, Telstra, </w:t>
      </w:r>
      <w:r>
        <w:rPr>
          <w:lang w:val="en"/>
        </w:rPr>
        <w:t xml:space="preserve">TPG Telecom Limited (formerly </w:t>
      </w:r>
      <w:r w:rsidRPr="005C460B">
        <w:rPr>
          <w:lang w:val="en"/>
        </w:rPr>
        <w:t>Vodafone Hutchison Australia (VHA)</w:t>
      </w:r>
      <w:r>
        <w:rPr>
          <w:lang w:val="en"/>
        </w:rPr>
        <w:t>)</w:t>
      </w:r>
      <w:r w:rsidRPr="005C460B">
        <w:rPr>
          <w:lang w:val="en"/>
        </w:rPr>
        <w:t xml:space="preserve"> and Optus have deployed NB-IoT networks. VHA</w:t>
      </w:r>
      <w:r>
        <w:rPr>
          <w:lang w:val="en"/>
        </w:rPr>
        <w:t xml:space="preserve"> has estimated their </w:t>
      </w:r>
      <w:r w:rsidRPr="005C460B">
        <w:rPr>
          <w:lang w:val="en"/>
        </w:rPr>
        <w:t xml:space="preserve">NB-IoT footprint covers 89 per cent of the Australian population </w:t>
      </w:r>
      <w:r>
        <w:rPr>
          <w:lang w:val="en"/>
        </w:rPr>
        <w:t xml:space="preserve">and </w:t>
      </w:r>
      <w:r w:rsidRPr="005C460B">
        <w:rPr>
          <w:lang w:val="en"/>
        </w:rPr>
        <w:t>support</w:t>
      </w:r>
      <w:r>
        <w:rPr>
          <w:lang w:val="en"/>
        </w:rPr>
        <w:t>s</w:t>
      </w:r>
      <w:r w:rsidRPr="005C460B">
        <w:rPr>
          <w:lang w:val="en"/>
        </w:rPr>
        <w:t xml:space="preserve"> applications such as aged care management and smart</w:t>
      </w:r>
      <w:r>
        <w:rPr>
          <w:lang w:val="en"/>
        </w:rPr>
        <w:t xml:space="preserve"> </w:t>
      </w:r>
      <w:r w:rsidRPr="005C460B">
        <w:rPr>
          <w:lang w:val="en"/>
        </w:rPr>
        <w:t>building services.</w:t>
      </w:r>
      <w:r w:rsidRPr="005C460B">
        <w:rPr>
          <w:rStyle w:val="FootnoteReference"/>
          <w:bCs/>
          <w:iCs/>
          <w:lang w:val="en"/>
        </w:rPr>
        <w:footnoteReference w:id="9"/>
      </w:r>
    </w:p>
    <w:p w14:paraId="4D3EC946" w14:textId="77777777" w:rsidR="00A92AD4" w:rsidRPr="00A92AD4" w:rsidRDefault="00A92AD4" w:rsidP="00A92AD4">
      <w:pPr>
        <w:pStyle w:val="ListBullet"/>
        <w:spacing w:after="0"/>
        <w:rPr>
          <w:b/>
          <w:bCs/>
          <w:lang w:val="en"/>
        </w:rPr>
      </w:pPr>
      <w:r w:rsidRPr="00A92AD4">
        <w:rPr>
          <w:b/>
          <w:bCs/>
          <w:lang w:val="en"/>
        </w:rPr>
        <w:t>LTE Cat-M1</w:t>
      </w:r>
    </w:p>
    <w:p w14:paraId="7CBC511A" w14:textId="77777777" w:rsidR="00A92AD4" w:rsidRDefault="00A92AD4" w:rsidP="00387C68">
      <w:pPr>
        <w:pStyle w:val="ListBullet"/>
        <w:numPr>
          <w:ilvl w:val="0"/>
          <w:numId w:val="0"/>
        </w:numPr>
        <w:spacing w:after="120"/>
        <w:ind w:left="295"/>
        <w:rPr>
          <w:lang w:val="en"/>
        </w:rPr>
      </w:pPr>
      <w:r w:rsidRPr="00162E74">
        <w:rPr>
          <w:lang w:val="en"/>
        </w:rPr>
        <w:t>LTE Cat-M1</w:t>
      </w:r>
      <w:r>
        <w:rPr>
          <w:lang w:val="en"/>
        </w:rPr>
        <w:t xml:space="preserve"> uses existing 4G networks. </w:t>
      </w:r>
      <w:r w:rsidRPr="005C460B">
        <w:rPr>
          <w:lang w:val="en"/>
        </w:rPr>
        <w:t>As of September</w:t>
      </w:r>
      <w:r>
        <w:rPr>
          <w:b/>
          <w:i/>
          <w:lang w:val="en"/>
        </w:rPr>
        <w:t xml:space="preserve"> </w:t>
      </w:r>
      <w:r w:rsidRPr="005C460B">
        <w:rPr>
          <w:lang w:val="en"/>
        </w:rPr>
        <w:t xml:space="preserve">2019, more than 3.2 million IoT devices were connected to the </w:t>
      </w:r>
      <w:r>
        <w:rPr>
          <w:lang w:val="en"/>
        </w:rPr>
        <w:t xml:space="preserve">Telstra LTE Cat-M1 </w:t>
      </w:r>
      <w:r w:rsidRPr="005C460B">
        <w:rPr>
          <w:lang w:val="en"/>
        </w:rPr>
        <w:t>network.</w:t>
      </w:r>
      <w:r w:rsidRPr="005C460B">
        <w:rPr>
          <w:rStyle w:val="FootnoteReference"/>
          <w:bCs/>
          <w:iCs/>
          <w:lang w:val="en"/>
        </w:rPr>
        <w:footnoteReference w:id="10"/>
      </w:r>
    </w:p>
    <w:p w14:paraId="4706633F" w14:textId="493FCB7C" w:rsidR="00A92AD4" w:rsidRPr="00A92AD4" w:rsidRDefault="00A92AD4" w:rsidP="00A92AD4">
      <w:pPr>
        <w:pStyle w:val="ListBullet"/>
        <w:spacing w:after="0"/>
        <w:rPr>
          <w:b/>
          <w:bCs/>
          <w:lang w:val="en"/>
        </w:rPr>
      </w:pPr>
      <w:r w:rsidRPr="00A92AD4">
        <w:rPr>
          <w:b/>
          <w:bCs/>
          <w:lang w:val="en"/>
        </w:rPr>
        <w:t>Sigfox</w:t>
      </w:r>
    </w:p>
    <w:p w14:paraId="5F804802" w14:textId="659CAF85" w:rsidR="00A92AD4" w:rsidRDefault="00A92AD4" w:rsidP="00387C68">
      <w:pPr>
        <w:pStyle w:val="ListBullet"/>
        <w:numPr>
          <w:ilvl w:val="0"/>
          <w:numId w:val="0"/>
        </w:numPr>
        <w:spacing w:after="120"/>
        <w:ind w:left="295"/>
        <w:rPr>
          <w:lang w:val="en"/>
        </w:rPr>
      </w:pPr>
      <w:r w:rsidRPr="005C460B">
        <w:rPr>
          <w:lang w:val="en"/>
        </w:rPr>
        <w:t xml:space="preserve">In Australia, Sigfox </w:t>
      </w:r>
      <w:r w:rsidRPr="005C460B">
        <w:t>operator Thinxtra has continued to expand its networks, covering 87 per cent of the Australian/New Zealand population as of February 2019, supporting use cases including smart farming, smart logistics tracking and urban planning</w:t>
      </w:r>
      <w:r w:rsidRPr="005C460B">
        <w:rPr>
          <w:color w:val="555555"/>
          <w:shd w:val="clear" w:color="auto" w:fill="FFFFFF"/>
        </w:rPr>
        <w:t>.</w:t>
      </w:r>
      <w:r w:rsidRPr="007356B5">
        <w:rPr>
          <w:rStyle w:val="FootnoteReference"/>
          <w:b/>
          <w:bCs/>
          <w:i/>
          <w:iCs/>
          <w:szCs w:val="20"/>
          <w:lang w:val="en"/>
        </w:rPr>
        <w:footnoteReference w:id="11"/>
      </w:r>
      <w:r w:rsidRPr="005C460B">
        <w:rPr>
          <w:color w:val="555555"/>
          <w:shd w:val="clear" w:color="auto" w:fill="FFFFFF"/>
        </w:rPr>
        <w:t xml:space="preserve"> </w:t>
      </w:r>
    </w:p>
    <w:p w14:paraId="1D0E35CF" w14:textId="45331A45" w:rsidR="00A92AD4" w:rsidRPr="00A92AD4" w:rsidRDefault="00A92AD4" w:rsidP="00A92AD4">
      <w:pPr>
        <w:pStyle w:val="ListBullet"/>
        <w:keepNext/>
        <w:keepLines/>
        <w:spacing w:after="0"/>
        <w:rPr>
          <w:b/>
          <w:bCs/>
        </w:rPr>
      </w:pPr>
      <w:r w:rsidRPr="00A92AD4">
        <w:rPr>
          <w:b/>
          <w:bCs/>
        </w:rPr>
        <w:lastRenderedPageBreak/>
        <w:t>LoRaWAN</w:t>
      </w:r>
    </w:p>
    <w:p w14:paraId="57574E6A" w14:textId="39E83A37" w:rsidR="00A92AD4" w:rsidRDefault="00A92AD4" w:rsidP="00387C68">
      <w:pPr>
        <w:pStyle w:val="ListBullet"/>
        <w:keepNext/>
        <w:keepLines/>
        <w:numPr>
          <w:ilvl w:val="0"/>
          <w:numId w:val="0"/>
        </w:numPr>
        <w:spacing w:after="120"/>
        <w:ind w:left="295"/>
        <w:rPr>
          <w:lang w:val="en"/>
        </w:rPr>
      </w:pPr>
      <w:r w:rsidRPr="00920275">
        <w:t xml:space="preserve">LoRaWAN networks are being rolled out by a </w:t>
      </w:r>
      <w:r w:rsidRPr="002A41C6">
        <w:t xml:space="preserve">range of organisations, including municipal councils, utility providers and infrastructure companies. For example, the City of Gold Coast has deployed a LoRaWAN network </w:t>
      </w:r>
      <w:r>
        <w:t>that</w:t>
      </w:r>
      <w:r w:rsidRPr="002A41C6">
        <w:t xml:space="preserve"> will enable the effective deployment of large</w:t>
      </w:r>
      <w:r w:rsidRPr="007B75D0">
        <w:t xml:space="preserve"> scale IoT projects, including smart</w:t>
      </w:r>
      <w:r w:rsidRPr="005A4565">
        <w:t xml:space="preserve"> water meters and waste management.</w:t>
      </w:r>
      <w:r w:rsidRPr="004A13B1">
        <w:rPr>
          <w:rStyle w:val="FootnoteReference"/>
        </w:rPr>
        <w:footnoteReference w:id="12"/>
      </w:r>
    </w:p>
    <w:p w14:paraId="28D4B573" w14:textId="0341D678" w:rsidR="00A92AD4" w:rsidRPr="00A92AD4" w:rsidRDefault="00A92AD4" w:rsidP="00A92AD4">
      <w:pPr>
        <w:pStyle w:val="ListBullet"/>
        <w:spacing w:after="0"/>
        <w:rPr>
          <w:b/>
          <w:bCs/>
        </w:rPr>
      </w:pPr>
      <w:r w:rsidRPr="00A92AD4">
        <w:rPr>
          <w:b/>
          <w:bCs/>
        </w:rPr>
        <w:t>Satellite systems</w:t>
      </w:r>
    </w:p>
    <w:p w14:paraId="4B68229B" w14:textId="037E8C30" w:rsidR="00A92AD4" w:rsidRDefault="00A92AD4" w:rsidP="00A92AD4">
      <w:pPr>
        <w:pStyle w:val="ListBulletLast"/>
        <w:numPr>
          <w:ilvl w:val="0"/>
          <w:numId w:val="0"/>
        </w:numPr>
        <w:ind w:left="295"/>
        <w:rPr>
          <w:lang w:val="en"/>
        </w:rPr>
      </w:pPr>
      <w:r w:rsidRPr="003F649E">
        <w:t>Satellite systems enabling IoT services are also being pursued. Given the capabilities of satellite systems, several companies are delivering or pursuing new space</w:t>
      </w:r>
      <w:r>
        <w:t>-</w:t>
      </w:r>
      <w:r w:rsidRPr="003F649E">
        <w:t>based IoT services</w:t>
      </w:r>
      <w:r>
        <w:t>.</w:t>
      </w:r>
      <w:r w:rsidRPr="0012669A">
        <w:rPr>
          <w:rStyle w:val="FootnoteReference"/>
        </w:rPr>
        <w:footnoteReference w:id="13"/>
      </w:r>
      <w:r>
        <w:t xml:space="preserve"> Some of these services are being deployed through established satellite bands. </w:t>
      </w:r>
      <w:r w:rsidRPr="00B53F89">
        <w:t>However</w:t>
      </w:r>
      <w:r w:rsidRPr="00B53F89" w:rsidDel="00EA6BBC">
        <w:t xml:space="preserve">, </w:t>
      </w:r>
      <w:r w:rsidRPr="00B53F89">
        <w:t xml:space="preserve">in some cases, enabling satellite IoT may require specific changes to the regulatory </w:t>
      </w:r>
      <w:r>
        <w:t>framework</w:t>
      </w:r>
      <w:r w:rsidRPr="00B53F89">
        <w:t>.</w:t>
      </w:r>
    </w:p>
    <w:p w14:paraId="0ADFD8D3" w14:textId="445B0C16" w:rsidR="005F60FC" w:rsidRDefault="00B84B7A" w:rsidP="00A92AD4">
      <w:pPr>
        <w:pStyle w:val="Heading3"/>
      </w:pPr>
      <w:bookmarkStart w:id="16" w:name="_Toc46335081"/>
      <w:r>
        <w:t xml:space="preserve">Value of </w:t>
      </w:r>
      <w:r w:rsidR="005F60FC" w:rsidRPr="00D71E62">
        <w:t xml:space="preserve">IoT in the Australian </w:t>
      </w:r>
      <w:r w:rsidR="005F60FC" w:rsidRPr="00A92AD4">
        <w:t>market</w:t>
      </w:r>
      <w:bookmarkEnd w:id="16"/>
    </w:p>
    <w:p w14:paraId="488DD78A" w14:textId="77777777" w:rsidR="005F60FC" w:rsidRDefault="005F60FC" w:rsidP="005F60FC">
      <w:pPr>
        <w:rPr>
          <w:rFonts w:cs="Arial"/>
        </w:rPr>
      </w:pPr>
      <w:r>
        <w:rPr>
          <w:rFonts w:cs="Arial"/>
        </w:rPr>
        <w:t xml:space="preserve">IoT is having a significant impact within the Australian market for consumers and industry alike. </w:t>
      </w:r>
    </w:p>
    <w:p w14:paraId="0492AE84" w14:textId="2D6493A1" w:rsidR="005F60FC" w:rsidRDefault="005F60FC" w:rsidP="005F60FC">
      <w:pPr>
        <w:pStyle w:val="ACMANormalTabbed"/>
      </w:pPr>
      <w:r w:rsidRPr="00177315">
        <w:t xml:space="preserve">Today, </w:t>
      </w:r>
      <w:r>
        <w:t>IoT devices are</w:t>
      </w:r>
      <w:r w:rsidRPr="00177315">
        <w:t xml:space="preserve"> found in over </w:t>
      </w:r>
      <w:r w:rsidR="0008421C">
        <w:t>five</w:t>
      </w:r>
      <w:r w:rsidRPr="00177315">
        <w:t xml:space="preserve"> million Australian households.</w:t>
      </w:r>
      <w:r>
        <w:rPr>
          <w:rStyle w:val="FootnoteReference"/>
        </w:rPr>
        <w:footnoteReference w:id="14"/>
      </w:r>
      <w:r>
        <w:t xml:space="preserve"> </w:t>
      </w:r>
      <w:r w:rsidRPr="00177315">
        <w:t xml:space="preserve">From smart door locks, smart thermostats, connected kitchens, smart security devices to smart Bluetooth trackers, IoT devices and capabilities </w:t>
      </w:r>
      <w:r>
        <w:t xml:space="preserve">continue to impact </w:t>
      </w:r>
      <w:r w:rsidRPr="00177315">
        <w:t xml:space="preserve">our daily lives. IoT in the workplace is improving efficiency and productivity within workspaces. Office buildings are becoming smart buildings with smart lights, motion sensors and smart desks. </w:t>
      </w:r>
    </w:p>
    <w:p w14:paraId="0A3DA837" w14:textId="55308983" w:rsidR="005F60FC" w:rsidRDefault="005F60FC" w:rsidP="005F60FC">
      <w:pPr>
        <w:pStyle w:val="Paragraph"/>
      </w:pPr>
      <w:r w:rsidRPr="0007045D">
        <w:t xml:space="preserve">The value of </w:t>
      </w:r>
      <w:r>
        <w:t xml:space="preserve">the </w:t>
      </w:r>
      <w:r w:rsidRPr="0007045D">
        <w:t>IoT</w:t>
      </w:r>
      <w:r>
        <w:t xml:space="preserve"> industry in </w:t>
      </w:r>
      <w:r w:rsidRPr="0007045D">
        <w:t>Australia is significant</w:t>
      </w:r>
      <w:r>
        <w:t xml:space="preserve">. </w:t>
      </w:r>
      <w:r w:rsidRPr="0007045D">
        <w:t xml:space="preserve">PricewaterhouseCoopers Consulting (PwC) </w:t>
      </w:r>
      <w:r>
        <w:t>estimated</w:t>
      </w:r>
      <w:r w:rsidRPr="0007045D">
        <w:t xml:space="preserve"> the total value of the IoT industry in Australia was worth close to $19 billion in 2018 and forecasts the value of </w:t>
      </w:r>
      <w:r>
        <w:t xml:space="preserve">the </w:t>
      </w:r>
      <w:r w:rsidRPr="0007045D">
        <w:t xml:space="preserve">IoT industry in Australia to grow to $30 billion </w:t>
      </w:r>
      <w:r w:rsidR="00DE08D9">
        <w:t>by 2023</w:t>
      </w:r>
      <w:r>
        <w:t>.</w:t>
      </w:r>
      <w:r>
        <w:rPr>
          <w:rStyle w:val="FootnoteReference"/>
        </w:rPr>
        <w:footnoteReference w:id="15"/>
      </w:r>
      <w:r>
        <w:t xml:space="preserve"> </w:t>
      </w:r>
    </w:p>
    <w:p w14:paraId="7A6B0A89" w14:textId="108CB24D" w:rsidR="005F60FC" w:rsidRPr="00997879" w:rsidRDefault="005F60FC" w:rsidP="005F60FC">
      <w:pPr>
        <w:pStyle w:val="Paragraph"/>
      </w:pPr>
      <w:r w:rsidRPr="0007045D">
        <w:t xml:space="preserve">IoT is </w:t>
      </w:r>
      <w:r>
        <w:t xml:space="preserve">also </w:t>
      </w:r>
      <w:r w:rsidRPr="0007045D">
        <w:t xml:space="preserve">a growing revenue source within the telecommunications sector. Telstra reported </w:t>
      </w:r>
      <w:r>
        <w:t xml:space="preserve">its </w:t>
      </w:r>
      <w:r w:rsidRPr="0007045D">
        <w:t>IoT business grew by 19.4 per cent in revenue in 2019, with an average of 2,000 IoT devices connect</w:t>
      </w:r>
      <w:r w:rsidR="00D71E62">
        <w:t xml:space="preserve">ing </w:t>
      </w:r>
      <w:r w:rsidRPr="0007045D">
        <w:t>to their IoT network every day</w:t>
      </w:r>
      <w:r>
        <w:t>.</w:t>
      </w:r>
      <w:r>
        <w:rPr>
          <w:rStyle w:val="FootnoteReference"/>
        </w:rPr>
        <w:footnoteReference w:id="16"/>
      </w:r>
    </w:p>
    <w:p w14:paraId="778031B0" w14:textId="5BD9DABF" w:rsidR="005F60FC" w:rsidRDefault="005F60FC" w:rsidP="005F60FC">
      <w:pPr>
        <w:kinsoku w:val="0"/>
        <w:overflowPunct w:val="0"/>
        <w:spacing w:line="240" w:lineRule="exact"/>
        <w:textAlignment w:val="baseline"/>
        <w:rPr>
          <w:rFonts w:cs="Arial"/>
          <w:color w:val="000000" w:themeColor="text1"/>
          <w:kern w:val="24"/>
          <w:szCs w:val="20"/>
        </w:rPr>
      </w:pPr>
      <w:r w:rsidRPr="001B3C94">
        <w:rPr>
          <w:color w:val="000000" w:themeColor="text1"/>
          <w:kern w:val="24"/>
        </w:rPr>
        <w:t xml:space="preserve">IoT is transforming a wide range of industries, </w:t>
      </w:r>
      <w:r w:rsidR="00C954B3">
        <w:rPr>
          <w:color w:val="000000" w:themeColor="text1"/>
          <w:kern w:val="24"/>
        </w:rPr>
        <w:t xml:space="preserve">including </w:t>
      </w:r>
      <w:r w:rsidRPr="001B3C94">
        <w:rPr>
          <w:color w:val="000000" w:themeColor="text1"/>
          <w:kern w:val="24"/>
        </w:rPr>
        <w:t xml:space="preserve">agriculture, logistics, manufacturing, utilities and healthcare. </w:t>
      </w:r>
      <w:r>
        <w:rPr>
          <w:rFonts w:cs="Arial"/>
          <w:color w:val="000000" w:themeColor="text1"/>
          <w:kern w:val="24"/>
          <w:szCs w:val="20"/>
        </w:rPr>
        <w:t xml:space="preserve">PwC </w:t>
      </w:r>
      <w:r>
        <w:t>examined potential annual benefits from IoT across five sectors</w:t>
      </w:r>
      <w:r w:rsidR="0051167C">
        <w:t xml:space="preserve"> in Australia</w:t>
      </w:r>
      <w:r>
        <w:t>, with estimations ranging from $22 billion to $96 billion</w:t>
      </w:r>
      <w:r w:rsidR="00C954B3">
        <w:t xml:space="preserve"> per sector</w:t>
      </w:r>
      <w:r>
        <w:t xml:space="preserve"> (Figure 4). </w:t>
      </w:r>
    </w:p>
    <w:p w14:paraId="5493B0EE" w14:textId="450E3DA5" w:rsidR="005F60FC" w:rsidRDefault="005F60FC" w:rsidP="00A92AD4">
      <w:pPr>
        <w:pStyle w:val="ACMAFigureHeader"/>
        <w:keepNext/>
        <w:keepLines/>
      </w:pPr>
      <w:r>
        <w:lastRenderedPageBreak/>
        <w:t>Potential annual benefits arising from IoT (2018)</w:t>
      </w:r>
      <w:r>
        <w:rPr>
          <w:rStyle w:val="FootnoteReference"/>
        </w:rPr>
        <w:footnoteReference w:id="17"/>
      </w:r>
      <w:r>
        <w:t xml:space="preserve"> </w:t>
      </w:r>
    </w:p>
    <w:p w14:paraId="40F78E00" w14:textId="77777777" w:rsidR="005F60FC" w:rsidRDefault="005F60FC" w:rsidP="00A92AD4">
      <w:pPr>
        <w:pStyle w:val="Captionfigure"/>
        <w:keepLines/>
        <w:numPr>
          <w:ilvl w:val="0"/>
          <w:numId w:val="0"/>
        </w:numPr>
        <w:ind w:left="1021" w:hanging="1021"/>
      </w:pPr>
      <w:r>
        <w:rPr>
          <w:noProof/>
        </w:rPr>
        <w:drawing>
          <wp:inline distT="0" distB="0" distL="0" distR="0" wp14:anchorId="47F76E4E" wp14:editId="24682A42">
            <wp:extent cx="5792801" cy="2753360"/>
            <wp:effectExtent l="0" t="0" r="0" b="8890"/>
            <wp:docPr id="33" name="Chart 33" descr="Chart showing potential annual benefits arising from IoT in Australia across five sectors. "/>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740F7348" w14:textId="77777777" w:rsidR="005F60FC" w:rsidRDefault="005F60FC" w:rsidP="00A92AD4">
      <w:pPr>
        <w:keepNext/>
        <w:keepLines/>
      </w:pPr>
    </w:p>
    <w:p w14:paraId="50951EA7" w14:textId="0391A28A" w:rsidR="005F60FC" w:rsidRDefault="005F60FC" w:rsidP="00AE3375">
      <w:pPr>
        <w:pStyle w:val="Paragraph"/>
      </w:pPr>
      <w:r w:rsidRPr="001B3C94">
        <w:rPr>
          <w:color w:val="000000" w:themeColor="text1"/>
          <w:kern w:val="24"/>
        </w:rPr>
        <w:t xml:space="preserve">According to the International Data Corporation (IDC), </w:t>
      </w:r>
      <w:r>
        <w:t xml:space="preserve">almost half </w:t>
      </w:r>
      <w:r w:rsidRPr="001B3C94">
        <w:t>of Australian enterprises</w:t>
      </w:r>
      <w:r>
        <w:t xml:space="preserve"> (46.5 per cent)</w:t>
      </w:r>
      <w:r w:rsidRPr="001B3C94">
        <w:t xml:space="preserve"> have deployed at least one IoT solution and are planning on expanding their systems.</w:t>
      </w:r>
      <w:r>
        <w:rPr>
          <w:rStyle w:val="FootnoteReference"/>
          <w:color w:val="01010F"/>
          <w:szCs w:val="20"/>
        </w:rPr>
        <w:footnoteReference w:id="18"/>
      </w:r>
      <w:r>
        <w:t xml:space="preserve"> Globally, IDC forecast</w:t>
      </w:r>
      <w:r w:rsidR="00FB15B5">
        <w:t>ed</w:t>
      </w:r>
      <w:r>
        <w:t xml:space="preserve"> significant levels of international investment in </w:t>
      </w:r>
      <w:r w:rsidR="004765F5">
        <w:t>i</w:t>
      </w:r>
      <w:r>
        <w:t>ndustrial IoT in 2019 and predict</w:t>
      </w:r>
      <w:r w:rsidR="00FB15B5">
        <w:t>ed</w:t>
      </w:r>
      <w:r>
        <w:t xml:space="preserve"> the greatest levels of investment w</w:t>
      </w:r>
      <w:r w:rsidR="00FB15B5">
        <w:t xml:space="preserve">ould </w:t>
      </w:r>
      <w:r>
        <w:t>include manufacturing operations ($100 billion), production asset management ($44.2 billion), smart home</w:t>
      </w:r>
      <w:r w:rsidR="00150026">
        <w:t xml:space="preserve"> applications</w:t>
      </w:r>
      <w:r>
        <w:t xml:space="preserve"> ($44.1 billion), and freight monitoring ($41.</w:t>
      </w:r>
      <w:r w:rsidR="00D17E4F">
        <w:t>7 </w:t>
      </w:r>
      <w:r>
        <w:t xml:space="preserve">billion). </w:t>
      </w:r>
    </w:p>
    <w:p w14:paraId="03C5CC21" w14:textId="6CBDBB51" w:rsidR="005F60FC" w:rsidRPr="00153498" w:rsidRDefault="005F60FC" w:rsidP="00153498">
      <w:pPr>
        <w:pStyle w:val="Heading1"/>
      </w:pPr>
      <w:bookmarkStart w:id="17" w:name="_Toc31371626"/>
      <w:bookmarkStart w:id="18" w:name="_Toc46335082"/>
      <w:r>
        <w:lastRenderedPageBreak/>
        <w:t>ACMA’s perspective o</w:t>
      </w:r>
      <w:r w:rsidR="00E07EED">
        <w:t>n</w:t>
      </w:r>
      <w:r>
        <w:t xml:space="preserve"> IoT in Australia</w:t>
      </w:r>
      <w:bookmarkEnd w:id="17"/>
      <w:bookmarkEnd w:id="18"/>
    </w:p>
    <w:p w14:paraId="387EA95D" w14:textId="216FC83F" w:rsidR="009A3BF7" w:rsidRDefault="005F60FC" w:rsidP="005F60FC">
      <w:r>
        <w:t>To date, t</w:t>
      </w:r>
      <w:r w:rsidRPr="00E45081">
        <w:t xml:space="preserve">he ACMA’s focus has been directed towards </w:t>
      </w:r>
      <w:r>
        <w:t>ensuring our existing regulatory framework has the right</w:t>
      </w:r>
      <w:r w:rsidRPr="00E45081">
        <w:t xml:space="preserve"> conditions and settings</w:t>
      </w:r>
      <w:r>
        <w:t xml:space="preserve"> in place</w:t>
      </w:r>
      <w:r w:rsidRPr="00E45081">
        <w:t xml:space="preserve"> </w:t>
      </w:r>
      <w:r>
        <w:t xml:space="preserve">to </w:t>
      </w:r>
      <w:r w:rsidRPr="00E45081">
        <w:t>support IoT</w:t>
      </w:r>
      <w:r>
        <w:t xml:space="preserve"> developments</w:t>
      </w:r>
      <w:r w:rsidRPr="00E45081">
        <w:t xml:space="preserve">, </w:t>
      </w:r>
      <w:r>
        <w:t>along with</w:t>
      </w:r>
      <w:r w:rsidRPr="00E45081">
        <w:t xml:space="preserve"> identifying potential inhibitors to </w:t>
      </w:r>
      <w:r>
        <w:t>these developments.</w:t>
      </w:r>
      <w:r>
        <w:rPr>
          <w:rStyle w:val="FootnoteReference"/>
        </w:rPr>
        <w:footnoteReference w:id="19"/>
      </w:r>
      <w:r w:rsidRPr="00E45081">
        <w:t xml:space="preserve"> </w:t>
      </w:r>
      <w:r>
        <w:t>This includes how IoT is interacting with the current consumer safeguards, such as interoperability of network devices, access to emergency services, privacy</w:t>
      </w:r>
      <w:r w:rsidR="005C6D66">
        <w:t>,</w:t>
      </w:r>
      <w:r>
        <w:t xml:space="preserve"> and health and safety requirements. </w:t>
      </w:r>
    </w:p>
    <w:p w14:paraId="5634D133" w14:textId="35E49728" w:rsidR="005F60FC" w:rsidRDefault="005F60FC" w:rsidP="005F60FC">
      <w:r>
        <w:t>International progress in IoT</w:t>
      </w:r>
      <w:r w:rsidR="007D1804">
        <w:t>,</w:t>
      </w:r>
      <w:r>
        <w:t xml:space="preserve"> such as the development of standards</w:t>
      </w:r>
      <w:r w:rsidR="007D1804">
        <w:t>,</w:t>
      </w:r>
      <w:r>
        <w:t xml:space="preserve"> is also being monitored.  </w:t>
      </w:r>
      <w:r w:rsidR="009A3BF7">
        <w:t xml:space="preserve">Globally, governments are facing increasing pressure to regulate, as public trust in technology </w:t>
      </w:r>
      <w:r w:rsidR="005716D4">
        <w:t>requires reinforcemen</w:t>
      </w:r>
      <w:r w:rsidR="00767A21">
        <w:t>t</w:t>
      </w:r>
      <w:r w:rsidR="009A3BF7">
        <w:t>.</w:t>
      </w:r>
      <w:r w:rsidR="00437754">
        <w:rPr>
          <w:rStyle w:val="FootnoteReference"/>
        </w:rPr>
        <w:footnoteReference w:id="20"/>
      </w:r>
      <w:r w:rsidR="009A3BF7">
        <w:t xml:space="preserve"> For the full benefits of digital technologies to be realised, regulatory settings </w:t>
      </w:r>
      <w:r w:rsidR="00966A3D">
        <w:t>need</w:t>
      </w:r>
      <w:r w:rsidR="009A3BF7">
        <w:t xml:space="preserve"> to balance necessary protections on issues </w:t>
      </w:r>
      <w:r w:rsidR="00966A3D">
        <w:t xml:space="preserve">such as </w:t>
      </w:r>
      <w:r w:rsidR="009A3BF7">
        <w:t>privacy or security</w:t>
      </w:r>
      <w:r w:rsidR="0033504F">
        <w:t>,</w:t>
      </w:r>
      <w:r w:rsidR="009A3BF7">
        <w:t xml:space="preserve"> with opportunities to enable innovation and market growth.</w:t>
      </w:r>
      <w:r w:rsidR="00836D49">
        <w:t xml:space="preserve"> </w:t>
      </w:r>
    </w:p>
    <w:p w14:paraId="4BD42738" w14:textId="093CC777" w:rsidR="000E2D6C" w:rsidRDefault="0033504F" w:rsidP="005F60FC">
      <w:r>
        <w:t>We are</w:t>
      </w:r>
      <w:r w:rsidR="000E2D6C">
        <w:t xml:space="preserve"> </w:t>
      </w:r>
      <w:r w:rsidR="002562E3">
        <w:t>engaging</w:t>
      </w:r>
      <w:r w:rsidR="000E2D6C">
        <w:t xml:space="preserve"> with other regulators</w:t>
      </w:r>
      <w:r w:rsidR="00AA1984">
        <w:t xml:space="preserve">, standards bodies and industry groups </w:t>
      </w:r>
      <w:r w:rsidR="000E2D6C">
        <w:t xml:space="preserve">to </w:t>
      </w:r>
      <w:r w:rsidR="00721635">
        <w:t xml:space="preserve">ensure our regulatory </w:t>
      </w:r>
      <w:r w:rsidR="00252C37">
        <w:t xml:space="preserve">environment </w:t>
      </w:r>
      <w:r w:rsidR="00206543">
        <w:t>re</w:t>
      </w:r>
      <w:r w:rsidR="002562E3">
        <w:t>mains fit for purpose in a dynamic</w:t>
      </w:r>
      <w:r w:rsidR="003A4053">
        <w:t xml:space="preserve">, increasingly digital </w:t>
      </w:r>
      <w:r w:rsidR="002562E3">
        <w:t xml:space="preserve">environment. </w:t>
      </w:r>
      <w:r w:rsidR="00633B1E">
        <w:t xml:space="preserve"> </w:t>
      </w:r>
    </w:p>
    <w:p w14:paraId="434A68BE" w14:textId="390C1E8B" w:rsidR="005F60FC" w:rsidRPr="003C2C40" w:rsidRDefault="005C7488" w:rsidP="005F60FC">
      <w:pPr>
        <w:pStyle w:val="Paragraph"/>
      </w:pPr>
      <w:r>
        <w:t xml:space="preserve">In Australia, IoT </w:t>
      </w:r>
      <w:r w:rsidR="00B761EC">
        <w:t>i</w:t>
      </w:r>
      <w:r w:rsidR="007161AE">
        <w:t>ntersects across various regulator</w:t>
      </w:r>
      <w:r w:rsidR="0098380D">
        <w:t>y frameworks administered by different regulatory bodies</w:t>
      </w:r>
      <w:r w:rsidR="00F77B54">
        <w:t>.</w:t>
      </w:r>
      <w:r w:rsidR="00353770">
        <w:t xml:space="preserve"> </w:t>
      </w:r>
      <w:r w:rsidR="00935F65">
        <w:t xml:space="preserve">Within </w:t>
      </w:r>
      <w:r w:rsidR="0033504F">
        <w:t>our</w:t>
      </w:r>
      <w:r w:rsidR="00935F65">
        <w:t xml:space="preserve"> remit, </w:t>
      </w:r>
      <w:r w:rsidR="005F60FC" w:rsidRPr="00E45081">
        <w:t>IoT has several touchpoints</w:t>
      </w:r>
      <w:r w:rsidR="0033504F">
        <w:t>,</w:t>
      </w:r>
      <w:r w:rsidR="005F60FC" w:rsidRPr="00E45081">
        <w:t xml:space="preserve"> </w:t>
      </w:r>
      <w:r w:rsidR="006836E0">
        <w:t>which</w:t>
      </w:r>
      <w:r w:rsidR="005F60FC">
        <w:t xml:space="preserve"> are described below. </w:t>
      </w:r>
    </w:p>
    <w:p w14:paraId="18A12B59" w14:textId="387AEDB6" w:rsidR="005F60FC" w:rsidRPr="0050525B" w:rsidRDefault="005F60FC" w:rsidP="005F60FC">
      <w:pPr>
        <w:pStyle w:val="Heading2"/>
      </w:pPr>
      <w:bookmarkStart w:id="19" w:name="_Toc31276703"/>
      <w:bookmarkStart w:id="20" w:name="_Toc31371627"/>
      <w:bookmarkStart w:id="21" w:name="_Toc46335083"/>
      <w:r>
        <w:t xml:space="preserve">Network </w:t>
      </w:r>
      <w:r w:rsidR="0033504F">
        <w:t>i</w:t>
      </w:r>
      <w:r>
        <w:t>nfrastructure</w:t>
      </w:r>
      <w:bookmarkEnd w:id="19"/>
      <w:bookmarkEnd w:id="20"/>
      <w:bookmarkEnd w:id="21"/>
    </w:p>
    <w:p w14:paraId="7A08C581" w14:textId="3D15891B" w:rsidR="005F60FC" w:rsidRDefault="005F60FC" w:rsidP="005F60FC">
      <w:pPr>
        <w:pStyle w:val="Paragraph"/>
      </w:pPr>
      <w:r w:rsidRPr="00157A2A">
        <w:t>The ACMA monitors and reports on efficiency of the supply of telecommunications services</w:t>
      </w:r>
      <w:r w:rsidR="0033504F">
        <w:t>;</w:t>
      </w:r>
      <w:r w:rsidRPr="00157A2A">
        <w:t xml:space="preserve"> the adequacy, reliability and quality of these services</w:t>
      </w:r>
      <w:r w:rsidR="006170C7">
        <w:t>;</w:t>
      </w:r>
      <w:r w:rsidRPr="00157A2A">
        <w:t xml:space="preserve"> and carrier and carriage service providers</w:t>
      </w:r>
      <w:r w:rsidR="006170C7">
        <w:t>’</w:t>
      </w:r>
      <w:r w:rsidRPr="00157A2A">
        <w:t xml:space="preserve"> obligations </w:t>
      </w:r>
      <w:r w:rsidR="00767A21">
        <w:t xml:space="preserve">under </w:t>
      </w:r>
      <w:r w:rsidRPr="00157A2A">
        <w:t>codes and standards.</w:t>
      </w:r>
      <w:r>
        <w:t xml:space="preserve"> </w:t>
      </w:r>
      <w:r w:rsidR="006170C7">
        <w:t>Our</w:t>
      </w:r>
      <w:r>
        <w:t xml:space="preserve"> remit</w:t>
      </w:r>
      <w:r w:rsidR="000A6C89">
        <w:t xml:space="preserve"> </w:t>
      </w:r>
      <w:r>
        <w:t xml:space="preserve">includes setting technical standards </w:t>
      </w:r>
      <w:r w:rsidR="00CE5AD1">
        <w:t xml:space="preserve">for customer equipment </w:t>
      </w:r>
      <w:r w:rsidR="000A6C89">
        <w:t xml:space="preserve">and customer </w:t>
      </w:r>
      <w:r w:rsidR="002A3539">
        <w:t>cabling and</w:t>
      </w:r>
      <w:r>
        <w:t xml:space="preserve"> registering network industry codes relating to technical regulation of networks. </w:t>
      </w:r>
    </w:p>
    <w:p w14:paraId="3D8DCD57" w14:textId="170F234E" w:rsidR="005F60FC" w:rsidRDefault="005F60FC" w:rsidP="005F60FC">
      <w:pPr>
        <w:pStyle w:val="Paragraph"/>
      </w:pPr>
      <w:r w:rsidRPr="00157A2A">
        <w:t xml:space="preserve">Reliable, accessible and effective telecommunications infrastructure is a key enabler of IoT. </w:t>
      </w:r>
      <w:r w:rsidR="00945D0E">
        <w:t xml:space="preserve">Typically, </w:t>
      </w:r>
      <w:r w:rsidR="005D065D">
        <w:t xml:space="preserve">IoT devices connect </w:t>
      </w:r>
      <w:r w:rsidR="00050071">
        <w:t xml:space="preserve">via wireless networks. </w:t>
      </w:r>
      <w:r w:rsidRPr="00157A2A">
        <w:t xml:space="preserve">An IoT device could connect to the internet via a variety of methods including cellular, satellite, </w:t>
      </w:r>
      <w:r w:rsidR="005F682D">
        <w:t>w</w:t>
      </w:r>
      <w:r w:rsidRPr="00157A2A">
        <w:t>i</w:t>
      </w:r>
      <w:r w:rsidR="005F682D">
        <w:t>-f</w:t>
      </w:r>
      <w:r w:rsidRPr="00157A2A">
        <w:t>i, Bluetooth, low-power wide-area networks (LPWAN),</w:t>
      </w:r>
      <w:r>
        <w:t xml:space="preserve"> </w:t>
      </w:r>
      <w:r w:rsidRPr="00157A2A">
        <w:t>Sigfox or connecting directly via ethernet.</w:t>
      </w:r>
      <w:r>
        <w:t xml:space="preserve"> Table 2 describes some of the main IoT networks, network characteristics and IoT applications. </w:t>
      </w:r>
    </w:p>
    <w:p w14:paraId="41827C2A" w14:textId="0827F646" w:rsidR="005F60FC" w:rsidRDefault="005F60FC" w:rsidP="009B38E8">
      <w:pPr>
        <w:pStyle w:val="Tableheading"/>
        <w:keepLines/>
      </w:pPr>
      <w:r>
        <w:lastRenderedPageBreak/>
        <w:t xml:space="preserve">IoT wireless network options </w:t>
      </w:r>
      <w:r>
        <w:rPr>
          <w:rStyle w:val="FootnoteReference"/>
        </w:rPr>
        <w:footnoteReference w:id="21"/>
      </w:r>
    </w:p>
    <w:tbl>
      <w:tblPr>
        <w:tblStyle w:val="ACMAtablestyle"/>
        <w:tblW w:w="9351" w:type="dxa"/>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413"/>
        <w:gridCol w:w="1984"/>
        <w:gridCol w:w="1985"/>
        <w:gridCol w:w="1843"/>
        <w:gridCol w:w="2126"/>
      </w:tblGrid>
      <w:tr w:rsidR="00C429B7" w:rsidRPr="006D46E5" w14:paraId="5F7155B4" w14:textId="7BD7FD01" w:rsidTr="00C429B7">
        <w:trPr>
          <w:cnfStyle w:val="100000000000" w:firstRow="1" w:lastRow="0" w:firstColumn="0" w:lastColumn="0" w:oddVBand="0" w:evenVBand="0" w:oddHBand="0" w:evenHBand="0" w:firstRowFirstColumn="0" w:firstRowLastColumn="0" w:lastRowFirstColumn="0" w:lastRowLastColumn="0"/>
        </w:trPr>
        <w:tc>
          <w:tcPr>
            <w:tcW w:w="1413" w:type="dxa"/>
            <w:tcBorders>
              <w:right w:val="single" w:sz="4" w:space="0" w:color="auto"/>
            </w:tcBorders>
          </w:tcPr>
          <w:p w14:paraId="45E21EBD" w14:textId="77777777" w:rsidR="00B9304A" w:rsidRPr="007F4880" w:rsidRDefault="00B9304A" w:rsidP="009B38E8">
            <w:pPr>
              <w:pStyle w:val="TableBody"/>
              <w:keepNext/>
              <w:keepLines/>
              <w:rPr>
                <w:rFonts w:ascii="Helvetica-Bold" w:hAnsi="Helvetica-Bold" w:cs="Helvetica-Bold"/>
                <w:b/>
                <w:bCs/>
                <w:szCs w:val="20"/>
              </w:rPr>
            </w:pPr>
            <w:r w:rsidRPr="007F4880">
              <w:rPr>
                <w:rFonts w:ascii="Helvetica-Bold" w:hAnsi="Helvetica-Bold" w:cs="Helvetica-Bold"/>
                <w:b/>
                <w:bCs/>
                <w:szCs w:val="20"/>
              </w:rPr>
              <w:t xml:space="preserve">Network type </w:t>
            </w:r>
          </w:p>
        </w:tc>
        <w:tc>
          <w:tcPr>
            <w:tcW w:w="1984" w:type="dxa"/>
            <w:tcBorders>
              <w:left w:val="single" w:sz="4" w:space="0" w:color="auto"/>
              <w:right w:val="single" w:sz="4" w:space="0" w:color="auto"/>
            </w:tcBorders>
          </w:tcPr>
          <w:p w14:paraId="0EC21D71" w14:textId="77777777" w:rsidR="00B9304A" w:rsidRPr="007F4880" w:rsidRDefault="00B9304A" w:rsidP="009B38E8">
            <w:pPr>
              <w:pStyle w:val="TableBody"/>
              <w:keepNext/>
              <w:keepLines/>
            </w:pPr>
            <w:r w:rsidRPr="007F4880">
              <w:rPr>
                <w:rFonts w:ascii="Helvetica-Bold" w:hAnsi="Helvetica-Bold" w:cs="Helvetica-Bold"/>
                <w:b/>
                <w:bCs/>
                <w:szCs w:val="20"/>
              </w:rPr>
              <w:t>Low-Power Wide-Area Network (LPWAN)</w:t>
            </w:r>
          </w:p>
        </w:tc>
        <w:tc>
          <w:tcPr>
            <w:tcW w:w="1985" w:type="dxa"/>
            <w:tcBorders>
              <w:left w:val="single" w:sz="4" w:space="0" w:color="auto"/>
              <w:right w:val="single" w:sz="4" w:space="0" w:color="auto"/>
            </w:tcBorders>
          </w:tcPr>
          <w:p w14:paraId="47F0374A" w14:textId="77777777" w:rsidR="00B9304A" w:rsidRPr="007F4880" w:rsidRDefault="00B9304A" w:rsidP="009B38E8">
            <w:pPr>
              <w:pStyle w:val="TableBody"/>
              <w:keepNext/>
              <w:keepLines/>
            </w:pPr>
            <w:r>
              <w:rPr>
                <w:rFonts w:ascii="Helvetica-Bold" w:hAnsi="Helvetica-Bold" w:cs="Helvetica-Bold"/>
                <w:b/>
                <w:bCs/>
                <w:szCs w:val="20"/>
              </w:rPr>
              <w:t>Mobile</w:t>
            </w:r>
            <w:r w:rsidRPr="007F4880">
              <w:rPr>
                <w:rFonts w:ascii="Helvetica-Bold" w:hAnsi="Helvetica-Bold" w:cs="Helvetica-Bold"/>
                <w:b/>
                <w:bCs/>
                <w:szCs w:val="20"/>
              </w:rPr>
              <w:t xml:space="preserve"> network</w:t>
            </w:r>
          </w:p>
        </w:tc>
        <w:tc>
          <w:tcPr>
            <w:tcW w:w="1843" w:type="dxa"/>
            <w:tcBorders>
              <w:left w:val="single" w:sz="4" w:space="0" w:color="auto"/>
            </w:tcBorders>
          </w:tcPr>
          <w:p w14:paraId="6585F769" w14:textId="77777777" w:rsidR="00B9304A" w:rsidRPr="007F4880" w:rsidRDefault="00B9304A" w:rsidP="009B38E8">
            <w:pPr>
              <w:pStyle w:val="TableBody"/>
              <w:keepNext/>
              <w:keepLines/>
            </w:pPr>
            <w:r w:rsidRPr="007F4880">
              <w:rPr>
                <w:rFonts w:ascii="Helvetica-Bold" w:hAnsi="Helvetica-Bold" w:cs="Helvetica-Bold"/>
                <w:b/>
                <w:bCs/>
                <w:szCs w:val="20"/>
              </w:rPr>
              <w:t>Local/Personal Area Network (LAN/PAN)</w:t>
            </w:r>
          </w:p>
        </w:tc>
        <w:tc>
          <w:tcPr>
            <w:tcW w:w="2126" w:type="dxa"/>
            <w:tcBorders>
              <w:left w:val="single" w:sz="4" w:space="0" w:color="auto"/>
            </w:tcBorders>
          </w:tcPr>
          <w:p w14:paraId="2812047A" w14:textId="7CF50842" w:rsidR="00B9304A" w:rsidRPr="007F4880" w:rsidRDefault="00B9304A" w:rsidP="009B38E8">
            <w:pPr>
              <w:pStyle w:val="TableBody"/>
              <w:keepNext/>
              <w:keepLines/>
              <w:rPr>
                <w:rFonts w:ascii="Helvetica-Bold" w:hAnsi="Helvetica-Bold" w:cs="Helvetica-Bold"/>
                <w:b/>
                <w:bCs/>
                <w:szCs w:val="20"/>
              </w:rPr>
            </w:pPr>
            <w:r>
              <w:rPr>
                <w:rFonts w:ascii="Helvetica-Bold" w:hAnsi="Helvetica-Bold" w:cs="Helvetica-Bold"/>
                <w:b/>
                <w:bCs/>
                <w:szCs w:val="20"/>
              </w:rPr>
              <w:t>Satellite</w:t>
            </w:r>
          </w:p>
        </w:tc>
      </w:tr>
      <w:tr w:rsidR="003B23C7" w:rsidRPr="006D46E5" w14:paraId="492F7568" w14:textId="615BDD50" w:rsidTr="009B38E8">
        <w:trPr>
          <w:cnfStyle w:val="000000100000" w:firstRow="0" w:lastRow="0" w:firstColumn="0" w:lastColumn="0" w:oddVBand="0" w:evenVBand="0" w:oddHBand="1" w:evenHBand="0" w:firstRowFirstColumn="0" w:firstRowLastColumn="0" w:lastRowFirstColumn="0" w:lastRowLastColumn="0"/>
        </w:trPr>
        <w:tc>
          <w:tcPr>
            <w:tcW w:w="1413" w:type="dxa"/>
          </w:tcPr>
          <w:p w14:paraId="19F1BD13" w14:textId="77777777" w:rsidR="00B9304A" w:rsidRPr="000A438C" w:rsidRDefault="00B9304A" w:rsidP="009B38E8">
            <w:pPr>
              <w:pStyle w:val="TableBody"/>
              <w:keepNext/>
              <w:keepLines/>
              <w:rPr>
                <w:b/>
                <w:bCs/>
              </w:rPr>
            </w:pPr>
            <w:r w:rsidRPr="000A438C">
              <w:rPr>
                <w:rFonts w:ascii="Helvetica-Bold" w:hAnsi="Helvetica-Bold" w:cs="Helvetica-Bold"/>
                <w:b/>
                <w:bCs/>
                <w:sz w:val="19"/>
                <w:szCs w:val="19"/>
              </w:rPr>
              <w:t>Range</w:t>
            </w:r>
          </w:p>
        </w:tc>
        <w:tc>
          <w:tcPr>
            <w:tcW w:w="1984" w:type="dxa"/>
          </w:tcPr>
          <w:p w14:paraId="69EF3DD8" w14:textId="77777777" w:rsidR="00B9304A" w:rsidRPr="007F7639" w:rsidRDefault="00B9304A" w:rsidP="009B38E8">
            <w:pPr>
              <w:pStyle w:val="TableBody"/>
              <w:keepNext/>
              <w:keepLines/>
            </w:pPr>
            <w:r w:rsidRPr="007F7639">
              <w:t>High</w:t>
            </w:r>
          </w:p>
        </w:tc>
        <w:tc>
          <w:tcPr>
            <w:tcW w:w="1985" w:type="dxa"/>
          </w:tcPr>
          <w:p w14:paraId="1A246D4D" w14:textId="77777777" w:rsidR="00B9304A" w:rsidRPr="007F7639" w:rsidRDefault="00B9304A" w:rsidP="009B38E8">
            <w:pPr>
              <w:pStyle w:val="TableBody"/>
              <w:keepNext/>
              <w:keepLines/>
            </w:pPr>
            <w:r w:rsidRPr="007F7639">
              <w:t>High</w:t>
            </w:r>
          </w:p>
        </w:tc>
        <w:tc>
          <w:tcPr>
            <w:tcW w:w="1843" w:type="dxa"/>
          </w:tcPr>
          <w:p w14:paraId="0281D0AF" w14:textId="77777777" w:rsidR="00B9304A" w:rsidRPr="007F7639" w:rsidRDefault="00B9304A" w:rsidP="009B38E8">
            <w:pPr>
              <w:pStyle w:val="TableBody"/>
              <w:keepNext/>
              <w:keepLines/>
            </w:pPr>
            <w:r w:rsidRPr="007F7639">
              <w:t>Low</w:t>
            </w:r>
          </w:p>
        </w:tc>
        <w:tc>
          <w:tcPr>
            <w:tcW w:w="2126" w:type="dxa"/>
          </w:tcPr>
          <w:p w14:paraId="1C4628AC" w14:textId="3C2B1EB0" w:rsidR="00B9304A" w:rsidRPr="007F7639" w:rsidRDefault="008D5937" w:rsidP="009B38E8">
            <w:pPr>
              <w:pStyle w:val="TableBody"/>
              <w:keepNext/>
              <w:keepLines/>
            </w:pPr>
            <w:r>
              <w:t>High</w:t>
            </w:r>
          </w:p>
        </w:tc>
      </w:tr>
      <w:tr w:rsidR="00C429B7" w:rsidRPr="006D46E5" w14:paraId="65C6ABB3" w14:textId="4DBDFAD6" w:rsidTr="00C429B7">
        <w:trPr>
          <w:cnfStyle w:val="000000010000" w:firstRow="0" w:lastRow="0" w:firstColumn="0" w:lastColumn="0" w:oddVBand="0" w:evenVBand="0" w:oddHBand="0" w:evenHBand="1" w:firstRowFirstColumn="0" w:firstRowLastColumn="0" w:lastRowFirstColumn="0" w:lastRowLastColumn="0"/>
        </w:trPr>
        <w:tc>
          <w:tcPr>
            <w:tcW w:w="1413" w:type="dxa"/>
            <w:shd w:val="clear" w:color="auto" w:fill="FFFFFF" w:themeFill="background1"/>
          </w:tcPr>
          <w:p w14:paraId="3CB7FA97" w14:textId="77777777" w:rsidR="00B9304A" w:rsidRPr="000A438C" w:rsidRDefault="00B9304A" w:rsidP="005901ED">
            <w:pPr>
              <w:pStyle w:val="TableBody"/>
              <w:keepNext/>
              <w:keepLines/>
              <w:rPr>
                <w:b/>
                <w:bCs/>
              </w:rPr>
            </w:pPr>
            <w:r w:rsidRPr="000A438C">
              <w:rPr>
                <w:b/>
                <w:bCs/>
              </w:rPr>
              <w:t>Bandwidth</w:t>
            </w:r>
          </w:p>
        </w:tc>
        <w:tc>
          <w:tcPr>
            <w:tcW w:w="1984" w:type="dxa"/>
            <w:shd w:val="clear" w:color="auto" w:fill="FFFFFF" w:themeFill="background1"/>
          </w:tcPr>
          <w:p w14:paraId="79153B3C" w14:textId="77777777" w:rsidR="00B9304A" w:rsidRPr="007F7639" w:rsidRDefault="00B9304A" w:rsidP="005901ED">
            <w:pPr>
              <w:pStyle w:val="TableBody"/>
              <w:keepNext/>
              <w:keepLines/>
            </w:pPr>
            <w:r>
              <w:t>Low</w:t>
            </w:r>
          </w:p>
        </w:tc>
        <w:tc>
          <w:tcPr>
            <w:tcW w:w="1985" w:type="dxa"/>
            <w:shd w:val="clear" w:color="auto" w:fill="FFFFFF" w:themeFill="background1"/>
          </w:tcPr>
          <w:p w14:paraId="3E8E5878" w14:textId="77777777" w:rsidR="00B9304A" w:rsidRPr="007F7639" w:rsidRDefault="00B9304A" w:rsidP="005901ED">
            <w:pPr>
              <w:pStyle w:val="TableBody"/>
              <w:keepNext/>
              <w:keepLines/>
            </w:pPr>
            <w:r>
              <w:t>High</w:t>
            </w:r>
          </w:p>
        </w:tc>
        <w:tc>
          <w:tcPr>
            <w:tcW w:w="1843" w:type="dxa"/>
            <w:shd w:val="clear" w:color="auto" w:fill="FFFFFF" w:themeFill="background1"/>
          </w:tcPr>
          <w:p w14:paraId="75E4CE2E" w14:textId="77777777" w:rsidR="00B9304A" w:rsidRPr="007F7639" w:rsidRDefault="00B9304A" w:rsidP="005901ED">
            <w:pPr>
              <w:pStyle w:val="TableBody"/>
              <w:keepNext/>
              <w:keepLines/>
            </w:pPr>
            <w:r>
              <w:t>High</w:t>
            </w:r>
          </w:p>
        </w:tc>
        <w:tc>
          <w:tcPr>
            <w:tcW w:w="2126" w:type="dxa"/>
            <w:shd w:val="clear" w:color="auto" w:fill="FFFFFF" w:themeFill="background1"/>
          </w:tcPr>
          <w:p w14:paraId="0C4CB977" w14:textId="0738E8DD" w:rsidR="00B9304A" w:rsidRDefault="008D5937" w:rsidP="005901ED">
            <w:pPr>
              <w:pStyle w:val="TableBody"/>
              <w:keepNext/>
              <w:keepLines/>
            </w:pPr>
            <w:r>
              <w:t>Low</w:t>
            </w:r>
          </w:p>
        </w:tc>
      </w:tr>
      <w:tr w:rsidR="003B23C7" w:rsidRPr="006D46E5" w14:paraId="138FC9A2" w14:textId="10331C83" w:rsidTr="00AE3375">
        <w:trPr>
          <w:cnfStyle w:val="000000100000" w:firstRow="0" w:lastRow="0" w:firstColumn="0" w:lastColumn="0" w:oddVBand="0" w:evenVBand="0" w:oddHBand="1" w:evenHBand="0" w:firstRowFirstColumn="0" w:firstRowLastColumn="0" w:lastRowFirstColumn="0" w:lastRowLastColumn="0"/>
        </w:trPr>
        <w:tc>
          <w:tcPr>
            <w:tcW w:w="0" w:type="dxa"/>
          </w:tcPr>
          <w:p w14:paraId="11B5EEF0" w14:textId="77777777" w:rsidR="00B9304A" w:rsidRPr="000A438C" w:rsidRDefault="00B9304A" w:rsidP="005901ED">
            <w:pPr>
              <w:pStyle w:val="TableBody"/>
              <w:keepNext/>
              <w:keepLines/>
              <w:rPr>
                <w:b/>
                <w:bCs/>
              </w:rPr>
            </w:pPr>
            <w:r w:rsidRPr="000A438C">
              <w:rPr>
                <w:b/>
                <w:bCs/>
              </w:rPr>
              <w:t xml:space="preserve">Power use </w:t>
            </w:r>
          </w:p>
        </w:tc>
        <w:tc>
          <w:tcPr>
            <w:tcW w:w="1984" w:type="dxa"/>
          </w:tcPr>
          <w:p w14:paraId="0B9C18CD" w14:textId="77777777" w:rsidR="00B9304A" w:rsidRPr="007F7639" w:rsidRDefault="00B9304A" w:rsidP="005901ED">
            <w:pPr>
              <w:pStyle w:val="TableBody"/>
              <w:keepNext/>
              <w:keepLines/>
            </w:pPr>
            <w:r>
              <w:t>Low</w:t>
            </w:r>
          </w:p>
        </w:tc>
        <w:tc>
          <w:tcPr>
            <w:tcW w:w="1985" w:type="dxa"/>
          </w:tcPr>
          <w:p w14:paraId="7E701901" w14:textId="77777777" w:rsidR="00B9304A" w:rsidRPr="007F7639" w:rsidRDefault="00B9304A" w:rsidP="005901ED">
            <w:pPr>
              <w:pStyle w:val="TableBody"/>
              <w:keepNext/>
              <w:keepLines/>
            </w:pPr>
            <w:r>
              <w:t>High</w:t>
            </w:r>
          </w:p>
        </w:tc>
        <w:tc>
          <w:tcPr>
            <w:tcW w:w="1843" w:type="dxa"/>
          </w:tcPr>
          <w:p w14:paraId="2D7C45D5" w14:textId="77777777" w:rsidR="00B9304A" w:rsidRPr="007F7639" w:rsidRDefault="00B9304A" w:rsidP="005901ED">
            <w:pPr>
              <w:pStyle w:val="TableBody"/>
              <w:keepNext/>
              <w:keepLines/>
            </w:pPr>
            <w:r>
              <w:t>Low</w:t>
            </w:r>
          </w:p>
        </w:tc>
        <w:tc>
          <w:tcPr>
            <w:tcW w:w="2126" w:type="dxa"/>
          </w:tcPr>
          <w:p w14:paraId="13D982CB" w14:textId="4B605B86" w:rsidR="00B9304A" w:rsidRDefault="009865E7" w:rsidP="005901ED">
            <w:pPr>
              <w:pStyle w:val="TableBody"/>
              <w:keepNext/>
              <w:keepLines/>
            </w:pPr>
            <w:r>
              <w:t>Low</w:t>
            </w:r>
          </w:p>
        </w:tc>
      </w:tr>
      <w:tr w:rsidR="00C429B7" w:rsidRPr="006D46E5" w14:paraId="298E8CEB" w14:textId="1F203D99" w:rsidTr="00C429B7">
        <w:trPr>
          <w:cnfStyle w:val="000000010000" w:firstRow="0" w:lastRow="0" w:firstColumn="0" w:lastColumn="0" w:oddVBand="0" w:evenVBand="0" w:oddHBand="0" w:evenHBand="1" w:firstRowFirstColumn="0" w:firstRowLastColumn="0" w:lastRowFirstColumn="0" w:lastRowLastColumn="0"/>
        </w:trPr>
        <w:tc>
          <w:tcPr>
            <w:tcW w:w="1413" w:type="dxa"/>
            <w:tcBorders>
              <w:bottom w:val="single" w:sz="4" w:space="0" w:color="auto"/>
            </w:tcBorders>
            <w:shd w:val="clear" w:color="auto" w:fill="FFFFFF" w:themeFill="background1"/>
          </w:tcPr>
          <w:p w14:paraId="0E3709BF" w14:textId="77777777" w:rsidR="00B9304A" w:rsidRPr="000A438C" w:rsidRDefault="00B9304A" w:rsidP="005901ED">
            <w:pPr>
              <w:pStyle w:val="TableBody"/>
              <w:keepNext/>
              <w:keepLines/>
              <w:rPr>
                <w:b/>
                <w:bCs/>
              </w:rPr>
            </w:pPr>
            <w:r w:rsidRPr="000A438C">
              <w:rPr>
                <w:b/>
                <w:bCs/>
              </w:rPr>
              <w:t>IoT applications</w:t>
            </w:r>
          </w:p>
        </w:tc>
        <w:tc>
          <w:tcPr>
            <w:tcW w:w="1984" w:type="dxa"/>
            <w:tcBorders>
              <w:bottom w:val="single" w:sz="4" w:space="0" w:color="auto"/>
            </w:tcBorders>
            <w:shd w:val="clear" w:color="auto" w:fill="FFFFFF" w:themeFill="background1"/>
          </w:tcPr>
          <w:p w14:paraId="707D9935" w14:textId="77777777" w:rsidR="00B9304A" w:rsidRPr="000F1C01" w:rsidRDefault="00B9304A" w:rsidP="005901ED">
            <w:pPr>
              <w:keepNext/>
              <w:keepLines/>
              <w:autoSpaceDE w:val="0"/>
              <w:autoSpaceDN w:val="0"/>
              <w:adjustRightInd w:val="0"/>
              <w:spacing w:after="0" w:line="240" w:lineRule="auto"/>
              <w:rPr>
                <w:rFonts w:cs="Arial"/>
                <w:szCs w:val="20"/>
              </w:rPr>
            </w:pPr>
            <w:r w:rsidRPr="000F1C01">
              <w:rPr>
                <w:rFonts w:cs="Arial"/>
                <w:szCs w:val="20"/>
              </w:rPr>
              <w:t>IoT applications include asset tracking, smart cities, agricultural and environmental</w:t>
            </w:r>
          </w:p>
          <w:p w14:paraId="1D6B88A2" w14:textId="77777777" w:rsidR="00B9304A" w:rsidRPr="009A5171" w:rsidRDefault="00B9304A" w:rsidP="005901ED">
            <w:pPr>
              <w:pStyle w:val="TableBody"/>
              <w:keepNext/>
              <w:keepLines/>
              <w:rPr>
                <w:rFonts w:cs="Arial"/>
              </w:rPr>
            </w:pPr>
            <w:r w:rsidRPr="000F1C01">
              <w:rPr>
                <w:rFonts w:cs="Arial"/>
                <w:szCs w:val="20"/>
              </w:rPr>
              <w:t>monitoring and sensors</w:t>
            </w:r>
          </w:p>
        </w:tc>
        <w:tc>
          <w:tcPr>
            <w:tcW w:w="1985" w:type="dxa"/>
            <w:tcBorders>
              <w:bottom w:val="single" w:sz="4" w:space="0" w:color="auto"/>
            </w:tcBorders>
            <w:shd w:val="clear" w:color="auto" w:fill="FFFFFF" w:themeFill="background1"/>
          </w:tcPr>
          <w:p w14:paraId="4165646D" w14:textId="77777777" w:rsidR="00B9304A" w:rsidRPr="007F7639" w:rsidRDefault="00B9304A" w:rsidP="005901ED">
            <w:pPr>
              <w:pStyle w:val="TableBody"/>
              <w:keepNext/>
              <w:keepLines/>
            </w:pPr>
            <w:r>
              <w:t>IoT applications include smart factories, fleet management, augmented reality</w:t>
            </w:r>
          </w:p>
        </w:tc>
        <w:tc>
          <w:tcPr>
            <w:tcW w:w="1843" w:type="dxa"/>
            <w:tcBorders>
              <w:bottom w:val="single" w:sz="4" w:space="0" w:color="auto"/>
            </w:tcBorders>
            <w:shd w:val="clear" w:color="auto" w:fill="FFFFFF" w:themeFill="background1"/>
          </w:tcPr>
          <w:p w14:paraId="186659C5" w14:textId="5B8A4536" w:rsidR="00B9304A" w:rsidRPr="007F7639" w:rsidRDefault="00B9304A" w:rsidP="005901ED">
            <w:pPr>
              <w:keepNext/>
              <w:keepLines/>
              <w:autoSpaceDE w:val="0"/>
              <w:autoSpaceDN w:val="0"/>
              <w:adjustRightInd w:val="0"/>
              <w:spacing w:after="0" w:line="240" w:lineRule="auto"/>
            </w:pPr>
            <w:r>
              <w:rPr>
                <w:rFonts w:ascii="Helvetica" w:hAnsi="Helvetica" w:cs="Helvetica"/>
                <w:szCs w:val="20"/>
              </w:rPr>
              <w:t>IoT applications include consumer applications, building automation, in house</w:t>
            </w:r>
            <w:r w:rsidR="003B23C7">
              <w:rPr>
                <w:rFonts w:ascii="Helvetica" w:hAnsi="Helvetica" w:cs="Helvetica"/>
                <w:szCs w:val="20"/>
              </w:rPr>
              <w:t xml:space="preserve"> </w:t>
            </w:r>
            <w:r>
              <w:t>energy management</w:t>
            </w:r>
          </w:p>
        </w:tc>
        <w:tc>
          <w:tcPr>
            <w:tcW w:w="2126" w:type="dxa"/>
            <w:tcBorders>
              <w:bottom w:val="single" w:sz="4" w:space="0" w:color="auto"/>
            </w:tcBorders>
            <w:shd w:val="clear" w:color="auto" w:fill="FFFFFF" w:themeFill="background1"/>
          </w:tcPr>
          <w:p w14:paraId="32E7DE11" w14:textId="1872E2CC" w:rsidR="00B9304A" w:rsidRDefault="00DE740B" w:rsidP="005901ED">
            <w:pPr>
              <w:keepNext/>
              <w:keepLines/>
              <w:autoSpaceDE w:val="0"/>
              <w:autoSpaceDN w:val="0"/>
              <w:adjustRightInd w:val="0"/>
              <w:spacing w:after="0" w:line="240" w:lineRule="auto"/>
              <w:rPr>
                <w:rFonts w:ascii="Helvetica" w:hAnsi="Helvetica" w:cs="Helvetica"/>
                <w:szCs w:val="20"/>
              </w:rPr>
            </w:pPr>
            <w:r>
              <w:rPr>
                <w:rFonts w:ascii="Helvetica" w:hAnsi="Helvetica" w:cs="Helvetica"/>
                <w:szCs w:val="20"/>
              </w:rPr>
              <w:t xml:space="preserve">IoT applications include </w:t>
            </w:r>
            <w:r w:rsidR="004603BD">
              <w:rPr>
                <w:rFonts w:ascii="Helvetica" w:hAnsi="Helvetica" w:cs="Helvetica"/>
                <w:szCs w:val="20"/>
              </w:rPr>
              <w:t>smart farms,</w:t>
            </w:r>
            <w:r w:rsidR="004A7801">
              <w:rPr>
                <w:rFonts w:ascii="Helvetica" w:hAnsi="Helvetica" w:cs="Helvetica"/>
                <w:szCs w:val="20"/>
              </w:rPr>
              <w:t xml:space="preserve"> </w:t>
            </w:r>
            <w:r w:rsidR="00EC66C3">
              <w:rPr>
                <w:rFonts w:ascii="Helvetica" w:hAnsi="Helvetica" w:cs="Helvetica"/>
                <w:szCs w:val="20"/>
              </w:rPr>
              <w:t xml:space="preserve">mining, </w:t>
            </w:r>
            <w:r w:rsidR="00852F2A">
              <w:rPr>
                <w:rFonts w:ascii="Helvetica" w:hAnsi="Helvetica" w:cs="Helvetica"/>
                <w:szCs w:val="20"/>
              </w:rPr>
              <w:t xml:space="preserve">animal tracking, </w:t>
            </w:r>
            <w:r w:rsidR="00EC66C3">
              <w:rPr>
                <w:rFonts w:ascii="Helvetica" w:hAnsi="Helvetica" w:cs="Helvetica"/>
                <w:szCs w:val="20"/>
              </w:rPr>
              <w:t>vessel tracking</w:t>
            </w:r>
          </w:p>
        </w:tc>
      </w:tr>
      <w:tr w:rsidR="003B23C7" w:rsidRPr="006D46E5" w14:paraId="614E7FD2" w14:textId="19848C09" w:rsidTr="00AE3375">
        <w:trPr>
          <w:cnfStyle w:val="000000100000" w:firstRow="0" w:lastRow="0" w:firstColumn="0" w:lastColumn="0" w:oddVBand="0" w:evenVBand="0" w:oddHBand="1" w:evenHBand="0" w:firstRowFirstColumn="0" w:firstRowLastColumn="0" w:lastRowFirstColumn="0" w:lastRowLastColumn="0"/>
        </w:trPr>
        <w:tc>
          <w:tcPr>
            <w:tcW w:w="0" w:type="dxa"/>
            <w:tcBorders>
              <w:bottom w:val="single" w:sz="4" w:space="0" w:color="auto"/>
            </w:tcBorders>
          </w:tcPr>
          <w:p w14:paraId="5CC0EF9B" w14:textId="77777777" w:rsidR="00B9304A" w:rsidRPr="00D834C9" w:rsidRDefault="00B9304A" w:rsidP="005901ED">
            <w:pPr>
              <w:pStyle w:val="TableBody"/>
              <w:keepNext/>
              <w:keepLines/>
              <w:rPr>
                <w:rFonts w:cs="Arial"/>
                <w:b/>
                <w:bCs/>
                <w:szCs w:val="20"/>
              </w:rPr>
            </w:pPr>
            <w:r w:rsidRPr="00D834C9">
              <w:rPr>
                <w:rFonts w:cs="Arial"/>
                <w:b/>
                <w:bCs/>
                <w:szCs w:val="20"/>
              </w:rPr>
              <w:t xml:space="preserve">Examples </w:t>
            </w:r>
          </w:p>
        </w:tc>
        <w:tc>
          <w:tcPr>
            <w:tcW w:w="1984" w:type="dxa"/>
            <w:tcBorders>
              <w:bottom w:val="single" w:sz="4" w:space="0" w:color="auto"/>
            </w:tcBorders>
          </w:tcPr>
          <w:p w14:paraId="70B4FE26" w14:textId="77777777" w:rsidR="00B9304A" w:rsidRPr="00D834C9" w:rsidRDefault="00B9304A" w:rsidP="005901ED">
            <w:pPr>
              <w:pStyle w:val="TableBody"/>
              <w:keepNext/>
              <w:keepLines/>
              <w:numPr>
                <w:ilvl w:val="0"/>
                <w:numId w:val="13"/>
              </w:numPr>
              <w:spacing w:after="60"/>
              <w:rPr>
                <w:rFonts w:cs="Arial"/>
                <w:szCs w:val="20"/>
              </w:rPr>
            </w:pPr>
            <w:r w:rsidRPr="00D834C9">
              <w:rPr>
                <w:rFonts w:cs="Arial"/>
                <w:szCs w:val="20"/>
              </w:rPr>
              <w:t>Sigfox</w:t>
            </w:r>
          </w:p>
          <w:p w14:paraId="6A86E6C5" w14:textId="77777777" w:rsidR="00B9304A" w:rsidRPr="00D834C9" w:rsidRDefault="00B9304A" w:rsidP="005901ED">
            <w:pPr>
              <w:pStyle w:val="TableBody"/>
              <w:keepNext/>
              <w:keepLines/>
              <w:numPr>
                <w:ilvl w:val="0"/>
                <w:numId w:val="13"/>
              </w:numPr>
              <w:rPr>
                <w:rFonts w:cs="Arial"/>
                <w:szCs w:val="20"/>
              </w:rPr>
            </w:pPr>
            <w:r w:rsidRPr="00D834C9">
              <w:rPr>
                <w:rFonts w:cs="Arial"/>
                <w:szCs w:val="20"/>
              </w:rPr>
              <w:t>LoRaWan</w:t>
            </w:r>
          </w:p>
          <w:p w14:paraId="54501438" w14:textId="77777777" w:rsidR="00B9304A" w:rsidRPr="00D834C9" w:rsidRDefault="00B9304A" w:rsidP="005901ED">
            <w:pPr>
              <w:pStyle w:val="TableBody"/>
              <w:keepNext/>
              <w:keepLines/>
              <w:ind w:left="360"/>
              <w:rPr>
                <w:rFonts w:cs="Arial"/>
                <w:szCs w:val="20"/>
              </w:rPr>
            </w:pPr>
          </w:p>
        </w:tc>
        <w:tc>
          <w:tcPr>
            <w:tcW w:w="1985" w:type="dxa"/>
            <w:tcBorders>
              <w:bottom w:val="single" w:sz="4" w:space="0" w:color="auto"/>
            </w:tcBorders>
          </w:tcPr>
          <w:p w14:paraId="1F247D77" w14:textId="5D436E47" w:rsidR="00B9304A" w:rsidRPr="00341A7F" w:rsidRDefault="00B9304A" w:rsidP="005901ED">
            <w:pPr>
              <w:pStyle w:val="TableBody"/>
              <w:keepNext/>
              <w:keepLines/>
              <w:numPr>
                <w:ilvl w:val="0"/>
                <w:numId w:val="14"/>
              </w:numPr>
              <w:rPr>
                <w:rFonts w:cs="Arial"/>
                <w:szCs w:val="20"/>
              </w:rPr>
            </w:pPr>
            <w:r>
              <w:rPr>
                <w:rFonts w:cs="Arial"/>
                <w:szCs w:val="20"/>
              </w:rPr>
              <w:t xml:space="preserve">3G, </w:t>
            </w:r>
            <w:r w:rsidRPr="00D834C9">
              <w:rPr>
                <w:rFonts w:cs="Arial"/>
                <w:szCs w:val="20"/>
              </w:rPr>
              <w:t>4G</w:t>
            </w:r>
            <w:r>
              <w:rPr>
                <w:rFonts w:cs="Arial"/>
                <w:szCs w:val="20"/>
              </w:rPr>
              <w:t xml:space="preserve"> and </w:t>
            </w:r>
            <w:r w:rsidRPr="00341A7F">
              <w:rPr>
                <w:rFonts w:cs="Arial"/>
                <w:szCs w:val="20"/>
              </w:rPr>
              <w:t xml:space="preserve">5G for example </w:t>
            </w:r>
            <w:r>
              <w:rPr>
                <w:rFonts w:cs="Arial"/>
                <w:szCs w:val="20"/>
              </w:rPr>
              <w:br/>
            </w:r>
            <w:r w:rsidRPr="00341A7F">
              <w:rPr>
                <w:rFonts w:cs="Arial"/>
                <w:szCs w:val="20"/>
              </w:rPr>
              <w:t>NB IoT</w:t>
            </w:r>
            <w:r>
              <w:rPr>
                <w:rFonts w:cs="Arial"/>
                <w:szCs w:val="20"/>
              </w:rPr>
              <w:t>,</w:t>
            </w:r>
            <w:r w:rsidRPr="00341A7F">
              <w:rPr>
                <w:rFonts w:cs="Arial"/>
                <w:szCs w:val="20"/>
              </w:rPr>
              <w:t xml:space="preserve"> Cat-M1</w:t>
            </w:r>
            <w:r>
              <w:rPr>
                <w:rFonts w:cs="Arial"/>
                <w:szCs w:val="20"/>
              </w:rPr>
              <w:t xml:space="preserve"> </w:t>
            </w:r>
          </w:p>
        </w:tc>
        <w:tc>
          <w:tcPr>
            <w:tcW w:w="1843" w:type="dxa"/>
            <w:tcBorders>
              <w:bottom w:val="single" w:sz="4" w:space="0" w:color="auto"/>
            </w:tcBorders>
          </w:tcPr>
          <w:p w14:paraId="55EDFEE4" w14:textId="77777777" w:rsidR="00B9304A" w:rsidRPr="00D834C9" w:rsidRDefault="00B9304A" w:rsidP="005901ED">
            <w:pPr>
              <w:pStyle w:val="TableBody"/>
              <w:keepNext/>
              <w:keepLines/>
              <w:numPr>
                <w:ilvl w:val="0"/>
                <w:numId w:val="15"/>
              </w:numPr>
              <w:spacing w:after="60"/>
              <w:rPr>
                <w:rFonts w:cs="Arial"/>
                <w:szCs w:val="20"/>
              </w:rPr>
            </w:pPr>
            <w:r w:rsidRPr="00D834C9">
              <w:rPr>
                <w:rFonts w:cs="Arial"/>
                <w:szCs w:val="20"/>
              </w:rPr>
              <w:t>ZigBee</w:t>
            </w:r>
          </w:p>
          <w:p w14:paraId="265867AB" w14:textId="6E3370D4" w:rsidR="00B9304A" w:rsidRPr="00D834C9" w:rsidRDefault="00B9304A" w:rsidP="005901ED">
            <w:pPr>
              <w:pStyle w:val="TableBody"/>
              <w:keepNext/>
              <w:keepLines/>
              <w:numPr>
                <w:ilvl w:val="0"/>
                <w:numId w:val="15"/>
              </w:numPr>
              <w:spacing w:after="60"/>
              <w:rPr>
                <w:rFonts w:cs="Arial"/>
                <w:szCs w:val="20"/>
              </w:rPr>
            </w:pPr>
            <w:r w:rsidRPr="00D834C9">
              <w:rPr>
                <w:rFonts w:cs="Arial"/>
                <w:szCs w:val="20"/>
              </w:rPr>
              <w:t>Wi</w:t>
            </w:r>
            <w:r w:rsidR="008C242C">
              <w:rPr>
                <w:rFonts w:cs="Arial"/>
                <w:szCs w:val="20"/>
              </w:rPr>
              <w:t>-f</w:t>
            </w:r>
            <w:r w:rsidRPr="00D834C9">
              <w:rPr>
                <w:rFonts w:cs="Arial"/>
                <w:szCs w:val="20"/>
              </w:rPr>
              <w:t>i</w:t>
            </w:r>
          </w:p>
          <w:p w14:paraId="288DC1BF" w14:textId="77777777" w:rsidR="00B9304A" w:rsidRPr="00D834C9" w:rsidRDefault="00B9304A" w:rsidP="005901ED">
            <w:pPr>
              <w:pStyle w:val="TableBody"/>
              <w:keepNext/>
              <w:keepLines/>
              <w:numPr>
                <w:ilvl w:val="0"/>
                <w:numId w:val="15"/>
              </w:numPr>
              <w:rPr>
                <w:rFonts w:cs="Arial"/>
                <w:szCs w:val="20"/>
              </w:rPr>
            </w:pPr>
            <w:r w:rsidRPr="00D834C9">
              <w:rPr>
                <w:rFonts w:cs="Arial"/>
                <w:szCs w:val="20"/>
              </w:rPr>
              <w:t>Bluetooth</w:t>
            </w:r>
          </w:p>
        </w:tc>
        <w:tc>
          <w:tcPr>
            <w:tcW w:w="2126" w:type="dxa"/>
            <w:tcBorders>
              <w:bottom w:val="single" w:sz="4" w:space="0" w:color="auto"/>
            </w:tcBorders>
          </w:tcPr>
          <w:p w14:paraId="53E13720" w14:textId="77777777" w:rsidR="00854F87" w:rsidRDefault="00854F87" w:rsidP="005901ED">
            <w:pPr>
              <w:pStyle w:val="TableBody"/>
              <w:keepNext/>
              <w:keepLines/>
              <w:numPr>
                <w:ilvl w:val="0"/>
                <w:numId w:val="15"/>
              </w:numPr>
              <w:spacing w:after="60"/>
              <w:rPr>
                <w:rFonts w:cs="Arial"/>
                <w:szCs w:val="20"/>
              </w:rPr>
            </w:pPr>
            <w:r>
              <w:rPr>
                <w:rFonts w:cs="Arial"/>
                <w:szCs w:val="20"/>
              </w:rPr>
              <w:t>Myriota</w:t>
            </w:r>
          </w:p>
          <w:p w14:paraId="571414DF" w14:textId="77777777" w:rsidR="00854F87" w:rsidRDefault="00854F87" w:rsidP="005901ED">
            <w:pPr>
              <w:pStyle w:val="TableBody"/>
              <w:keepNext/>
              <w:keepLines/>
              <w:numPr>
                <w:ilvl w:val="0"/>
                <w:numId w:val="15"/>
              </w:numPr>
              <w:spacing w:after="60"/>
              <w:rPr>
                <w:rFonts w:cs="Arial"/>
                <w:szCs w:val="20"/>
              </w:rPr>
            </w:pPr>
            <w:r>
              <w:rPr>
                <w:rFonts w:cs="Arial"/>
                <w:szCs w:val="20"/>
              </w:rPr>
              <w:t>Iridium</w:t>
            </w:r>
          </w:p>
          <w:p w14:paraId="0CFCED8B" w14:textId="7DB5FDFD" w:rsidR="009579BD" w:rsidRPr="00D834C9" w:rsidRDefault="00654C69" w:rsidP="005901ED">
            <w:pPr>
              <w:pStyle w:val="TableBody"/>
              <w:keepNext/>
              <w:keepLines/>
              <w:numPr>
                <w:ilvl w:val="0"/>
                <w:numId w:val="15"/>
              </w:numPr>
              <w:rPr>
                <w:rFonts w:cs="Arial"/>
                <w:szCs w:val="20"/>
              </w:rPr>
            </w:pPr>
            <w:r>
              <w:rPr>
                <w:rFonts w:cs="Arial"/>
                <w:szCs w:val="20"/>
              </w:rPr>
              <w:t>Starlink</w:t>
            </w:r>
            <w:r w:rsidR="009D6578">
              <w:rPr>
                <w:rFonts w:cs="Arial"/>
                <w:szCs w:val="20"/>
              </w:rPr>
              <w:t xml:space="preserve"> </w:t>
            </w:r>
          </w:p>
        </w:tc>
      </w:tr>
    </w:tbl>
    <w:p w14:paraId="1B8A876A" w14:textId="7C964DFB" w:rsidR="005F60FC" w:rsidRDefault="005F60FC" w:rsidP="005F60FC">
      <w:pPr>
        <w:pStyle w:val="Paragraph"/>
      </w:pPr>
    </w:p>
    <w:p w14:paraId="5F746452" w14:textId="4F65E169" w:rsidR="00DF6E4D" w:rsidRDefault="009A5171" w:rsidP="005901ED">
      <w:pPr>
        <w:pStyle w:val="Paragraph"/>
        <w:rPr>
          <w:rFonts w:ascii="Segoe UI" w:hAnsi="Segoe UI" w:cs="Segoe UI"/>
          <w:color w:val="3E3F42"/>
          <w:sz w:val="27"/>
          <w:szCs w:val="27"/>
        </w:rPr>
      </w:pPr>
      <w:r w:rsidRPr="000F1C01">
        <w:t>P</w:t>
      </w:r>
      <w:r w:rsidR="00DE2D06" w:rsidRPr="000F1C01">
        <w:t xml:space="preserve">rivate networks are expected to </w:t>
      </w:r>
      <w:r w:rsidR="001914C6" w:rsidRPr="0018027B">
        <w:t>grow</w:t>
      </w:r>
      <w:r w:rsidR="00DE2D06" w:rsidRPr="000F1C01">
        <w:t xml:space="preserve"> with the increased availability of long-term evolution (LTE</w:t>
      </w:r>
      <w:r w:rsidR="00DE2D06" w:rsidRPr="00554D93">
        <w:t>) advanced pro</w:t>
      </w:r>
      <w:r w:rsidR="00EB48D9">
        <w:t xml:space="preserve"> (4.5G)</w:t>
      </w:r>
      <w:r w:rsidR="00DE2D06" w:rsidRPr="000F1C01">
        <w:t xml:space="preserve"> and 5G technologies.</w:t>
      </w:r>
      <w:r w:rsidR="00E122EA">
        <w:t xml:space="preserve"> </w:t>
      </w:r>
      <w:r w:rsidR="00D860DD">
        <w:t>P</w:t>
      </w:r>
      <w:r w:rsidR="0064336C" w:rsidRPr="000F1C01">
        <w:t xml:space="preserve">rivate networks can provide companies with more control over the network, which </w:t>
      </w:r>
      <w:r w:rsidR="0018027B" w:rsidRPr="000F1C01">
        <w:t>may ensure greater regulatory compliance and security</w:t>
      </w:r>
      <w:r w:rsidR="004A205F">
        <w:t xml:space="preserve">. </w:t>
      </w:r>
      <w:r w:rsidR="007834FA">
        <w:t xml:space="preserve">As noted by Omdia, </w:t>
      </w:r>
      <w:r w:rsidR="0005298F">
        <w:t xml:space="preserve">the growth in private networks is closely linked to the growth in </w:t>
      </w:r>
      <w:r w:rsidR="00480F13">
        <w:t>i</w:t>
      </w:r>
      <w:r w:rsidR="0005298F">
        <w:t>ndustrial IoT, as p</w:t>
      </w:r>
      <w:r w:rsidR="00436914">
        <w:t xml:space="preserve">rivate networks </w:t>
      </w:r>
      <w:r w:rsidR="00997199">
        <w:t>have been identified as a solution for sectors and environments with complex communication requirements.</w:t>
      </w:r>
      <w:r w:rsidR="00997199">
        <w:rPr>
          <w:rStyle w:val="FootnoteReference"/>
          <w:szCs w:val="20"/>
        </w:rPr>
        <w:footnoteReference w:id="22"/>
      </w:r>
      <w:r w:rsidR="00997199">
        <w:t xml:space="preserve"> </w:t>
      </w:r>
      <w:r w:rsidR="002E5B46">
        <w:t xml:space="preserve">Private networks </w:t>
      </w:r>
      <w:r w:rsidR="00436914">
        <w:t xml:space="preserve">have been used to support </w:t>
      </w:r>
      <w:r w:rsidR="002A7768">
        <w:t xml:space="preserve">various </w:t>
      </w:r>
      <w:r w:rsidR="00436914">
        <w:t>i</w:t>
      </w:r>
      <w:r w:rsidR="004A205F">
        <w:t>ndustrial IoT applications</w:t>
      </w:r>
      <w:r w:rsidR="00480F13">
        <w:t>,</w:t>
      </w:r>
      <w:r w:rsidR="002A7768">
        <w:t xml:space="preserve"> such as </w:t>
      </w:r>
      <w:r w:rsidR="004A205F">
        <w:t xml:space="preserve"> </w:t>
      </w:r>
      <w:r w:rsidR="002E5B46">
        <w:t xml:space="preserve">manufacturing, farming, </w:t>
      </w:r>
      <w:r w:rsidR="002A7768">
        <w:t xml:space="preserve">and utilities. </w:t>
      </w:r>
    </w:p>
    <w:p w14:paraId="23486421" w14:textId="4EFD45E6" w:rsidR="00DD18CB" w:rsidRPr="00776BF2" w:rsidRDefault="00DD18CB" w:rsidP="00480F13">
      <w:pPr>
        <w:pStyle w:val="Paragraphbeforelist"/>
      </w:pPr>
      <w:r>
        <w:t xml:space="preserve">As identified in the ACMA’s draft </w:t>
      </w:r>
      <w:r w:rsidRPr="005901ED">
        <w:rPr>
          <w:i/>
          <w:iCs/>
        </w:rPr>
        <w:t>Five</w:t>
      </w:r>
      <w:r w:rsidR="00480F13" w:rsidRPr="005901ED">
        <w:rPr>
          <w:i/>
          <w:iCs/>
        </w:rPr>
        <w:t>-y</w:t>
      </w:r>
      <w:r w:rsidRPr="005901ED">
        <w:rPr>
          <w:i/>
          <w:iCs/>
        </w:rPr>
        <w:t xml:space="preserve">ear </w:t>
      </w:r>
      <w:r w:rsidR="00480F13" w:rsidRPr="005901ED">
        <w:rPr>
          <w:i/>
          <w:iCs/>
        </w:rPr>
        <w:t>s</w:t>
      </w:r>
      <w:r w:rsidRPr="005901ED">
        <w:rPr>
          <w:i/>
          <w:iCs/>
        </w:rPr>
        <w:t xml:space="preserve">pectrum </w:t>
      </w:r>
      <w:r w:rsidR="00480F13" w:rsidRPr="005901ED">
        <w:rPr>
          <w:i/>
          <w:iCs/>
        </w:rPr>
        <w:t>o</w:t>
      </w:r>
      <w:r w:rsidRPr="005901ED">
        <w:rPr>
          <w:i/>
          <w:iCs/>
        </w:rPr>
        <w:t>utlook 2020</w:t>
      </w:r>
      <w:r w:rsidR="00480F13" w:rsidRPr="005901ED">
        <w:rPr>
          <w:i/>
          <w:iCs/>
        </w:rPr>
        <w:t>–</w:t>
      </w:r>
      <w:r w:rsidRPr="005901ED">
        <w:rPr>
          <w:i/>
          <w:iCs/>
        </w:rPr>
        <w:t>24</w:t>
      </w:r>
      <w:r>
        <w:t>, several</w:t>
      </w:r>
      <w:r w:rsidRPr="00776BF2">
        <w:t xml:space="preserve"> </w:t>
      </w:r>
      <w:r>
        <w:t>network deployment models are</w:t>
      </w:r>
      <w:r w:rsidR="00A634E9">
        <w:t xml:space="preserve"> </w:t>
      </w:r>
      <w:r w:rsidR="00A634E9" w:rsidRPr="00480F13">
        <w:t>currently</w:t>
      </w:r>
      <w:r>
        <w:t xml:space="preserve"> in use</w:t>
      </w:r>
      <w:r w:rsidDel="00D26AF2">
        <w:t xml:space="preserve"> </w:t>
      </w:r>
      <w:r w:rsidRPr="00776BF2">
        <w:t xml:space="preserve">by </w:t>
      </w:r>
      <w:r>
        <w:t>industry operators</w:t>
      </w:r>
      <w:r w:rsidRPr="00776BF2">
        <w:t>:</w:t>
      </w:r>
    </w:p>
    <w:p w14:paraId="2B360CDF" w14:textId="10ECD0AC" w:rsidR="00DD18CB" w:rsidRPr="00776BF2" w:rsidRDefault="00DD18CB" w:rsidP="00DD18CB">
      <w:pPr>
        <w:pStyle w:val="ListNumber"/>
        <w:numPr>
          <w:ilvl w:val="0"/>
          <w:numId w:val="11"/>
        </w:numPr>
      </w:pPr>
      <w:r>
        <w:t>U</w:t>
      </w:r>
      <w:r w:rsidRPr="00776BF2">
        <w:t>sing their own equipment and class</w:t>
      </w:r>
      <w:r w:rsidR="00480F13">
        <w:t>-</w:t>
      </w:r>
      <w:r w:rsidRPr="00776BF2">
        <w:t>licensed spectrum to operate.</w:t>
      </w:r>
    </w:p>
    <w:p w14:paraId="53989A68" w14:textId="77777777" w:rsidR="00DD18CB" w:rsidRPr="00776BF2" w:rsidRDefault="00DD18CB" w:rsidP="00DD18CB">
      <w:pPr>
        <w:pStyle w:val="ListNumber"/>
        <w:numPr>
          <w:ilvl w:val="0"/>
          <w:numId w:val="11"/>
        </w:numPr>
      </w:pPr>
      <w:r w:rsidRPr="00776BF2">
        <w:t>Using their own equipment and spectrum to run their own network (</w:t>
      </w:r>
      <w:r>
        <w:t>for example,</w:t>
      </w:r>
      <w:r w:rsidRPr="00776BF2">
        <w:t xml:space="preserve"> </w:t>
      </w:r>
      <w:r>
        <w:t>public safety</w:t>
      </w:r>
      <w:r w:rsidRPr="00776BF2">
        <w:t xml:space="preserve">). </w:t>
      </w:r>
    </w:p>
    <w:p w14:paraId="2D3A98B6" w14:textId="2AE95B97" w:rsidR="00C65044" w:rsidRDefault="00DD18CB" w:rsidP="000F1C01">
      <w:pPr>
        <w:pStyle w:val="ListNumberLast"/>
      </w:pPr>
      <w:r w:rsidRPr="00776BF2">
        <w:t xml:space="preserve">Having a private network built </w:t>
      </w:r>
      <w:r>
        <w:t xml:space="preserve">and designed </w:t>
      </w:r>
      <w:r w:rsidRPr="00776BF2">
        <w:t xml:space="preserve">by a </w:t>
      </w:r>
      <w:r>
        <w:t xml:space="preserve">third party (for example, a telecommunications company or network design business) with equipment sourced from vendors (for example, base stations and core network), </w:t>
      </w:r>
      <w:r w:rsidRPr="00776BF2">
        <w:t>which is separate to other mobile networks (</w:t>
      </w:r>
      <w:r>
        <w:t>for example, mining companies</w:t>
      </w:r>
      <w:r w:rsidRPr="00776BF2">
        <w:t>).</w:t>
      </w:r>
      <w:r w:rsidR="00F34A78">
        <w:rPr>
          <w:rStyle w:val="FootnoteReference"/>
        </w:rPr>
        <w:footnoteReference w:id="23"/>
      </w:r>
    </w:p>
    <w:p w14:paraId="2C79A51B" w14:textId="211F90F0" w:rsidR="005F60FC" w:rsidRDefault="005F60FC" w:rsidP="00B65099">
      <w:pPr>
        <w:pStyle w:val="Paragraph"/>
        <w:keepNext/>
        <w:keepLines/>
      </w:pPr>
      <w:r>
        <w:lastRenderedPageBreak/>
        <w:t xml:space="preserve">With the increased prevalence and uptake of </w:t>
      </w:r>
      <w:r w:rsidRPr="00204A62">
        <w:t>IoT devices</w:t>
      </w:r>
      <w:r>
        <w:t xml:space="preserve">, </w:t>
      </w:r>
      <w:r w:rsidR="00480F13">
        <w:t>we are</w:t>
      </w:r>
      <w:r>
        <w:t xml:space="preserve"> monitoring whether the growth in data traffic impacts on network infrastructure. According to </w:t>
      </w:r>
      <w:r w:rsidRPr="5F9C2A61">
        <w:t xml:space="preserve">Cisco VNI forecast data, </w:t>
      </w:r>
      <w:r w:rsidR="000A434E">
        <w:t>online</w:t>
      </w:r>
      <w:r w:rsidRPr="5F9C2A61">
        <w:t xml:space="preserve"> traffic in Australia will grow three-fold from 2017 to 2022, a compound annual growth rate of 27 per cent, with </w:t>
      </w:r>
      <w:r w:rsidRPr="5F9C2A61">
        <w:rPr>
          <w:shd w:val="clear" w:color="auto" w:fill="FFFFFF"/>
        </w:rPr>
        <w:t>M2M modules accounting for 5.7 per cent of IP traffic by 2022</w:t>
      </w:r>
      <w:r w:rsidRPr="006B7D41">
        <w:t>.</w:t>
      </w:r>
      <w:r w:rsidRPr="006B7D41">
        <w:rPr>
          <w:rStyle w:val="FootnoteReference"/>
        </w:rPr>
        <w:footnoteReference w:id="24"/>
      </w:r>
      <w:r w:rsidRPr="006B7D41">
        <w:t xml:space="preserve"> </w:t>
      </w:r>
      <w:r w:rsidRPr="5F9C2A61">
        <w:t>Cisco VNI data also indicates that i</w:t>
      </w:r>
      <w:r w:rsidRPr="5F9C2A61">
        <w:rPr>
          <w:shd w:val="clear" w:color="auto" w:fill="FFFFFF"/>
        </w:rPr>
        <w:t>n Australia, M2M modules will account for 62</w:t>
      </w:r>
      <w:r w:rsidR="6CDF9385" w:rsidRPr="5F9C2A61">
        <w:rPr>
          <w:shd w:val="clear" w:color="auto" w:fill="FFFFFF"/>
        </w:rPr>
        <w:t xml:space="preserve"> per cent</w:t>
      </w:r>
      <w:r w:rsidRPr="5F9C2A61">
        <w:rPr>
          <w:shd w:val="clear" w:color="auto" w:fill="FFFFFF"/>
        </w:rPr>
        <w:t xml:space="preserve"> (161.6 million) of all networked devices by 2022, compared to 44</w:t>
      </w:r>
      <w:r w:rsidR="16C62AC3" w:rsidRPr="5F9C2A61">
        <w:rPr>
          <w:shd w:val="clear" w:color="auto" w:fill="FFFFFF"/>
        </w:rPr>
        <w:t xml:space="preserve"> per cent</w:t>
      </w:r>
      <w:r w:rsidRPr="5F9C2A61">
        <w:rPr>
          <w:shd w:val="clear" w:color="auto" w:fill="FFFFFF"/>
        </w:rPr>
        <w:t xml:space="preserve"> (62.4 million) in 2017, a compound annual growth rate of 21 per cent.</w:t>
      </w:r>
      <w:r w:rsidRPr="006B7D41">
        <w:rPr>
          <w:rStyle w:val="FootnoteReference"/>
          <w:sz w:val="21"/>
          <w:szCs w:val="21"/>
          <w:shd w:val="clear" w:color="auto" w:fill="FFFFFF"/>
        </w:rPr>
        <w:footnoteReference w:id="25"/>
      </w:r>
      <w:r w:rsidRPr="006B7D41">
        <w:rPr>
          <w:rFonts w:ascii="CiscoSansTTExtraLight" w:hAnsi="CiscoSansTTExtraLight"/>
          <w:sz w:val="21"/>
          <w:szCs w:val="21"/>
          <w:shd w:val="clear" w:color="auto" w:fill="FFFFFF"/>
        </w:rPr>
        <w:t xml:space="preserve"> </w:t>
      </w:r>
    </w:p>
    <w:p w14:paraId="51BFCE1B" w14:textId="77777777" w:rsidR="005F60FC" w:rsidRDefault="005F60FC" w:rsidP="005F60FC">
      <w:pPr>
        <w:pStyle w:val="Heading2"/>
      </w:pPr>
      <w:bookmarkStart w:id="22" w:name="_Toc31371628"/>
      <w:bookmarkStart w:id="23" w:name="_Toc46335084"/>
      <w:r>
        <w:t>Spectrum management</w:t>
      </w:r>
      <w:bookmarkEnd w:id="22"/>
      <w:bookmarkEnd w:id="23"/>
    </w:p>
    <w:p w14:paraId="4652BEB8" w14:textId="77777777" w:rsidR="005F60FC" w:rsidRPr="00C703E1" w:rsidRDefault="005F60FC" w:rsidP="005F60FC">
      <w:r w:rsidRPr="00C703E1">
        <w:t xml:space="preserve">The ACMA is Australia’s spectrum manager and is responsible for ensuring radiofrequency spectrum is managed in a way that maximises the overall public benefit derived from using the spectrum. </w:t>
      </w:r>
    </w:p>
    <w:p w14:paraId="6F6B7BAC" w14:textId="7B87596F" w:rsidR="005F60FC" w:rsidRPr="00C703E1" w:rsidRDefault="005F60FC" w:rsidP="005F60FC">
      <w:r w:rsidRPr="00C703E1">
        <w:t>Spectrum</w:t>
      </w:r>
      <w:r w:rsidR="0089247A">
        <w:t>-</w:t>
      </w:r>
      <w:r w:rsidRPr="00C703E1">
        <w:t xml:space="preserve">related issues are a key part of the ACMA's interest in IoT, because IoT </w:t>
      </w:r>
      <w:r>
        <w:t xml:space="preserve">technologies </w:t>
      </w:r>
      <w:r w:rsidRPr="00C703E1">
        <w:t xml:space="preserve">are </w:t>
      </w:r>
      <w:r>
        <w:t xml:space="preserve">largely </w:t>
      </w:r>
      <w:r w:rsidRPr="00C703E1">
        <w:t xml:space="preserve">spectrum dependent. </w:t>
      </w:r>
      <w:r>
        <w:t>The</w:t>
      </w:r>
      <w:r w:rsidRPr="00C703E1">
        <w:t xml:space="preserve"> diverse options for implementing IoT cover a wide range of technologies, spectrum requirements and models for accessing spectrum. Factors like the degree of complexity or criticality of an IoT application, or the physical environment it operates in, may influence decisions about how spectrum is accessed. This</w:t>
      </w:r>
      <w:r w:rsidR="009D5FE7">
        <w:t>,</w:t>
      </w:r>
      <w:r w:rsidRPr="00C703E1">
        <w:t xml:space="preserve"> </w:t>
      </w:r>
      <w:r>
        <w:t>in turn</w:t>
      </w:r>
      <w:r w:rsidR="009D5FE7">
        <w:t>,</w:t>
      </w:r>
      <w:r>
        <w:t xml:space="preserve"> </w:t>
      </w:r>
      <w:r w:rsidRPr="00C703E1">
        <w:t xml:space="preserve">may affect the way demand for spectrum evolves </w:t>
      </w:r>
      <w:r>
        <w:t>over time</w:t>
      </w:r>
      <w:r w:rsidRPr="00C703E1">
        <w:t xml:space="preserve">. </w:t>
      </w:r>
    </w:p>
    <w:p w14:paraId="097465BB" w14:textId="14AC5438" w:rsidR="005F60FC" w:rsidRPr="00C703E1" w:rsidRDefault="005F60FC" w:rsidP="005F60FC">
      <w:r w:rsidRPr="00C703E1">
        <w:t xml:space="preserve">The ACMA’s </w:t>
      </w:r>
      <w:r w:rsidRPr="005901ED">
        <w:rPr>
          <w:i/>
          <w:iCs/>
        </w:rPr>
        <w:t>Five</w:t>
      </w:r>
      <w:r w:rsidR="00595FFB" w:rsidRPr="005901ED">
        <w:rPr>
          <w:i/>
          <w:iCs/>
        </w:rPr>
        <w:t>-y</w:t>
      </w:r>
      <w:r w:rsidRPr="005901ED">
        <w:rPr>
          <w:i/>
          <w:iCs/>
        </w:rPr>
        <w:t xml:space="preserve">ear </w:t>
      </w:r>
      <w:r w:rsidR="00595FFB" w:rsidRPr="005901ED">
        <w:rPr>
          <w:i/>
          <w:iCs/>
        </w:rPr>
        <w:t>s</w:t>
      </w:r>
      <w:r w:rsidRPr="005901ED">
        <w:rPr>
          <w:i/>
          <w:iCs/>
        </w:rPr>
        <w:t xml:space="preserve">pectrum </w:t>
      </w:r>
      <w:r w:rsidR="00595FFB" w:rsidRPr="005901ED">
        <w:rPr>
          <w:i/>
          <w:iCs/>
        </w:rPr>
        <w:t>o</w:t>
      </w:r>
      <w:r w:rsidRPr="005901ED">
        <w:rPr>
          <w:i/>
          <w:iCs/>
        </w:rPr>
        <w:t>utlook 2019</w:t>
      </w:r>
      <w:r w:rsidR="00DA4E8C" w:rsidRPr="005901ED">
        <w:rPr>
          <w:i/>
          <w:iCs/>
        </w:rPr>
        <w:t>–</w:t>
      </w:r>
      <w:r w:rsidRPr="005901ED">
        <w:rPr>
          <w:i/>
          <w:iCs/>
        </w:rPr>
        <w:t>23</w:t>
      </w:r>
      <w:r>
        <w:t xml:space="preserve"> (FYSO 2019</w:t>
      </w:r>
      <w:r w:rsidR="00DA4E8C">
        <w:t>–</w:t>
      </w:r>
      <w:r>
        <w:t xml:space="preserve">23) </w:t>
      </w:r>
      <w:r w:rsidRPr="00C703E1">
        <w:t>identifies that advances in new technologies</w:t>
      </w:r>
      <w:r>
        <w:t xml:space="preserve"> (including IoT)</w:t>
      </w:r>
      <w:r w:rsidRPr="00C703E1">
        <w:t xml:space="preserve"> </w:t>
      </w:r>
      <w:r>
        <w:t>are</w:t>
      </w:r>
      <w:r w:rsidRPr="00C703E1">
        <w:t xml:space="preserve"> a key driver </w:t>
      </w:r>
      <w:r>
        <w:t>of</w:t>
      </w:r>
      <w:r w:rsidRPr="00C703E1">
        <w:t xml:space="preserve"> changes in spectrum use</w:t>
      </w:r>
      <w:r>
        <w:t>.</w:t>
      </w:r>
      <w:r>
        <w:rPr>
          <w:rStyle w:val="FootnoteReference"/>
        </w:rPr>
        <w:footnoteReference w:id="26"/>
      </w:r>
      <w:r w:rsidR="005D3154">
        <w:t xml:space="preserve"> </w:t>
      </w:r>
      <w:r w:rsidR="002265FE">
        <w:t>FYSO 2019</w:t>
      </w:r>
      <w:r w:rsidR="00C67FBA">
        <w:t>–</w:t>
      </w:r>
      <w:r w:rsidR="002265FE">
        <w:t xml:space="preserve">23 also notes that the </w:t>
      </w:r>
      <w:r w:rsidR="0005316F">
        <w:t xml:space="preserve">ACMA is facilitating </w:t>
      </w:r>
      <w:r w:rsidR="00B44532">
        <w:t xml:space="preserve">early access to the 928– 935 MHz band for low-power wide-area </w:t>
      </w:r>
      <w:r w:rsidR="001A540B">
        <w:t xml:space="preserve">(LPWA) </w:t>
      </w:r>
      <w:r w:rsidR="00B44532">
        <w:t>IoT applications</w:t>
      </w:r>
      <w:r w:rsidR="0005316F">
        <w:t xml:space="preserve">. </w:t>
      </w:r>
      <w:r w:rsidR="0084346A">
        <w:t xml:space="preserve">The </w:t>
      </w:r>
      <w:hyperlink r:id="rId32" w:history="1">
        <w:r w:rsidR="0084346A" w:rsidRPr="0037220D">
          <w:rPr>
            <w:rStyle w:val="Hyperlink"/>
          </w:rPr>
          <w:t>six</w:t>
        </w:r>
        <w:r w:rsidR="00C67FBA">
          <w:rPr>
            <w:rStyle w:val="Hyperlink"/>
          </w:rPr>
          <w:t>-</w:t>
        </w:r>
        <w:r w:rsidR="0084346A" w:rsidRPr="0037220D">
          <w:rPr>
            <w:rStyle w:val="Hyperlink"/>
          </w:rPr>
          <w:t>month progress report</w:t>
        </w:r>
      </w:hyperlink>
      <w:r w:rsidR="0084346A">
        <w:t xml:space="preserve"> for </w:t>
      </w:r>
      <w:r w:rsidR="0037220D">
        <w:t>FYSO 2019</w:t>
      </w:r>
      <w:r w:rsidR="00C67FBA">
        <w:t>–</w:t>
      </w:r>
      <w:r w:rsidR="0037220D">
        <w:t xml:space="preserve">23 indicates this work is ongoing. </w:t>
      </w:r>
    </w:p>
    <w:p w14:paraId="516F6E4E" w14:textId="5CBA6591" w:rsidR="005F60FC" w:rsidRDefault="005F60FC" w:rsidP="005F60FC">
      <w:r w:rsidRPr="00AA5F2C">
        <w:t xml:space="preserve">Current </w:t>
      </w:r>
      <w:r>
        <w:t xml:space="preserve">deployments </w:t>
      </w:r>
      <w:r w:rsidRPr="00AA5F2C">
        <w:t>of IoT</w:t>
      </w:r>
      <w:r>
        <w:t xml:space="preserve"> have mainly focussed </w:t>
      </w:r>
      <w:r w:rsidRPr="00AA5F2C">
        <w:t xml:space="preserve">on spectrum </w:t>
      </w:r>
      <w:r>
        <w:t xml:space="preserve">use </w:t>
      </w:r>
      <w:r w:rsidRPr="00AA5F2C">
        <w:t xml:space="preserve">where that spectrum is available at a low cost (or free). </w:t>
      </w:r>
      <w:r>
        <w:t>I</w:t>
      </w:r>
      <w:r w:rsidRPr="00AA5F2C">
        <w:t>n Australia</w:t>
      </w:r>
      <w:r>
        <w:t>,</w:t>
      </w:r>
      <w:r w:rsidRPr="00AA5F2C">
        <w:t xml:space="preserve"> </w:t>
      </w:r>
      <w:r>
        <w:t xml:space="preserve">this has primarily included access to bands </w:t>
      </w:r>
      <w:r w:rsidR="00DF2DF3">
        <w:t xml:space="preserve">that </w:t>
      </w:r>
      <w:r>
        <w:t>are</w:t>
      </w:r>
      <w:r w:rsidRPr="00AA5F2C">
        <w:t xml:space="preserve"> governed by the </w:t>
      </w:r>
      <w:hyperlink r:id="rId33" w:history="1">
        <w:r w:rsidRPr="005901ED">
          <w:rPr>
            <w:rStyle w:val="Hyperlink"/>
            <w:rFonts w:cs="Arial"/>
            <w:szCs w:val="20"/>
          </w:rPr>
          <w:t>Radiocommunications (Low Interference Potential Devices) Class Licence 2015</w:t>
        </w:r>
      </w:hyperlink>
      <w:r w:rsidRPr="008E0998">
        <w:rPr>
          <w:rFonts w:cs="Arial"/>
          <w:i/>
          <w:iCs/>
          <w:color w:val="000000"/>
          <w:szCs w:val="20"/>
        </w:rPr>
        <w:t xml:space="preserve"> </w:t>
      </w:r>
      <w:r w:rsidRPr="008E0998">
        <w:rPr>
          <w:rFonts w:cs="Arial"/>
          <w:color w:val="000000"/>
          <w:szCs w:val="20"/>
        </w:rPr>
        <w:t>(LIPD class licence)</w:t>
      </w:r>
      <w:r w:rsidRPr="00AA5F2C">
        <w:t xml:space="preserve">. </w:t>
      </w:r>
      <w:r>
        <w:t xml:space="preserve">The LIPD class licence is reviewed regularly and has successfully adapted to changing global market conditions by including additional frequency bands as required. </w:t>
      </w:r>
    </w:p>
    <w:p w14:paraId="5BC4A52F" w14:textId="1E760ABC" w:rsidR="002B51A8" w:rsidRDefault="002B51A8" w:rsidP="005F60FC">
      <w:r>
        <w:t xml:space="preserve">The next update of the LIPD class licence will take place in late (Q4) 2020. This update will include a range of proposed provisions for IoT networks, including implementation of the abovementioned LPWA arrangements in the 900 MHz band. The ACMA is also in the process of consulting on </w:t>
      </w:r>
      <w:r w:rsidR="003A42D4" w:rsidRPr="00AE3375">
        <w:t>potential arrangements</w:t>
      </w:r>
      <w:r>
        <w:t xml:space="preserve"> for </w:t>
      </w:r>
      <w:hyperlink r:id="rId34" w:history="1">
        <w:r>
          <w:rPr>
            <w:rStyle w:val="Hyperlink"/>
          </w:rPr>
          <w:t>IoT arrangements in the VHF band</w:t>
        </w:r>
      </w:hyperlink>
      <w:r>
        <w:t xml:space="preserve">. Outcomes of this consultation process will further inform proposals for the forthcoming LIPD class licence update. </w:t>
      </w:r>
    </w:p>
    <w:p w14:paraId="3AE78918" w14:textId="3A72A569" w:rsidR="005F60FC" w:rsidRDefault="005F60FC" w:rsidP="005F60FC">
      <w:pPr>
        <w:pStyle w:val="Paragraph"/>
      </w:pPr>
      <w:r>
        <w:t>Broadband networks including 3G and 4G support IoT deployments. As outlined in the FYSO 2019</w:t>
      </w:r>
      <w:r w:rsidR="003A42D4">
        <w:t>–</w:t>
      </w:r>
      <w:r>
        <w:t>23, 4G and 5G standards are making</w:t>
      </w:r>
      <w:r w:rsidR="003A42D4">
        <w:t>—</w:t>
      </w:r>
      <w:r>
        <w:t>or have made</w:t>
      </w:r>
      <w:r w:rsidR="003A42D4">
        <w:t>—</w:t>
      </w:r>
      <w:r>
        <w:t>specific provisions for dedicated IoT service delivery.</w:t>
      </w:r>
      <w:r w:rsidR="00AD48AB">
        <w:rPr>
          <w:rStyle w:val="FootnoteReference"/>
        </w:rPr>
        <w:footnoteReference w:id="27"/>
      </w:r>
      <w:r w:rsidR="00AD48AB" w:rsidDel="00AD48AB">
        <w:t xml:space="preserve"> </w:t>
      </w:r>
      <w:r>
        <w:t xml:space="preserve"> IoT devices in use within Australia are </w:t>
      </w:r>
      <w:r>
        <w:lastRenderedPageBreak/>
        <w:t xml:space="preserve">currently utilising class-licensed bands, and multiple satellite systems are also in use or in development to enable IoT in a range of dedicated satellite bands. </w:t>
      </w:r>
    </w:p>
    <w:p w14:paraId="5F8320A1" w14:textId="619801E8" w:rsidR="005F60FC" w:rsidRDefault="005F60FC" w:rsidP="005F60FC">
      <w:pPr>
        <w:pStyle w:val="Paragraph"/>
      </w:pPr>
      <w:r>
        <w:t>It is expected that t</w:t>
      </w:r>
      <w:r w:rsidRPr="003F649E">
        <w:t xml:space="preserve">he rollout of 5G communication networks </w:t>
      </w:r>
      <w:r>
        <w:t>will support</w:t>
      </w:r>
      <w:r w:rsidRPr="003F649E">
        <w:t xml:space="preserve"> further </w:t>
      </w:r>
      <w:r>
        <w:t xml:space="preserve">IoT </w:t>
      </w:r>
      <w:r w:rsidRPr="00A30622">
        <w:t xml:space="preserve">growth, especially for applications needing very high data rates and very low latency. </w:t>
      </w:r>
      <w:r>
        <w:t>T</w:t>
      </w:r>
      <w:r w:rsidRPr="0007045D">
        <w:t>he ability of 5G networks to support a massive increase in device connections is expected to support f</w:t>
      </w:r>
      <w:r>
        <w:t xml:space="preserve">uture </w:t>
      </w:r>
      <w:r w:rsidRPr="0007045D">
        <w:t>IoT</w:t>
      </w:r>
      <w:r>
        <w:t xml:space="preserve"> deployment.</w:t>
      </w:r>
      <w:r>
        <w:rPr>
          <w:rStyle w:val="FootnoteReference"/>
        </w:rPr>
        <w:footnoteReference w:id="28"/>
      </w:r>
      <w:r w:rsidRPr="0007045D">
        <w:t xml:space="preserve"> </w:t>
      </w:r>
    </w:p>
    <w:p w14:paraId="6A9A03A3" w14:textId="147D2082" w:rsidR="00D64EDC" w:rsidRPr="00187724" w:rsidRDefault="005F60FC" w:rsidP="00C11B23">
      <w:pPr>
        <w:pStyle w:val="Paragraph"/>
        <w:rPr>
          <w:lang w:val="en"/>
        </w:rPr>
      </w:pPr>
      <w:r w:rsidRPr="00A30622">
        <w:t xml:space="preserve">The ACMA </w:t>
      </w:r>
      <w:r>
        <w:t xml:space="preserve">has </w:t>
      </w:r>
      <w:r w:rsidRPr="00A30622">
        <w:t>facilitat</w:t>
      </w:r>
      <w:r>
        <w:t>ed</w:t>
      </w:r>
      <w:r w:rsidRPr="00A30622">
        <w:t xml:space="preserve"> the </w:t>
      </w:r>
      <w:r>
        <w:t xml:space="preserve">initial </w:t>
      </w:r>
      <w:r w:rsidRPr="00A30622">
        <w:t xml:space="preserve">5G rollout </w:t>
      </w:r>
      <w:r>
        <w:t xml:space="preserve">in Australia </w:t>
      </w:r>
      <w:r w:rsidRPr="00A30622">
        <w:t>through the a</w:t>
      </w:r>
      <w:r>
        <w:t>u</w:t>
      </w:r>
      <w:r w:rsidRPr="00A30622">
        <w:t>ction process for the 3.6</w:t>
      </w:r>
      <w:r>
        <w:t xml:space="preserve"> </w:t>
      </w:r>
      <w:r w:rsidRPr="00A30622">
        <w:t>GHz band, which was completed in the second quarter of 2018.</w:t>
      </w:r>
      <w:r>
        <w:t xml:space="preserve"> </w:t>
      </w:r>
      <w:r w:rsidRPr="00A30622">
        <w:t xml:space="preserve">The ACMA is continuing to work towards the timely release of spectrum to support the 5G roll-out. In October 2019, the </w:t>
      </w:r>
      <w:r>
        <w:t>Minister for Communications, Cyber Security</w:t>
      </w:r>
      <w:r w:rsidRPr="00724522">
        <w:t xml:space="preserve"> and the Arts </w:t>
      </w:r>
      <w:r w:rsidRPr="001C66F4">
        <w:rPr>
          <w:lang w:val="en"/>
        </w:rPr>
        <w:t>issued</w:t>
      </w:r>
      <w:r w:rsidRPr="00724522">
        <w:t xml:space="preserve"> </w:t>
      </w:r>
      <w:r w:rsidRPr="00724522">
        <w:rPr>
          <w:lang w:val="en"/>
        </w:rPr>
        <w:t>a spectrum re</w:t>
      </w:r>
      <w:r w:rsidRPr="00724522">
        <w:rPr>
          <w:lang w:val="en"/>
        </w:rPr>
        <w:noBreakHyphen/>
        <w:t>allocation declaration to enable part of the 26 GHz band (25.1</w:t>
      </w:r>
      <w:r w:rsidR="00FC62CB">
        <w:rPr>
          <w:lang w:val="en"/>
        </w:rPr>
        <w:t>–</w:t>
      </w:r>
      <w:r w:rsidRPr="00724522">
        <w:rPr>
          <w:lang w:val="en"/>
        </w:rPr>
        <w:t>27.5 GHz) to be re</w:t>
      </w:r>
      <w:r w:rsidRPr="00724522">
        <w:rPr>
          <w:lang w:val="en"/>
        </w:rPr>
        <w:noBreakHyphen/>
        <w:t>allocated for spectrum licensing.</w:t>
      </w:r>
      <w:r w:rsidRPr="00724522">
        <w:rPr>
          <w:rStyle w:val="FootnoteReference"/>
          <w:lang w:val="en"/>
        </w:rPr>
        <w:footnoteReference w:id="29"/>
      </w:r>
      <w:r w:rsidRPr="00724522">
        <w:rPr>
          <w:lang w:val="en"/>
        </w:rPr>
        <w:t xml:space="preserve"> The ACMA is planning to allocate these spectrum licenses by auction in early 2021. </w:t>
      </w:r>
      <w:r w:rsidRPr="001C66F4">
        <w:rPr>
          <w:lang w:val="en"/>
        </w:rPr>
        <w:t xml:space="preserve">The re-allocation is part of </w:t>
      </w:r>
      <w:r w:rsidR="00FC62CB">
        <w:rPr>
          <w:lang w:val="en"/>
        </w:rPr>
        <w:t>our</w:t>
      </w:r>
      <w:r w:rsidRPr="001C66F4">
        <w:rPr>
          <w:lang w:val="en"/>
        </w:rPr>
        <w:t xml:space="preserve"> broader plan to make spectrum available for 5G technologies in Australia through a mix of class, apparatus and spectrum licensing.</w:t>
      </w:r>
      <w:r w:rsidRPr="00724522">
        <w:rPr>
          <w:rStyle w:val="FootnoteReference"/>
          <w:lang w:val="en"/>
        </w:rPr>
        <w:footnoteReference w:id="30"/>
      </w:r>
      <w:r w:rsidRPr="001C66F4">
        <w:rPr>
          <w:lang w:val="en"/>
        </w:rPr>
        <w:t xml:space="preserve"> </w:t>
      </w:r>
      <w:r w:rsidR="00FC62CB">
        <w:rPr>
          <w:lang w:val="en"/>
        </w:rPr>
        <w:t>We are</w:t>
      </w:r>
      <w:r w:rsidR="005D2B6D">
        <w:rPr>
          <w:lang w:val="en"/>
        </w:rPr>
        <w:t xml:space="preserve"> also </w:t>
      </w:r>
      <w:r w:rsidR="006058DB">
        <w:rPr>
          <w:lang w:val="en"/>
        </w:rPr>
        <w:t xml:space="preserve">implementing </w:t>
      </w:r>
      <w:r w:rsidR="001401EB">
        <w:rPr>
          <w:lang w:val="en"/>
        </w:rPr>
        <w:t xml:space="preserve">an area-wide </w:t>
      </w:r>
      <w:r w:rsidR="00404E93">
        <w:rPr>
          <w:lang w:val="en"/>
        </w:rPr>
        <w:t>apparatus licence (AWL) type</w:t>
      </w:r>
      <w:r w:rsidR="00823E9C">
        <w:rPr>
          <w:lang w:val="en"/>
        </w:rPr>
        <w:t>,</w:t>
      </w:r>
      <w:r w:rsidR="00FF1211">
        <w:rPr>
          <w:lang w:val="en"/>
        </w:rPr>
        <w:t xml:space="preserve"> which could be used for novel IoT </w:t>
      </w:r>
      <w:r w:rsidR="000C49C9">
        <w:rPr>
          <w:lang w:val="en"/>
        </w:rPr>
        <w:t>5G purposes</w:t>
      </w:r>
      <w:r w:rsidR="00FF1211">
        <w:rPr>
          <w:lang w:val="en"/>
        </w:rPr>
        <w:t xml:space="preserve"> in the </w:t>
      </w:r>
      <w:r w:rsidR="00682B95">
        <w:rPr>
          <w:lang w:val="en"/>
        </w:rPr>
        <w:t>26 and 28 GHz bands.</w:t>
      </w:r>
      <w:r w:rsidR="003D3A3B">
        <w:rPr>
          <w:rStyle w:val="FootnoteReference"/>
          <w:lang w:val="en"/>
        </w:rPr>
        <w:footnoteReference w:id="31"/>
      </w:r>
      <w:r w:rsidR="00682B95">
        <w:rPr>
          <w:lang w:val="en"/>
        </w:rPr>
        <w:t xml:space="preserve"> </w:t>
      </w:r>
    </w:p>
    <w:p w14:paraId="22662C9C" w14:textId="77777777" w:rsidR="005F60FC" w:rsidRDefault="005F60FC" w:rsidP="005F60FC">
      <w:pPr>
        <w:pStyle w:val="Heading2"/>
      </w:pPr>
      <w:bookmarkStart w:id="24" w:name="_Toc31371629"/>
      <w:bookmarkStart w:id="25" w:name="_Toc46335085"/>
      <w:r>
        <w:t>Equipment standards</w:t>
      </w:r>
      <w:bookmarkEnd w:id="24"/>
      <w:bookmarkEnd w:id="25"/>
    </w:p>
    <w:p w14:paraId="44CA2B59" w14:textId="2787A559" w:rsidR="005F60FC" w:rsidRPr="00AE7F2B" w:rsidRDefault="005F60FC" w:rsidP="005901ED">
      <w:pPr>
        <w:pStyle w:val="Paragraph"/>
      </w:pPr>
      <w:r w:rsidRPr="00AE7F2B">
        <w:t>IoT devices are generally covered by the ACMA’s existing</w:t>
      </w:r>
      <w:r w:rsidRPr="00187724">
        <w:t xml:space="preserve"> </w:t>
      </w:r>
      <w:hyperlink r:id="rId35" w:history="1">
        <w:r w:rsidRPr="00187724">
          <w:rPr>
            <w:rStyle w:val="Hyperlink"/>
          </w:rPr>
          <w:t>equipment standards</w:t>
        </w:r>
      </w:hyperlink>
      <w:r w:rsidRPr="00187724">
        <w:t xml:space="preserve">. Where an IoT device uses a telecommunications network to connect, the </w:t>
      </w:r>
      <w:hyperlink r:id="rId36" w:anchor="telecommunications-standards" w:history="1">
        <w:r w:rsidRPr="00187724">
          <w:rPr>
            <w:rStyle w:val="Hyperlink"/>
          </w:rPr>
          <w:t>telecommunication standards</w:t>
        </w:r>
      </w:hyperlink>
      <w:r w:rsidRPr="00187724">
        <w:t xml:space="preserve"> would apply. Most IoT devices </w:t>
      </w:r>
      <w:r w:rsidR="00823E9C">
        <w:t>that</w:t>
      </w:r>
      <w:r w:rsidR="00823E9C" w:rsidRPr="00187724">
        <w:t xml:space="preserve"> </w:t>
      </w:r>
      <w:r w:rsidRPr="00187724">
        <w:t xml:space="preserve">use a non-telecommunications network to connect are covered by the </w:t>
      </w:r>
      <w:hyperlink r:id="rId37" w:history="1">
        <w:r w:rsidRPr="005901ED">
          <w:rPr>
            <w:rStyle w:val="Hyperlink"/>
          </w:rPr>
          <w:t>Radiocommunications (Short Range Devices) Standard</w:t>
        </w:r>
      </w:hyperlink>
      <w:r w:rsidRPr="005901ED">
        <w:rPr>
          <w:rStyle w:val="Hyperlink"/>
        </w:rPr>
        <w:t xml:space="preserve"> 2014</w:t>
      </w:r>
      <w:r w:rsidR="00823E9C">
        <w:t>,</w:t>
      </w:r>
      <w:r w:rsidRPr="005901ED">
        <w:t xml:space="preserve"> </w:t>
      </w:r>
      <w:r w:rsidRPr="00187724">
        <w:t xml:space="preserve">which covers devices ranging from Bluetooth devices and </w:t>
      </w:r>
      <w:r w:rsidR="00823E9C">
        <w:t>w</w:t>
      </w:r>
      <w:r w:rsidRPr="00187724">
        <w:t>i</w:t>
      </w:r>
      <w:r w:rsidR="00823E9C">
        <w:t>-f</w:t>
      </w:r>
      <w:r w:rsidRPr="00187724">
        <w:t>i routers to automatic door openers.</w:t>
      </w:r>
    </w:p>
    <w:p w14:paraId="1AEDC489" w14:textId="37FF65E5" w:rsidR="005F60FC" w:rsidRPr="00AE7F2B" w:rsidRDefault="005F60FC" w:rsidP="005901ED">
      <w:pPr>
        <w:pStyle w:val="Paragraph"/>
      </w:pPr>
      <w:r w:rsidRPr="00AE7F2B">
        <w:t xml:space="preserve">IoT is connecting new types of objects and devices. This change is also resulting in new types of devices transmitting radiofrequency emissions. This is </w:t>
      </w:r>
      <w:r w:rsidRPr="0038047F">
        <w:t xml:space="preserve">expanding the radiocommunications regulatory footprint as new devices, market players and manufacturers will need to ensure these radiofrequency transmitting devices comply with the radiocommunications standards. </w:t>
      </w:r>
    </w:p>
    <w:p w14:paraId="2E996F06" w14:textId="70177D42" w:rsidR="005F60FC" w:rsidRDefault="005F60FC" w:rsidP="005901ED">
      <w:pPr>
        <w:pStyle w:val="Paragraph"/>
      </w:pPr>
      <w:r w:rsidRPr="004760E8">
        <w:t xml:space="preserve">This growth of IoT devices in the Australian market has the potential to create regulatory and compliance challenges. </w:t>
      </w:r>
      <w:r w:rsidR="00B32347">
        <w:t>We are</w:t>
      </w:r>
      <w:r w:rsidRPr="001C66F4">
        <w:t xml:space="preserve"> mindful that this may result in new market players with no previous experience in complying with the radiocommunications standards entering the market.</w:t>
      </w:r>
      <w:r>
        <w:t xml:space="preserve"> </w:t>
      </w:r>
      <w:r w:rsidRPr="004760E8">
        <w:t xml:space="preserve">This may require </w:t>
      </w:r>
      <w:r w:rsidR="00AE12F0">
        <w:t>us</w:t>
      </w:r>
      <w:r w:rsidRPr="004760E8">
        <w:t xml:space="preserve"> to adapt our approach</w:t>
      </w:r>
      <w:r w:rsidR="00AE12F0">
        <w:t xml:space="preserve"> to </w:t>
      </w:r>
      <w:r w:rsidR="00AE12F0" w:rsidRPr="004760E8">
        <w:t>stakeholder engagement</w:t>
      </w:r>
      <w:r w:rsidRPr="004760E8">
        <w:t xml:space="preserve">. </w:t>
      </w:r>
      <w:r w:rsidR="00AE12F0">
        <w:t>We are</w:t>
      </w:r>
      <w:r w:rsidRPr="004760E8">
        <w:t xml:space="preserve"> also </w:t>
      </w:r>
      <w:r w:rsidR="005E2CB9">
        <w:t>aware</w:t>
      </w:r>
      <w:r w:rsidR="005E2CB9" w:rsidRPr="004760E8">
        <w:t xml:space="preserve"> </w:t>
      </w:r>
      <w:r w:rsidRPr="004760E8">
        <w:t xml:space="preserve">that new types of objects and devices transmitting radiofrequency </w:t>
      </w:r>
      <w:r>
        <w:t>could</w:t>
      </w:r>
      <w:r w:rsidRPr="004760E8">
        <w:t xml:space="preserve"> result in increased complexity in managing interference. </w:t>
      </w:r>
    </w:p>
    <w:p w14:paraId="4F44F5F2" w14:textId="30BBA09D" w:rsidR="005F60FC" w:rsidRDefault="005F60FC" w:rsidP="005F60FC">
      <w:r>
        <w:t>The increase in IoT devices and connections also poses potential challenges to interoperability. In February 2019, the International Standards Organisation (ISO) released</w:t>
      </w:r>
      <w:r w:rsidR="00F82803">
        <w:t xml:space="preserve"> the </w:t>
      </w:r>
      <w:hyperlink r:id="rId38" w:history="1">
        <w:r w:rsidR="00F82803" w:rsidRPr="002076DC">
          <w:rPr>
            <w:rStyle w:val="Hyperlink"/>
            <w:i/>
            <w:iCs/>
          </w:rPr>
          <w:t>Internet of Things: Interoperability for IoT systems</w:t>
        </w:r>
      </w:hyperlink>
      <w:r>
        <w:t xml:space="preserve"> standard. The goal of the standard is to enable IoT systems to be built in such a way that entities in the IoT system can exchange information and mutually use the information in an efficient way.</w:t>
      </w:r>
      <w:r>
        <w:rPr>
          <w:rStyle w:val="FootnoteReference"/>
        </w:rPr>
        <w:footnoteReference w:id="32"/>
      </w:r>
      <w:r>
        <w:t xml:space="preserve"> This suggests that industry bodies are monitoring the issues around interoperability and adapting accordingly.  </w:t>
      </w:r>
    </w:p>
    <w:p w14:paraId="74FA081E" w14:textId="1CD90423" w:rsidR="005F6214" w:rsidRPr="005F6214" w:rsidRDefault="005F6214" w:rsidP="000F1C01">
      <w:r>
        <w:t xml:space="preserve">The security of IoT devices is an international issue. Australia, through the Department of Home Affairs, is working with likeminded international partners to develop a shared approach and implementation plan to improve IoT security globally. </w:t>
      </w:r>
    </w:p>
    <w:p w14:paraId="32C50E89" w14:textId="059017FC" w:rsidR="00873D9A" w:rsidRDefault="001E475E" w:rsidP="00873D9A">
      <w:pPr>
        <w:pStyle w:val="NormalWeb"/>
        <w:shd w:val="clear" w:color="auto" w:fill="FFFFFF"/>
        <w:spacing w:before="300" w:beforeAutospacing="0" w:after="300" w:afterAutospacing="0"/>
        <w:rPr>
          <w:rFonts w:ascii="Arial" w:hAnsi="Arial" w:cs="Arial"/>
          <w:color w:val="0B0C0C"/>
          <w:sz w:val="20"/>
          <w:szCs w:val="20"/>
        </w:rPr>
      </w:pPr>
      <w:r w:rsidRPr="0065018B">
        <w:rPr>
          <w:rFonts w:ascii="Arial" w:hAnsi="Arial" w:cs="Arial"/>
          <w:sz w:val="20"/>
          <w:szCs w:val="20"/>
        </w:rPr>
        <w:t>On 23 October 2019,</w:t>
      </w:r>
      <w:r w:rsidR="008D020C" w:rsidRPr="0065018B">
        <w:rPr>
          <w:rFonts w:ascii="Arial" w:hAnsi="Arial" w:cs="Arial"/>
          <w:sz w:val="20"/>
          <w:szCs w:val="20"/>
        </w:rPr>
        <w:t xml:space="preserve"> </w:t>
      </w:r>
      <w:r w:rsidR="008D020C" w:rsidRPr="000F1C01">
        <w:rPr>
          <w:rFonts w:ascii="Arial" w:hAnsi="Arial" w:cs="Arial"/>
          <w:sz w:val="20"/>
          <w:szCs w:val="20"/>
        </w:rPr>
        <w:t>Australia, Canada, New Zealand, the United Kingdom</w:t>
      </w:r>
      <w:r w:rsidR="00640066">
        <w:rPr>
          <w:rFonts w:ascii="Arial" w:hAnsi="Arial" w:cs="Arial"/>
          <w:sz w:val="20"/>
          <w:szCs w:val="20"/>
        </w:rPr>
        <w:t xml:space="preserve"> (UK)</w:t>
      </w:r>
      <w:r w:rsidR="008D020C" w:rsidRPr="000F1C01">
        <w:rPr>
          <w:rFonts w:ascii="Arial" w:hAnsi="Arial" w:cs="Arial"/>
          <w:sz w:val="20"/>
          <w:szCs w:val="20"/>
        </w:rPr>
        <w:t xml:space="preserve"> and the United States </w:t>
      </w:r>
      <w:r w:rsidR="00554D93">
        <w:rPr>
          <w:rFonts w:ascii="Arial" w:hAnsi="Arial" w:cs="Arial"/>
          <w:sz w:val="20"/>
          <w:szCs w:val="20"/>
        </w:rPr>
        <w:t xml:space="preserve">governments </w:t>
      </w:r>
      <w:r w:rsidR="008D020C" w:rsidRPr="000F1C01">
        <w:rPr>
          <w:rFonts w:ascii="Arial" w:hAnsi="Arial" w:cs="Arial"/>
          <w:sz w:val="20"/>
          <w:szCs w:val="20"/>
        </w:rPr>
        <w:t xml:space="preserve">issued a </w:t>
      </w:r>
      <w:hyperlink r:id="rId39" w:history="1">
        <w:r w:rsidR="00111185" w:rsidRPr="00126B29">
          <w:rPr>
            <w:rStyle w:val="Hyperlink"/>
            <w:rFonts w:ascii="Arial" w:hAnsi="Arial" w:cs="Arial"/>
            <w:sz w:val="20"/>
            <w:szCs w:val="20"/>
          </w:rPr>
          <w:t>statement of intent</w:t>
        </w:r>
      </w:hyperlink>
      <w:r w:rsidR="00111185" w:rsidRPr="000F1C01">
        <w:rPr>
          <w:rFonts w:ascii="Arial" w:hAnsi="Arial" w:cs="Arial"/>
          <w:sz w:val="20"/>
          <w:szCs w:val="20"/>
        </w:rPr>
        <w:t xml:space="preserve"> </w:t>
      </w:r>
      <w:r w:rsidR="00E76902">
        <w:rPr>
          <w:rFonts w:ascii="Arial" w:hAnsi="Arial" w:cs="Arial"/>
          <w:sz w:val="20"/>
          <w:szCs w:val="20"/>
        </w:rPr>
        <w:t>for</w:t>
      </w:r>
      <w:r w:rsidR="00E76902" w:rsidRPr="000F1C01">
        <w:rPr>
          <w:rFonts w:ascii="Arial" w:hAnsi="Arial" w:cs="Arial"/>
          <w:sz w:val="20"/>
          <w:szCs w:val="20"/>
        </w:rPr>
        <w:t xml:space="preserve"> </w:t>
      </w:r>
      <w:r w:rsidR="00111185" w:rsidRPr="000F1C01">
        <w:rPr>
          <w:rFonts w:ascii="Arial" w:hAnsi="Arial" w:cs="Arial"/>
          <w:sz w:val="20"/>
          <w:szCs w:val="20"/>
        </w:rPr>
        <w:t>IoT security.</w:t>
      </w:r>
      <w:r w:rsidR="00873D9A" w:rsidRPr="0065018B">
        <w:rPr>
          <w:rFonts w:ascii="Arial" w:hAnsi="Arial" w:cs="Arial"/>
          <w:sz w:val="20"/>
          <w:szCs w:val="20"/>
        </w:rPr>
        <w:t xml:space="preserve"> This</w:t>
      </w:r>
      <w:r w:rsidR="00543BFA" w:rsidRPr="0065018B">
        <w:rPr>
          <w:rFonts w:ascii="Arial" w:hAnsi="Arial" w:cs="Arial"/>
          <w:sz w:val="20"/>
          <w:szCs w:val="20"/>
        </w:rPr>
        <w:t xml:space="preserve"> statement of intent</w:t>
      </w:r>
      <w:r w:rsidR="00873D9A" w:rsidRPr="0065018B">
        <w:rPr>
          <w:rFonts w:ascii="Arial" w:hAnsi="Arial" w:cs="Arial"/>
          <w:sz w:val="20"/>
          <w:szCs w:val="20"/>
        </w:rPr>
        <w:t xml:space="preserve"> </w:t>
      </w:r>
      <w:r w:rsidR="00873D9A" w:rsidRPr="00554D93">
        <w:rPr>
          <w:rFonts w:ascii="Arial" w:hAnsi="Arial" w:cs="Arial"/>
          <w:sz w:val="20"/>
          <w:szCs w:val="20"/>
        </w:rPr>
        <w:t>included a</w:t>
      </w:r>
      <w:r w:rsidR="00E72EE1" w:rsidRPr="00554D93">
        <w:rPr>
          <w:rFonts w:ascii="Arial" w:hAnsi="Arial" w:cs="Arial"/>
          <w:sz w:val="20"/>
          <w:szCs w:val="20"/>
        </w:rPr>
        <w:t xml:space="preserve"> commitment to</w:t>
      </w:r>
      <w:r w:rsidR="00E72EE1" w:rsidRPr="00554D93">
        <w:rPr>
          <w:rFonts w:ascii="Arial" w:hAnsi="Arial" w:cs="Arial"/>
          <w:color w:val="0B0C0C"/>
          <w:sz w:val="20"/>
          <w:szCs w:val="20"/>
        </w:rPr>
        <w:t xml:space="preserve"> c</w:t>
      </w:r>
      <w:r w:rsidR="00873D9A" w:rsidRPr="00554D93">
        <w:rPr>
          <w:rFonts w:ascii="Arial" w:hAnsi="Arial" w:cs="Arial"/>
          <w:color w:val="0B0C0C"/>
          <w:sz w:val="20"/>
          <w:szCs w:val="20"/>
        </w:rPr>
        <w:t xml:space="preserve">ollaborate with industry and standards bodies to provide better protection to users by advocating that devices should be </w:t>
      </w:r>
      <w:r w:rsidR="00554D93">
        <w:rPr>
          <w:rFonts w:ascii="Arial" w:hAnsi="Arial" w:cs="Arial"/>
          <w:color w:val="0B0C0C"/>
          <w:sz w:val="20"/>
          <w:szCs w:val="20"/>
        </w:rPr>
        <w:t>‘</w:t>
      </w:r>
      <w:r w:rsidR="00873D9A" w:rsidRPr="00554D93">
        <w:rPr>
          <w:rFonts w:ascii="Arial" w:hAnsi="Arial" w:cs="Arial"/>
          <w:color w:val="0B0C0C"/>
          <w:sz w:val="20"/>
          <w:szCs w:val="20"/>
        </w:rPr>
        <w:t>secured by design</w:t>
      </w:r>
      <w:r w:rsidR="00554D93">
        <w:rPr>
          <w:rFonts w:ascii="Arial" w:hAnsi="Arial" w:cs="Arial"/>
          <w:color w:val="0B0C0C"/>
          <w:sz w:val="20"/>
          <w:szCs w:val="20"/>
        </w:rPr>
        <w:t>’,</w:t>
      </w:r>
      <w:r w:rsidR="00E72EE1" w:rsidRPr="00554D93">
        <w:rPr>
          <w:rFonts w:ascii="Arial" w:hAnsi="Arial" w:cs="Arial"/>
          <w:color w:val="0B0C0C"/>
          <w:sz w:val="20"/>
          <w:szCs w:val="20"/>
        </w:rPr>
        <w:t xml:space="preserve"> and </w:t>
      </w:r>
      <w:r w:rsidR="00C5591F" w:rsidRPr="00554D93">
        <w:rPr>
          <w:rFonts w:ascii="Arial" w:hAnsi="Arial" w:cs="Arial"/>
          <w:color w:val="0B0C0C"/>
          <w:sz w:val="20"/>
          <w:szCs w:val="20"/>
        </w:rPr>
        <w:t>to raise awareness of security safeguards associated with IoT devices.</w:t>
      </w:r>
    </w:p>
    <w:p w14:paraId="4ACDDE1E" w14:textId="3F44B160" w:rsidR="0022438C" w:rsidRPr="000F1C01" w:rsidRDefault="007F7498" w:rsidP="000F1C01">
      <w:pPr>
        <w:pStyle w:val="NormalWeb"/>
        <w:shd w:val="clear" w:color="auto" w:fill="FFFFFF"/>
        <w:spacing w:before="300" w:beforeAutospacing="0" w:after="300" w:afterAutospacing="0"/>
        <w:rPr>
          <w:rFonts w:ascii="Arial" w:hAnsi="Arial" w:cs="Arial"/>
          <w:color w:val="0B0C0C"/>
          <w:sz w:val="29"/>
          <w:szCs w:val="29"/>
        </w:rPr>
      </w:pPr>
      <w:r w:rsidRPr="000F1C01">
        <w:rPr>
          <w:rFonts w:ascii="Arial" w:hAnsi="Arial" w:cs="Arial"/>
          <w:sz w:val="20"/>
          <w:szCs w:val="20"/>
        </w:rPr>
        <w:t>Several jurisdictions are looking at ways to improve the security of IoT devices</w:t>
      </w:r>
      <w:r w:rsidR="00F94566" w:rsidRPr="000F1C01">
        <w:rPr>
          <w:rFonts w:ascii="Arial" w:hAnsi="Arial" w:cs="Arial"/>
          <w:color w:val="0B0C0C"/>
          <w:sz w:val="20"/>
          <w:szCs w:val="20"/>
        </w:rPr>
        <w:t>.</w:t>
      </w:r>
      <w:r w:rsidR="00F94566">
        <w:rPr>
          <w:rFonts w:ascii="Arial" w:hAnsi="Arial" w:cs="Arial"/>
          <w:color w:val="0B0C0C"/>
          <w:sz w:val="20"/>
          <w:szCs w:val="20"/>
        </w:rPr>
        <w:t xml:space="preserve"> </w:t>
      </w:r>
      <w:r w:rsidR="005F60FC" w:rsidRPr="000F1C01">
        <w:rPr>
          <w:rFonts w:ascii="Arial" w:hAnsi="Arial" w:cs="Arial"/>
          <w:color w:val="0B0C0C"/>
          <w:sz w:val="20"/>
          <w:szCs w:val="20"/>
          <w:shd w:val="clear" w:color="auto" w:fill="FFFFFF"/>
        </w:rPr>
        <w:t xml:space="preserve">In February 2019, the European Standards Organisation (ETSI), launched the first globally applicable industry standard on internet-connected consumer devices, which </w:t>
      </w:r>
      <w:r w:rsidR="005F60FC" w:rsidRPr="000F1C01">
        <w:rPr>
          <w:rFonts w:ascii="Arial" w:hAnsi="Arial" w:cs="Arial"/>
          <w:sz w:val="20"/>
          <w:szCs w:val="20"/>
        </w:rPr>
        <w:t>specifies high-level provisions for the security of consumer devices connected to network infrastructure</w:t>
      </w:r>
      <w:r w:rsidR="005F60FC" w:rsidRPr="000F1C01">
        <w:rPr>
          <w:rFonts w:ascii="Arial" w:hAnsi="Arial" w:cs="Arial"/>
          <w:color w:val="0B0C0C"/>
          <w:sz w:val="20"/>
          <w:szCs w:val="20"/>
          <w:shd w:val="clear" w:color="auto" w:fill="FFFFFF"/>
        </w:rPr>
        <w:t>.</w:t>
      </w:r>
      <w:r w:rsidR="005F60FC" w:rsidRPr="000F1C01">
        <w:rPr>
          <w:rStyle w:val="FootnoteReference"/>
          <w:rFonts w:cs="Arial"/>
          <w:color w:val="0B0C0C"/>
          <w:sz w:val="20"/>
          <w:szCs w:val="20"/>
          <w:shd w:val="clear" w:color="auto" w:fill="FFFFFF"/>
        </w:rPr>
        <w:footnoteReference w:id="33"/>
      </w:r>
      <w:r w:rsidR="005F60FC" w:rsidRPr="000F1C01">
        <w:rPr>
          <w:rFonts w:ascii="Arial" w:hAnsi="Arial" w:cs="Arial"/>
          <w:color w:val="0B0C0C"/>
          <w:sz w:val="20"/>
          <w:szCs w:val="20"/>
          <w:shd w:val="clear" w:color="auto" w:fill="FFFFFF"/>
        </w:rPr>
        <w:t xml:space="preserve"> </w:t>
      </w:r>
      <w:r w:rsidR="005F60FC" w:rsidRPr="000F1C01">
        <w:rPr>
          <w:rFonts w:ascii="Arial" w:hAnsi="Arial" w:cs="Arial"/>
          <w:sz w:val="20"/>
          <w:szCs w:val="20"/>
        </w:rPr>
        <w:t xml:space="preserve">In May 2019, the UK </w:t>
      </w:r>
      <w:r w:rsidR="00640066">
        <w:rPr>
          <w:rFonts w:ascii="Arial" w:hAnsi="Arial" w:cs="Arial"/>
          <w:sz w:val="20"/>
          <w:szCs w:val="20"/>
        </w:rPr>
        <w:t>G</w:t>
      </w:r>
      <w:r w:rsidR="005F60FC" w:rsidRPr="000F1C01">
        <w:rPr>
          <w:rFonts w:ascii="Arial" w:hAnsi="Arial" w:cs="Arial"/>
          <w:sz w:val="20"/>
          <w:szCs w:val="20"/>
        </w:rPr>
        <w:t>overnment</w:t>
      </w:r>
      <w:r w:rsidR="009468CB" w:rsidRPr="00F94566">
        <w:rPr>
          <w:rFonts w:ascii="Arial" w:hAnsi="Arial" w:cs="Arial"/>
          <w:sz w:val="20"/>
          <w:szCs w:val="20"/>
        </w:rPr>
        <w:t xml:space="preserve"> l</w:t>
      </w:r>
      <w:r w:rsidR="009468CB" w:rsidRPr="00160782">
        <w:rPr>
          <w:rFonts w:ascii="Arial" w:hAnsi="Arial" w:cs="Arial"/>
          <w:sz w:val="20"/>
          <w:szCs w:val="20"/>
        </w:rPr>
        <w:t xml:space="preserve">aunched a consultation </w:t>
      </w:r>
      <w:r w:rsidR="00986E13" w:rsidRPr="00F94566">
        <w:rPr>
          <w:rFonts w:ascii="Arial" w:hAnsi="Arial" w:cs="Arial"/>
          <w:sz w:val="20"/>
          <w:szCs w:val="20"/>
        </w:rPr>
        <w:t>on</w:t>
      </w:r>
      <w:r w:rsidR="00986E13" w:rsidRPr="00160782">
        <w:rPr>
          <w:rFonts w:ascii="Arial" w:hAnsi="Arial" w:cs="Arial"/>
          <w:sz w:val="20"/>
          <w:szCs w:val="20"/>
        </w:rPr>
        <w:t xml:space="preserve"> regulatory </w:t>
      </w:r>
      <w:r w:rsidR="005E4DF9" w:rsidRPr="001B55AC">
        <w:rPr>
          <w:rFonts w:ascii="Arial" w:hAnsi="Arial" w:cs="Arial"/>
          <w:sz w:val="20"/>
          <w:szCs w:val="20"/>
        </w:rPr>
        <w:t>proposals</w:t>
      </w:r>
      <w:r w:rsidR="00986E13" w:rsidRPr="001B55AC">
        <w:rPr>
          <w:rFonts w:ascii="Arial" w:hAnsi="Arial" w:cs="Arial"/>
          <w:sz w:val="20"/>
          <w:szCs w:val="20"/>
        </w:rPr>
        <w:t xml:space="preserve"> </w:t>
      </w:r>
      <w:r w:rsidR="00A22C6E" w:rsidRPr="00F21E61">
        <w:rPr>
          <w:rFonts w:ascii="Arial" w:hAnsi="Arial" w:cs="Arial"/>
          <w:sz w:val="20"/>
          <w:szCs w:val="20"/>
        </w:rPr>
        <w:t xml:space="preserve">to </w:t>
      </w:r>
      <w:r w:rsidR="005F60FC" w:rsidRPr="000F1C01">
        <w:rPr>
          <w:rFonts w:ascii="Arial" w:hAnsi="Arial" w:cs="Arial"/>
          <w:sz w:val="20"/>
          <w:szCs w:val="20"/>
        </w:rPr>
        <w:t xml:space="preserve">introduce new IoT security laws for manufacturers of connected devices aimed at ensuring IoT devices are better protected from </w:t>
      </w:r>
      <w:r w:rsidR="00554D93" w:rsidRPr="000F1C01">
        <w:rPr>
          <w:rFonts w:ascii="Arial" w:hAnsi="Arial" w:cs="Arial"/>
          <w:sz w:val="20"/>
          <w:szCs w:val="20"/>
        </w:rPr>
        <w:t>cyber</w:t>
      </w:r>
      <w:r w:rsidR="00554D93">
        <w:rPr>
          <w:rFonts w:ascii="Arial" w:hAnsi="Arial" w:cs="Arial"/>
          <w:sz w:val="20"/>
          <w:szCs w:val="20"/>
        </w:rPr>
        <w:t>-</w:t>
      </w:r>
      <w:r w:rsidR="00554D93" w:rsidRPr="000F1C01">
        <w:rPr>
          <w:rFonts w:ascii="Arial" w:hAnsi="Arial" w:cs="Arial"/>
          <w:sz w:val="20"/>
          <w:szCs w:val="20"/>
        </w:rPr>
        <w:t>attacks</w:t>
      </w:r>
      <w:r w:rsidR="005F60FC" w:rsidRPr="000F1C01">
        <w:rPr>
          <w:rFonts w:ascii="Arial" w:hAnsi="Arial" w:cs="Arial"/>
          <w:sz w:val="20"/>
          <w:szCs w:val="20"/>
        </w:rPr>
        <w:t>.</w:t>
      </w:r>
      <w:r w:rsidR="005F60FC" w:rsidRPr="000F1C01">
        <w:rPr>
          <w:rStyle w:val="FootnoteReference"/>
          <w:rFonts w:cs="Arial"/>
          <w:sz w:val="20"/>
          <w:szCs w:val="20"/>
        </w:rPr>
        <w:footnoteReference w:id="34"/>
      </w:r>
      <w:r w:rsidR="00A22C6E" w:rsidRPr="00F94566">
        <w:rPr>
          <w:rFonts w:ascii="Arial" w:hAnsi="Arial" w:cs="Arial"/>
          <w:sz w:val="20"/>
          <w:szCs w:val="20"/>
        </w:rPr>
        <w:t xml:space="preserve"> </w:t>
      </w:r>
      <w:r w:rsidR="006C3A64" w:rsidRPr="00160782">
        <w:rPr>
          <w:rFonts w:ascii="Arial" w:hAnsi="Arial" w:cs="Arial"/>
          <w:sz w:val="20"/>
          <w:szCs w:val="20"/>
        </w:rPr>
        <w:t xml:space="preserve">On 27 January 2020, the UK </w:t>
      </w:r>
      <w:r w:rsidR="00640066">
        <w:rPr>
          <w:rFonts w:ascii="Arial" w:hAnsi="Arial" w:cs="Arial"/>
          <w:sz w:val="20"/>
          <w:szCs w:val="20"/>
        </w:rPr>
        <w:t>G</w:t>
      </w:r>
      <w:r w:rsidR="006C3A64" w:rsidRPr="00160782">
        <w:rPr>
          <w:rFonts w:ascii="Arial" w:hAnsi="Arial" w:cs="Arial"/>
          <w:sz w:val="20"/>
          <w:szCs w:val="20"/>
        </w:rPr>
        <w:t xml:space="preserve">overnment </w:t>
      </w:r>
      <w:r w:rsidR="00E11603" w:rsidRPr="001B55AC">
        <w:rPr>
          <w:rFonts w:ascii="Arial" w:hAnsi="Arial" w:cs="Arial"/>
          <w:sz w:val="20"/>
          <w:szCs w:val="20"/>
        </w:rPr>
        <w:t>released its response to the consultation</w:t>
      </w:r>
      <w:r w:rsidR="00E11603">
        <w:rPr>
          <w:rFonts w:ascii="Arial" w:hAnsi="Arial" w:cs="Arial"/>
          <w:sz w:val="20"/>
          <w:szCs w:val="20"/>
        </w:rPr>
        <w:t xml:space="preserve"> and </w:t>
      </w:r>
      <w:r w:rsidR="006C3A64">
        <w:rPr>
          <w:rFonts w:ascii="Arial" w:hAnsi="Arial" w:cs="Arial"/>
          <w:sz w:val="20"/>
          <w:szCs w:val="20"/>
        </w:rPr>
        <w:t xml:space="preserve">announced </w:t>
      </w:r>
      <w:r w:rsidR="007226F9">
        <w:rPr>
          <w:rFonts w:ascii="Arial" w:hAnsi="Arial" w:cs="Arial"/>
          <w:sz w:val="20"/>
          <w:szCs w:val="20"/>
        </w:rPr>
        <w:t xml:space="preserve">plans to </w:t>
      </w:r>
      <w:r w:rsidR="00745FF3">
        <w:rPr>
          <w:rFonts w:ascii="Arial" w:hAnsi="Arial" w:cs="Arial"/>
          <w:sz w:val="20"/>
          <w:szCs w:val="20"/>
        </w:rPr>
        <w:t xml:space="preserve">pursue a staged approach to regulation, starting with </w:t>
      </w:r>
      <w:r w:rsidR="00F3139F">
        <w:rPr>
          <w:rFonts w:ascii="Arial" w:hAnsi="Arial" w:cs="Arial"/>
          <w:sz w:val="20"/>
          <w:szCs w:val="20"/>
        </w:rPr>
        <w:t xml:space="preserve">ensuring stronger </w:t>
      </w:r>
      <w:r w:rsidR="0022438C">
        <w:rPr>
          <w:rFonts w:ascii="Arial" w:hAnsi="Arial" w:cs="Arial"/>
          <w:sz w:val="20"/>
          <w:szCs w:val="20"/>
        </w:rPr>
        <w:t>security is built within consumer IoT products.</w:t>
      </w:r>
      <w:r w:rsidR="0022438C">
        <w:rPr>
          <w:rStyle w:val="FootnoteReference"/>
          <w:rFonts w:cs="Arial"/>
          <w:sz w:val="20"/>
          <w:szCs w:val="20"/>
        </w:rPr>
        <w:footnoteReference w:id="35"/>
      </w:r>
    </w:p>
    <w:p w14:paraId="239C2AAB" w14:textId="5EB62036" w:rsidR="005F60FC" w:rsidRDefault="00721BF0" w:rsidP="000F1C01">
      <w:pPr>
        <w:pStyle w:val="NormalWeb"/>
        <w:shd w:val="clear" w:color="auto" w:fill="FFFFFF"/>
        <w:spacing w:before="0" w:beforeAutospacing="0" w:after="240" w:afterAutospacing="0"/>
      </w:pPr>
      <w:r w:rsidRPr="000F1C01">
        <w:rPr>
          <w:rFonts w:ascii="Arial" w:hAnsi="Arial" w:cs="Arial"/>
          <w:sz w:val="20"/>
          <w:szCs w:val="20"/>
        </w:rPr>
        <w:t>In</w:t>
      </w:r>
      <w:r w:rsidR="001B5579" w:rsidRPr="000F1C01">
        <w:rPr>
          <w:rFonts w:ascii="Arial" w:hAnsi="Arial" w:cs="Arial"/>
          <w:sz w:val="20"/>
          <w:szCs w:val="20"/>
        </w:rPr>
        <w:t xml:space="preserve"> March 2020, </w:t>
      </w:r>
      <w:r w:rsidR="00B421BD" w:rsidRPr="000F1C01">
        <w:rPr>
          <w:rStyle w:val="kilo"/>
          <w:rFonts w:ascii="Arial" w:hAnsi="Arial" w:cs="Arial"/>
          <w:sz w:val="20"/>
          <w:szCs w:val="20"/>
        </w:rPr>
        <w:t xml:space="preserve">the Cybersecurity Agency of Singapore introduced the Cybersecurity Labelling Scheme </w:t>
      </w:r>
      <w:r w:rsidR="00D94829" w:rsidRPr="000F1C01">
        <w:rPr>
          <w:rStyle w:val="kilo"/>
          <w:rFonts w:ascii="Arial" w:hAnsi="Arial" w:cs="Arial"/>
          <w:sz w:val="20"/>
          <w:szCs w:val="20"/>
        </w:rPr>
        <w:t>(‘CLS</w:t>
      </w:r>
      <w:r w:rsidR="008E0D72" w:rsidRPr="000F1C01">
        <w:rPr>
          <w:rStyle w:val="kilo"/>
          <w:rFonts w:ascii="Arial" w:hAnsi="Arial" w:cs="Arial"/>
          <w:sz w:val="20"/>
          <w:szCs w:val="20"/>
        </w:rPr>
        <w:t xml:space="preserve">’) </w:t>
      </w:r>
      <w:r w:rsidR="00B421BD" w:rsidRPr="000F1C01">
        <w:rPr>
          <w:rStyle w:val="kilo"/>
          <w:rFonts w:ascii="Arial" w:hAnsi="Arial" w:cs="Arial"/>
          <w:sz w:val="20"/>
          <w:szCs w:val="20"/>
        </w:rPr>
        <w:t>as part of Singapore's Safer Cyberspace Masterplan.</w:t>
      </w:r>
      <w:r w:rsidR="0008709B" w:rsidRPr="000F1C01">
        <w:rPr>
          <w:rStyle w:val="kilo"/>
          <w:rFonts w:ascii="Arial" w:hAnsi="Arial" w:cs="Arial"/>
          <w:sz w:val="20"/>
          <w:szCs w:val="20"/>
        </w:rPr>
        <w:t xml:space="preserve"> </w:t>
      </w:r>
      <w:r w:rsidR="0011342F" w:rsidRPr="000F1C01">
        <w:rPr>
          <w:rStyle w:val="kilo"/>
          <w:rFonts w:ascii="Arial" w:hAnsi="Arial" w:cs="Arial"/>
          <w:sz w:val="20"/>
          <w:szCs w:val="20"/>
        </w:rPr>
        <w:t>Th</w:t>
      </w:r>
      <w:r w:rsidR="008E0D72" w:rsidRPr="000F1C01">
        <w:rPr>
          <w:rStyle w:val="kilo"/>
          <w:rFonts w:ascii="Arial" w:hAnsi="Arial" w:cs="Arial"/>
          <w:sz w:val="20"/>
          <w:szCs w:val="20"/>
        </w:rPr>
        <w:t>e CLS</w:t>
      </w:r>
      <w:r w:rsidR="0011342F" w:rsidRPr="000F1C01">
        <w:rPr>
          <w:rStyle w:val="kilo"/>
          <w:rFonts w:ascii="Arial" w:hAnsi="Arial" w:cs="Arial"/>
          <w:sz w:val="20"/>
          <w:szCs w:val="20"/>
        </w:rPr>
        <w:t xml:space="preserve"> </w:t>
      </w:r>
      <w:r w:rsidR="00585695" w:rsidRPr="000F1C01">
        <w:rPr>
          <w:rStyle w:val="kilo"/>
          <w:rFonts w:ascii="Arial" w:hAnsi="Arial" w:cs="Arial"/>
          <w:sz w:val="20"/>
          <w:szCs w:val="20"/>
        </w:rPr>
        <w:t xml:space="preserve">was launched as </w:t>
      </w:r>
      <w:r w:rsidR="00160782" w:rsidRPr="000F1C01">
        <w:rPr>
          <w:rStyle w:val="kilo"/>
          <w:rFonts w:ascii="Arial" w:hAnsi="Arial" w:cs="Arial"/>
          <w:sz w:val="20"/>
          <w:szCs w:val="20"/>
        </w:rPr>
        <w:t>a voluntary scheme</w:t>
      </w:r>
      <w:r w:rsidR="0011342F" w:rsidRPr="000F1C01">
        <w:rPr>
          <w:rStyle w:val="kilo"/>
          <w:rFonts w:ascii="Arial" w:hAnsi="Arial" w:cs="Arial"/>
          <w:sz w:val="20"/>
          <w:szCs w:val="20"/>
        </w:rPr>
        <w:t xml:space="preserve"> </w:t>
      </w:r>
      <w:r w:rsidR="00F30A25" w:rsidRPr="000F1C01">
        <w:rPr>
          <w:rStyle w:val="kilo"/>
          <w:rFonts w:ascii="Arial" w:hAnsi="Arial" w:cs="Arial"/>
          <w:sz w:val="20"/>
          <w:szCs w:val="20"/>
        </w:rPr>
        <w:t>and applies to consumer IoT</w:t>
      </w:r>
      <w:r w:rsidR="00585695" w:rsidRPr="000F1C01">
        <w:rPr>
          <w:rStyle w:val="kilo"/>
          <w:rFonts w:ascii="Arial" w:hAnsi="Arial" w:cs="Arial"/>
          <w:sz w:val="20"/>
          <w:szCs w:val="20"/>
        </w:rPr>
        <w:t xml:space="preserve">. The </w:t>
      </w:r>
      <w:r w:rsidR="009E08F1" w:rsidRPr="000F1C01">
        <w:rPr>
          <w:rStyle w:val="kilo"/>
          <w:rFonts w:ascii="Arial" w:hAnsi="Arial" w:cs="Arial"/>
          <w:sz w:val="20"/>
          <w:szCs w:val="20"/>
        </w:rPr>
        <w:t xml:space="preserve">scheme </w:t>
      </w:r>
      <w:r w:rsidR="00C0305D" w:rsidRPr="000F1C01">
        <w:rPr>
          <w:rStyle w:val="kilo"/>
          <w:rFonts w:ascii="Arial" w:hAnsi="Arial" w:cs="Arial"/>
          <w:sz w:val="20"/>
          <w:szCs w:val="20"/>
        </w:rPr>
        <w:t xml:space="preserve">aims to differentiate smart devices with better cybersecurity provisions </w:t>
      </w:r>
      <w:r w:rsidR="00AC636E" w:rsidRPr="000F1C01">
        <w:rPr>
          <w:rStyle w:val="kilo"/>
          <w:rFonts w:ascii="Arial" w:hAnsi="Arial" w:cs="Arial"/>
          <w:sz w:val="20"/>
          <w:szCs w:val="20"/>
        </w:rPr>
        <w:t xml:space="preserve">in the market, and to incentivise manufacturers and vendors to make products with </w:t>
      </w:r>
      <w:r w:rsidR="00DD52FC" w:rsidRPr="000F1C01">
        <w:rPr>
          <w:rStyle w:val="kilo"/>
          <w:rFonts w:ascii="Arial" w:hAnsi="Arial" w:cs="Arial"/>
          <w:sz w:val="20"/>
          <w:szCs w:val="20"/>
        </w:rPr>
        <w:t>improved safety features.</w:t>
      </w:r>
      <w:r w:rsidR="00DD52FC" w:rsidRPr="000F1C01">
        <w:rPr>
          <w:rStyle w:val="FootnoteReference"/>
          <w:rFonts w:cs="Arial"/>
          <w:sz w:val="20"/>
          <w:szCs w:val="20"/>
        </w:rPr>
        <w:footnoteReference w:id="36"/>
      </w:r>
      <w:r w:rsidR="00DD52FC" w:rsidRPr="000F1C01">
        <w:rPr>
          <w:rStyle w:val="kilo"/>
          <w:rFonts w:ascii="Arial" w:hAnsi="Arial" w:cs="Arial"/>
          <w:sz w:val="20"/>
          <w:szCs w:val="20"/>
        </w:rPr>
        <w:t xml:space="preserve"> </w:t>
      </w:r>
    </w:p>
    <w:p w14:paraId="71B96D9B" w14:textId="3AD5A8E0" w:rsidR="005F60FC" w:rsidRPr="00C429B7" w:rsidRDefault="005F60FC" w:rsidP="005F60FC">
      <w:pPr>
        <w:pStyle w:val="Heading2"/>
      </w:pPr>
      <w:bookmarkStart w:id="26" w:name="_Toc31371630"/>
      <w:bookmarkStart w:id="27" w:name="_Toc46335086"/>
      <w:r w:rsidRPr="00C429B7">
        <w:lastRenderedPageBreak/>
        <w:t>Consumer safeguards</w:t>
      </w:r>
      <w:bookmarkEnd w:id="26"/>
      <w:bookmarkEnd w:id="27"/>
    </w:p>
    <w:p w14:paraId="21BBD87C" w14:textId="693D6B02" w:rsidR="00833B7A" w:rsidRDefault="005F60FC" w:rsidP="005F60FC">
      <w:r w:rsidRPr="00C429B7">
        <w:t>The ACMA considers there are unique privacy and security issues in relation to IoT.</w:t>
      </w:r>
      <w:r w:rsidR="001A1749" w:rsidRPr="00C429B7">
        <w:t xml:space="preserve"> </w:t>
      </w:r>
      <w:r w:rsidR="00D4120B" w:rsidRPr="00C429B7">
        <w:t>A</w:t>
      </w:r>
      <w:r w:rsidR="00D238F9" w:rsidRPr="00C429B7">
        <w:t xml:space="preserve"> significant</w:t>
      </w:r>
      <w:r w:rsidR="00670DBE" w:rsidRPr="00C429B7">
        <w:t xml:space="preserve"> challenge relates to </w:t>
      </w:r>
      <w:r w:rsidR="00AE110B" w:rsidRPr="00C429B7">
        <w:t>consumer awareness</w:t>
      </w:r>
      <w:r w:rsidR="00BF1408" w:rsidRPr="00C429B7">
        <w:t xml:space="preserve"> and understanding</w:t>
      </w:r>
      <w:r w:rsidR="00AE110B" w:rsidRPr="00C429B7">
        <w:t xml:space="preserve"> of I</w:t>
      </w:r>
      <w:r w:rsidR="007A7E95" w:rsidRPr="00C429B7">
        <w:t xml:space="preserve">oT functionality. </w:t>
      </w:r>
      <w:r w:rsidR="00437CEF" w:rsidRPr="00C429B7">
        <w:t>IoT devices</w:t>
      </w:r>
      <w:r w:rsidR="00616DA7" w:rsidRPr="00C429B7">
        <w:t xml:space="preserve">, </w:t>
      </w:r>
      <w:r w:rsidR="00621D4F">
        <w:t xml:space="preserve">like </w:t>
      </w:r>
      <w:r w:rsidR="00616DA7" w:rsidRPr="00C429B7">
        <w:t>smart lights,</w:t>
      </w:r>
      <w:r w:rsidR="00B13B35" w:rsidRPr="00C429B7">
        <w:t xml:space="preserve"> </w:t>
      </w:r>
      <w:r w:rsidR="009A1BEB" w:rsidRPr="00C429B7">
        <w:t xml:space="preserve">wearables, smart </w:t>
      </w:r>
      <w:r w:rsidR="00960E14" w:rsidRPr="00C429B7">
        <w:t>toys</w:t>
      </w:r>
      <w:r w:rsidR="007E39E9" w:rsidRPr="00C429B7">
        <w:t xml:space="preserve">, smart locks, </w:t>
      </w:r>
      <w:r w:rsidR="00437CEF" w:rsidRPr="00C429B7">
        <w:t xml:space="preserve">and </w:t>
      </w:r>
      <w:r w:rsidR="009A1BEB" w:rsidRPr="00C429B7">
        <w:t>smart speakers</w:t>
      </w:r>
      <w:r w:rsidR="00621D4F">
        <w:t>,</w:t>
      </w:r>
      <w:r w:rsidR="002B064D" w:rsidRPr="00C429B7">
        <w:t xml:space="preserve"> </w:t>
      </w:r>
      <w:r w:rsidR="00A5222B" w:rsidRPr="00C429B7">
        <w:t xml:space="preserve">are transforming </w:t>
      </w:r>
      <w:r w:rsidR="00F472BA" w:rsidRPr="00C429B7">
        <w:t xml:space="preserve">homes. </w:t>
      </w:r>
      <w:r w:rsidR="00A743D3" w:rsidRPr="00C429B7">
        <w:t xml:space="preserve">According to the </w:t>
      </w:r>
      <w:r w:rsidR="001D1553" w:rsidRPr="00C429B7">
        <w:t>IoT</w:t>
      </w:r>
      <w:r w:rsidR="001D1553">
        <w:t xml:space="preserve"> Security Alliance, </w:t>
      </w:r>
      <w:r w:rsidR="00110872">
        <w:t xml:space="preserve"> these devices </w:t>
      </w:r>
      <w:r w:rsidR="00CF3729">
        <w:t xml:space="preserve">are not always designed </w:t>
      </w:r>
      <w:r w:rsidR="003B2B2B">
        <w:t xml:space="preserve">with security in mind, which </w:t>
      </w:r>
      <w:r w:rsidR="00110872">
        <w:t xml:space="preserve">may </w:t>
      </w:r>
      <w:r w:rsidR="001F11D2">
        <w:t xml:space="preserve">leave them at risk of </w:t>
      </w:r>
      <w:r w:rsidR="00FF5A1D">
        <w:t xml:space="preserve">malicious </w:t>
      </w:r>
      <w:r w:rsidR="00FF5A1D" w:rsidRPr="00604709">
        <w:t xml:space="preserve">cyber </w:t>
      </w:r>
      <w:r w:rsidR="00600D42" w:rsidRPr="00604709">
        <w:t>activity</w:t>
      </w:r>
      <w:r w:rsidR="00600D42">
        <w:t>.</w:t>
      </w:r>
      <w:r w:rsidR="001D1553">
        <w:rPr>
          <w:rStyle w:val="FootnoteReference"/>
        </w:rPr>
        <w:footnoteReference w:id="37"/>
      </w:r>
      <w:r w:rsidR="00425CD5">
        <w:t xml:space="preserve"> The interconnection of these products may </w:t>
      </w:r>
      <w:r w:rsidR="00923E8C">
        <w:t xml:space="preserve">lead to increased safety risks to consumers through events such as </w:t>
      </w:r>
      <w:r w:rsidR="00B46CCB">
        <w:t xml:space="preserve">malfunctioning </w:t>
      </w:r>
      <w:r w:rsidR="00B46CCB" w:rsidRPr="00DD424B">
        <w:t>software</w:t>
      </w:r>
      <w:r w:rsidR="001E1394">
        <w:t xml:space="preserve"> or</w:t>
      </w:r>
      <w:r w:rsidR="00B46CCB" w:rsidRPr="00DD424B">
        <w:t xml:space="preserve"> </w:t>
      </w:r>
      <w:r w:rsidR="00B46CCB" w:rsidRPr="00604709">
        <w:t>cybersecurity</w:t>
      </w:r>
      <w:r w:rsidR="00B46CCB" w:rsidRPr="00DD424B">
        <w:t xml:space="preserve"> breach</w:t>
      </w:r>
      <w:r w:rsidR="001E1394">
        <w:t xml:space="preserve">es. </w:t>
      </w:r>
      <w:r w:rsidR="00B46CCB" w:rsidRPr="00DD424B">
        <w:t xml:space="preserve"> </w:t>
      </w:r>
    </w:p>
    <w:p w14:paraId="2114ACC3" w14:textId="1967EAF7" w:rsidR="004837FB" w:rsidRDefault="00FB4213" w:rsidP="0065018B">
      <w:r w:rsidRPr="000F1C01">
        <w:t xml:space="preserve">There is </w:t>
      </w:r>
      <w:r w:rsidR="004676A7" w:rsidRPr="000F1C01">
        <w:t xml:space="preserve">also an </w:t>
      </w:r>
      <w:r w:rsidRPr="000F1C01">
        <w:t xml:space="preserve">expectation from consumers that </w:t>
      </w:r>
      <w:r w:rsidR="003D1D2D" w:rsidRPr="000F1C01">
        <w:t>IoT</w:t>
      </w:r>
      <w:r w:rsidRPr="000F1C01">
        <w:t xml:space="preserve"> devices </w:t>
      </w:r>
      <w:r w:rsidR="006112C8" w:rsidRPr="000F1C01">
        <w:t xml:space="preserve">available to them </w:t>
      </w:r>
      <w:r w:rsidRPr="000F1C01">
        <w:t xml:space="preserve">should </w:t>
      </w:r>
      <w:r w:rsidR="00274F14" w:rsidRPr="000F1C01">
        <w:t>be accessible,</w:t>
      </w:r>
      <w:r w:rsidR="000C46F1">
        <w:t xml:space="preserve"> </w:t>
      </w:r>
      <w:r w:rsidRPr="000F1C01">
        <w:t>have security and safety principles</w:t>
      </w:r>
      <w:r w:rsidR="00F9277F" w:rsidRPr="000F1C01">
        <w:t xml:space="preserve"> (security by design)</w:t>
      </w:r>
      <w:r w:rsidRPr="000F1C01">
        <w:t xml:space="preserve">, protections and processes embedded into their design, </w:t>
      </w:r>
      <w:r w:rsidR="006D42B6" w:rsidRPr="006D42B6">
        <w:t>development,</w:t>
      </w:r>
      <w:r w:rsidRPr="000F1C01">
        <w:t xml:space="preserve"> and deployment.</w:t>
      </w:r>
      <w:r w:rsidR="00CE3BE5">
        <w:rPr>
          <w:rStyle w:val="FootnoteReference"/>
        </w:rPr>
        <w:footnoteReference w:id="38"/>
      </w:r>
      <w:r w:rsidR="00B42F0F" w:rsidRPr="00DD424B">
        <w:t xml:space="preserve"> </w:t>
      </w:r>
      <w:r w:rsidR="00746033">
        <w:t>M</w:t>
      </w:r>
      <w:r w:rsidR="003F310C" w:rsidRPr="000F1C01">
        <w:t xml:space="preserve">anufacturers, </w:t>
      </w:r>
      <w:r w:rsidR="008028F0">
        <w:t>retai</w:t>
      </w:r>
      <w:r w:rsidR="00B87BC1">
        <w:t xml:space="preserve">lers, </w:t>
      </w:r>
      <w:r w:rsidR="003F310C" w:rsidRPr="000F1C01">
        <w:t>suppliers</w:t>
      </w:r>
      <w:r w:rsidR="00E21249" w:rsidRPr="000F1C01">
        <w:t xml:space="preserve">, </w:t>
      </w:r>
      <w:r w:rsidR="00A30D68">
        <w:t xml:space="preserve">software </w:t>
      </w:r>
      <w:r w:rsidR="000B65F1">
        <w:t>developers</w:t>
      </w:r>
      <w:r w:rsidR="00A30D68">
        <w:t xml:space="preserve">, </w:t>
      </w:r>
      <w:r w:rsidR="00E21249" w:rsidRPr="000F1C01">
        <w:t xml:space="preserve">carrier and carriage service providers </w:t>
      </w:r>
      <w:r w:rsidR="00746033">
        <w:t xml:space="preserve">all play an important role </w:t>
      </w:r>
      <w:r w:rsidR="00024BF4">
        <w:t xml:space="preserve">in </w:t>
      </w:r>
      <w:r w:rsidR="00604709">
        <w:t xml:space="preserve">helping to protect </w:t>
      </w:r>
      <w:r w:rsidR="00EE50C7">
        <w:t xml:space="preserve">consumers </w:t>
      </w:r>
      <w:r w:rsidR="00E21249" w:rsidRPr="000F1C01">
        <w:t xml:space="preserve">from security threats </w:t>
      </w:r>
      <w:r w:rsidR="00024BF4">
        <w:t>and</w:t>
      </w:r>
      <w:r w:rsidR="00E21249" w:rsidRPr="000F1C01">
        <w:t xml:space="preserve"> that IoT devices meet minimum security standards.</w:t>
      </w:r>
    </w:p>
    <w:p w14:paraId="2292150A" w14:textId="47D54486" w:rsidR="009639A5" w:rsidRDefault="00845E9B" w:rsidP="0065018B">
      <w:r>
        <w:t xml:space="preserve">Another key challenge is </w:t>
      </w:r>
      <w:r w:rsidR="008E7D27">
        <w:t>the</w:t>
      </w:r>
      <w:r w:rsidR="004837FB" w:rsidRPr="007F5E38">
        <w:t xml:space="preserve"> </w:t>
      </w:r>
      <w:r w:rsidR="003B2E3E" w:rsidRPr="007F5E38">
        <w:t xml:space="preserve">new and complex supply arrangements and relationships </w:t>
      </w:r>
      <w:r w:rsidR="003B2E3E">
        <w:t xml:space="preserve">in the </w:t>
      </w:r>
      <w:r w:rsidR="004837FB" w:rsidRPr="007F5E38">
        <w:t xml:space="preserve">IoT environment. While internet connectivity enables IoT applications, the relationships between consumers and IoT providers </w:t>
      </w:r>
      <w:r w:rsidR="00FD38E8">
        <w:t>are usually separate from</w:t>
      </w:r>
      <w:r w:rsidR="004837FB" w:rsidRPr="007F5E38">
        <w:t xml:space="preserve"> the relationship between the consumer and their broadband service provider. This may create an information asymmetry for consumers due to the complexity of supply chains. </w:t>
      </w:r>
      <w:r w:rsidR="004837FB">
        <w:t xml:space="preserve">It </w:t>
      </w:r>
      <w:r w:rsidR="004837FB" w:rsidRPr="007F5E38">
        <w:t xml:space="preserve">may </w:t>
      </w:r>
      <w:r w:rsidR="004837FB">
        <w:t xml:space="preserve">also </w:t>
      </w:r>
      <w:r w:rsidR="004837FB" w:rsidRPr="007F5E38">
        <w:t>provide challenges for consumers seeking redress when a problem occurs</w:t>
      </w:r>
      <w:r w:rsidR="004837FB">
        <w:t>, along with issues for industry in managing complaints about IoT services</w:t>
      </w:r>
      <w:r w:rsidR="004837FB" w:rsidRPr="007F5E38">
        <w:t xml:space="preserve">. </w:t>
      </w:r>
    </w:p>
    <w:p w14:paraId="0B013A33" w14:textId="48CA3E00" w:rsidR="00EE7464" w:rsidRDefault="005F60FC" w:rsidP="00C542B3">
      <w:pPr>
        <w:pStyle w:val="Paragraphbeforelist"/>
        <w:keepNext/>
        <w:keepLines/>
      </w:pPr>
      <w:r>
        <w:t xml:space="preserve">Importantly, </w:t>
      </w:r>
      <w:r w:rsidR="0033551A">
        <w:t>there are a number of activities underway across the private sector and</w:t>
      </w:r>
      <w:r w:rsidR="0033551A" w:rsidRPr="002D2280">
        <w:t xml:space="preserve"> </w:t>
      </w:r>
      <w:r w:rsidR="0033551A">
        <w:t>government that may help address these issues</w:t>
      </w:r>
      <w:r>
        <w:t>. For example:</w:t>
      </w:r>
    </w:p>
    <w:p w14:paraId="373CF178" w14:textId="769F4C13" w:rsidR="005F60FC" w:rsidRPr="00187724" w:rsidRDefault="005F60FC" w:rsidP="00C542B3">
      <w:pPr>
        <w:pStyle w:val="Bulletlevel1"/>
        <w:keepNext/>
        <w:keepLines/>
      </w:pPr>
      <w:r w:rsidRPr="00187724">
        <w:t xml:space="preserve">The proposed voluntary </w:t>
      </w:r>
      <w:hyperlink r:id="rId40" w:history="1">
        <w:r w:rsidRPr="00187724">
          <w:rPr>
            <w:rStyle w:val="Hyperlink"/>
            <w:szCs w:val="20"/>
          </w:rPr>
          <w:t>Code of Practice</w:t>
        </w:r>
      </w:hyperlink>
      <w:r w:rsidR="008C7E27" w:rsidRPr="00187724">
        <w:rPr>
          <w:rStyle w:val="Hyperlink"/>
          <w:szCs w:val="20"/>
        </w:rPr>
        <w:t>: Securing the Internet of Things for consumers</w:t>
      </w:r>
      <w:r w:rsidRPr="00187724">
        <w:t>, to be administered by the Department of Home Affairs</w:t>
      </w:r>
      <w:r w:rsidR="00263773">
        <w:t>,</w:t>
      </w:r>
      <w:r w:rsidRPr="00187724">
        <w:t xml:space="preserve"> may address privacy and security issues associated with IoT. This proposed </w:t>
      </w:r>
      <w:r w:rsidR="00263773">
        <w:t>c</w:t>
      </w:r>
      <w:r w:rsidRPr="00187724">
        <w:t xml:space="preserve">ode of </w:t>
      </w:r>
      <w:r w:rsidR="00263773">
        <w:t>p</w:t>
      </w:r>
      <w:r w:rsidRPr="00187724">
        <w:t>ractice is a voluntary suite of measures that the Australian Government recommend</w:t>
      </w:r>
      <w:r w:rsidR="000042B8">
        <w:t>ed</w:t>
      </w:r>
      <w:r w:rsidRPr="00187724">
        <w:t xml:space="preserve"> for industry as the standard for IoT devices. The </w:t>
      </w:r>
      <w:r w:rsidR="00263773">
        <w:t>c</w:t>
      </w:r>
      <w:r w:rsidRPr="00187724">
        <w:t xml:space="preserve">ode of </w:t>
      </w:r>
      <w:r w:rsidR="00263773">
        <w:t>p</w:t>
      </w:r>
      <w:r w:rsidRPr="00187724">
        <w:t xml:space="preserve">ractice will also help raise awareness of security safeguards associated with IoT devices, build greater consumer confidence in IoT technology and allow Australia to reap the economic and social benefits of greater IoT adoption. </w:t>
      </w:r>
    </w:p>
    <w:p w14:paraId="6676053A" w14:textId="788F7B28" w:rsidR="000042B8" w:rsidRDefault="007C583A" w:rsidP="00935316">
      <w:pPr>
        <w:pStyle w:val="Bulletlevel1"/>
      </w:pPr>
      <w:r w:rsidRPr="00187724">
        <w:t xml:space="preserve">The Australian Government’s </w:t>
      </w:r>
      <w:hyperlink r:id="rId41" w:history="1">
        <w:r w:rsidRPr="00187724">
          <w:rPr>
            <w:rStyle w:val="Hyperlink"/>
            <w:szCs w:val="20"/>
          </w:rPr>
          <w:t>Response and Implementation Roadmap for the Digital Platforms Enquiry</w:t>
        </w:r>
      </w:hyperlink>
      <w:r w:rsidRPr="00187724">
        <w:t xml:space="preserve"> </w:t>
      </w:r>
      <w:r w:rsidR="00A77D5B">
        <w:t>commits</w:t>
      </w:r>
      <w:r w:rsidR="00795ED4" w:rsidRPr="00A77D5B">
        <w:t xml:space="preserve"> to </w:t>
      </w:r>
      <w:r w:rsidR="00A77D5B" w:rsidRPr="00A77D5B">
        <w:t>ensur</w:t>
      </w:r>
      <w:r w:rsidR="00A77D5B">
        <w:t>ing</w:t>
      </w:r>
      <w:r w:rsidR="00A77D5B" w:rsidRPr="00A77D5B">
        <w:t xml:space="preserve"> </w:t>
      </w:r>
      <w:r w:rsidR="001C6344" w:rsidRPr="00A77D5B">
        <w:t xml:space="preserve">privacy settings empower consumers </w:t>
      </w:r>
      <w:r w:rsidR="00A77D5B">
        <w:t xml:space="preserve">and </w:t>
      </w:r>
      <w:r w:rsidR="001C6344" w:rsidRPr="00A77D5B">
        <w:t>protect</w:t>
      </w:r>
      <w:r w:rsidR="00A77D5B">
        <w:t>s</w:t>
      </w:r>
      <w:r w:rsidR="001C6344" w:rsidRPr="00A77D5B">
        <w:t xml:space="preserve"> their data</w:t>
      </w:r>
      <w:r w:rsidR="008B3825" w:rsidRPr="00A77D5B">
        <w:t>.</w:t>
      </w:r>
      <w:r w:rsidR="008B3825" w:rsidRPr="00187724">
        <w:t xml:space="preserve"> The Implementation </w:t>
      </w:r>
      <w:r w:rsidR="00A77D5B">
        <w:t>r</w:t>
      </w:r>
      <w:r w:rsidR="008B3825" w:rsidRPr="00187724">
        <w:t xml:space="preserve">oadmap </w:t>
      </w:r>
      <w:r w:rsidR="00A77D5B">
        <w:t>also o</w:t>
      </w:r>
      <w:r w:rsidR="008B3825" w:rsidRPr="00187724">
        <w:t>utlines plans to implement a</w:t>
      </w:r>
      <w:r w:rsidR="00B6480E" w:rsidRPr="00187724">
        <w:t xml:space="preserve">n online privacy code and conduct a review of the </w:t>
      </w:r>
      <w:r w:rsidR="00B6480E" w:rsidRPr="005901ED">
        <w:rPr>
          <w:i/>
          <w:iCs/>
        </w:rPr>
        <w:t>Privacy Act</w:t>
      </w:r>
      <w:r w:rsidR="00A77D5B" w:rsidRPr="005901ED">
        <w:rPr>
          <w:i/>
          <w:iCs/>
        </w:rPr>
        <w:t xml:space="preserve"> 1988</w:t>
      </w:r>
      <w:r w:rsidR="00B6480E" w:rsidRPr="00187724">
        <w:t xml:space="preserve">. </w:t>
      </w:r>
    </w:p>
    <w:p w14:paraId="558A19D5" w14:textId="0DE3A35C" w:rsidR="004C29DB" w:rsidRDefault="000042B8" w:rsidP="005901ED">
      <w:pPr>
        <w:pStyle w:val="Bulletlevel1"/>
      </w:pPr>
      <w:r>
        <w:t>T</w:t>
      </w:r>
      <w:r w:rsidR="005F60FC" w:rsidRPr="00187724">
        <w:t xml:space="preserve">he Australian Government’s </w:t>
      </w:r>
      <w:hyperlink r:id="rId42" w:history="1">
        <w:r w:rsidR="002C49C8" w:rsidRPr="00187724">
          <w:rPr>
            <w:rStyle w:val="Hyperlink"/>
            <w:szCs w:val="20"/>
          </w:rPr>
          <w:t>2020 C</w:t>
        </w:r>
        <w:r w:rsidR="005F60FC" w:rsidRPr="00187724">
          <w:rPr>
            <w:rStyle w:val="Hyperlink"/>
            <w:szCs w:val="20"/>
          </w:rPr>
          <w:t>yber Security Strategy</w:t>
        </w:r>
      </w:hyperlink>
      <w:r w:rsidR="005F60FC" w:rsidRPr="00187724">
        <w:t xml:space="preserve">, administered by the Department of Home Affairs, is actively working towards developing stronger cyber defences to detect, deter and respond to cyber threats </w:t>
      </w:r>
      <w:r w:rsidR="00DD3739">
        <w:t>to encourage</w:t>
      </w:r>
      <w:r w:rsidR="005F60FC" w:rsidRPr="00187724">
        <w:t xml:space="preserve"> a cyber</w:t>
      </w:r>
      <w:r w:rsidR="00DD3739">
        <w:t>-</w:t>
      </w:r>
      <w:r w:rsidR="005F60FC" w:rsidRPr="00187724">
        <w:t xml:space="preserve">smart nation. </w:t>
      </w:r>
    </w:p>
    <w:p w14:paraId="38085CAA" w14:textId="709F6F74" w:rsidR="005F60FC" w:rsidRPr="00187724" w:rsidRDefault="005F60FC" w:rsidP="005901ED">
      <w:pPr>
        <w:pStyle w:val="Bulletlevel1"/>
      </w:pPr>
      <w:r w:rsidRPr="00187724">
        <w:t>The Stay Smart Online Program funded by the Australian Government and delivered by the Australian Cyber Security Centre, provides easy to understand online security advice on various topics</w:t>
      </w:r>
      <w:r w:rsidR="00DD3739">
        <w:t>,</w:t>
      </w:r>
      <w:r w:rsidRPr="00187724">
        <w:t xml:space="preserve"> including </w:t>
      </w:r>
      <w:hyperlink r:id="rId43" w:history="1">
        <w:r w:rsidRPr="00187724">
          <w:rPr>
            <w:rStyle w:val="Hyperlink"/>
            <w:szCs w:val="20"/>
          </w:rPr>
          <w:t>IoT</w:t>
        </w:r>
      </w:hyperlink>
      <w:r w:rsidRPr="00187724">
        <w:t>.</w:t>
      </w:r>
    </w:p>
    <w:p w14:paraId="16EB7BEF" w14:textId="7FA91F72" w:rsidR="00566333" w:rsidRPr="00187724" w:rsidRDefault="00165FCC" w:rsidP="005901ED">
      <w:pPr>
        <w:pStyle w:val="Bulletlevel1"/>
        <w:rPr>
          <w:szCs w:val="20"/>
        </w:rPr>
      </w:pPr>
      <w:r w:rsidRPr="00187724">
        <w:rPr>
          <w:szCs w:val="20"/>
        </w:rPr>
        <w:lastRenderedPageBreak/>
        <w:t xml:space="preserve">The ACMA notes initiatives by the IoT Alliance Australia to foster an </w:t>
      </w:r>
      <w:hyperlink r:id="rId44" w:history="1">
        <w:r w:rsidRPr="00187724">
          <w:rPr>
            <w:rStyle w:val="Hyperlink"/>
            <w:szCs w:val="20"/>
          </w:rPr>
          <w:t>industry self-regulatory response</w:t>
        </w:r>
      </w:hyperlink>
      <w:r w:rsidRPr="00187724">
        <w:rPr>
          <w:szCs w:val="20"/>
        </w:rPr>
        <w:t xml:space="preserve"> to potential security issues. This suggests a degree of alignment between industry and consumer interests that may help mitigate the risk of consumer harms arising from expansion of IoT. </w:t>
      </w:r>
    </w:p>
    <w:p w14:paraId="544A4D64" w14:textId="16284DAE" w:rsidR="003D64D6" w:rsidRPr="00187724" w:rsidRDefault="00C60680" w:rsidP="005901ED">
      <w:pPr>
        <w:pStyle w:val="Bulletlevel1"/>
      </w:pPr>
      <w:r w:rsidRPr="00187724">
        <w:rPr>
          <w:lang w:eastAsia="en-US"/>
        </w:rPr>
        <w:t>The ACCC</w:t>
      </w:r>
      <w:r w:rsidR="00C40C96" w:rsidRPr="00187724">
        <w:rPr>
          <w:lang w:eastAsia="en-US"/>
        </w:rPr>
        <w:t xml:space="preserve">’s </w:t>
      </w:r>
      <w:hyperlink r:id="rId45" w:history="1">
        <w:r w:rsidR="00C40C96" w:rsidRPr="00187724">
          <w:rPr>
            <w:rStyle w:val="Hyperlink"/>
            <w:szCs w:val="20"/>
            <w:lang w:eastAsia="en-US"/>
          </w:rPr>
          <w:t>Product Safety Australia</w:t>
        </w:r>
      </w:hyperlink>
      <w:r w:rsidR="008E057B" w:rsidRPr="00187724">
        <w:rPr>
          <w:color w:val="1F497D"/>
          <w:lang w:eastAsia="en-US"/>
        </w:rPr>
        <w:t xml:space="preserve"> </w:t>
      </w:r>
      <w:r w:rsidR="00401C08" w:rsidRPr="00187724">
        <w:rPr>
          <w:lang w:eastAsia="en-US"/>
        </w:rPr>
        <w:t xml:space="preserve">provides consumer information on interconnected devices, </w:t>
      </w:r>
      <w:r w:rsidR="006A6865" w:rsidRPr="00187724">
        <w:rPr>
          <w:lang w:eastAsia="en-US"/>
        </w:rPr>
        <w:t>which includes buying tips for consumers</w:t>
      </w:r>
      <w:r w:rsidR="00333392" w:rsidRPr="00187724">
        <w:rPr>
          <w:lang w:eastAsia="en-US"/>
        </w:rPr>
        <w:t xml:space="preserve">, safety tips and </w:t>
      </w:r>
      <w:r w:rsidR="00891205" w:rsidRPr="00187724">
        <w:rPr>
          <w:lang w:eastAsia="en-US"/>
        </w:rPr>
        <w:t xml:space="preserve">publishes </w:t>
      </w:r>
      <w:r w:rsidR="00401C08" w:rsidRPr="00187724">
        <w:rPr>
          <w:lang w:eastAsia="en-US"/>
        </w:rPr>
        <w:t xml:space="preserve">product safety recalls. </w:t>
      </w:r>
      <w:r w:rsidR="00C40C96" w:rsidRPr="00187724">
        <w:rPr>
          <w:lang w:eastAsia="en-US"/>
        </w:rPr>
        <w:t xml:space="preserve"> </w:t>
      </w:r>
    </w:p>
    <w:p w14:paraId="1E448DC6" w14:textId="62ABCF18" w:rsidR="00826795" w:rsidRPr="00187724" w:rsidRDefault="00826795" w:rsidP="005901ED">
      <w:pPr>
        <w:pStyle w:val="Bulletlevel1"/>
      </w:pPr>
      <w:r w:rsidRPr="00187724">
        <w:t xml:space="preserve">The </w:t>
      </w:r>
      <w:r w:rsidR="006F6850" w:rsidRPr="00187724">
        <w:t>e</w:t>
      </w:r>
      <w:r w:rsidRPr="00187724">
        <w:t xml:space="preserve">Safety Commissioner provides safety tips for consumers on the </w:t>
      </w:r>
      <w:hyperlink r:id="rId46" w:history="1">
        <w:r w:rsidRPr="00187724">
          <w:rPr>
            <w:rStyle w:val="Hyperlink"/>
            <w:szCs w:val="20"/>
          </w:rPr>
          <w:t>safe use of wearable devices</w:t>
        </w:r>
      </w:hyperlink>
      <w:r w:rsidR="00147B68">
        <w:t>,</w:t>
      </w:r>
      <w:r w:rsidR="008304F6" w:rsidRPr="00187724">
        <w:t xml:space="preserve"> </w:t>
      </w:r>
      <w:r w:rsidR="00147B68" w:rsidRPr="00187724">
        <w:t>includ</w:t>
      </w:r>
      <w:r w:rsidR="00147B68">
        <w:t>ing</w:t>
      </w:r>
      <w:r w:rsidR="00147B68" w:rsidRPr="00187724">
        <w:t xml:space="preserve"> </w:t>
      </w:r>
      <w:r w:rsidR="008304F6" w:rsidRPr="00187724">
        <w:t xml:space="preserve">information on potential risks </w:t>
      </w:r>
      <w:r w:rsidR="00D57A7F" w:rsidRPr="00187724">
        <w:t xml:space="preserve">and </w:t>
      </w:r>
      <w:r w:rsidR="00967C01" w:rsidRPr="00187724">
        <w:t xml:space="preserve">tips on how to mitigate </w:t>
      </w:r>
      <w:r w:rsidR="00493FF6" w:rsidRPr="00187724">
        <w:t xml:space="preserve">these </w:t>
      </w:r>
      <w:r w:rsidR="00967C01" w:rsidRPr="00187724">
        <w:t>risk</w:t>
      </w:r>
      <w:r w:rsidR="00101EB4" w:rsidRPr="00187724">
        <w:t xml:space="preserve">s </w:t>
      </w:r>
    </w:p>
    <w:p w14:paraId="33D7B7F5" w14:textId="4972F936" w:rsidR="005F60FC" w:rsidRPr="006209F1" w:rsidRDefault="00FA2E7B" w:rsidP="00AE3375">
      <w:pPr>
        <w:pStyle w:val="Bulletlevel1last"/>
        <w:rPr>
          <w:szCs w:val="20"/>
        </w:rPr>
      </w:pPr>
      <w:r w:rsidRPr="00187724">
        <w:t xml:space="preserve">The </w:t>
      </w:r>
      <w:r w:rsidR="006F6850" w:rsidRPr="00187724">
        <w:t>e</w:t>
      </w:r>
      <w:r w:rsidR="005B1307" w:rsidRPr="00187724">
        <w:t>Safety Commissioner has also developed</w:t>
      </w:r>
      <w:r w:rsidRPr="00187724">
        <w:t xml:space="preserve"> </w:t>
      </w:r>
      <w:hyperlink r:id="rId47" w:history="1">
        <w:r w:rsidR="00B57A5E" w:rsidRPr="00187724">
          <w:rPr>
            <w:rStyle w:val="Hyperlink"/>
          </w:rPr>
          <w:t>Safety by Design</w:t>
        </w:r>
        <w:r w:rsidR="005F3344" w:rsidRPr="00187724">
          <w:rPr>
            <w:rStyle w:val="Hyperlink"/>
          </w:rPr>
          <w:t xml:space="preserve"> (SbD)</w:t>
        </w:r>
        <w:r w:rsidR="00B57A5E" w:rsidRPr="00187724">
          <w:rPr>
            <w:rStyle w:val="Hyperlink"/>
          </w:rPr>
          <w:t xml:space="preserve"> principles</w:t>
        </w:r>
      </w:hyperlink>
      <w:r w:rsidR="005B1307" w:rsidRPr="00187724">
        <w:t xml:space="preserve"> in 2019. </w:t>
      </w:r>
      <w:r w:rsidR="005F3344" w:rsidRPr="00187724">
        <w:t xml:space="preserve">SbD </w:t>
      </w:r>
      <w:r w:rsidR="00147B68" w:rsidRPr="00187724">
        <w:t xml:space="preserve">provide a model template for industry </w:t>
      </w:r>
      <w:r w:rsidR="00147B68">
        <w:t xml:space="preserve">and </w:t>
      </w:r>
      <w:r w:rsidR="005F3344" w:rsidRPr="00187724">
        <w:t xml:space="preserve">places the safety and rights of users at the centre of the design, development and deployment of online products and services. </w:t>
      </w:r>
    </w:p>
    <w:p w14:paraId="75B8EF71" w14:textId="15E306A1" w:rsidR="005F60FC" w:rsidRDefault="005F60FC" w:rsidP="005F60FC">
      <w:r w:rsidRPr="007F5E38">
        <w:t xml:space="preserve">The ACMA </w:t>
      </w:r>
      <w:r>
        <w:t xml:space="preserve">will continue to </w:t>
      </w:r>
      <w:r w:rsidR="0051650F">
        <w:t xml:space="preserve">monitor and </w:t>
      </w:r>
      <w:r>
        <w:t xml:space="preserve">evaluate </w:t>
      </w:r>
      <w:r w:rsidR="0051650F">
        <w:t xml:space="preserve">any new vulnerabilities for consumers or industry resulting from </w:t>
      </w:r>
      <w:r>
        <w:t>IoT use in Australia. How IoT is interacting with the current consumer safeguards, such as interoperability of network devices, access to emergency services, privacy</w:t>
      </w:r>
      <w:r w:rsidR="00FA3991">
        <w:t>,</w:t>
      </w:r>
      <w:r>
        <w:t xml:space="preserve"> and health and safety requirements is also being monitored. These issues may be heightened as IoT devices are increasingly adopted by a broader range of consumers.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CFAFC"/>
        <w:tblLook w:val="04A0" w:firstRow="1" w:lastRow="0" w:firstColumn="1" w:lastColumn="0" w:noHBand="0" w:noVBand="1"/>
      </w:tblPr>
      <w:tblGrid>
        <w:gridCol w:w="1214"/>
        <w:gridCol w:w="6457"/>
      </w:tblGrid>
      <w:tr w:rsidR="003B02BC" w14:paraId="25CF11FA" w14:textId="77777777" w:rsidTr="00D76338">
        <w:trPr>
          <w:cantSplit/>
        </w:trPr>
        <w:tc>
          <w:tcPr>
            <w:tcW w:w="562" w:type="dxa"/>
            <w:shd w:val="clear" w:color="auto" w:fill="FCFAFC"/>
          </w:tcPr>
          <w:p w14:paraId="25F98F9F" w14:textId="2EC72487" w:rsidR="003B02BC" w:rsidRDefault="003B02BC" w:rsidP="00D76338">
            <w:pPr>
              <w:spacing w:before="120"/>
            </w:pPr>
            <w:r>
              <w:rPr>
                <w:noProof/>
              </w:rPr>
              <w:drawing>
                <wp:inline distT="0" distB="0" distL="0" distR="0" wp14:anchorId="28D129A2" wp14:editId="734DA5D3">
                  <wp:extent cx="633909" cy="633909"/>
                  <wp:effectExtent l="0" t="0" r="0" b="0"/>
                  <wp:docPr id="4" name="Graphic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agnifyingglass_m.svg"/>
                          <pic:cNvPicPr/>
                        </pic:nvPicPr>
                        <pic:blipFill>
                          <a:blip r:embed="rId48"/>
                          <a:stretch>
                            <a:fillRect/>
                          </a:stretch>
                        </pic:blipFill>
                        <pic:spPr>
                          <a:xfrm flipH="1">
                            <a:off x="0" y="0"/>
                            <a:ext cx="643407" cy="643407"/>
                          </a:xfrm>
                          <a:prstGeom prst="rect">
                            <a:avLst/>
                          </a:prstGeom>
                        </pic:spPr>
                      </pic:pic>
                    </a:graphicData>
                  </a:graphic>
                </wp:inline>
              </w:drawing>
            </w:r>
          </w:p>
        </w:tc>
        <w:tc>
          <w:tcPr>
            <w:tcW w:w="7099" w:type="dxa"/>
            <w:shd w:val="clear" w:color="auto" w:fill="FCFAFC"/>
          </w:tcPr>
          <w:p w14:paraId="63C48ADC" w14:textId="103EE3E0" w:rsidR="003B02BC" w:rsidRPr="003B02BC" w:rsidRDefault="003B02BC" w:rsidP="00D76338">
            <w:pPr>
              <w:pStyle w:val="Paragraph"/>
              <w:spacing w:before="120" w:after="120"/>
              <w:rPr>
                <w:b/>
                <w:bCs/>
              </w:rPr>
            </w:pPr>
            <w:r w:rsidRPr="003B02BC">
              <w:rPr>
                <w:b/>
                <w:bCs/>
                <w:i/>
                <w:iCs/>
              </w:rPr>
              <w:t>IoT bytes</w:t>
            </w:r>
            <w:r w:rsidRPr="003B02BC">
              <w:rPr>
                <w:b/>
                <w:bCs/>
              </w:rPr>
              <w:t>—</w:t>
            </w:r>
            <w:r w:rsidR="00CC52FC">
              <w:rPr>
                <w:b/>
                <w:bCs/>
              </w:rPr>
              <w:t>D</w:t>
            </w:r>
            <w:r w:rsidRPr="003B02BC">
              <w:rPr>
                <w:b/>
                <w:bCs/>
              </w:rPr>
              <w:t>igital literacy</w:t>
            </w:r>
          </w:p>
          <w:p w14:paraId="06100BA1" w14:textId="4A41D944" w:rsidR="003B02BC" w:rsidRDefault="003B02BC" w:rsidP="003B02BC">
            <w:pPr>
              <w:pStyle w:val="Paragraph"/>
              <w:spacing w:after="120"/>
            </w:pPr>
            <w:r>
              <w:t xml:space="preserve">While IoT delivers significant benefits to consumers, it is also posing unique challenges. IoT devices change the concept of a physical object being in the complete control of the individual, as the device connects to the digital world. This creates new challenges such as privacy, security and safety. </w:t>
            </w:r>
          </w:p>
          <w:p w14:paraId="720786E6" w14:textId="5D0488FB" w:rsidR="003B02BC" w:rsidRDefault="003B02BC" w:rsidP="00D76338">
            <w:pPr>
              <w:pStyle w:val="Paragraph"/>
            </w:pPr>
            <w:r w:rsidRPr="00D17E4F">
              <w:t>Vulnerabilities in a connected device could potentially compromise an entire home network. IoT devices may have insecure default passwords</w:t>
            </w:r>
            <w:r>
              <w:t>,</w:t>
            </w:r>
            <w:r w:rsidRPr="00D17E4F">
              <w:t xml:space="preserve"> which may leave them vulnerable to cyber-attacks. The scale of data collected by IoT devices, when analysed </w:t>
            </w:r>
            <w:r>
              <w:t>alongside</w:t>
            </w:r>
            <w:r w:rsidRPr="00D17E4F">
              <w:t xml:space="preserve"> other information</w:t>
            </w:r>
            <w:r>
              <w:t>,</w:t>
            </w:r>
            <w:r w:rsidRPr="00D17E4F">
              <w:t xml:space="preserve"> could reveal personal information and preferences</w:t>
            </w:r>
            <w:r>
              <w:t>, which</w:t>
            </w:r>
            <w:r w:rsidRPr="00D17E4F">
              <w:t xml:space="preserve"> may pose difficulties for consumers in managing their data privacy. While there is work being done to enable industry to address these concerns (such as the proposed </w:t>
            </w:r>
            <w:hyperlink r:id="rId49" w:history="1">
              <w:r w:rsidR="009B38E8">
                <w:rPr>
                  <w:rStyle w:val="Hyperlink"/>
                </w:rPr>
                <w:t>IoT code of practice</w:t>
              </w:r>
            </w:hyperlink>
            <w:r w:rsidRPr="00D17E4F">
              <w:t>), consumers may need to be supported in understan</w:t>
            </w:r>
            <w:r>
              <w:t xml:space="preserve">ding these issues, and actions taken by industry to address them. Improved digital literacy for </w:t>
            </w:r>
            <w:r w:rsidRPr="00D17E4F">
              <w:t xml:space="preserve">consumers could also help address this information asymmetry. </w:t>
            </w:r>
          </w:p>
        </w:tc>
      </w:tr>
    </w:tbl>
    <w:p w14:paraId="75527314" w14:textId="3207571C" w:rsidR="005F60FC" w:rsidRPr="00290430" w:rsidRDefault="005F60FC" w:rsidP="00D76338">
      <w:pPr>
        <w:spacing w:before="120"/>
        <w:rPr>
          <w:rFonts w:cs="Arial"/>
          <w:szCs w:val="20"/>
        </w:rPr>
      </w:pPr>
      <w:r w:rsidRPr="00D17E4F">
        <w:rPr>
          <w:rFonts w:cs="Arial"/>
          <w:szCs w:val="20"/>
          <w:shd w:val="clear" w:color="auto" w:fill="FFFFFF"/>
        </w:rPr>
        <w:t xml:space="preserve">The ACMA will continue its work with government, industry and consumer groups to </w:t>
      </w:r>
      <w:r w:rsidR="00D17E4F" w:rsidRPr="00D17E4F">
        <w:rPr>
          <w:rFonts w:cs="Arial"/>
          <w:szCs w:val="20"/>
          <w:shd w:val="clear" w:color="auto" w:fill="FFFFFF"/>
        </w:rPr>
        <w:t xml:space="preserve">consider </w:t>
      </w:r>
      <w:r w:rsidR="00D17E4F">
        <w:rPr>
          <w:rFonts w:cs="Arial"/>
          <w:szCs w:val="20"/>
          <w:shd w:val="clear" w:color="auto" w:fill="FFFFFF"/>
        </w:rPr>
        <w:t xml:space="preserve">and implement </w:t>
      </w:r>
      <w:r w:rsidR="00D17E4F" w:rsidRPr="00D17E4F">
        <w:rPr>
          <w:rFonts w:cs="Arial"/>
          <w:szCs w:val="20"/>
          <w:shd w:val="clear" w:color="auto" w:fill="FFFFFF"/>
        </w:rPr>
        <w:t xml:space="preserve">suitable regulation </w:t>
      </w:r>
      <w:r w:rsidR="003E1B43" w:rsidRPr="00D17E4F">
        <w:rPr>
          <w:rFonts w:cs="Arial"/>
          <w:szCs w:val="20"/>
          <w:shd w:val="clear" w:color="auto" w:fill="FFFFFF"/>
        </w:rPr>
        <w:t>for</w:t>
      </w:r>
      <w:r w:rsidRPr="00D17E4F">
        <w:rPr>
          <w:rFonts w:cs="Arial"/>
          <w:szCs w:val="20"/>
          <w:shd w:val="clear" w:color="auto" w:fill="FFFFFF"/>
        </w:rPr>
        <w:t xml:space="preserve"> the industry. This could take the form of </w:t>
      </w:r>
      <w:r w:rsidR="003E1B43" w:rsidRPr="00D17E4F">
        <w:rPr>
          <w:rFonts w:cs="Arial"/>
          <w:szCs w:val="20"/>
          <w:shd w:val="clear" w:color="auto" w:fill="FFFFFF"/>
        </w:rPr>
        <w:t xml:space="preserve">retaining </w:t>
      </w:r>
      <w:r w:rsidRPr="00D17E4F">
        <w:rPr>
          <w:rFonts w:cs="Arial"/>
          <w:szCs w:val="20"/>
          <w:shd w:val="clear" w:color="auto" w:fill="FFFFFF"/>
        </w:rPr>
        <w:t>existing regulation to further enable Australian businesses and consumers to benefit from IoT, or, over the</w:t>
      </w:r>
      <w:r>
        <w:rPr>
          <w:rFonts w:cs="Arial"/>
          <w:szCs w:val="20"/>
          <w:shd w:val="clear" w:color="auto" w:fill="FFFFFF"/>
        </w:rPr>
        <w:t xml:space="preserve"> long</w:t>
      </w:r>
      <w:r w:rsidR="00D17E4F">
        <w:rPr>
          <w:rFonts w:cs="Arial"/>
          <w:szCs w:val="20"/>
          <w:shd w:val="clear" w:color="auto" w:fill="FFFFFF"/>
        </w:rPr>
        <w:t>-</w:t>
      </w:r>
      <w:r>
        <w:rPr>
          <w:rFonts w:cs="Arial"/>
          <w:szCs w:val="20"/>
          <w:shd w:val="clear" w:color="auto" w:fill="FFFFFF"/>
        </w:rPr>
        <w:t xml:space="preserve">term, </w:t>
      </w:r>
      <w:r w:rsidR="00D17E4F">
        <w:rPr>
          <w:rFonts w:cs="Arial"/>
          <w:szCs w:val="20"/>
          <w:shd w:val="clear" w:color="auto" w:fill="FFFFFF"/>
        </w:rPr>
        <w:t xml:space="preserve">introduce </w:t>
      </w:r>
      <w:r w:rsidRPr="00074BFD">
        <w:rPr>
          <w:rFonts w:cs="Arial"/>
          <w:szCs w:val="20"/>
          <w:shd w:val="clear" w:color="auto" w:fill="FFFFFF"/>
        </w:rPr>
        <w:t>new regulation related to the connectivity of IoT devices, the data captured and the security standards of the devices themselves</w:t>
      </w:r>
      <w:r w:rsidR="009F7BF0">
        <w:rPr>
          <w:rFonts w:cs="Arial"/>
          <w:szCs w:val="20"/>
          <w:shd w:val="clear" w:color="auto" w:fill="FFFFFF"/>
        </w:rPr>
        <w:t>,</w:t>
      </w:r>
      <w:r>
        <w:rPr>
          <w:rFonts w:cs="Arial"/>
          <w:szCs w:val="20"/>
          <w:shd w:val="clear" w:color="auto" w:fill="FFFFFF"/>
        </w:rPr>
        <w:t xml:space="preserve"> if current arrangements prove to be no longer fit for purpose</w:t>
      </w:r>
      <w:r w:rsidRPr="00074BFD">
        <w:rPr>
          <w:rFonts w:cs="Arial"/>
          <w:szCs w:val="20"/>
          <w:shd w:val="clear" w:color="auto" w:fill="FFFFFF"/>
        </w:rPr>
        <w:t>.</w:t>
      </w:r>
    </w:p>
    <w:p w14:paraId="27B7BBC8" w14:textId="77777777" w:rsidR="005F60FC" w:rsidRDefault="005F60FC" w:rsidP="005F60FC">
      <w:pPr>
        <w:pStyle w:val="ACMANormalTabbed"/>
      </w:pPr>
    </w:p>
    <w:p w14:paraId="4EAB9F1A" w14:textId="77777777" w:rsidR="005F60FC" w:rsidRDefault="005F60FC" w:rsidP="005F60FC">
      <w:pPr>
        <w:pStyle w:val="ACMANormalTabbed"/>
      </w:pPr>
    </w:p>
    <w:p w14:paraId="2903922C" w14:textId="321588FE" w:rsidR="005F60FC" w:rsidRPr="00C019D4" w:rsidRDefault="005F60FC" w:rsidP="005F60FC">
      <w:pPr>
        <w:pStyle w:val="Heading1"/>
      </w:pPr>
      <w:bookmarkStart w:id="28" w:name="_Toc31371631"/>
      <w:bookmarkStart w:id="29" w:name="_Toc46335087"/>
      <w:r w:rsidRPr="00C019D4">
        <w:lastRenderedPageBreak/>
        <w:t>Regulatory settings</w:t>
      </w:r>
      <w:r w:rsidR="002F3B21">
        <w:t xml:space="preserve"> and supportive tools</w:t>
      </w:r>
      <w:r w:rsidRPr="00C019D4">
        <w:t xml:space="preserve"> for IoT</w:t>
      </w:r>
      <w:bookmarkEnd w:id="28"/>
      <w:bookmarkEnd w:id="29"/>
    </w:p>
    <w:p w14:paraId="43AE090F" w14:textId="5464FF3C" w:rsidR="009A01EC" w:rsidRDefault="005F60FC" w:rsidP="005F60FC">
      <w:pPr>
        <w:pStyle w:val="Paragraph"/>
      </w:pPr>
      <w:r w:rsidRPr="00C80576">
        <w:t>IoT has</w:t>
      </w:r>
      <w:r w:rsidR="008E6000">
        <w:t>, in general,</w:t>
      </w:r>
      <w:r w:rsidRPr="00C80576">
        <w:t xml:space="preserve"> been successfully encompassed within </w:t>
      </w:r>
      <w:r w:rsidR="004D035D">
        <w:t xml:space="preserve">the ACMA’s </w:t>
      </w:r>
      <w:r w:rsidRPr="00C80576">
        <w:t>current media and communications regulatory arrangements. This is evidenced by market growth in IoT</w:t>
      </w:r>
      <w:r w:rsidR="004D035D">
        <w:t>,</w:t>
      </w:r>
      <w:r w:rsidRPr="00C80576">
        <w:t xml:space="preserve"> along with the growth in Australian households adopting this technology. Our current settings appear to be well</w:t>
      </w:r>
      <w:r w:rsidR="004D035D">
        <w:t>-</w:t>
      </w:r>
      <w:r w:rsidRPr="00C80576">
        <w:t xml:space="preserve">suited to deal with the immediate issues identified in this </w:t>
      </w:r>
      <w:r>
        <w:t>pape</w:t>
      </w:r>
      <w:r w:rsidR="00536223">
        <w:t>r that are within our remit</w:t>
      </w:r>
      <w:r w:rsidRPr="00C80576">
        <w:t>.</w:t>
      </w:r>
      <w:r w:rsidR="00041871">
        <w:t xml:space="preserve"> </w:t>
      </w:r>
    </w:p>
    <w:p w14:paraId="0912F350" w14:textId="3FAD0F0C" w:rsidR="00CC52FC" w:rsidRPr="003B02BC" w:rsidRDefault="004D035D" w:rsidP="00CC52FC">
      <w:pPr>
        <w:pStyle w:val="Paragraph"/>
        <w:spacing w:after="120"/>
        <w:rPr>
          <w:b/>
          <w:bCs/>
          <w:i/>
          <w:iCs/>
        </w:rPr>
      </w:pPr>
      <w:r>
        <w:t>However</w:t>
      </w:r>
      <w:r w:rsidR="000722AD">
        <w:t>, as the IoT market continues to expand within Australia and evolve in new ways</w:t>
      </w:r>
      <w:r>
        <w:t>,</w:t>
      </w:r>
      <w:r w:rsidR="000722AD">
        <w:t xml:space="preserve"> unforeseen regulatory issues may emerge. </w:t>
      </w:r>
      <w:r>
        <w:t>We</w:t>
      </w:r>
      <w:r w:rsidR="000722AD">
        <w:t xml:space="preserve"> will continue to monitor IoT developments and outcomes to ensure our regulatory settings remain fit</w:t>
      </w:r>
      <w:r>
        <w:t xml:space="preserve"> </w:t>
      </w:r>
      <w:r w:rsidR="000722AD">
        <w:t>for</w:t>
      </w:r>
      <w:r>
        <w:t xml:space="preserve"> </w:t>
      </w:r>
      <w:r w:rsidR="000722AD">
        <w:t>purpose.</w:t>
      </w:r>
      <w:r>
        <w:t xml:space="preserve"> </w:t>
      </w:r>
    </w:p>
    <w:p w14:paraId="148C6E04" w14:textId="3A7F763A" w:rsidR="005F60FC" w:rsidRPr="005901ED" w:rsidRDefault="00CC52FC" w:rsidP="005901ED">
      <w:pPr>
        <w:pStyle w:val="Paragraph"/>
        <w:rPr>
          <w:b/>
          <w:bCs/>
        </w:rPr>
      </w:pPr>
      <w:r w:rsidRPr="005901ED">
        <w:rPr>
          <w:i/>
          <w:iCs/>
        </w:rPr>
        <w:t>IoT bytes</w:t>
      </w:r>
      <w:r w:rsidRPr="005901ED">
        <w:t>—</w:t>
      </w:r>
      <w:r w:rsidRPr="005901ED">
        <w:rPr>
          <w:i/>
          <w:iCs/>
        </w:rPr>
        <w:t>Adapting regulatory settings to IoT</w:t>
      </w:r>
      <w:r>
        <w:rPr>
          <w:b/>
          <w:bCs/>
        </w:rPr>
        <w:t xml:space="preserve"> </w:t>
      </w:r>
      <w:r>
        <w:t xml:space="preserve">below </w:t>
      </w:r>
      <w:r w:rsidR="005F60FC">
        <w:t xml:space="preserve">provides examples of </w:t>
      </w:r>
      <w:r w:rsidR="005F60FC" w:rsidRPr="004020FA">
        <w:t xml:space="preserve">how we have readjusted our regulatory settings to accommodate IoT.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CFAFC"/>
        <w:tblLook w:val="04A0" w:firstRow="1" w:lastRow="0" w:firstColumn="1" w:lastColumn="0" w:noHBand="0" w:noVBand="1"/>
      </w:tblPr>
      <w:tblGrid>
        <w:gridCol w:w="1214"/>
        <w:gridCol w:w="6457"/>
      </w:tblGrid>
      <w:tr w:rsidR="00CC52FC" w14:paraId="54531059" w14:textId="77777777" w:rsidTr="00D76338">
        <w:trPr>
          <w:cantSplit/>
        </w:trPr>
        <w:tc>
          <w:tcPr>
            <w:tcW w:w="562" w:type="dxa"/>
            <w:shd w:val="clear" w:color="auto" w:fill="FCFAFC"/>
          </w:tcPr>
          <w:p w14:paraId="6F11711E" w14:textId="7DA79A76" w:rsidR="00CC52FC" w:rsidRDefault="00D76338" w:rsidP="00D76338">
            <w:pPr>
              <w:spacing w:before="120"/>
            </w:pPr>
            <w:r>
              <w:rPr>
                <w:noProof/>
              </w:rPr>
              <w:drawing>
                <wp:inline distT="0" distB="0" distL="0" distR="0" wp14:anchorId="21DD93CF" wp14:editId="04DF97E0">
                  <wp:extent cx="633909" cy="633909"/>
                  <wp:effectExtent l="0" t="0" r="0" b="0"/>
                  <wp:docPr id="5" name="Graphic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agnifyingglass_m.svg"/>
                          <pic:cNvPicPr/>
                        </pic:nvPicPr>
                        <pic:blipFill>
                          <a:blip r:embed="rId48"/>
                          <a:stretch>
                            <a:fillRect/>
                          </a:stretch>
                        </pic:blipFill>
                        <pic:spPr>
                          <a:xfrm flipH="1">
                            <a:off x="0" y="0"/>
                            <a:ext cx="643407" cy="643407"/>
                          </a:xfrm>
                          <a:prstGeom prst="rect">
                            <a:avLst/>
                          </a:prstGeom>
                        </pic:spPr>
                      </pic:pic>
                    </a:graphicData>
                  </a:graphic>
                </wp:inline>
              </w:drawing>
            </w:r>
          </w:p>
        </w:tc>
        <w:tc>
          <w:tcPr>
            <w:tcW w:w="7099" w:type="dxa"/>
            <w:shd w:val="clear" w:color="auto" w:fill="FCFAFC"/>
          </w:tcPr>
          <w:p w14:paraId="0B2D892F" w14:textId="4F413577" w:rsidR="00CC52FC" w:rsidRPr="003B02BC" w:rsidRDefault="00CC52FC" w:rsidP="00D76338">
            <w:pPr>
              <w:pStyle w:val="Paragraph"/>
              <w:spacing w:before="120" w:after="120"/>
              <w:rPr>
                <w:b/>
                <w:bCs/>
              </w:rPr>
            </w:pPr>
            <w:r w:rsidRPr="003B02BC">
              <w:rPr>
                <w:b/>
                <w:bCs/>
                <w:i/>
                <w:iCs/>
              </w:rPr>
              <w:t>IoT bytes</w:t>
            </w:r>
            <w:r w:rsidRPr="003B02BC">
              <w:rPr>
                <w:b/>
                <w:bCs/>
              </w:rPr>
              <w:t>—</w:t>
            </w:r>
            <w:r w:rsidRPr="00CC52FC">
              <w:rPr>
                <w:b/>
                <w:bCs/>
              </w:rPr>
              <w:t>Adapting regulatory settings to IoT</w:t>
            </w:r>
          </w:p>
          <w:p w14:paraId="4883B782" w14:textId="0441B85A" w:rsidR="00CC52FC" w:rsidRDefault="00CC52FC" w:rsidP="00CC52FC">
            <w:pPr>
              <w:pStyle w:val="Paragraph"/>
              <w:spacing w:after="120"/>
            </w:pPr>
            <w:r>
              <w:t xml:space="preserve">The </w:t>
            </w:r>
            <w:hyperlink r:id="rId50" w:history="1">
              <w:r w:rsidRPr="00CC52FC">
                <w:rPr>
                  <w:rStyle w:val="Hyperlink"/>
                </w:rPr>
                <w:t>Radiocommunications (Communication with Space Object) Class Licence 2015</w:t>
              </w:r>
            </w:hyperlink>
            <w:r>
              <w:t xml:space="preserve"> authorises the operation of earth stations that communicate with apparatus-licensed space stations on authorised frequencies. In November 2018, this class licence was varied to include spectrum around 400 MHz, which enabled satellite operators to implement direct-to-orbit satellite IoT.</w:t>
            </w:r>
          </w:p>
          <w:p w14:paraId="79B29D8D" w14:textId="7BDCF983" w:rsidR="00CC52FC" w:rsidRDefault="00CC52FC" w:rsidP="00D76338">
            <w:pPr>
              <w:pStyle w:val="Paragraph"/>
            </w:pPr>
            <w:r>
              <w:t xml:space="preserve">As outlined in our </w:t>
            </w:r>
            <w:hyperlink r:id="rId51" w:history="1">
              <w:r w:rsidRPr="005901ED">
                <w:rPr>
                  <w:rStyle w:val="Hyperlink"/>
                  <w:i/>
                  <w:iCs/>
                </w:rPr>
                <w:t>Corporate plan 2018–19</w:t>
              </w:r>
            </w:hyperlink>
            <w:r>
              <w:t>, we are already assisting stakeholders in preparing for autonomous vehicles, and the anticipated developments in M2M communications associated with IoT, which promise to transform multiple, diverse sectors of the economy.</w:t>
            </w:r>
          </w:p>
        </w:tc>
      </w:tr>
    </w:tbl>
    <w:p w14:paraId="5022321E" w14:textId="461FE35E" w:rsidR="005F60FC" w:rsidRDefault="005F60FC" w:rsidP="00D76338">
      <w:pPr>
        <w:spacing w:before="120"/>
      </w:pPr>
      <w:r>
        <w:t xml:space="preserve">Looking ahead, </w:t>
      </w:r>
      <w:r w:rsidR="00B90C87">
        <w:t>we</w:t>
      </w:r>
      <w:r w:rsidRPr="00132713">
        <w:t xml:space="preserve"> </w:t>
      </w:r>
      <w:r>
        <w:t xml:space="preserve">will continue </w:t>
      </w:r>
      <w:r w:rsidRPr="00132713">
        <w:t xml:space="preserve">working with industry groups, </w:t>
      </w:r>
      <w:r w:rsidR="007501F5" w:rsidRPr="00132713">
        <w:t>government,</w:t>
      </w:r>
      <w:r w:rsidRPr="00132713">
        <w:t xml:space="preserve"> and other regulators to gather feedback on whether our regulatory settings will require adjustment to support the ongoing development and effective implementation of IoT. This could take the form of amendments to existing regulation to facilitate and </w:t>
      </w:r>
      <w:r>
        <w:t>support</w:t>
      </w:r>
      <w:r w:rsidRPr="00132713">
        <w:t xml:space="preserve"> consumers and industry to benefit from IoT. Consumer education on the data captured by IoT devices</w:t>
      </w:r>
      <w:r w:rsidR="00B90C87">
        <w:t>,</w:t>
      </w:r>
      <w:r w:rsidRPr="00132713">
        <w:t xml:space="preserve"> and the security standards of the devices themselves</w:t>
      </w:r>
      <w:r w:rsidR="00B90C87">
        <w:t>,</w:t>
      </w:r>
      <w:r w:rsidRPr="00132713">
        <w:t xml:space="preserve"> may also be required.</w:t>
      </w:r>
    </w:p>
    <w:p w14:paraId="4FB88436" w14:textId="364756BE" w:rsidR="00041871" w:rsidRDefault="00B90C87" w:rsidP="005901ED">
      <w:pPr>
        <w:pStyle w:val="Paragraphbeforelist"/>
      </w:pPr>
      <w:r>
        <w:t>We</w:t>
      </w:r>
      <w:r w:rsidR="00041871">
        <w:t xml:space="preserve"> will continue to </w:t>
      </w:r>
      <w:r w:rsidR="006A2A91">
        <w:t>review</w:t>
      </w:r>
      <w:r w:rsidR="00041871">
        <w:t xml:space="preserve"> whether our regulatory settings and tools </w:t>
      </w:r>
      <w:r w:rsidR="00065EE2">
        <w:t xml:space="preserve">are </w:t>
      </w:r>
      <w:r w:rsidR="006A2A91">
        <w:t xml:space="preserve">supporting </w:t>
      </w:r>
      <w:r w:rsidR="00DD1207">
        <w:t xml:space="preserve">enduring </w:t>
      </w:r>
      <w:r w:rsidR="00E27F00">
        <w:t xml:space="preserve">public policy objectives. </w:t>
      </w:r>
      <w:r w:rsidR="000E0CC1">
        <w:t>The ACMA’s previous analysis on IoT identif</w:t>
      </w:r>
      <w:r w:rsidR="00FF3888">
        <w:t>ied enduring concepts of most relevance to IoT</w:t>
      </w:r>
      <w:r w:rsidR="00E7612C">
        <w:rPr>
          <w:rStyle w:val="FootnoteReference"/>
        </w:rPr>
        <w:footnoteReference w:id="39"/>
      </w:r>
      <w:r>
        <w:t>, including:</w:t>
      </w:r>
      <w:r w:rsidR="00845160">
        <w:t xml:space="preserve"> </w:t>
      </w:r>
    </w:p>
    <w:p w14:paraId="2CBFAC41" w14:textId="7285DAF9" w:rsidR="00EE4379" w:rsidRDefault="00B90C87" w:rsidP="00EE4379">
      <w:pPr>
        <w:pStyle w:val="ListBullet"/>
      </w:pPr>
      <w:r>
        <w:rPr>
          <w:b/>
          <w:bCs/>
        </w:rPr>
        <w:t>n</w:t>
      </w:r>
      <w:r w:rsidR="00EE4379" w:rsidRPr="000F1C01">
        <w:rPr>
          <w:b/>
          <w:bCs/>
        </w:rPr>
        <w:t>ational interest</w:t>
      </w:r>
      <w:r w:rsidRPr="00BD0CF2">
        <w:t>—</w:t>
      </w:r>
      <w:r w:rsidR="00663A8D">
        <w:t xml:space="preserve">regulatory settings should reflect the national interest both domestically and </w:t>
      </w:r>
      <w:r w:rsidR="006609D8">
        <w:t>through international fora (for example, radiocommunications planning is governed by treaty)</w:t>
      </w:r>
    </w:p>
    <w:p w14:paraId="50401686" w14:textId="6F2588CA" w:rsidR="00EE4379" w:rsidRDefault="00B90C87" w:rsidP="00EE4379">
      <w:pPr>
        <w:pStyle w:val="ListBullet"/>
      </w:pPr>
      <w:r>
        <w:rPr>
          <w:b/>
          <w:bCs/>
        </w:rPr>
        <w:t>c</w:t>
      </w:r>
      <w:r w:rsidR="00585128" w:rsidRPr="000F1C01">
        <w:rPr>
          <w:b/>
          <w:bCs/>
        </w:rPr>
        <w:t>ompetition</w:t>
      </w:r>
      <w:r w:rsidR="00CA6B05" w:rsidRPr="000F1C01">
        <w:rPr>
          <w:b/>
          <w:bCs/>
        </w:rPr>
        <w:t xml:space="preserve"> and efficiency</w:t>
      </w:r>
      <w:r w:rsidRPr="00696D40">
        <w:t>—</w:t>
      </w:r>
      <w:r w:rsidR="00585128">
        <w:t xml:space="preserve">markets should be open and competitive </w:t>
      </w:r>
      <w:r w:rsidR="00FC36A0">
        <w:t>to</w:t>
      </w:r>
      <w:r w:rsidR="00880881">
        <w:t xml:space="preserve"> encourage investment, innovation and diversity of choice</w:t>
      </w:r>
      <w:r>
        <w:t>; p</w:t>
      </w:r>
      <w:r w:rsidR="00CA6B05">
        <w:t>olicy settings should be coherent</w:t>
      </w:r>
      <w:r w:rsidR="00D30B3A">
        <w:t xml:space="preserve">, appropriately </w:t>
      </w:r>
      <w:r w:rsidR="00FC36A0">
        <w:t>calibrated,</w:t>
      </w:r>
      <w:r w:rsidR="00D30B3A">
        <w:t xml:space="preserve"> and predictable so that a minimum level of service is available to all and public resources are used efficiently over time</w:t>
      </w:r>
    </w:p>
    <w:p w14:paraId="4C619D60" w14:textId="11967C72" w:rsidR="00D30B3A" w:rsidRDefault="00B90C87" w:rsidP="00EE4379">
      <w:pPr>
        <w:pStyle w:val="ListBullet"/>
      </w:pPr>
      <w:r>
        <w:rPr>
          <w:b/>
          <w:bCs/>
        </w:rPr>
        <w:lastRenderedPageBreak/>
        <w:t>a</w:t>
      </w:r>
      <w:r w:rsidR="00541F74" w:rsidRPr="000F1C01">
        <w:rPr>
          <w:b/>
          <w:bCs/>
        </w:rPr>
        <w:t>ccess to services</w:t>
      </w:r>
      <w:r w:rsidRPr="00696D40">
        <w:t>—</w:t>
      </w:r>
      <w:r w:rsidR="00541F74">
        <w:t xml:space="preserve">citizens should enjoy reasonable </w:t>
      </w:r>
      <w:r w:rsidR="00F97C21">
        <w:t xml:space="preserve">and equitable </w:t>
      </w:r>
      <w:r w:rsidR="00541F74">
        <w:t xml:space="preserve">access to communications infrastructure, </w:t>
      </w:r>
      <w:r w:rsidR="00FC36A0">
        <w:t>services,</w:t>
      </w:r>
      <w:r w:rsidR="00541F74">
        <w:t xml:space="preserve"> and the content necessary to promote their</w:t>
      </w:r>
      <w:r w:rsidR="00F97C21">
        <w:t xml:space="preserve"> effective participation in society and the economy</w:t>
      </w:r>
    </w:p>
    <w:p w14:paraId="5B937176" w14:textId="71F7F8AD" w:rsidR="00F97C21" w:rsidRDefault="00B90C87" w:rsidP="00EE4379">
      <w:pPr>
        <w:pStyle w:val="ListBullet"/>
      </w:pPr>
      <w:r>
        <w:rPr>
          <w:b/>
          <w:bCs/>
        </w:rPr>
        <w:t>v</w:t>
      </w:r>
      <w:r w:rsidR="00BD038D" w:rsidRPr="000F1C01">
        <w:rPr>
          <w:b/>
          <w:bCs/>
        </w:rPr>
        <w:t>alues and safeguards</w:t>
      </w:r>
      <w:r w:rsidRPr="00696D40">
        <w:t>—</w:t>
      </w:r>
      <w:r w:rsidR="0031259B">
        <w:t>services should reflect community standards, meet community needs and be ‘fit for purpose’</w:t>
      </w:r>
      <w:r>
        <w:t>;</w:t>
      </w:r>
      <w:r w:rsidR="0031259B">
        <w:t xml:space="preserve"> </w:t>
      </w:r>
      <w:r>
        <w:t>u</w:t>
      </w:r>
      <w:r w:rsidR="00CC29FB">
        <w:t xml:space="preserve">sers should be provided with effective and accessible avenues of complaint and redress if </w:t>
      </w:r>
      <w:r w:rsidR="009430A1">
        <w:t xml:space="preserve">standards are not met. </w:t>
      </w:r>
    </w:p>
    <w:p w14:paraId="5D8AD2FB" w14:textId="1CA34A76" w:rsidR="005F60FC" w:rsidRPr="00C019D4" w:rsidRDefault="005F60FC" w:rsidP="005F60FC">
      <w:pPr>
        <w:pStyle w:val="Heading2"/>
      </w:pPr>
      <w:bookmarkStart w:id="30" w:name="_Toc31371632"/>
      <w:bookmarkStart w:id="31" w:name="_Toc46335088"/>
      <w:r>
        <w:t xml:space="preserve">ACMA </w:t>
      </w:r>
      <w:r w:rsidRPr="00C019D4">
        <w:t>IoT</w:t>
      </w:r>
      <w:r>
        <w:t xml:space="preserve"> </w:t>
      </w:r>
      <w:bookmarkEnd w:id="30"/>
      <w:r w:rsidR="007616BE">
        <w:t>planned activities</w:t>
      </w:r>
      <w:bookmarkEnd w:id="31"/>
    </w:p>
    <w:p w14:paraId="31CCC2F9" w14:textId="6DA1E026" w:rsidR="005F60FC" w:rsidRPr="000717CD" w:rsidRDefault="00B90C87" w:rsidP="00BD0CF2">
      <w:pPr>
        <w:pStyle w:val="Paragraphbeforelist"/>
      </w:pPr>
      <w:r>
        <w:t>ACMA</w:t>
      </w:r>
      <w:r w:rsidR="005F60FC">
        <w:t xml:space="preserve"> activities already underway </w:t>
      </w:r>
      <w:r>
        <w:t xml:space="preserve">to </w:t>
      </w:r>
      <w:r w:rsidR="005F60FC">
        <w:t xml:space="preserve">support the continued </w:t>
      </w:r>
      <w:r w:rsidR="005F60FC" w:rsidRPr="000717CD">
        <w:t>development of IoT in Australia include:</w:t>
      </w:r>
    </w:p>
    <w:p w14:paraId="1760917E" w14:textId="5A73CC7F" w:rsidR="005F60FC" w:rsidRDefault="005F60FC" w:rsidP="00BD0CF2">
      <w:pPr>
        <w:pStyle w:val="Bulletlevel1"/>
      </w:pPr>
      <w:r>
        <w:t>m</w:t>
      </w:r>
      <w:r w:rsidRPr="00A3042D">
        <w:t>onitor</w:t>
      </w:r>
      <w:r>
        <w:t>ing of</w:t>
      </w:r>
      <w:r w:rsidRPr="00A3042D">
        <w:t xml:space="preserve"> spectrum demand</w:t>
      </w:r>
      <w:r>
        <w:t xml:space="preserve"> drivers</w:t>
      </w:r>
      <w:r w:rsidR="00B90C87">
        <w:t>,</w:t>
      </w:r>
      <w:r>
        <w:t xml:space="preserve"> including IoT</w:t>
      </w:r>
    </w:p>
    <w:p w14:paraId="6EBA49BD" w14:textId="0535A6CE" w:rsidR="005F60FC" w:rsidRPr="008B63E5" w:rsidRDefault="005F60FC" w:rsidP="005F60FC">
      <w:pPr>
        <w:pStyle w:val="ListBullet"/>
      </w:pPr>
      <w:r>
        <w:t xml:space="preserve">planning and allocation activities in accordance with the </w:t>
      </w:r>
      <w:r w:rsidRPr="00B53F89">
        <w:rPr>
          <w:rFonts w:cs="Arial"/>
        </w:rPr>
        <w:t xml:space="preserve">ACMA’s </w:t>
      </w:r>
      <w:r w:rsidR="00FC36A0">
        <w:rPr>
          <w:rFonts w:cs="Arial"/>
        </w:rPr>
        <w:t>2020</w:t>
      </w:r>
      <w:r w:rsidR="00B90C87">
        <w:rPr>
          <w:rFonts w:cs="Arial"/>
        </w:rPr>
        <w:t>–</w:t>
      </w:r>
      <w:r w:rsidR="0093727E">
        <w:rPr>
          <w:rFonts w:cs="Arial"/>
        </w:rPr>
        <w:t>21</w:t>
      </w:r>
      <w:r>
        <w:rPr>
          <w:rFonts w:cs="Arial"/>
        </w:rPr>
        <w:t xml:space="preserve"> </w:t>
      </w:r>
      <w:hyperlink r:id="rId52" w:history="1">
        <w:r w:rsidRPr="002D0453">
          <w:rPr>
            <w:rStyle w:val="Hyperlink"/>
            <w:rFonts w:cs="Arial"/>
          </w:rPr>
          <w:t>annual spectrum management work program</w:t>
        </w:r>
      </w:hyperlink>
      <w:r>
        <w:rPr>
          <w:rFonts w:cs="Arial"/>
        </w:rPr>
        <w:t xml:space="preserve"> </w:t>
      </w:r>
    </w:p>
    <w:p w14:paraId="7BABD5FC" w14:textId="26D5CCDC" w:rsidR="005F60FC" w:rsidRDefault="00B90C87" w:rsidP="00BD0CF2">
      <w:pPr>
        <w:pStyle w:val="Bulletlevel1"/>
      </w:pPr>
      <w:r>
        <w:t>r</w:t>
      </w:r>
      <w:r w:rsidR="005F60FC">
        <w:t>eviewing, and as appropriate, updating licensing arrangements to support IoT as required</w:t>
      </w:r>
      <w:r>
        <w:t>,</w:t>
      </w:r>
      <w:r w:rsidR="005F60FC">
        <w:t xml:space="preserve"> including the area-wide apparatus licence (AWL) type</w:t>
      </w:r>
    </w:p>
    <w:p w14:paraId="0A3D2E58" w14:textId="7C75D506" w:rsidR="005F60FC" w:rsidRDefault="00B90C87" w:rsidP="00BD0CF2">
      <w:pPr>
        <w:pStyle w:val="Bulletlevel1"/>
      </w:pPr>
      <w:r>
        <w:t>c</w:t>
      </w:r>
      <w:r w:rsidR="005F60FC">
        <w:t xml:space="preserve">ollating data on IoT use and consumer awareness through the annual consumer survey as a part of </w:t>
      </w:r>
      <w:r>
        <w:t xml:space="preserve">our </w:t>
      </w:r>
      <w:hyperlink r:id="rId53" w:history="1">
        <w:r>
          <w:rPr>
            <w:rStyle w:val="Hyperlink"/>
          </w:rPr>
          <w:t>2019–20 research program</w:t>
        </w:r>
      </w:hyperlink>
      <w:r w:rsidR="005F60FC">
        <w:t xml:space="preserve"> </w:t>
      </w:r>
    </w:p>
    <w:p w14:paraId="526FF980" w14:textId="7D0EE4BE" w:rsidR="005F60FC" w:rsidRDefault="00B90C87" w:rsidP="00BD0CF2">
      <w:pPr>
        <w:pStyle w:val="Bulletlevel1last"/>
      </w:pPr>
      <w:r>
        <w:t>w</w:t>
      </w:r>
      <w:r w:rsidR="005F60FC">
        <w:t xml:space="preserve">orking with </w:t>
      </w:r>
      <w:r>
        <w:t>i</w:t>
      </w:r>
      <w:r w:rsidR="005F60FC">
        <w:t>nternational standards bodies to promote and protect Australian interests.</w:t>
      </w:r>
    </w:p>
    <w:p w14:paraId="2CC37732" w14:textId="323AA4F9" w:rsidR="005F60FC" w:rsidRDefault="005F60FC" w:rsidP="00BD0CF2">
      <w:pPr>
        <w:pStyle w:val="Paragraphbeforelist"/>
      </w:pPr>
      <w:r w:rsidRPr="0020263A">
        <w:t>Over the medium</w:t>
      </w:r>
      <w:r w:rsidR="00B90C87">
        <w:t>-</w:t>
      </w:r>
      <w:r w:rsidRPr="0020263A">
        <w:t xml:space="preserve"> </w:t>
      </w:r>
      <w:r>
        <w:t>to longer</w:t>
      </w:r>
      <w:r w:rsidR="00B90C87">
        <w:t>-</w:t>
      </w:r>
      <w:r>
        <w:t xml:space="preserve">term, </w:t>
      </w:r>
      <w:r w:rsidR="00B90C87">
        <w:t>we</w:t>
      </w:r>
      <w:r>
        <w:t xml:space="preserve"> will continue to:</w:t>
      </w:r>
    </w:p>
    <w:p w14:paraId="61C08EE1" w14:textId="2A50232C" w:rsidR="005F60FC" w:rsidRDefault="00B90C87" w:rsidP="005F60FC">
      <w:pPr>
        <w:pStyle w:val="ListBullet"/>
      </w:pPr>
      <w:r>
        <w:t>m</w:t>
      </w:r>
      <w:r w:rsidR="005F60FC" w:rsidRPr="00CF3ADB">
        <w:t xml:space="preserve">onitor standards developments through international </w:t>
      </w:r>
      <w:r w:rsidR="005F60FC">
        <w:t>fora</w:t>
      </w:r>
    </w:p>
    <w:p w14:paraId="33364626" w14:textId="5CE5F280" w:rsidR="005F60FC" w:rsidRDefault="00B90C87" w:rsidP="005F60FC">
      <w:pPr>
        <w:pStyle w:val="ListBullet"/>
      </w:pPr>
      <w:r>
        <w:t>r</w:t>
      </w:r>
      <w:r w:rsidR="005F60FC">
        <w:t xml:space="preserve">eview our regulatory settings to ensure </w:t>
      </w:r>
      <w:r w:rsidR="005F60FC" w:rsidRPr="007F70C3">
        <w:t>Australia’s IoT environment is adequately supported</w:t>
      </w:r>
    </w:p>
    <w:p w14:paraId="5DDCBD6E" w14:textId="15E35321" w:rsidR="00F21E61" w:rsidRDefault="00B90C87" w:rsidP="005F60FC">
      <w:pPr>
        <w:pStyle w:val="ListBullet"/>
      </w:pPr>
      <w:r>
        <w:t>u</w:t>
      </w:r>
      <w:r w:rsidR="003A4113">
        <w:t xml:space="preserve">ndertake </w:t>
      </w:r>
      <w:hyperlink r:id="rId54" w:history="1">
        <w:r w:rsidR="003A4113" w:rsidRPr="001B3193">
          <w:rPr>
            <w:rStyle w:val="Hyperlink"/>
          </w:rPr>
          <w:t>research</w:t>
        </w:r>
      </w:hyperlink>
      <w:r w:rsidR="003A4113">
        <w:t xml:space="preserve"> </w:t>
      </w:r>
      <w:r>
        <w:t xml:space="preserve">that </w:t>
      </w:r>
      <w:r w:rsidR="003A4113">
        <w:t xml:space="preserve">examines </w:t>
      </w:r>
      <w:r w:rsidR="003E1B43">
        <w:t>IoT take up and usage trends</w:t>
      </w:r>
      <w:r>
        <w:t>,</w:t>
      </w:r>
      <w:r w:rsidR="003E1B43">
        <w:t xml:space="preserve"> and which considers </w:t>
      </w:r>
      <w:r w:rsidR="000207D6">
        <w:t xml:space="preserve">how current and future developments in the communications and media landscape will impact public interest outcomes and </w:t>
      </w:r>
      <w:r w:rsidR="00057518">
        <w:t>our role in regulating communications and media, including IoT</w:t>
      </w:r>
    </w:p>
    <w:p w14:paraId="442DF5AC" w14:textId="023D7382" w:rsidR="005F60FC" w:rsidRPr="00CF3ADB" w:rsidRDefault="00B90C87" w:rsidP="00BD0CF2">
      <w:pPr>
        <w:pStyle w:val="Bulletlevel1last"/>
      </w:pPr>
      <w:r>
        <w:t>m</w:t>
      </w:r>
      <w:r w:rsidR="005F60FC" w:rsidRPr="00CF3ADB">
        <w:t>onitor developments and work with stakeholders, including industry, consumer groups, regulators and equipment vendors</w:t>
      </w:r>
      <w:r w:rsidR="005F60FC">
        <w:t>.</w:t>
      </w:r>
    </w:p>
    <w:p w14:paraId="75C37437" w14:textId="7E416D76" w:rsidR="005F60FC" w:rsidRDefault="005F60FC" w:rsidP="005F60FC">
      <w:r>
        <w:t xml:space="preserve">Figure </w:t>
      </w:r>
      <w:r w:rsidR="00461AA3">
        <w:t>5</w:t>
      </w:r>
      <w:r>
        <w:t xml:space="preserve"> summarises these activities.</w:t>
      </w:r>
    </w:p>
    <w:p w14:paraId="37CBECFA" w14:textId="3992F265" w:rsidR="005F60FC" w:rsidRDefault="00226212" w:rsidP="00226212">
      <w:pPr>
        <w:pStyle w:val="Figureheading"/>
      </w:pPr>
      <w:r>
        <w:lastRenderedPageBreak/>
        <w:t>The ACMA’s planned IoT activities</w:t>
      </w:r>
    </w:p>
    <w:p w14:paraId="047B4F80" w14:textId="3A871F87" w:rsidR="005F60FC" w:rsidRDefault="00226212" w:rsidP="00784722">
      <w:pPr>
        <w:spacing w:before="240"/>
        <w:rPr>
          <w:rFonts w:cs="Arial"/>
          <w:b/>
          <w:bCs/>
          <w:iCs/>
          <w:szCs w:val="20"/>
        </w:rPr>
      </w:pPr>
      <w:r>
        <w:rPr>
          <w:noProof/>
          <w:sz w:val="16"/>
          <w:szCs w:val="16"/>
        </w:rPr>
        <w:drawing>
          <wp:inline distT="0" distB="0" distL="0" distR="0" wp14:anchorId="6CD14E24" wp14:editId="5DB6F5A6">
            <wp:extent cx="6271522" cy="6867525"/>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e-5.png"/>
                    <pic:cNvPicPr/>
                  </pic:nvPicPr>
                  <pic:blipFill>
                    <a:blip r:embed="rId55"/>
                    <a:stretch>
                      <a:fillRect/>
                    </a:stretch>
                  </pic:blipFill>
                  <pic:spPr>
                    <a:xfrm>
                      <a:off x="0" y="0"/>
                      <a:ext cx="6276510" cy="6872987"/>
                    </a:xfrm>
                    <a:prstGeom prst="rect">
                      <a:avLst/>
                    </a:prstGeom>
                  </pic:spPr>
                </pic:pic>
              </a:graphicData>
            </a:graphic>
          </wp:inline>
        </w:drawing>
      </w:r>
    </w:p>
    <w:p w14:paraId="16656987" w14:textId="77777777" w:rsidR="005F60FC" w:rsidRPr="005F60FC" w:rsidRDefault="005F60FC" w:rsidP="00784722">
      <w:pPr>
        <w:spacing w:before="240"/>
        <w:rPr>
          <w:rFonts w:cs="Arial"/>
          <w:b/>
          <w:bCs/>
          <w:iCs/>
          <w:szCs w:val="20"/>
        </w:rPr>
      </w:pPr>
    </w:p>
    <w:sectPr w:rsidR="005F60FC" w:rsidRPr="005F60FC" w:rsidSect="00C77380">
      <w:headerReference w:type="even" r:id="rId56"/>
      <w:headerReference w:type="default" r:id="rId57"/>
      <w:footerReference w:type="even" r:id="rId58"/>
      <w:footerReference w:type="default" r:id="rId5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EAE2F8" w14:textId="77777777" w:rsidR="00387C68" w:rsidRDefault="00387C68">
      <w:r>
        <w:separator/>
      </w:r>
    </w:p>
  </w:endnote>
  <w:endnote w:type="continuationSeparator" w:id="0">
    <w:p w14:paraId="4704F7A7" w14:textId="77777777" w:rsidR="00387C68" w:rsidRDefault="00387C68">
      <w:r>
        <w:continuationSeparator/>
      </w:r>
    </w:p>
  </w:endnote>
  <w:endnote w:type="continuationNotice" w:id="1">
    <w:p w14:paraId="4DE21635" w14:textId="77777777" w:rsidR="00387C68" w:rsidRDefault="00387C6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Bold">
    <w:altName w:val="Arial"/>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iscoSansTTExtraLight">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BC151" w14:textId="77777777" w:rsidR="00387C68" w:rsidRDefault="00387C68" w:rsidP="005E250B">
    <w:pPr>
      <w:pStyle w:val="Footer"/>
      <w:jc w:val="right"/>
    </w:pPr>
    <w:r w:rsidRPr="005E250B">
      <w:rPr>
        <w:noProof/>
        <w:vertAlign w:val="subscript"/>
      </w:rPr>
      <w:drawing>
        <wp:inline distT="0" distB="0" distL="0" distR="0" wp14:anchorId="4867C40E" wp14:editId="4FD925E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3CD7C" w14:textId="77777777" w:rsidR="00387C68" w:rsidRDefault="00387C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A76B9" w14:textId="77777777" w:rsidR="00387C68" w:rsidRDefault="00387C6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0F73F" w14:textId="77777777" w:rsidR="00387C68" w:rsidRPr="00622A3B" w:rsidRDefault="00387C6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879D4B8" w14:textId="77777777" w:rsidR="00387C68" w:rsidRPr="00A5474E" w:rsidRDefault="00387C68"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0D96C" w14:textId="77777777" w:rsidR="00387C68" w:rsidRPr="00622A3B" w:rsidRDefault="00387C6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861C3A0" w14:textId="77777777" w:rsidR="00387C68" w:rsidRPr="00A5474E" w:rsidRDefault="00387C68"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B4ED63" w14:textId="77777777" w:rsidR="00387C68" w:rsidRPr="00622A3B" w:rsidRDefault="00387C6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703D265" w14:textId="77777777" w:rsidR="00387C68" w:rsidRPr="00A5474E" w:rsidRDefault="00387C6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B6856" w14:textId="77777777" w:rsidR="00387C68" w:rsidRPr="00622A3B" w:rsidRDefault="00387C6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BAE85D5" w14:textId="77777777" w:rsidR="00387C68" w:rsidRPr="00A5474E" w:rsidRDefault="00387C6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6AE45" w14:textId="77777777" w:rsidR="00387C68" w:rsidRPr="00622A3B" w:rsidRDefault="00387C6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5D85F09" w14:textId="77777777" w:rsidR="00387C68" w:rsidRPr="00A5474E" w:rsidRDefault="00387C6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A9ADAC" w14:textId="77777777" w:rsidR="00387C68" w:rsidRDefault="00387C68" w:rsidP="00AE3375">
      <w:pPr>
        <w:spacing w:after="0"/>
      </w:pPr>
      <w:r>
        <w:separator/>
      </w:r>
    </w:p>
  </w:footnote>
  <w:footnote w:type="continuationSeparator" w:id="0">
    <w:p w14:paraId="3CD5BFAD" w14:textId="77777777" w:rsidR="00387C68" w:rsidRDefault="00387C68">
      <w:r>
        <w:continuationSeparator/>
      </w:r>
    </w:p>
  </w:footnote>
  <w:footnote w:type="continuationNotice" w:id="1">
    <w:p w14:paraId="4B158684" w14:textId="77777777" w:rsidR="00387C68" w:rsidRDefault="00387C68">
      <w:pPr>
        <w:spacing w:after="0" w:line="240" w:lineRule="auto"/>
      </w:pPr>
    </w:p>
  </w:footnote>
  <w:footnote w:id="2">
    <w:p w14:paraId="6BD3D691" w14:textId="571F92DA" w:rsidR="00387C68" w:rsidRDefault="00387C68">
      <w:pPr>
        <w:pStyle w:val="FootnoteText"/>
      </w:pPr>
      <w:r>
        <w:rPr>
          <w:rStyle w:val="FootnoteReference"/>
        </w:rPr>
        <w:footnoteRef/>
      </w:r>
      <w:r>
        <w:t xml:space="preserve"> </w:t>
      </w:r>
      <w:r w:rsidRPr="00775038">
        <w:t xml:space="preserve">PwC, </w:t>
      </w:r>
      <w:hyperlink r:id="rId1" w:history="1">
        <w:r w:rsidRPr="00775038">
          <w:rPr>
            <w:rStyle w:val="Hyperlink"/>
            <w:i/>
            <w:iCs/>
          </w:rPr>
          <w:t>Australia’s IoT opportunity: Driving future growth, An ACS report</w:t>
        </w:r>
      </w:hyperlink>
      <w:r w:rsidRPr="00775038">
        <w:t>, September 2018, p</w:t>
      </w:r>
      <w:r>
        <w:t xml:space="preserve">. </w:t>
      </w:r>
      <w:r w:rsidRPr="00775038">
        <w:t>10</w:t>
      </w:r>
      <w:r>
        <w:t>.</w:t>
      </w:r>
    </w:p>
  </w:footnote>
  <w:footnote w:id="3">
    <w:p w14:paraId="01206DE3" w14:textId="5954159A" w:rsidR="00387C68" w:rsidRDefault="00387C68">
      <w:pPr>
        <w:pStyle w:val="FootnoteText"/>
      </w:pPr>
      <w:r>
        <w:rPr>
          <w:rStyle w:val="FootnoteReference"/>
        </w:rPr>
        <w:footnoteRef/>
      </w:r>
      <w:r>
        <w:t xml:space="preserve"> Department of Communications and the Arts, </w:t>
      </w:r>
      <w:hyperlink r:id="rId2" w:history="1">
        <w:r w:rsidRPr="00222968">
          <w:rPr>
            <w:rStyle w:val="Hyperlink"/>
            <w:i/>
            <w:iCs/>
          </w:rPr>
          <w:t>5G</w:t>
        </w:r>
        <w:r>
          <w:rPr>
            <w:rStyle w:val="Hyperlink"/>
            <w:i/>
            <w:iCs/>
          </w:rPr>
          <w:t xml:space="preserve"> </w:t>
        </w:r>
        <w:r w:rsidRPr="00222968">
          <w:rPr>
            <w:rStyle w:val="Hyperlink"/>
            <w:i/>
            <w:iCs/>
          </w:rPr>
          <w:t>- Enabling the future economy, October 2017</w:t>
        </w:r>
      </w:hyperlink>
      <w:r>
        <w:t>, p. 8.</w:t>
      </w:r>
    </w:p>
  </w:footnote>
  <w:footnote w:id="4">
    <w:p w14:paraId="081F8F26" w14:textId="049974B9" w:rsidR="00387C68" w:rsidRPr="000E02D2" w:rsidRDefault="00387C68" w:rsidP="005F60FC">
      <w:pPr>
        <w:shd w:val="clear" w:color="auto" w:fill="FFFFFF" w:themeFill="background1"/>
        <w:spacing w:after="0"/>
        <w:rPr>
          <w:i/>
          <w:iCs/>
          <w:sz w:val="16"/>
          <w:szCs w:val="16"/>
        </w:rPr>
      </w:pPr>
      <w:r w:rsidRPr="00315BFB">
        <w:rPr>
          <w:rStyle w:val="FootnoteReference"/>
          <w:sz w:val="16"/>
          <w:szCs w:val="16"/>
        </w:rPr>
        <w:footnoteRef/>
      </w:r>
      <w:r w:rsidRPr="00315BFB">
        <w:rPr>
          <w:sz w:val="16"/>
          <w:szCs w:val="16"/>
        </w:rPr>
        <w:t xml:space="preserve"> </w:t>
      </w:r>
      <w:r w:rsidRPr="00D71E62">
        <w:rPr>
          <w:sz w:val="16"/>
          <w:szCs w:val="16"/>
        </w:rPr>
        <w:t>John Rossman,</w:t>
      </w:r>
      <w:r w:rsidRPr="0092350A">
        <w:rPr>
          <w:sz w:val="16"/>
          <w:szCs w:val="16"/>
        </w:rPr>
        <w:t xml:space="preserve"> </w:t>
      </w:r>
      <w:r w:rsidRPr="0092350A">
        <w:rPr>
          <w:i/>
          <w:iCs/>
          <w:sz w:val="16"/>
          <w:szCs w:val="16"/>
        </w:rPr>
        <w:t>The Amazon way on IoT; 10 principles for every leader from the world’s leading Internet of Things Strategies</w:t>
      </w:r>
      <w:r w:rsidRPr="0092350A">
        <w:rPr>
          <w:sz w:val="16"/>
          <w:szCs w:val="16"/>
        </w:rPr>
        <w:t xml:space="preserve">, </w:t>
      </w:r>
      <w:r>
        <w:rPr>
          <w:sz w:val="16"/>
          <w:szCs w:val="16"/>
        </w:rPr>
        <w:t xml:space="preserve">Clyde Hill Publishing, </w:t>
      </w:r>
      <w:r w:rsidRPr="0092350A">
        <w:rPr>
          <w:sz w:val="16"/>
          <w:szCs w:val="16"/>
        </w:rPr>
        <w:t>2016</w:t>
      </w:r>
      <w:r>
        <w:rPr>
          <w:sz w:val="16"/>
          <w:szCs w:val="16"/>
        </w:rPr>
        <w:t>, p. 1.</w:t>
      </w:r>
    </w:p>
  </w:footnote>
  <w:footnote w:id="5">
    <w:p w14:paraId="325CC137" w14:textId="7E319A84" w:rsidR="00387C68" w:rsidRDefault="00387C68">
      <w:pPr>
        <w:pStyle w:val="FootnoteText"/>
      </w:pPr>
      <w:r>
        <w:rPr>
          <w:rStyle w:val="FootnoteReference"/>
        </w:rPr>
        <w:footnoteRef/>
      </w:r>
      <w:r>
        <w:t xml:space="preserve"> ACMA, draft </w:t>
      </w:r>
      <w:hyperlink r:id="rId3" w:history="1">
        <w:r>
          <w:rPr>
            <w:rStyle w:val="Hyperlink"/>
            <w:i/>
            <w:iCs/>
          </w:rPr>
          <w:t>Five-year spectrum outlook 2020–24</w:t>
        </w:r>
      </w:hyperlink>
      <w:r>
        <w:t>, April 2020, p. 26.</w:t>
      </w:r>
    </w:p>
  </w:footnote>
  <w:footnote w:id="6">
    <w:p w14:paraId="031A0899" w14:textId="09E82AB3" w:rsidR="00387C68" w:rsidRDefault="00387C68">
      <w:pPr>
        <w:pStyle w:val="FootnoteText"/>
      </w:pPr>
      <w:r>
        <w:rPr>
          <w:rStyle w:val="FootnoteReference"/>
        </w:rPr>
        <w:footnoteRef/>
      </w:r>
      <w:r>
        <w:t xml:space="preserve"> Ericsson</w:t>
      </w:r>
      <w:r w:rsidRPr="002B70E6">
        <w:rPr>
          <w:i/>
          <w:iCs/>
        </w:rPr>
        <w:t xml:space="preserve">, </w:t>
      </w:r>
      <w:hyperlink r:id="rId4" w:history="1">
        <w:r w:rsidRPr="002B70E6">
          <w:rPr>
            <w:rStyle w:val="Hyperlink"/>
            <w:i/>
            <w:iCs/>
          </w:rPr>
          <w:t>Internet of Things Forecast</w:t>
        </w:r>
      </w:hyperlink>
      <w:r>
        <w:t>, 2018.</w:t>
      </w:r>
    </w:p>
  </w:footnote>
  <w:footnote w:id="7">
    <w:p w14:paraId="238F39E9" w14:textId="3866C5B7" w:rsidR="00387C68" w:rsidRDefault="00387C68" w:rsidP="005F60FC">
      <w:pPr>
        <w:pStyle w:val="FootnoteText"/>
      </w:pPr>
      <w:r>
        <w:rPr>
          <w:rStyle w:val="FootnoteReference"/>
        </w:rPr>
        <w:footnoteRef/>
      </w:r>
      <w:r>
        <w:t xml:space="preserve"> ACMA, draft </w:t>
      </w:r>
      <w:hyperlink r:id="rId5" w:history="1">
        <w:r>
          <w:rPr>
            <w:rStyle w:val="Hyperlink"/>
            <w:i/>
            <w:iCs/>
          </w:rPr>
          <w:t>Five-year spectrum outlook 2020–24</w:t>
        </w:r>
      </w:hyperlink>
      <w:r>
        <w:t>, April 2020 p. 26.</w:t>
      </w:r>
    </w:p>
  </w:footnote>
  <w:footnote w:id="8">
    <w:p w14:paraId="47ED04D6" w14:textId="777B94CF" w:rsidR="00387C68" w:rsidRDefault="00387C68">
      <w:pPr>
        <w:pStyle w:val="FootnoteText"/>
      </w:pPr>
      <w:r>
        <w:rPr>
          <w:rStyle w:val="FootnoteReference"/>
        </w:rPr>
        <w:footnoteRef/>
      </w:r>
      <w:r>
        <w:t xml:space="preserve"> Gartner, </w:t>
      </w:r>
      <w:hyperlink r:id="rId6" w:anchor=":~:text=Gartner%20forecasts%20that%2014.2%20billion,producing%20immense%20volume%20of%20data.&amp;text=%E2%80%9CAI%20will%20be%20applied%20to,traffic%20activity%20and%20sensor%20data.%E2%80%9D" w:history="1">
        <w:r w:rsidRPr="000F1C01">
          <w:rPr>
            <w:rStyle w:val="Hyperlink"/>
            <w:i/>
            <w:iCs/>
          </w:rPr>
          <w:t>Gartner Identifies Top 10 Strategic IoT Technologies and Trends, 7 November 2018</w:t>
        </w:r>
      </w:hyperlink>
      <w:r>
        <w:t xml:space="preserve">, forecasted there would be 14.2 billion connected IoT devices. </w:t>
      </w:r>
    </w:p>
  </w:footnote>
  <w:footnote w:id="9">
    <w:p w14:paraId="072D45D0" w14:textId="77777777" w:rsidR="00387C68" w:rsidRDefault="00387C68" w:rsidP="00A422C7">
      <w:pPr>
        <w:pStyle w:val="FootnoteText"/>
      </w:pPr>
      <w:r>
        <w:rPr>
          <w:rStyle w:val="FootnoteReference"/>
        </w:rPr>
        <w:footnoteRef/>
      </w:r>
      <w:r>
        <w:t xml:space="preserve"> Hutchison Telecoms, </w:t>
      </w:r>
      <w:hyperlink r:id="rId7" w:history="1">
        <w:r w:rsidRPr="005C460B">
          <w:rPr>
            <w:rStyle w:val="Hyperlink"/>
            <w:i/>
            <w:iCs/>
          </w:rPr>
          <w:t>Annual Report 2018–19</w:t>
        </w:r>
      </w:hyperlink>
      <w:r>
        <w:t>, 30 July 2019, p. 6.</w:t>
      </w:r>
    </w:p>
  </w:footnote>
  <w:footnote w:id="10">
    <w:p w14:paraId="6EDBF009" w14:textId="77777777" w:rsidR="00387C68" w:rsidRPr="00937B0B" w:rsidRDefault="00387C68" w:rsidP="00A422C7">
      <w:pPr>
        <w:pStyle w:val="FootnoteText"/>
      </w:pPr>
      <w:r w:rsidRPr="00544EAB">
        <w:rPr>
          <w:rStyle w:val="FootnoteReference"/>
        </w:rPr>
        <w:footnoteRef/>
      </w:r>
      <w:r w:rsidRPr="00544EAB">
        <w:t xml:space="preserve"> </w:t>
      </w:r>
      <w:r w:rsidRPr="00937B0B">
        <w:t>Gerhar</w:t>
      </w:r>
      <w:r w:rsidRPr="0073670E">
        <w:t xml:space="preserve">d Loots, </w:t>
      </w:r>
      <w:hyperlink r:id="rId8" w:history="1">
        <w:r w:rsidRPr="00D216FC">
          <w:rPr>
            <w:rStyle w:val="Hyperlink"/>
            <w:i/>
            <w:iCs/>
            <w:u w:val="none"/>
          </w:rPr>
          <w:t>Over 3 million new IoT ‘things’ on our networ</w:t>
        </w:r>
        <w:r w:rsidRPr="00D216FC">
          <w:rPr>
            <w:rStyle w:val="Hyperlink"/>
            <w:u w:val="none"/>
          </w:rPr>
          <w:t>k</w:t>
        </w:r>
      </w:hyperlink>
      <w:r w:rsidRPr="00544EAB">
        <w:t xml:space="preserve">, </w:t>
      </w:r>
      <w:r w:rsidRPr="00F26BD6">
        <w:t>Telstra Exchange,</w:t>
      </w:r>
      <w:r w:rsidRPr="00544EAB">
        <w:rPr>
          <w:i/>
          <w:iCs/>
        </w:rPr>
        <w:t xml:space="preserve"> </w:t>
      </w:r>
      <w:r w:rsidRPr="00937B0B">
        <w:t>5 September 2019</w:t>
      </w:r>
      <w:r>
        <w:t>.</w:t>
      </w:r>
    </w:p>
  </w:footnote>
  <w:footnote w:id="11">
    <w:p w14:paraId="0694814F" w14:textId="77777777" w:rsidR="00387C68" w:rsidRDefault="00387C68" w:rsidP="00A422C7">
      <w:pPr>
        <w:pStyle w:val="FootnoteText"/>
      </w:pPr>
      <w:r>
        <w:rPr>
          <w:rStyle w:val="FootnoteReference"/>
        </w:rPr>
        <w:footnoteRef/>
      </w:r>
      <w:r>
        <w:t xml:space="preserve"> Thinxtra, </w:t>
      </w:r>
      <w:hyperlink r:id="rId9" w:history="1">
        <w:r w:rsidRPr="00D216FC">
          <w:rPr>
            <w:rStyle w:val="Hyperlink"/>
            <w:i/>
            <w:iCs/>
          </w:rPr>
          <w:t>IoT coverage where you need it, plug and play</w:t>
        </w:r>
      </w:hyperlink>
      <w:r>
        <w:t>, 7 February 2019.</w:t>
      </w:r>
    </w:p>
  </w:footnote>
  <w:footnote w:id="12">
    <w:p w14:paraId="0A3166E1" w14:textId="77777777" w:rsidR="00387C68" w:rsidRDefault="00387C68" w:rsidP="00A422C7">
      <w:pPr>
        <w:pStyle w:val="FootnoteText"/>
      </w:pPr>
      <w:r>
        <w:rPr>
          <w:rStyle w:val="FootnoteReference"/>
        </w:rPr>
        <w:footnoteRef/>
      </w:r>
      <w:r>
        <w:t xml:space="preserve"> Georgia Clark, </w:t>
      </w:r>
      <w:hyperlink r:id="rId10" w:history="1">
        <w:r w:rsidRPr="00F26BD6">
          <w:rPr>
            <w:rStyle w:val="Hyperlink"/>
            <w:i/>
            <w:iCs/>
          </w:rPr>
          <w:t>Gold Coast unveils nation’s largest digital network</w:t>
        </w:r>
        <w:r w:rsidRPr="00BB22E9">
          <w:rPr>
            <w:rStyle w:val="Hyperlink"/>
          </w:rPr>
          <w:t>,</w:t>
        </w:r>
      </w:hyperlink>
      <w:r>
        <w:t xml:space="preserve"> Government News, 20 May 2019.</w:t>
      </w:r>
    </w:p>
  </w:footnote>
  <w:footnote w:id="13">
    <w:p w14:paraId="24447B8A" w14:textId="77777777" w:rsidR="00387C68" w:rsidRDefault="00387C68" w:rsidP="00A422C7">
      <w:pPr>
        <w:pStyle w:val="FootnoteText"/>
      </w:pPr>
      <w:r>
        <w:rPr>
          <w:rStyle w:val="FootnoteReference"/>
        </w:rPr>
        <w:footnoteRef/>
      </w:r>
      <w:r>
        <w:t xml:space="preserve"> </w:t>
      </w:r>
      <w:r w:rsidRPr="003F649E">
        <w:t xml:space="preserve">An example is the Australian based start-up </w:t>
      </w:r>
      <w:hyperlink r:id="rId11" w:history="1">
        <w:r w:rsidRPr="008B3272">
          <w:rPr>
            <w:rStyle w:val="Hyperlink"/>
          </w:rPr>
          <w:t>Fleet Space Technologies</w:t>
        </w:r>
      </w:hyperlink>
      <w:r w:rsidRPr="00BD0CF2">
        <w:rPr>
          <w:rStyle w:val="Hyperlink"/>
          <w:color w:val="auto"/>
          <w:u w:val="none"/>
        </w:rPr>
        <w:t>,</w:t>
      </w:r>
      <w:r w:rsidRPr="003F649E">
        <w:rPr>
          <w:b/>
          <w:bCs/>
        </w:rPr>
        <w:t xml:space="preserve"> </w:t>
      </w:r>
      <w:r w:rsidRPr="003F649E">
        <w:t xml:space="preserve">which are implementing </w:t>
      </w:r>
      <w:r w:rsidRPr="003F649E">
        <w:rPr>
          <w:lang w:val="en-US"/>
        </w:rPr>
        <w:t xml:space="preserve">satellite-based systems for </w:t>
      </w:r>
      <w:r>
        <w:rPr>
          <w:lang w:val="en-US"/>
        </w:rPr>
        <w:t>i</w:t>
      </w:r>
      <w:r w:rsidRPr="003F649E">
        <w:rPr>
          <w:lang w:val="en-US"/>
        </w:rPr>
        <w:t xml:space="preserve">ndustrial </w:t>
      </w:r>
      <w:r>
        <w:rPr>
          <w:lang w:val="en-US"/>
        </w:rPr>
        <w:t>IoT</w:t>
      </w:r>
      <w:r w:rsidRPr="003F649E">
        <w:rPr>
          <w:lang w:val="en-US"/>
        </w:rPr>
        <w:t xml:space="preserve"> applications</w:t>
      </w:r>
      <w:r>
        <w:rPr>
          <w:lang w:val="en-US"/>
        </w:rPr>
        <w:t>.</w:t>
      </w:r>
    </w:p>
  </w:footnote>
  <w:footnote w:id="14">
    <w:p w14:paraId="5A468E5B" w14:textId="463853C7" w:rsidR="00387C68" w:rsidRDefault="00387C68" w:rsidP="005F60FC">
      <w:pPr>
        <w:pStyle w:val="FootnoteText"/>
      </w:pPr>
      <w:r>
        <w:rPr>
          <w:rStyle w:val="FootnoteReference"/>
        </w:rPr>
        <w:footnoteRef/>
      </w:r>
      <w:r>
        <w:t xml:space="preserve"> </w:t>
      </w:r>
      <w:r w:rsidRPr="00094DBD">
        <w:t xml:space="preserve">Telsyte, </w:t>
      </w:r>
      <w:hyperlink r:id="rId12" w:history="1">
        <w:r w:rsidRPr="00094DBD">
          <w:rPr>
            <w:rStyle w:val="Hyperlink"/>
            <w:i/>
            <w:iCs/>
          </w:rPr>
          <w:t>Australian IoT @home market cracks $1billion, paving the way for IoT commerce devices</w:t>
        </w:r>
      </w:hyperlink>
      <w:r w:rsidRPr="00094DBD">
        <w:rPr>
          <w:i/>
          <w:iCs/>
        </w:rPr>
        <w:t xml:space="preserve">, </w:t>
      </w:r>
      <w:r w:rsidRPr="00094DBD">
        <w:t>14</w:t>
      </w:r>
      <w:r>
        <w:t> </w:t>
      </w:r>
      <w:r w:rsidRPr="00094DBD">
        <w:t>May 2019</w:t>
      </w:r>
      <w:r>
        <w:t>.</w:t>
      </w:r>
    </w:p>
  </w:footnote>
  <w:footnote w:id="15">
    <w:p w14:paraId="5FD01F7C" w14:textId="6A76A9AE" w:rsidR="00387C68" w:rsidRDefault="00387C68" w:rsidP="005F60FC">
      <w:pPr>
        <w:pStyle w:val="FootnoteText"/>
      </w:pPr>
      <w:r>
        <w:rPr>
          <w:rStyle w:val="FootnoteReference"/>
        </w:rPr>
        <w:footnoteRef/>
      </w:r>
      <w:r>
        <w:t xml:space="preserve"> </w:t>
      </w:r>
      <w:r w:rsidRPr="00775038">
        <w:t xml:space="preserve">PwC, </w:t>
      </w:r>
      <w:hyperlink r:id="rId13" w:history="1">
        <w:r w:rsidRPr="00775038">
          <w:rPr>
            <w:rStyle w:val="Hyperlink"/>
            <w:i/>
            <w:iCs/>
          </w:rPr>
          <w:t>Australia’s IoT opportunity: Driving future growth, An ACS report</w:t>
        </w:r>
      </w:hyperlink>
      <w:r w:rsidRPr="00775038">
        <w:t>, September 2018, p</w:t>
      </w:r>
      <w:r>
        <w:t>.</w:t>
      </w:r>
      <w:r w:rsidRPr="00775038">
        <w:t xml:space="preserve"> 10</w:t>
      </w:r>
      <w:r>
        <w:t>.</w:t>
      </w:r>
    </w:p>
  </w:footnote>
  <w:footnote w:id="16">
    <w:p w14:paraId="4E54BD80" w14:textId="142913D1" w:rsidR="00387C68" w:rsidRDefault="00387C68" w:rsidP="005F60FC">
      <w:pPr>
        <w:pStyle w:val="FootnoteText"/>
      </w:pPr>
      <w:r>
        <w:rPr>
          <w:rStyle w:val="FootnoteReference"/>
        </w:rPr>
        <w:footnoteRef/>
      </w:r>
      <w:r>
        <w:t xml:space="preserve"> </w:t>
      </w:r>
      <w:r w:rsidRPr="00775038">
        <w:t xml:space="preserve">Telstra, </w:t>
      </w:r>
      <w:hyperlink r:id="rId14" w:history="1">
        <w:r w:rsidRPr="00775038">
          <w:rPr>
            <w:rStyle w:val="Hyperlink"/>
            <w:i/>
            <w:iCs/>
          </w:rPr>
          <w:t>A pivotal year: our 2019 results show strong progress on T 22</w:t>
        </w:r>
      </w:hyperlink>
      <w:r w:rsidRPr="00775038">
        <w:t>, 15 August 2019</w:t>
      </w:r>
      <w:r>
        <w:t>.</w:t>
      </w:r>
    </w:p>
  </w:footnote>
  <w:footnote w:id="17">
    <w:p w14:paraId="23F6AF18" w14:textId="7AAE2E87" w:rsidR="00387C68" w:rsidRDefault="00387C68" w:rsidP="005F60FC">
      <w:pPr>
        <w:pStyle w:val="FootnoteText"/>
      </w:pPr>
      <w:r>
        <w:rPr>
          <w:rStyle w:val="FootnoteReference"/>
        </w:rPr>
        <w:footnoteRef/>
      </w:r>
      <w:r>
        <w:t xml:space="preserve"> Data derived from </w:t>
      </w:r>
      <w:r w:rsidRPr="00775038">
        <w:t xml:space="preserve">PwC, </w:t>
      </w:r>
      <w:hyperlink r:id="rId15" w:history="1">
        <w:r w:rsidRPr="00775038">
          <w:rPr>
            <w:rStyle w:val="Hyperlink"/>
            <w:i/>
            <w:iCs/>
          </w:rPr>
          <w:t>Australia’s IoT opportunity: Driving future growth, An ACS report</w:t>
        </w:r>
      </w:hyperlink>
      <w:r w:rsidRPr="00775038">
        <w:t>, September 2018, p</w:t>
      </w:r>
      <w:r>
        <w:t>.</w:t>
      </w:r>
      <w:r w:rsidRPr="00775038">
        <w:t xml:space="preserve"> </w:t>
      </w:r>
      <w:r>
        <w:t xml:space="preserve">9. This data projects annual benefits across a range of sectors over an eight to 18-year period. </w:t>
      </w:r>
    </w:p>
  </w:footnote>
  <w:footnote w:id="18">
    <w:p w14:paraId="49A7EC28" w14:textId="4ED1A385" w:rsidR="00387C68" w:rsidRPr="00831197" w:rsidRDefault="00387C68" w:rsidP="005F60FC">
      <w:pPr>
        <w:pStyle w:val="NormalWeb"/>
        <w:shd w:val="clear" w:color="auto" w:fill="FFFFFF"/>
        <w:spacing w:before="0" w:beforeAutospacing="0" w:after="0" w:afterAutospacing="0"/>
      </w:pPr>
      <w:r w:rsidRPr="00123188">
        <w:rPr>
          <w:rStyle w:val="FootnoteReference"/>
          <w:rFonts w:cs="Arial"/>
          <w:sz w:val="16"/>
          <w:szCs w:val="16"/>
        </w:rPr>
        <w:footnoteRef/>
      </w:r>
      <w:r w:rsidRPr="00123188">
        <w:rPr>
          <w:rFonts w:ascii="Arial" w:hAnsi="Arial" w:cs="Arial"/>
          <w:sz w:val="16"/>
          <w:szCs w:val="16"/>
        </w:rPr>
        <w:t xml:space="preserve"> International Data Corporation, </w:t>
      </w:r>
      <w:hyperlink r:id="rId16" w:history="1">
        <w:r w:rsidRPr="005065D4">
          <w:rPr>
            <w:rStyle w:val="Hyperlink"/>
            <w:rFonts w:ascii="Arial" w:hAnsi="Arial" w:cs="Arial"/>
            <w:i/>
            <w:iCs/>
            <w:sz w:val="16"/>
            <w:szCs w:val="16"/>
          </w:rPr>
          <w:t>Almost Half of Enterprises Launch IoT Solutions</w:t>
        </w:r>
      </w:hyperlink>
      <w:r>
        <w:rPr>
          <w:rFonts w:ascii="Arial" w:hAnsi="Arial" w:cs="Arial"/>
          <w:color w:val="01010F"/>
          <w:sz w:val="16"/>
          <w:szCs w:val="16"/>
        </w:rPr>
        <w:t>, 20 January 2019.</w:t>
      </w:r>
    </w:p>
  </w:footnote>
  <w:footnote w:id="19">
    <w:p w14:paraId="4A1B9C76" w14:textId="0E1503B4" w:rsidR="00387C68" w:rsidRDefault="00387C68" w:rsidP="005F60FC">
      <w:pPr>
        <w:pStyle w:val="FootnoteText"/>
      </w:pPr>
      <w:r>
        <w:rPr>
          <w:rStyle w:val="FootnoteReference"/>
        </w:rPr>
        <w:footnoteRef/>
      </w:r>
      <w:r>
        <w:t xml:space="preserve"> ACMA</w:t>
      </w:r>
      <w:r w:rsidRPr="00E71A04">
        <w:t xml:space="preserve">, </w:t>
      </w:r>
      <w:hyperlink r:id="rId17" w:history="1">
        <w:r w:rsidRPr="00E71A04">
          <w:rPr>
            <w:rStyle w:val="Hyperlink"/>
            <w:i/>
            <w:iCs/>
          </w:rPr>
          <w:t>The Internet of Things and the ACMA’s area of focus, Emerging issues in media and communications- Occasional paper</w:t>
        </w:r>
      </w:hyperlink>
      <w:r w:rsidRPr="00E71A04">
        <w:rPr>
          <w:i/>
          <w:iCs/>
        </w:rPr>
        <w:t>,</w:t>
      </w:r>
      <w:r w:rsidRPr="00E71A04">
        <w:t xml:space="preserve"> November 2015</w:t>
      </w:r>
      <w:r>
        <w:t>,</w:t>
      </w:r>
      <w:r w:rsidRPr="00E71A04">
        <w:t xml:space="preserve"> p</w:t>
      </w:r>
      <w:r>
        <w:t>.</w:t>
      </w:r>
      <w:r w:rsidRPr="00E71A04">
        <w:t xml:space="preserve"> 8</w:t>
      </w:r>
      <w:r>
        <w:t>.</w:t>
      </w:r>
    </w:p>
  </w:footnote>
  <w:footnote w:id="20">
    <w:p w14:paraId="08FF71B4" w14:textId="1B24BF73" w:rsidR="00387C68" w:rsidRDefault="00387C68">
      <w:pPr>
        <w:pStyle w:val="FootnoteText"/>
      </w:pPr>
      <w:r>
        <w:rPr>
          <w:rStyle w:val="FootnoteReference"/>
        </w:rPr>
        <w:footnoteRef/>
      </w:r>
      <w:r>
        <w:t xml:space="preserve"> Edelman, Edelman Trust Barometer 2020, February 2020, p. 20.</w:t>
      </w:r>
    </w:p>
  </w:footnote>
  <w:footnote w:id="21">
    <w:p w14:paraId="204E4438" w14:textId="0114B557" w:rsidR="00387C68" w:rsidRDefault="00387C68" w:rsidP="005F60FC">
      <w:pPr>
        <w:pStyle w:val="FootnoteText"/>
      </w:pPr>
      <w:r>
        <w:rPr>
          <w:rStyle w:val="FootnoteReference"/>
        </w:rPr>
        <w:footnoteRef/>
      </w:r>
      <w:r>
        <w:t xml:space="preserve"> </w:t>
      </w:r>
      <w:r w:rsidRPr="00BD215E">
        <w:t>Adapted from</w:t>
      </w:r>
      <w:r>
        <w:t xml:space="preserve"> the NSW Department of Customer Service</w:t>
      </w:r>
      <w:r w:rsidRPr="00BD215E">
        <w:t xml:space="preserve">, </w:t>
      </w:r>
      <w:hyperlink r:id="rId18" w:history="1">
        <w:r w:rsidRPr="00D37191">
          <w:rPr>
            <w:rStyle w:val="Hyperlink"/>
            <w:i/>
            <w:iCs/>
          </w:rPr>
          <w:t>Internet of Things Policy Guidance</w:t>
        </w:r>
      </w:hyperlink>
      <w:r>
        <w:t>, 15 October</w:t>
      </w:r>
      <w:r w:rsidRPr="00BD215E">
        <w:t xml:space="preserve"> 201</w:t>
      </w:r>
      <w:r>
        <w:t>9, p. 144.</w:t>
      </w:r>
      <w:r w:rsidRPr="00BD215E">
        <w:t xml:space="preserve"> </w:t>
      </w:r>
    </w:p>
  </w:footnote>
  <w:footnote w:id="22">
    <w:p w14:paraId="379BEC33" w14:textId="4818C9C0" w:rsidR="00387C68" w:rsidRDefault="00387C68">
      <w:pPr>
        <w:pStyle w:val="FootnoteText"/>
      </w:pPr>
      <w:r>
        <w:rPr>
          <w:rStyle w:val="FootnoteReference"/>
        </w:rPr>
        <w:footnoteRef/>
      </w:r>
      <w:r>
        <w:t xml:space="preserve"> Omdia, </w:t>
      </w:r>
      <w:hyperlink r:id="rId19" w:history="1">
        <w:r w:rsidRPr="000F1C01">
          <w:rPr>
            <w:rStyle w:val="Hyperlink"/>
            <w:i/>
            <w:iCs/>
          </w:rPr>
          <w:t>Private LTE sets the scene for Industrial IoT and 5G test beds</w:t>
        </w:r>
      </w:hyperlink>
      <w:r>
        <w:t>, 12 April 2019.</w:t>
      </w:r>
    </w:p>
  </w:footnote>
  <w:footnote w:id="23">
    <w:p w14:paraId="10EC4F04" w14:textId="137F60FC" w:rsidR="00387C68" w:rsidRDefault="00387C68">
      <w:pPr>
        <w:pStyle w:val="FootnoteText"/>
      </w:pPr>
      <w:r>
        <w:rPr>
          <w:rStyle w:val="FootnoteReference"/>
        </w:rPr>
        <w:footnoteRef/>
      </w:r>
      <w:r>
        <w:t xml:space="preserve"> ACMA, draft </w:t>
      </w:r>
      <w:hyperlink r:id="rId20" w:history="1">
        <w:r>
          <w:rPr>
            <w:rStyle w:val="Hyperlink"/>
            <w:i/>
            <w:iCs/>
          </w:rPr>
          <w:t>Five-year spectrum outlook 2020–24</w:t>
        </w:r>
      </w:hyperlink>
      <w:r w:rsidRPr="000F1C01">
        <w:rPr>
          <w:i/>
          <w:iCs/>
        </w:rPr>
        <w:t>,</w:t>
      </w:r>
      <w:r>
        <w:t xml:space="preserve"> p. 26.</w:t>
      </w:r>
    </w:p>
  </w:footnote>
  <w:footnote w:id="24">
    <w:p w14:paraId="759BDAA7" w14:textId="21EB4D4F" w:rsidR="00387C68" w:rsidRDefault="00387C68" w:rsidP="005F60FC">
      <w:pPr>
        <w:pStyle w:val="FootnoteText"/>
      </w:pPr>
      <w:r>
        <w:rPr>
          <w:rStyle w:val="FootnoteReference"/>
        </w:rPr>
        <w:footnoteRef/>
      </w:r>
      <w:r>
        <w:t xml:space="preserve"> Cisco, </w:t>
      </w:r>
      <w:hyperlink r:id="rId21" w:history="1">
        <w:r w:rsidRPr="004A67F4">
          <w:rPr>
            <w:rStyle w:val="Hyperlink"/>
            <w:i/>
            <w:iCs/>
          </w:rPr>
          <w:t>Visual Networking Index: Australia 2022 forecast highlights</w:t>
        </w:r>
      </w:hyperlink>
      <w:r>
        <w:t xml:space="preserve">, </w:t>
      </w:r>
      <w:r w:rsidRPr="00554D93">
        <w:t>accessed</w:t>
      </w:r>
      <w:r>
        <w:t xml:space="preserve"> 18 November 2019.</w:t>
      </w:r>
    </w:p>
  </w:footnote>
  <w:footnote w:id="25">
    <w:p w14:paraId="77202F5A" w14:textId="6EAFA0C4" w:rsidR="00387C68" w:rsidRDefault="00387C68" w:rsidP="005F60FC">
      <w:pPr>
        <w:pStyle w:val="FootnoteText"/>
      </w:pPr>
      <w:r>
        <w:rPr>
          <w:rStyle w:val="FootnoteReference"/>
        </w:rPr>
        <w:footnoteRef/>
      </w:r>
      <w:r>
        <w:t xml:space="preserve"> ibid.</w:t>
      </w:r>
    </w:p>
  </w:footnote>
  <w:footnote w:id="26">
    <w:p w14:paraId="28C5851C" w14:textId="32D56298" w:rsidR="00387C68" w:rsidRDefault="00387C68" w:rsidP="005F60FC">
      <w:pPr>
        <w:pStyle w:val="FootnoteText"/>
      </w:pPr>
      <w:r>
        <w:rPr>
          <w:rStyle w:val="FootnoteReference"/>
        </w:rPr>
        <w:footnoteRef/>
      </w:r>
      <w:r>
        <w:t xml:space="preserve"> ACMA, </w:t>
      </w:r>
      <w:r w:rsidRPr="00517AC7">
        <w:rPr>
          <w:rStyle w:val="Hyperlink"/>
          <w:i/>
          <w:iCs/>
        </w:rPr>
        <w:t>Five</w:t>
      </w:r>
      <w:r>
        <w:rPr>
          <w:rStyle w:val="Hyperlink"/>
          <w:i/>
          <w:iCs/>
        </w:rPr>
        <w:t>-y</w:t>
      </w:r>
      <w:r w:rsidRPr="00517AC7">
        <w:rPr>
          <w:rStyle w:val="Hyperlink"/>
          <w:i/>
          <w:iCs/>
        </w:rPr>
        <w:t xml:space="preserve">ear </w:t>
      </w:r>
      <w:r>
        <w:rPr>
          <w:rStyle w:val="Hyperlink"/>
          <w:i/>
          <w:iCs/>
        </w:rPr>
        <w:t>s</w:t>
      </w:r>
      <w:r w:rsidRPr="00517AC7">
        <w:rPr>
          <w:rStyle w:val="Hyperlink"/>
          <w:i/>
          <w:iCs/>
        </w:rPr>
        <w:t xml:space="preserve">pectrum </w:t>
      </w:r>
      <w:r>
        <w:rPr>
          <w:rStyle w:val="Hyperlink"/>
          <w:i/>
          <w:iCs/>
        </w:rPr>
        <w:t>o</w:t>
      </w:r>
      <w:r w:rsidRPr="00517AC7">
        <w:rPr>
          <w:rStyle w:val="Hyperlink"/>
          <w:i/>
          <w:iCs/>
        </w:rPr>
        <w:t>utlook 2019</w:t>
      </w:r>
      <w:r>
        <w:rPr>
          <w:rStyle w:val="Hyperlink"/>
          <w:i/>
          <w:iCs/>
        </w:rPr>
        <w:t>–</w:t>
      </w:r>
      <w:r w:rsidRPr="00517AC7">
        <w:rPr>
          <w:rStyle w:val="Hyperlink"/>
          <w:i/>
          <w:iCs/>
        </w:rPr>
        <w:t>23</w:t>
      </w:r>
      <w:r>
        <w:t>, September 2019, p. 17.</w:t>
      </w:r>
    </w:p>
  </w:footnote>
  <w:footnote w:id="27">
    <w:p w14:paraId="58359319" w14:textId="76EFB18D" w:rsidR="00387C68" w:rsidRDefault="00387C68">
      <w:pPr>
        <w:pStyle w:val="FootnoteText"/>
      </w:pPr>
      <w:r>
        <w:rPr>
          <w:rStyle w:val="FootnoteReference"/>
        </w:rPr>
        <w:footnoteRef/>
      </w:r>
      <w:r>
        <w:t xml:space="preserve"> ACMA, draft </w:t>
      </w:r>
      <w:hyperlink r:id="rId22" w:history="1">
        <w:r>
          <w:rPr>
            <w:rStyle w:val="Hyperlink"/>
            <w:i/>
            <w:iCs/>
          </w:rPr>
          <w:t>Five-year spectrum outlook 2020–24</w:t>
        </w:r>
      </w:hyperlink>
      <w:r w:rsidRPr="006B41BB">
        <w:rPr>
          <w:i/>
          <w:iCs/>
        </w:rPr>
        <w:t>,</w:t>
      </w:r>
      <w:r>
        <w:t xml:space="preserve"> p. 26.</w:t>
      </w:r>
    </w:p>
  </w:footnote>
  <w:footnote w:id="28">
    <w:p w14:paraId="0730A614" w14:textId="2861D549" w:rsidR="00387C68" w:rsidRDefault="00387C68" w:rsidP="005F60FC">
      <w:pPr>
        <w:pStyle w:val="FootnoteText"/>
      </w:pPr>
      <w:r>
        <w:rPr>
          <w:rStyle w:val="FootnoteReference"/>
        </w:rPr>
        <w:footnoteRef/>
      </w:r>
      <w:r>
        <w:t xml:space="preserve"> ACMA</w:t>
      </w:r>
      <w:r w:rsidRPr="00AE1D6D">
        <w:t xml:space="preserve">, </w:t>
      </w:r>
      <w:hyperlink r:id="rId23" w:history="1">
        <w:r w:rsidRPr="00AE1D6D">
          <w:rPr>
            <w:rStyle w:val="Hyperlink"/>
            <w:i/>
            <w:iCs/>
          </w:rPr>
          <w:t>5G and mobile network developments</w:t>
        </w:r>
        <w:r>
          <w:rPr>
            <w:rStyle w:val="Hyperlink"/>
            <w:i/>
            <w:iCs/>
          </w:rPr>
          <w:t xml:space="preserve">; </w:t>
        </w:r>
        <w:r w:rsidRPr="00AE1D6D">
          <w:rPr>
            <w:rStyle w:val="Hyperlink"/>
            <w:i/>
            <w:iCs/>
          </w:rPr>
          <w:t>emerging issues occasional paper</w:t>
        </w:r>
      </w:hyperlink>
      <w:r w:rsidRPr="00AE1D6D">
        <w:rPr>
          <w:i/>
          <w:iCs/>
        </w:rPr>
        <w:t>, February 2016, p</w:t>
      </w:r>
      <w:r>
        <w:rPr>
          <w:i/>
          <w:iCs/>
        </w:rPr>
        <w:t>.</w:t>
      </w:r>
      <w:r w:rsidRPr="00AE1D6D">
        <w:rPr>
          <w:i/>
          <w:iCs/>
        </w:rPr>
        <w:t xml:space="preserve"> 3</w:t>
      </w:r>
      <w:r>
        <w:rPr>
          <w:i/>
          <w:iCs/>
        </w:rPr>
        <w:t>.</w:t>
      </w:r>
    </w:p>
  </w:footnote>
  <w:footnote w:id="29">
    <w:p w14:paraId="706007C8" w14:textId="419D890E" w:rsidR="00387C68" w:rsidRDefault="00387C68" w:rsidP="005F60FC">
      <w:pPr>
        <w:pStyle w:val="FootnoteText"/>
      </w:pPr>
      <w:r>
        <w:rPr>
          <w:rStyle w:val="FootnoteReference"/>
        </w:rPr>
        <w:footnoteRef/>
      </w:r>
      <w:r>
        <w:t xml:space="preserve"> </w:t>
      </w:r>
      <w:hyperlink r:id="rId24" w:history="1">
        <w:r w:rsidRPr="00F26BD6">
          <w:rPr>
            <w:rStyle w:val="Hyperlink"/>
          </w:rPr>
          <w:t>Radiocommunications (Spectrum Re-allocation — 26GHz Band) Declaration 2019</w:t>
        </w:r>
      </w:hyperlink>
      <w:r w:rsidRPr="00BD0CF2">
        <w:rPr>
          <w:rStyle w:val="Hyperlink"/>
          <w:u w:val="none"/>
        </w:rPr>
        <w:t>.</w:t>
      </w:r>
    </w:p>
  </w:footnote>
  <w:footnote w:id="30">
    <w:p w14:paraId="2F177E8A" w14:textId="5B316F70" w:rsidR="00387C68" w:rsidRPr="00DB54B8" w:rsidRDefault="00387C68" w:rsidP="005F60FC">
      <w:pPr>
        <w:pStyle w:val="FootnoteText"/>
      </w:pPr>
      <w:r>
        <w:rPr>
          <w:rStyle w:val="FootnoteReference"/>
        </w:rPr>
        <w:footnoteRef/>
      </w:r>
      <w:r>
        <w:t xml:space="preserve"> Department of Communications and the Arts, </w:t>
      </w:r>
      <w:hyperlink r:id="rId25" w:history="1">
        <w:r w:rsidRPr="00AC6AE0">
          <w:rPr>
            <w:rStyle w:val="Hyperlink"/>
            <w:i/>
            <w:iCs/>
          </w:rPr>
          <w:t>Spectrum released for the 5G rollout</w:t>
        </w:r>
      </w:hyperlink>
      <w:r>
        <w:rPr>
          <w:i/>
          <w:iCs/>
        </w:rPr>
        <w:t xml:space="preserve">, </w:t>
      </w:r>
      <w:r>
        <w:t>25 October 2019.</w:t>
      </w:r>
    </w:p>
  </w:footnote>
  <w:footnote w:id="31">
    <w:p w14:paraId="3EDDA8FB" w14:textId="00DB192D" w:rsidR="00387C68" w:rsidRDefault="00387C68">
      <w:pPr>
        <w:pStyle w:val="FootnoteText"/>
      </w:pPr>
      <w:r>
        <w:rPr>
          <w:rStyle w:val="FootnoteReference"/>
        </w:rPr>
        <w:footnoteRef/>
      </w:r>
      <w:r>
        <w:t xml:space="preserve"> ACMA</w:t>
      </w:r>
      <w:r w:rsidRPr="00AE1D6D">
        <w:t>,</w:t>
      </w:r>
      <w:r>
        <w:t xml:space="preserve"> </w:t>
      </w:r>
      <w:hyperlink r:id="rId26" w:history="1">
        <w:r w:rsidRPr="00B54F35">
          <w:rPr>
            <w:rStyle w:val="Hyperlink"/>
            <w:i/>
            <w:iCs/>
          </w:rPr>
          <w:t>ACMA approach to introducing area-wide licences</w:t>
        </w:r>
      </w:hyperlink>
      <w:r w:rsidRPr="00BD0CF2">
        <w:t>, February 2020</w:t>
      </w:r>
      <w:r w:rsidRPr="0065040C">
        <w:t>,</w:t>
      </w:r>
      <w:r>
        <w:t xml:space="preserve"> p. 6.</w:t>
      </w:r>
    </w:p>
  </w:footnote>
  <w:footnote w:id="32">
    <w:p w14:paraId="335E49C7" w14:textId="3B8CA78B" w:rsidR="00387C68" w:rsidRDefault="00387C68" w:rsidP="005F60FC">
      <w:pPr>
        <w:pStyle w:val="FootnoteText"/>
      </w:pPr>
      <w:r>
        <w:rPr>
          <w:rStyle w:val="FootnoteReference"/>
        </w:rPr>
        <w:footnoteRef/>
      </w:r>
      <w:r>
        <w:t xml:space="preserve"> ISO/IEC 21823-1:2019, </w:t>
      </w:r>
      <w:hyperlink r:id="rId27" w:history="1">
        <w:r w:rsidRPr="002076DC">
          <w:rPr>
            <w:rStyle w:val="Hyperlink"/>
            <w:i/>
            <w:iCs/>
          </w:rPr>
          <w:t>Internet of Things: Interoperability for IoT systems</w:t>
        </w:r>
      </w:hyperlink>
      <w:r>
        <w:t>, February 2019.</w:t>
      </w:r>
    </w:p>
  </w:footnote>
  <w:footnote w:id="33">
    <w:p w14:paraId="4341225F" w14:textId="0DD2CD35" w:rsidR="00387C68" w:rsidRDefault="00387C68" w:rsidP="005F60FC">
      <w:pPr>
        <w:pStyle w:val="FootnoteText"/>
      </w:pPr>
      <w:r>
        <w:rPr>
          <w:rStyle w:val="FootnoteReference"/>
        </w:rPr>
        <w:footnoteRef/>
      </w:r>
      <w:r>
        <w:t xml:space="preserve"> ETSI, </w:t>
      </w:r>
      <w:r w:rsidRPr="002076DC">
        <w:rPr>
          <w:i/>
          <w:iCs/>
        </w:rPr>
        <w:t xml:space="preserve">Press release: </w:t>
      </w:r>
      <w:hyperlink r:id="rId28" w:history="1">
        <w:r w:rsidRPr="002076DC">
          <w:rPr>
            <w:rStyle w:val="Hyperlink"/>
            <w:i/>
            <w:iCs/>
          </w:rPr>
          <w:t>ETSI releases first globally applicable standard for consumer IoT security</w:t>
        </w:r>
      </w:hyperlink>
      <w:r>
        <w:t>, February 2019.</w:t>
      </w:r>
    </w:p>
  </w:footnote>
  <w:footnote w:id="34">
    <w:p w14:paraId="34D07080" w14:textId="44BC459A" w:rsidR="00387C68" w:rsidRDefault="00387C68" w:rsidP="005F60FC">
      <w:pPr>
        <w:pStyle w:val="FootnoteText"/>
      </w:pPr>
      <w:r>
        <w:rPr>
          <w:rStyle w:val="FootnoteReference"/>
        </w:rPr>
        <w:footnoteRef/>
      </w:r>
      <w:r>
        <w:t xml:space="preserve"> Department for Digital, Culture, Media &amp; Sport, press release, </w:t>
      </w:r>
      <w:hyperlink r:id="rId29" w:history="1">
        <w:r>
          <w:rPr>
            <w:rStyle w:val="Hyperlink"/>
            <w:i/>
            <w:iCs/>
          </w:rPr>
          <w:t>Plans announced to introduce new laws for internet connected devices</w:t>
        </w:r>
      </w:hyperlink>
      <w:r>
        <w:t xml:space="preserve">, May 2019. </w:t>
      </w:r>
    </w:p>
  </w:footnote>
  <w:footnote w:id="35">
    <w:p w14:paraId="5EC4822F" w14:textId="6D7F45E4" w:rsidR="00387C68" w:rsidRDefault="00387C68">
      <w:pPr>
        <w:pStyle w:val="FootnoteText"/>
      </w:pPr>
      <w:r>
        <w:rPr>
          <w:rStyle w:val="FootnoteReference"/>
        </w:rPr>
        <w:footnoteRef/>
      </w:r>
      <w:r>
        <w:t xml:space="preserve"> Department for Digital, Culture, Media &amp; Sport, </w:t>
      </w:r>
      <w:hyperlink r:id="rId30" w:history="1">
        <w:r w:rsidRPr="000F1C01">
          <w:rPr>
            <w:rStyle w:val="Hyperlink"/>
            <w:i/>
            <w:iCs/>
          </w:rPr>
          <w:t>Government response to the regulatory proposals for consumer Internet of Things (IoT) security consultation</w:t>
        </w:r>
      </w:hyperlink>
      <w:r>
        <w:t>, updated 3 February 2020.</w:t>
      </w:r>
    </w:p>
  </w:footnote>
  <w:footnote w:id="36">
    <w:p w14:paraId="18677EE1" w14:textId="46A935E3" w:rsidR="00387C68" w:rsidRPr="00D46084" w:rsidRDefault="00387C68">
      <w:pPr>
        <w:pStyle w:val="FootnoteText"/>
      </w:pPr>
      <w:r>
        <w:rPr>
          <w:rStyle w:val="FootnoteReference"/>
        </w:rPr>
        <w:footnoteRef/>
      </w:r>
      <w:r>
        <w:t xml:space="preserve"> CSA Singapore, </w:t>
      </w:r>
      <w:hyperlink r:id="rId31" w:history="1">
        <w:r w:rsidRPr="00D94829">
          <w:rPr>
            <w:rStyle w:val="Hyperlink"/>
            <w:i/>
            <w:iCs/>
          </w:rPr>
          <w:t>Cybersecurity labelling scheme</w:t>
        </w:r>
      </w:hyperlink>
      <w:r>
        <w:rPr>
          <w:i/>
          <w:iCs/>
        </w:rPr>
        <w:t xml:space="preserve">, </w:t>
      </w:r>
      <w:r>
        <w:t>accessed 15 June 2020.</w:t>
      </w:r>
    </w:p>
  </w:footnote>
  <w:footnote w:id="37">
    <w:p w14:paraId="57CF08BE" w14:textId="6062A342" w:rsidR="00387C68" w:rsidRPr="00822EB5" w:rsidRDefault="00387C68">
      <w:pPr>
        <w:pStyle w:val="FootnoteText"/>
      </w:pPr>
      <w:r>
        <w:rPr>
          <w:rStyle w:val="FootnoteReference"/>
        </w:rPr>
        <w:footnoteRef/>
      </w:r>
      <w:r>
        <w:t xml:space="preserve"> IoT Security Alliance, </w:t>
      </w:r>
      <w:r>
        <w:rPr>
          <w:i/>
          <w:iCs/>
        </w:rPr>
        <w:t xml:space="preserve">Demystifying IoT Security White Paper, </w:t>
      </w:r>
      <w:r>
        <w:t>2017 p. 2.</w:t>
      </w:r>
    </w:p>
  </w:footnote>
  <w:footnote w:id="38">
    <w:p w14:paraId="66C0E1AB" w14:textId="45F665AD" w:rsidR="00387C68" w:rsidRDefault="00387C68">
      <w:pPr>
        <w:pStyle w:val="FootnoteText"/>
      </w:pPr>
      <w:r>
        <w:rPr>
          <w:rStyle w:val="FootnoteReference"/>
        </w:rPr>
        <w:footnoteRef/>
      </w:r>
      <w:r>
        <w:t xml:space="preserve"> Microsoft Azure, </w:t>
      </w:r>
      <w:hyperlink r:id="rId32" w:history="1">
        <w:r w:rsidRPr="00A63FA6">
          <w:rPr>
            <w:rStyle w:val="Hyperlink"/>
            <w:i/>
            <w:iCs/>
          </w:rPr>
          <w:t>New smart device consumer research: consumers call on manufacturers to do more</w:t>
        </w:r>
      </w:hyperlink>
      <w:r>
        <w:t>, 9 January 2019.</w:t>
      </w:r>
    </w:p>
  </w:footnote>
  <w:footnote w:id="39">
    <w:p w14:paraId="199A8BE5" w14:textId="5287F423" w:rsidR="00387C68" w:rsidRPr="0075054E" w:rsidRDefault="00387C68">
      <w:pPr>
        <w:pStyle w:val="FootnoteText"/>
      </w:pPr>
      <w:r>
        <w:rPr>
          <w:rStyle w:val="FootnoteReference"/>
        </w:rPr>
        <w:footnoteRef/>
      </w:r>
      <w:r>
        <w:t xml:space="preserve"> ACMA, </w:t>
      </w:r>
      <w:hyperlink r:id="rId33" w:history="1">
        <w:r w:rsidRPr="005F4D79">
          <w:rPr>
            <w:rStyle w:val="Hyperlink"/>
            <w:i/>
            <w:iCs/>
          </w:rPr>
          <w:t>The Internet of Things and the ACMA’s areas of focus, emerging issues in media and communications occasional paper</w:t>
        </w:r>
      </w:hyperlink>
      <w:r>
        <w:rPr>
          <w:i/>
          <w:iCs/>
        </w:rPr>
        <w:t xml:space="preserve">, </w:t>
      </w:r>
      <w:r>
        <w:t>November 2015, pp. 25–6.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F7C95" w14:textId="77777777" w:rsidR="00387C68" w:rsidRPr="00A5474E" w:rsidRDefault="00387C68" w:rsidP="00A5474E">
    <w:pPr>
      <w:pStyle w:val="Header"/>
    </w:pPr>
    <w:r>
      <w:rPr>
        <w:noProof/>
      </w:rPr>
      <w:drawing>
        <wp:inline distT="0" distB="0" distL="0" distR="0" wp14:anchorId="29F466DE" wp14:editId="201B0A53">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F037D" w14:textId="77777777" w:rsidR="00387C68" w:rsidRPr="00A5474E" w:rsidRDefault="00387C68"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14BA6" w14:textId="77777777" w:rsidR="00387C68" w:rsidRDefault="00387C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24A5B" w14:textId="77777777" w:rsidR="00387C68" w:rsidRDefault="00387C6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87C68" w14:paraId="4CECD8C4" w14:textId="77777777" w:rsidTr="003304F3">
      <w:trPr>
        <w:trHeight w:hRule="exact" w:val="988"/>
      </w:trPr>
      <w:tc>
        <w:tcPr>
          <w:tcW w:w="7678" w:type="dxa"/>
          <w:shd w:val="clear" w:color="auto" w:fill="auto"/>
        </w:tcPr>
        <w:p w14:paraId="0F04F9B9" w14:textId="77777777" w:rsidR="00387C68" w:rsidRDefault="00387C68" w:rsidP="00971914">
          <w:pPr>
            <w:pStyle w:val="Header"/>
          </w:pPr>
        </w:p>
      </w:tc>
    </w:tr>
    <w:tr w:rsidR="00387C68" w14:paraId="2845B94A" w14:textId="77777777" w:rsidTr="003304F3">
      <w:tc>
        <w:tcPr>
          <w:tcW w:w="7678" w:type="dxa"/>
          <w:shd w:val="clear" w:color="auto" w:fill="auto"/>
        </w:tcPr>
        <w:p w14:paraId="3544B7A3" w14:textId="77777777" w:rsidR="00387C68" w:rsidRDefault="00387C68" w:rsidP="00971914">
          <w:pPr>
            <w:pStyle w:val="GridTable31"/>
          </w:pPr>
          <w:r>
            <w:t xml:space="preserve">Contents </w:t>
          </w:r>
          <w:r w:rsidRPr="00915B1C">
            <w:rPr>
              <w:b w:val="0"/>
              <w:spacing w:val="0"/>
              <w:sz w:val="28"/>
              <w:szCs w:val="28"/>
            </w:rPr>
            <w:t>(Continued)</w:t>
          </w:r>
        </w:p>
      </w:tc>
    </w:tr>
    <w:tr w:rsidR="00387C68" w14:paraId="1D21DAA9" w14:textId="77777777" w:rsidTr="003304F3">
      <w:trPr>
        <w:trHeight w:val="1220"/>
      </w:trPr>
      <w:tc>
        <w:tcPr>
          <w:tcW w:w="7678" w:type="dxa"/>
          <w:shd w:val="clear" w:color="auto" w:fill="auto"/>
        </w:tcPr>
        <w:p w14:paraId="15E213E4" w14:textId="77777777" w:rsidR="00387C68" w:rsidRDefault="00387C68" w:rsidP="00971914"/>
      </w:tc>
    </w:tr>
  </w:tbl>
  <w:p w14:paraId="36CE4E27" w14:textId="77777777" w:rsidR="00387C68" w:rsidRDefault="00387C68"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87C68" w14:paraId="0118898C" w14:textId="77777777" w:rsidTr="003304F3">
      <w:trPr>
        <w:trHeight w:hRule="exact" w:val="988"/>
      </w:trPr>
      <w:tc>
        <w:tcPr>
          <w:tcW w:w="7678" w:type="dxa"/>
          <w:shd w:val="clear" w:color="auto" w:fill="auto"/>
        </w:tcPr>
        <w:p w14:paraId="3D3A4FEA" w14:textId="77777777" w:rsidR="00387C68" w:rsidRDefault="00387C68" w:rsidP="00971914">
          <w:pPr>
            <w:pStyle w:val="Header"/>
          </w:pPr>
        </w:p>
      </w:tc>
    </w:tr>
    <w:tr w:rsidR="00387C68" w14:paraId="240E98E3" w14:textId="77777777" w:rsidTr="003304F3">
      <w:tc>
        <w:tcPr>
          <w:tcW w:w="7678" w:type="dxa"/>
          <w:shd w:val="clear" w:color="auto" w:fill="auto"/>
        </w:tcPr>
        <w:p w14:paraId="2561628E" w14:textId="77777777" w:rsidR="00387C68" w:rsidRDefault="00387C68" w:rsidP="00971914">
          <w:pPr>
            <w:pStyle w:val="GridTable31"/>
          </w:pPr>
          <w:r>
            <w:t xml:space="preserve">Contents </w:t>
          </w:r>
          <w:r w:rsidRPr="00915B1C">
            <w:rPr>
              <w:b w:val="0"/>
              <w:spacing w:val="0"/>
              <w:sz w:val="28"/>
              <w:szCs w:val="28"/>
            </w:rPr>
            <w:t>(Continued)</w:t>
          </w:r>
        </w:p>
      </w:tc>
    </w:tr>
    <w:tr w:rsidR="00387C68" w14:paraId="6A04BB02" w14:textId="77777777" w:rsidTr="003304F3">
      <w:trPr>
        <w:trHeight w:val="1220"/>
      </w:trPr>
      <w:tc>
        <w:tcPr>
          <w:tcW w:w="7678" w:type="dxa"/>
          <w:shd w:val="clear" w:color="auto" w:fill="auto"/>
        </w:tcPr>
        <w:p w14:paraId="5F0BFD63" w14:textId="77777777" w:rsidR="00387C68" w:rsidRDefault="00387C68" w:rsidP="00971914"/>
      </w:tc>
    </w:tr>
  </w:tbl>
  <w:p w14:paraId="52871D6F" w14:textId="77777777" w:rsidR="00387C68" w:rsidRPr="00A5474E" w:rsidRDefault="00387C68"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43E9F" w14:textId="77777777" w:rsidR="00387C68" w:rsidRDefault="00387C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4AFFB" w14:textId="77777777" w:rsidR="00387C68" w:rsidRDefault="00387C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C246B9"/>
    <w:multiLevelType w:val="hybridMultilevel"/>
    <w:tmpl w:val="C2B8C3E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A4B53C4"/>
    <w:multiLevelType w:val="hybridMultilevel"/>
    <w:tmpl w:val="A8542BA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430B76"/>
    <w:multiLevelType w:val="hybridMultilevel"/>
    <w:tmpl w:val="9EA4A990"/>
    <w:lvl w:ilvl="0" w:tplc="79C060E6">
      <w:start w:val="1"/>
      <w:numFmt w:val="bullet"/>
      <w:lvlText w:val="˃"/>
      <w:lvlJc w:val="left"/>
      <w:pPr>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E579A8"/>
    <w:multiLevelType w:val="hybridMultilevel"/>
    <w:tmpl w:val="EA24EC6A"/>
    <w:lvl w:ilvl="0" w:tplc="C414EE9E">
      <w:start w:val="1"/>
      <w:numFmt w:val="bullet"/>
      <w:lvlText w:val="-"/>
      <w:lvlJc w:val="left"/>
      <w:pPr>
        <w:ind w:left="720" w:hanging="360"/>
      </w:pPr>
      <w:rPr>
        <w:rFonts w:ascii="Century Gothic" w:eastAsia="Times New Roman" w:hAnsi="Century Gothic"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D055114"/>
    <w:multiLevelType w:val="hybridMultilevel"/>
    <w:tmpl w:val="4762DE34"/>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3C281607"/>
    <w:multiLevelType w:val="hybridMultilevel"/>
    <w:tmpl w:val="4CDE521A"/>
    <w:lvl w:ilvl="0" w:tplc="380A5FA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7D04902"/>
    <w:multiLevelType w:val="hybridMultilevel"/>
    <w:tmpl w:val="058071C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8786366"/>
    <w:multiLevelType w:val="hybridMultilevel"/>
    <w:tmpl w:val="85FE0BEC"/>
    <w:lvl w:ilvl="0" w:tplc="E6FCEEFA">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063798"/>
    <w:multiLevelType w:val="hybridMultilevel"/>
    <w:tmpl w:val="8F02E69E"/>
    <w:lvl w:ilvl="0" w:tplc="E6FCEEFA">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FB4196"/>
    <w:multiLevelType w:val="hybridMultilevel"/>
    <w:tmpl w:val="45786DD4"/>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84AAF6D4"/>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8C4350"/>
    <w:multiLevelType w:val="multilevel"/>
    <w:tmpl w:val="413275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C0601F8"/>
    <w:multiLevelType w:val="hybridMultilevel"/>
    <w:tmpl w:val="3942E154"/>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EAB57A1"/>
    <w:multiLevelType w:val="hybridMultilevel"/>
    <w:tmpl w:val="FFF04922"/>
    <w:lvl w:ilvl="0" w:tplc="CB0AD4B4">
      <w:start w:val="1"/>
      <w:numFmt w:val="decimal"/>
      <w:lvlText w:val="%1."/>
      <w:lvlJc w:val="left"/>
      <w:pPr>
        <w:ind w:left="360" w:hanging="360"/>
      </w:pPr>
      <w:rPr>
        <w:rFonts w:hint="default"/>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28413CC"/>
    <w:multiLevelType w:val="hybridMultilevel"/>
    <w:tmpl w:val="6F0C76C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E9911FC"/>
    <w:multiLevelType w:val="multilevel"/>
    <w:tmpl w:val="60F2B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1"/>
  </w:num>
  <w:num w:numId="3">
    <w:abstractNumId w:val="2"/>
  </w:num>
  <w:num w:numId="4">
    <w:abstractNumId w:val="0"/>
  </w:num>
  <w:num w:numId="5">
    <w:abstractNumId w:val="10"/>
  </w:num>
  <w:num w:numId="6">
    <w:abstractNumId w:val="18"/>
  </w:num>
  <w:num w:numId="7">
    <w:abstractNumId w:val="16"/>
  </w:num>
  <w:num w:numId="8">
    <w:abstractNumId w:val="17"/>
  </w:num>
  <w:num w:numId="9">
    <w:abstractNumId w:val="21"/>
  </w:num>
  <w:num w:numId="10">
    <w:abstractNumId w:val="4"/>
  </w:num>
  <w:num w:numId="11">
    <w:abstractNumId w:val="2"/>
    <w:lvlOverride w:ilvl="0">
      <w:startOverride w:val="1"/>
    </w:lvlOverride>
  </w:num>
  <w:num w:numId="12">
    <w:abstractNumId w:val="24"/>
  </w:num>
  <w:num w:numId="13">
    <w:abstractNumId w:val="5"/>
  </w:num>
  <w:num w:numId="14">
    <w:abstractNumId w:val="9"/>
  </w:num>
  <w:num w:numId="15">
    <w:abstractNumId w:val="12"/>
  </w:num>
  <w:num w:numId="16">
    <w:abstractNumId w:val="22"/>
  </w:num>
  <w:num w:numId="17">
    <w:abstractNumId w:val="23"/>
  </w:num>
  <w:num w:numId="18">
    <w:abstractNumId w:val="6"/>
  </w:num>
  <w:num w:numId="19">
    <w:abstractNumId w:val="14"/>
  </w:num>
  <w:num w:numId="20">
    <w:abstractNumId w:val="20"/>
  </w:num>
  <w:num w:numId="21">
    <w:abstractNumId w:val="13"/>
  </w:num>
  <w:num w:numId="22">
    <w:abstractNumId w:val="8"/>
  </w:num>
  <w:num w:numId="23">
    <w:abstractNumId w:val="11"/>
  </w:num>
  <w:num w:numId="24">
    <w:abstractNumId w:val="19"/>
  </w:num>
  <w:num w:numId="25">
    <w:abstractNumId w:val="7"/>
  </w:num>
  <w:num w:numId="26">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0FC"/>
    <w:rsid w:val="000000EE"/>
    <w:rsid w:val="0000274C"/>
    <w:rsid w:val="00002BD7"/>
    <w:rsid w:val="000042B8"/>
    <w:rsid w:val="00004BD1"/>
    <w:rsid w:val="00006125"/>
    <w:rsid w:val="00010667"/>
    <w:rsid w:val="000129D5"/>
    <w:rsid w:val="00012E2B"/>
    <w:rsid w:val="00012EA8"/>
    <w:rsid w:val="00013160"/>
    <w:rsid w:val="00013ACB"/>
    <w:rsid w:val="00015AE7"/>
    <w:rsid w:val="00016335"/>
    <w:rsid w:val="00016E21"/>
    <w:rsid w:val="0001719C"/>
    <w:rsid w:val="00017D35"/>
    <w:rsid w:val="000207D6"/>
    <w:rsid w:val="00020866"/>
    <w:rsid w:val="00021D7C"/>
    <w:rsid w:val="0002224E"/>
    <w:rsid w:val="0002275E"/>
    <w:rsid w:val="00023109"/>
    <w:rsid w:val="000234F9"/>
    <w:rsid w:val="00024409"/>
    <w:rsid w:val="000245E5"/>
    <w:rsid w:val="00024AA9"/>
    <w:rsid w:val="00024BF4"/>
    <w:rsid w:val="00024F18"/>
    <w:rsid w:val="00025C06"/>
    <w:rsid w:val="0002632D"/>
    <w:rsid w:val="00026458"/>
    <w:rsid w:val="00026F91"/>
    <w:rsid w:val="00032666"/>
    <w:rsid w:val="000333C5"/>
    <w:rsid w:val="00034C97"/>
    <w:rsid w:val="00037C54"/>
    <w:rsid w:val="00041871"/>
    <w:rsid w:val="00042C1B"/>
    <w:rsid w:val="000452A8"/>
    <w:rsid w:val="000460E5"/>
    <w:rsid w:val="0004764C"/>
    <w:rsid w:val="00050071"/>
    <w:rsid w:val="0005011A"/>
    <w:rsid w:val="0005045A"/>
    <w:rsid w:val="00050A39"/>
    <w:rsid w:val="00050ECC"/>
    <w:rsid w:val="00051C1E"/>
    <w:rsid w:val="0005298F"/>
    <w:rsid w:val="0005316F"/>
    <w:rsid w:val="000539F9"/>
    <w:rsid w:val="00054251"/>
    <w:rsid w:val="00054314"/>
    <w:rsid w:val="0005458D"/>
    <w:rsid w:val="00054C27"/>
    <w:rsid w:val="00055EC3"/>
    <w:rsid w:val="00056236"/>
    <w:rsid w:val="000563CE"/>
    <w:rsid w:val="00057518"/>
    <w:rsid w:val="00060F2E"/>
    <w:rsid w:val="00062FD5"/>
    <w:rsid w:val="00065852"/>
    <w:rsid w:val="000659B6"/>
    <w:rsid w:val="00065EE2"/>
    <w:rsid w:val="0006686F"/>
    <w:rsid w:val="00066E64"/>
    <w:rsid w:val="0006722A"/>
    <w:rsid w:val="000722AD"/>
    <w:rsid w:val="000732CF"/>
    <w:rsid w:val="00075695"/>
    <w:rsid w:val="00075B96"/>
    <w:rsid w:val="0007698D"/>
    <w:rsid w:val="00077675"/>
    <w:rsid w:val="00080E11"/>
    <w:rsid w:val="0008196A"/>
    <w:rsid w:val="0008421C"/>
    <w:rsid w:val="00084A90"/>
    <w:rsid w:val="00085DF7"/>
    <w:rsid w:val="0008709B"/>
    <w:rsid w:val="0009126C"/>
    <w:rsid w:val="000915ED"/>
    <w:rsid w:val="0009198F"/>
    <w:rsid w:val="0009209D"/>
    <w:rsid w:val="000926AF"/>
    <w:rsid w:val="0009463C"/>
    <w:rsid w:val="000954B2"/>
    <w:rsid w:val="000969BD"/>
    <w:rsid w:val="000969BF"/>
    <w:rsid w:val="0009746E"/>
    <w:rsid w:val="000A06D8"/>
    <w:rsid w:val="000A0C22"/>
    <w:rsid w:val="000A1400"/>
    <w:rsid w:val="000A1792"/>
    <w:rsid w:val="000A183B"/>
    <w:rsid w:val="000A1B85"/>
    <w:rsid w:val="000A3C43"/>
    <w:rsid w:val="000A434E"/>
    <w:rsid w:val="000A47E9"/>
    <w:rsid w:val="000A4A51"/>
    <w:rsid w:val="000A4D02"/>
    <w:rsid w:val="000A5D2B"/>
    <w:rsid w:val="000A6C89"/>
    <w:rsid w:val="000A6FFE"/>
    <w:rsid w:val="000A7AB4"/>
    <w:rsid w:val="000B4664"/>
    <w:rsid w:val="000B5DE3"/>
    <w:rsid w:val="000B65F1"/>
    <w:rsid w:val="000B6719"/>
    <w:rsid w:val="000B6C29"/>
    <w:rsid w:val="000B7672"/>
    <w:rsid w:val="000C0A57"/>
    <w:rsid w:val="000C0C74"/>
    <w:rsid w:val="000C18B7"/>
    <w:rsid w:val="000C1E75"/>
    <w:rsid w:val="000C230C"/>
    <w:rsid w:val="000C417C"/>
    <w:rsid w:val="000C46F1"/>
    <w:rsid w:val="000C49C9"/>
    <w:rsid w:val="000C4F02"/>
    <w:rsid w:val="000C5539"/>
    <w:rsid w:val="000C6AB4"/>
    <w:rsid w:val="000C7F9D"/>
    <w:rsid w:val="000D0C82"/>
    <w:rsid w:val="000D2A1D"/>
    <w:rsid w:val="000D4D7B"/>
    <w:rsid w:val="000D5E68"/>
    <w:rsid w:val="000D6A2D"/>
    <w:rsid w:val="000D71D9"/>
    <w:rsid w:val="000D76E0"/>
    <w:rsid w:val="000D7A9D"/>
    <w:rsid w:val="000D7E8B"/>
    <w:rsid w:val="000E0AA9"/>
    <w:rsid w:val="000E0CC1"/>
    <w:rsid w:val="000E1458"/>
    <w:rsid w:val="000E1C86"/>
    <w:rsid w:val="000E2587"/>
    <w:rsid w:val="000E2D6C"/>
    <w:rsid w:val="000E3E27"/>
    <w:rsid w:val="000E41BE"/>
    <w:rsid w:val="000E4449"/>
    <w:rsid w:val="000E54BD"/>
    <w:rsid w:val="000E6086"/>
    <w:rsid w:val="000E6097"/>
    <w:rsid w:val="000E62BF"/>
    <w:rsid w:val="000F1C01"/>
    <w:rsid w:val="000F1D53"/>
    <w:rsid w:val="000F2C27"/>
    <w:rsid w:val="000F5F59"/>
    <w:rsid w:val="000F6E3E"/>
    <w:rsid w:val="00100787"/>
    <w:rsid w:val="0010154A"/>
    <w:rsid w:val="00101EB4"/>
    <w:rsid w:val="0010266B"/>
    <w:rsid w:val="0010326D"/>
    <w:rsid w:val="00103829"/>
    <w:rsid w:val="00103D5D"/>
    <w:rsid w:val="0010431C"/>
    <w:rsid w:val="00105AC7"/>
    <w:rsid w:val="00110872"/>
    <w:rsid w:val="00111185"/>
    <w:rsid w:val="001112A1"/>
    <w:rsid w:val="00111FCE"/>
    <w:rsid w:val="0011342F"/>
    <w:rsid w:val="00117B7D"/>
    <w:rsid w:val="00120044"/>
    <w:rsid w:val="001229A5"/>
    <w:rsid w:val="0012489B"/>
    <w:rsid w:val="00126B29"/>
    <w:rsid w:val="00130017"/>
    <w:rsid w:val="00130DDD"/>
    <w:rsid w:val="00130F91"/>
    <w:rsid w:val="00132F52"/>
    <w:rsid w:val="00133325"/>
    <w:rsid w:val="00134311"/>
    <w:rsid w:val="001349ED"/>
    <w:rsid w:val="001356AF"/>
    <w:rsid w:val="00137424"/>
    <w:rsid w:val="001401EB"/>
    <w:rsid w:val="00140318"/>
    <w:rsid w:val="00141AD9"/>
    <w:rsid w:val="00142B19"/>
    <w:rsid w:val="001449D8"/>
    <w:rsid w:val="00145B19"/>
    <w:rsid w:val="00146CE6"/>
    <w:rsid w:val="00147B68"/>
    <w:rsid w:val="00147EEF"/>
    <w:rsid w:val="00150026"/>
    <w:rsid w:val="00152903"/>
    <w:rsid w:val="00153498"/>
    <w:rsid w:val="00153F84"/>
    <w:rsid w:val="00153FD5"/>
    <w:rsid w:val="00156057"/>
    <w:rsid w:val="0015614F"/>
    <w:rsid w:val="0015656E"/>
    <w:rsid w:val="001577C2"/>
    <w:rsid w:val="00157F08"/>
    <w:rsid w:val="00160782"/>
    <w:rsid w:val="00160C67"/>
    <w:rsid w:val="001618D9"/>
    <w:rsid w:val="00163183"/>
    <w:rsid w:val="001633C4"/>
    <w:rsid w:val="001644CB"/>
    <w:rsid w:val="00165FCC"/>
    <w:rsid w:val="001704D5"/>
    <w:rsid w:val="0017055C"/>
    <w:rsid w:val="00170958"/>
    <w:rsid w:val="00171591"/>
    <w:rsid w:val="00173981"/>
    <w:rsid w:val="00173E7D"/>
    <w:rsid w:val="00175F60"/>
    <w:rsid w:val="0017719D"/>
    <w:rsid w:val="0018027B"/>
    <w:rsid w:val="001802EB"/>
    <w:rsid w:val="0018143A"/>
    <w:rsid w:val="0018235C"/>
    <w:rsid w:val="00183FD7"/>
    <w:rsid w:val="001858F0"/>
    <w:rsid w:val="00185CAB"/>
    <w:rsid w:val="0018622A"/>
    <w:rsid w:val="00186F3E"/>
    <w:rsid w:val="001872B1"/>
    <w:rsid w:val="001875B7"/>
    <w:rsid w:val="00187724"/>
    <w:rsid w:val="00187CB3"/>
    <w:rsid w:val="0019050A"/>
    <w:rsid w:val="001910D4"/>
    <w:rsid w:val="001914C6"/>
    <w:rsid w:val="00191E79"/>
    <w:rsid w:val="00192AE9"/>
    <w:rsid w:val="00196E65"/>
    <w:rsid w:val="001976E3"/>
    <w:rsid w:val="00197712"/>
    <w:rsid w:val="001A1749"/>
    <w:rsid w:val="001A376F"/>
    <w:rsid w:val="001A44EC"/>
    <w:rsid w:val="001A540B"/>
    <w:rsid w:val="001A62B7"/>
    <w:rsid w:val="001A6919"/>
    <w:rsid w:val="001A70F5"/>
    <w:rsid w:val="001B0943"/>
    <w:rsid w:val="001B2393"/>
    <w:rsid w:val="001B24A0"/>
    <w:rsid w:val="001B28D9"/>
    <w:rsid w:val="001B3193"/>
    <w:rsid w:val="001B5579"/>
    <w:rsid w:val="001B55AC"/>
    <w:rsid w:val="001B58AA"/>
    <w:rsid w:val="001B5E39"/>
    <w:rsid w:val="001B6CF3"/>
    <w:rsid w:val="001B7B53"/>
    <w:rsid w:val="001B7E48"/>
    <w:rsid w:val="001C0915"/>
    <w:rsid w:val="001C17CE"/>
    <w:rsid w:val="001C36CA"/>
    <w:rsid w:val="001C44D1"/>
    <w:rsid w:val="001C4C7A"/>
    <w:rsid w:val="001C6344"/>
    <w:rsid w:val="001C6451"/>
    <w:rsid w:val="001C6AEE"/>
    <w:rsid w:val="001C7630"/>
    <w:rsid w:val="001D1553"/>
    <w:rsid w:val="001D39E9"/>
    <w:rsid w:val="001D4582"/>
    <w:rsid w:val="001D6D15"/>
    <w:rsid w:val="001E0D3A"/>
    <w:rsid w:val="001E1394"/>
    <w:rsid w:val="001E1EA8"/>
    <w:rsid w:val="001E475E"/>
    <w:rsid w:val="001E5A3C"/>
    <w:rsid w:val="001E5F47"/>
    <w:rsid w:val="001F11D2"/>
    <w:rsid w:val="001F2AEB"/>
    <w:rsid w:val="001F3462"/>
    <w:rsid w:val="001F42CF"/>
    <w:rsid w:val="001F4407"/>
    <w:rsid w:val="001F5960"/>
    <w:rsid w:val="001F7558"/>
    <w:rsid w:val="0020264F"/>
    <w:rsid w:val="00203C58"/>
    <w:rsid w:val="00204FAA"/>
    <w:rsid w:val="00205B57"/>
    <w:rsid w:val="00206543"/>
    <w:rsid w:val="00207182"/>
    <w:rsid w:val="0021020B"/>
    <w:rsid w:val="00210FCB"/>
    <w:rsid w:val="00211095"/>
    <w:rsid w:val="002157E0"/>
    <w:rsid w:val="00216A57"/>
    <w:rsid w:val="00217448"/>
    <w:rsid w:val="00222968"/>
    <w:rsid w:val="0022334F"/>
    <w:rsid w:val="0022438C"/>
    <w:rsid w:val="00226212"/>
    <w:rsid w:val="002263B1"/>
    <w:rsid w:val="002265FE"/>
    <w:rsid w:val="00226819"/>
    <w:rsid w:val="00227C1D"/>
    <w:rsid w:val="00230208"/>
    <w:rsid w:val="00230427"/>
    <w:rsid w:val="00233101"/>
    <w:rsid w:val="0023356A"/>
    <w:rsid w:val="00233817"/>
    <w:rsid w:val="002348E5"/>
    <w:rsid w:val="0023523D"/>
    <w:rsid w:val="00235EFE"/>
    <w:rsid w:val="002367FF"/>
    <w:rsid w:val="002379AD"/>
    <w:rsid w:val="00240CE9"/>
    <w:rsid w:val="002425E9"/>
    <w:rsid w:val="002434BA"/>
    <w:rsid w:val="002434F5"/>
    <w:rsid w:val="0024429C"/>
    <w:rsid w:val="00245D0D"/>
    <w:rsid w:val="00246089"/>
    <w:rsid w:val="00246093"/>
    <w:rsid w:val="00246702"/>
    <w:rsid w:val="002479DC"/>
    <w:rsid w:val="00247C59"/>
    <w:rsid w:val="00247F2E"/>
    <w:rsid w:val="00250ADC"/>
    <w:rsid w:val="00250B07"/>
    <w:rsid w:val="00251845"/>
    <w:rsid w:val="00252C37"/>
    <w:rsid w:val="002562E3"/>
    <w:rsid w:val="002573C8"/>
    <w:rsid w:val="00257553"/>
    <w:rsid w:val="00257D3C"/>
    <w:rsid w:val="00260DC9"/>
    <w:rsid w:val="00260F1F"/>
    <w:rsid w:val="00260FB2"/>
    <w:rsid w:val="00262128"/>
    <w:rsid w:val="00263773"/>
    <w:rsid w:val="002652E9"/>
    <w:rsid w:val="00266E25"/>
    <w:rsid w:val="00266F51"/>
    <w:rsid w:val="00267838"/>
    <w:rsid w:val="00267C1D"/>
    <w:rsid w:val="0027085D"/>
    <w:rsid w:val="0027165D"/>
    <w:rsid w:val="002730A5"/>
    <w:rsid w:val="002738BF"/>
    <w:rsid w:val="00273CEB"/>
    <w:rsid w:val="00274F14"/>
    <w:rsid w:val="00275C49"/>
    <w:rsid w:val="00277434"/>
    <w:rsid w:val="00277683"/>
    <w:rsid w:val="00277AFB"/>
    <w:rsid w:val="00277C15"/>
    <w:rsid w:val="00277D6E"/>
    <w:rsid w:val="00277F72"/>
    <w:rsid w:val="00280965"/>
    <w:rsid w:val="00280B89"/>
    <w:rsid w:val="00281AF1"/>
    <w:rsid w:val="00281C89"/>
    <w:rsid w:val="00282641"/>
    <w:rsid w:val="0028282F"/>
    <w:rsid w:val="00284BF9"/>
    <w:rsid w:val="00286938"/>
    <w:rsid w:val="00290065"/>
    <w:rsid w:val="0029593B"/>
    <w:rsid w:val="00295F18"/>
    <w:rsid w:val="0029765C"/>
    <w:rsid w:val="002976E4"/>
    <w:rsid w:val="00297FC5"/>
    <w:rsid w:val="002A0417"/>
    <w:rsid w:val="002A0AA9"/>
    <w:rsid w:val="002A13E5"/>
    <w:rsid w:val="002A16D8"/>
    <w:rsid w:val="002A1BC8"/>
    <w:rsid w:val="002A1D18"/>
    <w:rsid w:val="002A24C9"/>
    <w:rsid w:val="002A2FED"/>
    <w:rsid w:val="002A3204"/>
    <w:rsid w:val="002A3539"/>
    <w:rsid w:val="002A3B69"/>
    <w:rsid w:val="002A3EF2"/>
    <w:rsid w:val="002A66DA"/>
    <w:rsid w:val="002A6722"/>
    <w:rsid w:val="002A7112"/>
    <w:rsid w:val="002A7768"/>
    <w:rsid w:val="002B025F"/>
    <w:rsid w:val="002B064D"/>
    <w:rsid w:val="002B0DED"/>
    <w:rsid w:val="002B19A2"/>
    <w:rsid w:val="002B2738"/>
    <w:rsid w:val="002B381A"/>
    <w:rsid w:val="002B4FCC"/>
    <w:rsid w:val="002B51A8"/>
    <w:rsid w:val="002B52A1"/>
    <w:rsid w:val="002B70E6"/>
    <w:rsid w:val="002B7408"/>
    <w:rsid w:val="002B7CFD"/>
    <w:rsid w:val="002C08F4"/>
    <w:rsid w:val="002C1196"/>
    <w:rsid w:val="002C210F"/>
    <w:rsid w:val="002C49C8"/>
    <w:rsid w:val="002C5E51"/>
    <w:rsid w:val="002D0453"/>
    <w:rsid w:val="002D05D0"/>
    <w:rsid w:val="002D3600"/>
    <w:rsid w:val="002D4A36"/>
    <w:rsid w:val="002E14A5"/>
    <w:rsid w:val="002E27B4"/>
    <w:rsid w:val="002E2AD5"/>
    <w:rsid w:val="002E4DDC"/>
    <w:rsid w:val="002E5747"/>
    <w:rsid w:val="002E5B46"/>
    <w:rsid w:val="002F0FE3"/>
    <w:rsid w:val="002F199C"/>
    <w:rsid w:val="002F3B21"/>
    <w:rsid w:val="002F5D89"/>
    <w:rsid w:val="002F5EE6"/>
    <w:rsid w:val="002F6A42"/>
    <w:rsid w:val="002F6E59"/>
    <w:rsid w:val="002F7380"/>
    <w:rsid w:val="00302480"/>
    <w:rsid w:val="00302758"/>
    <w:rsid w:val="00302DB2"/>
    <w:rsid w:val="003034B6"/>
    <w:rsid w:val="00305F05"/>
    <w:rsid w:val="0030657B"/>
    <w:rsid w:val="00306755"/>
    <w:rsid w:val="003103AE"/>
    <w:rsid w:val="00310DFA"/>
    <w:rsid w:val="003123C3"/>
    <w:rsid w:val="0031259B"/>
    <w:rsid w:val="0031425D"/>
    <w:rsid w:val="00315CF0"/>
    <w:rsid w:val="003165E6"/>
    <w:rsid w:val="003215B5"/>
    <w:rsid w:val="003221CF"/>
    <w:rsid w:val="003222CE"/>
    <w:rsid w:val="003233ED"/>
    <w:rsid w:val="00324D9F"/>
    <w:rsid w:val="00327948"/>
    <w:rsid w:val="0033000F"/>
    <w:rsid w:val="003304F3"/>
    <w:rsid w:val="00331EAA"/>
    <w:rsid w:val="00332011"/>
    <w:rsid w:val="00332518"/>
    <w:rsid w:val="00332925"/>
    <w:rsid w:val="003332ED"/>
    <w:rsid w:val="00333392"/>
    <w:rsid w:val="0033504F"/>
    <w:rsid w:val="0033551A"/>
    <w:rsid w:val="003368DC"/>
    <w:rsid w:val="003428C8"/>
    <w:rsid w:val="00343201"/>
    <w:rsid w:val="00343473"/>
    <w:rsid w:val="00343FA4"/>
    <w:rsid w:val="00345927"/>
    <w:rsid w:val="00345C64"/>
    <w:rsid w:val="00345E4C"/>
    <w:rsid w:val="00347935"/>
    <w:rsid w:val="00350584"/>
    <w:rsid w:val="00351857"/>
    <w:rsid w:val="00352EA4"/>
    <w:rsid w:val="00353738"/>
    <w:rsid w:val="00353770"/>
    <w:rsid w:val="003542BC"/>
    <w:rsid w:val="003545E8"/>
    <w:rsid w:val="00360D73"/>
    <w:rsid w:val="003610E1"/>
    <w:rsid w:val="00361780"/>
    <w:rsid w:val="00366B86"/>
    <w:rsid w:val="003671BE"/>
    <w:rsid w:val="003676EA"/>
    <w:rsid w:val="00370CC9"/>
    <w:rsid w:val="0037220D"/>
    <w:rsid w:val="00372485"/>
    <w:rsid w:val="00373200"/>
    <w:rsid w:val="00373722"/>
    <w:rsid w:val="0037380F"/>
    <w:rsid w:val="00375576"/>
    <w:rsid w:val="00375EF5"/>
    <w:rsid w:val="003767A5"/>
    <w:rsid w:val="003776DC"/>
    <w:rsid w:val="003805F0"/>
    <w:rsid w:val="00381D15"/>
    <w:rsid w:val="00381D35"/>
    <w:rsid w:val="00385254"/>
    <w:rsid w:val="0038572E"/>
    <w:rsid w:val="00387C68"/>
    <w:rsid w:val="003922D7"/>
    <w:rsid w:val="00395B47"/>
    <w:rsid w:val="003A04DB"/>
    <w:rsid w:val="003A34A8"/>
    <w:rsid w:val="003A4053"/>
    <w:rsid w:val="003A4113"/>
    <w:rsid w:val="003A42D4"/>
    <w:rsid w:val="003A5838"/>
    <w:rsid w:val="003A5F5B"/>
    <w:rsid w:val="003A6FD6"/>
    <w:rsid w:val="003A7619"/>
    <w:rsid w:val="003A789A"/>
    <w:rsid w:val="003B02BC"/>
    <w:rsid w:val="003B12EC"/>
    <w:rsid w:val="003B2251"/>
    <w:rsid w:val="003B23C7"/>
    <w:rsid w:val="003B25BF"/>
    <w:rsid w:val="003B2B2B"/>
    <w:rsid w:val="003B2E3E"/>
    <w:rsid w:val="003B391B"/>
    <w:rsid w:val="003B4FB5"/>
    <w:rsid w:val="003B7530"/>
    <w:rsid w:val="003C00C0"/>
    <w:rsid w:val="003C47CB"/>
    <w:rsid w:val="003C4E02"/>
    <w:rsid w:val="003C6582"/>
    <w:rsid w:val="003C6955"/>
    <w:rsid w:val="003C6A25"/>
    <w:rsid w:val="003C77E0"/>
    <w:rsid w:val="003D17D7"/>
    <w:rsid w:val="003D1AB2"/>
    <w:rsid w:val="003D1D2D"/>
    <w:rsid w:val="003D2678"/>
    <w:rsid w:val="003D3A3B"/>
    <w:rsid w:val="003D3E79"/>
    <w:rsid w:val="003D59F6"/>
    <w:rsid w:val="003D6220"/>
    <w:rsid w:val="003D64D6"/>
    <w:rsid w:val="003D71A3"/>
    <w:rsid w:val="003E1B43"/>
    <w:rsid w:val="003E2B8A"/>
    <w:rsid w:val="003E2FB4"/>
    <w:rsid w:val="003E43DC"/>
    <w:rsid w:val="003E5094"/>
    <w:rsid w:val="003F0419"/>
    <w:rsid w:val="003F10EE"/>
    <w:rsid w:val="003F16F6"/>
    <w:rsid w:val="003F1887"/>
    <w:rsid w:val="003F310C"/>
    <w:rsid w:val="003F4DC7"/>
    <w:rsid w:val="003F5235"/>
    <w:rsid w:val="003F6DCB"/>
    <w:rsid w:val="00401C08"/>
    <w:rsid w:val="004027E4"/>
    <w:rsid w:val="00402B39"/>
    <w:rsid w:val="00403150"/>
    <w:rsid w:val="00403B54"/>
    <w:rsid w:val="00403DD5"/>
    <w:rsid w:val="00404E93"/>
    <w:rsid w:val="0041071D"/>
    <w:rsid w:val="00410FB3"/>
    <w:rsid w:val="00411DDF"/>
    <w:rsid w:val="00414AFC"/>
    <w:rsid w:val="00414B4D"/>
    <w:rsid w:val="00414EEE"/>
    <w:rsid w:val="004151A7"/>
    <w:rsid w:val="00415310"/>
    <w:rsid w:val="00415C5E"/>
    <w:rsid w:val="00421709"/>
    <w:rsid w:val="00423763"/>
    <w:rsid w:val="004248D7"/>
    <w:rsid w:val="00424900"/>
    <w:rsid w:val="00424AE8"/>
    <w:rsid w:val="00425CD5"/>
    <w:rsid w:val="004268C2"/>
    <w:rsid w:val="0042762F"/>
    <w:rsid w:val="00427DC7"/>
    <w:rsid w:val="004313CE"/>
    <w:rsid w:val="00431613"/>
    <w:rsid w:val="00431792"/>
    <w:rsid w:val="00432481"/>
    <w:rsid w:val="0043297A"/>
    <w:rsid w:val="00432EB2"/>
    <w:rsid w:val="00435F25"/>
    <w:rsid w:val="00436914"/>
    <w:rsid w:val="0043714F"/>
    <w:rsid w:val="00437754"/>
    <w:rsid w:val="00437CEF"/>
    <w:rsid w:val="00440CFB"/>
    <w:rsid w:val="00441734"/>
    <w:rsid w:val="00441C6A"/>
    <w:rsid w:val="00442B42"/>
    <w:rsid w:val="004438B5"/>
    <w:rsid w:val="00444686"/>
    <w:rsid w:val="004450F0"/>
    <w:rsid w:val="0044589C"/>
    <w:rsid w:val="00447037"/>
    <w:rsid w:val="0045124D"/>
    <w:rsid w:val="00452AC5"/>
    <w:rsid w:val="00452F97"/>
    <w:rsid w:val="00454596"/>
    <w:rsid w:val="0045605D"/>
    <w:rsid w:val="00456093"/>
    <w:rsid w:val="0045703E"/>
    <w:rsid w:val="004603BD"/>
    <w:rsid w:val="0046135B"/>
    <w:rsid w:val="00461AA3"/>
    <w:rsid w:val="00461D47"/>
    <w:rsid w:val="004676A7"/>
    <w:rsid w:val="00470DFD"/>
    <w:rsid w:val="004718CC"/>
    <w:rsid w:val="004722F2"/>
    <w:rsid w:val="0047556E"/>
    <w:rsid w:val="00475812"/>
    <w:rsid w:val="00475889"/>
    <w:rsid w:val="004765F5"/>
    <w:rsid w:val="004802BD"/>
    <w:rsid w:val="00480F13"/>
    <w:rsid w:val="0048134D"/>
    <w:rsid w:val="00481695"/>
    <w:rsid w:val="00481CDE"/>
    <w:rsid w:val="0048355C"/>
    <w:rsid w:val="004837FB"/>
    <w:rsid w:val="004903F5"/>
    <w:rsid w:val="0049119E"/>
    <w:rsid w:val="004919A3"/>
    <w:rsid w:val="00491B72"/>
    <w:rsid w:val="004930CE"/>
    <w:rsid w:val="00493FF6"/>
    <w:rsid w:val="00494286"/>
    <w:rsid w:val="00495171"/>
    <w:rsid w:val="00495A83"/>
    <w:rsid w:val="00495A96"/>
    <w:rsid w:val="00495BB3"/>
    <w:rsid w:val="0049732F"/>
    <w:rsid w:val="00497EB4"/>
    <w:rsid w:val="004A1BC3"/>
    <w:rsid w:val="004A205F"/>
    <w:rsid w:val="004A25AA"/>
    <w:rsid w:val="004A2AB6"/>
    <w:rsid w:val="004A56BB"/>
    <w:rsid w:val="004A6506"/>
    <w:rsid w:val="004A70D6"/>
    <w:rsid w:val="004A7801"/>
    <w:rsid w:val="004B1751"/>
    <w:rsid w:val="004B27D4"/>
    <w:rsid w:val="004B5688"/>
    <w:rsid w:val="004B597A"/>
    <w:rsid w:val="004B693B"/>
    <w:rsid w:val="004B718E"/>
    <w:rsid w:val="004C0253"/>
    <w:rsid w:val="004C175E"/>
    <w:rsid w:val="004C1981"/>
    <w:rsid w:val="004C29DB"/>
    <w:rsid w:val="004C3F49"/>
    <w:rsid w:val="004C3FA9"/>
    <w:rsid w:val="004C762A"/>
    <w:rsid w:val="004D035D"/>
    <w:rsid w:val="004D11D9"/>
    <w:rsid w:val="004D56FF"/>
    <w:rsid w:val="004E0F5B"/>
    <w:rsid w:val="004E0FC6"/>
    <w:rsid w:val="004E39D3"/>
    <w:rsid w:val="004E508A"/>
    <w:rsid w:val="004E567B"/>
    <w:rsid w:val="004E616D"/>
    <w:rsid w:val="004E7E33"/>
    <w:rsid w:val="004F19EC"/>
    <w:rsid w:val="004F1BDE"/>
    <w:rsid w:val="004F223B"/>
    <w:rsid w:val="004F2CEE"/>
    <w:rsid w:val="004F48F9"/>
    <w:rsid w:val="004F4E0F"/>
    <w:rsid w:val="004F537C"/>
    <w:rsid w:val="004F556E"/>
    <w:rsid w:val="004F591C"/>
    <w:rsid w:val="004F5EF4"/>
    <w:rsid w:val="004F6FCE"/>
    <w:rsid w:val="004F7F44"/>
    <w:rsid w:val="00500AD1"/>
    <w:rsid w:val="0050287B"/>
    <w:rsid w:val="005037B4"/>
    <w:rsid w:val="00503FD3"/>
    <w:rsid w:val="00504E2B"/>
    <w:rsid w:val="005053E5"/>
    <w:rsid w:val="00506398"/>
    <w:rsid w:val="005067B9"/>
    <w:rsid w:val="00507212"/>
    <w:rsid w:val="005079BF"/>
    <w:rsid w:val="00510DC9"/>
    <w:rsid w:val="0051112E"/>
    <w:rsid w:val="0051167C"/>
    <w:rsid w:val="00511F4D"/>
    <w:rsid w:val="0051269A"/>
    <w:rsid w:val="00513AE8"/>
    <w:rsid w:val="00514C8A"/>
    <w:rsid w:val="00514D40"/>
    <w:rsid w:val="0051650F"/>
    <w:rsid w:val="00516ED2"/>
    <w:rsid w:val="00517B85"/>
    <w:rsid w:val="0052042F"/>
    <w:rsid w:val="005219E7"/>
    <w:rsid w:val="00521ED4"/>
    <w:rsid w:val="00522D9F"/>
    <w:rsid w:val="00523932"/>
    <w:rsid w:val="00524BD3"/>
    <w:rsid w:val="005262AA"/>
    <w:rsid w:val="005268AD"/>
    <w:rsid w:val="00527569"/>
    <w:rsid w:val="00527A7B"/>
    <w:rsid w:val="00527F3D"/>
    <w:rsid w:val="0053036B"/>
    <w:rsid w:val="00531008"/>
    <w:rsid w:val="00531B9A"/>
    <w:rsid w:val="00531D15"/>
    <w:rsid w:val="005339B8"/>
    <w:rsid w:val="0053589E"/>
    <w:rsid w:val="00536223"/>
    <w:rsid w:val="00536731"/>
    <w:rsid w:val="00537604"/>
    <w:rsid w:val="00540064"/>
    <w:rsid w:val="0054101B"/>
    <w:rsid w:val="00541F74"/>
    <w:rsid w:val="005420B2"/>
    <w:rsid w:val="00542377"/>
    <w:rsid w:val="00543BFA"/>
    <w:rsid w:val="00543EC1"/>
    <w:rsid w:val="00545C06"/>
    <w:rsid w:val="00546067"/>
    <w:rsid w:val="00546544"/>
    <w:rsid w:val="005476EB"/>
    <w:rsid w:val="00551782"/>
    <w:rsid w:val="00554D93"/>
    <w:rsid w:val="005566B8"/>
    <w:rsid w:val="005571A0"/>
    <w:rsid w:val="00557992"/>
    <w:rsid w:val="005637B3"/>
    <w:rsid w:val="00563935"/>
    <w:rsid w:val="00563BE5"/>
    <w:rsid w:val="00563EF1"/>
    <w:rsid w:val="00565C92"/>
    <w:rsid w:val="00566333"/>
    <w:rsid w:val="0056646E"/>
    <w:rsid w:val="00566AB4"/>
    <w:rsid w:val="005703E8"/>
    <w:rsid w:val="00570531"/>
    <w:rsid w:val="00570EC6"/>
    <w:rsid w:val="005716D4"/>
    <w:rsid w:val="005754E7"/>
    <w:rsid w:val="00575939"/>
    <w:rsid w:val="00575AC5"/>
    <w:rsid w:val="0057605D"/>
    <w:rsid w:val="00581347"/>
    <w:rsid w:val="00581AC9"/>
    <w:rsid w:val="0058330F"/>
    <w:rsid w:val="005849F8"/>
    <w:rsid w:val="00585128"/>
    <w:rsid w:val="00585695"/>
    <w:rsid w:val="005863B4"/>
    <w:rsid w:val="00587987"/>
    <w:rsid w:val="005901ED"/>
    <w:rsid w:val="00590F5C"/>
    <w:rsid w:val="005938DF"/>
    <w:rsid w:val="0059399E"/>
    <w:rsid w:val="00594E9C"/>
    <w:rsid w:val="00595260"/>
    <w:rsid w:val="00595FFB"/>
    <w:rsid w:val="00597FB4"/>
    <w:rsid w:val="005A099B"/>
    <w:rsid w:val="005A2D9C"/>
    <w:rsid w:val="005A38E1"/>
    <w:rsid w:val="005A4D60"/>
    <w:rsid w:val="005A55FE"/>
    <w:rsid w:val="005A65A1"/>
    <w:rsid w:val="005A6A11"/>
    <w:rsid w:val="005B1307"/>
    <w:rsid w:val="005B4D59"/>
    <w:rsid w:val="005B552A"/>
    <w:rsid w:val="005B55A0"/>
    <w:rsid w:val="005B7451"/>
    <w:rsid w:val="005C1E41"/>
    <w:rsid w:val="005C30DA"/>
    <w:rsid w:val="005C4245"/>
    <w:rsid w:val="005C6D66"/>
    <w:rsid w:val="005C7488"/>
    <w:rsid w:val="005D0565"/>
    <w:rsid w:val="005D065D"/>
    <w:rsid w:val="005D0CEC"/>
    <w:rsid w:val="005D138B"/>
    <w:rsid w:val="005D1800"/>
    <w:rsid w:val="005D2502"/>
    <w:rsid w:val="005D268A"/>
    <w:rsid w:val="005D2B6D"/>
    <w:rsid w:val="005D3154"/>
    <w:rsid w:val="005D40BB"/>
    <w:rsid w:val="005D47F3"/>
    <w:rsid w:val="005D49BF"/>
    <w:rsid w:val="005D4AA5"/>
    <w:rsid w:val="005D605F"/>
    <w:rsid w:val="005D6F4E"/>
    <w:rsid w:val="005D7C73"/>
    <w:rsid w:val="005E1305"/>
    <w:rsid w:val="005E1D62"/>
    <w:rsid w:val="005E22AF"/>
    <w:rsid w:val="005E250B"/>
    <w:rsid w:val="005E28AC"/>
    <w:rsid w:val="005E2CB9"/>
    <w:rsid w:val="005E3ACD"/>
    <w:rsid w:val="005E444F"/>
    <w:rsid w:val="005E485E"/>
    <w:rsid w:val="005E4DE5"/>
    <w:rsid w:val="005E4DF9"/>
    <w:rsid w:val="005E7226"/>
    <w:rsid w:val="005E7A57"/>
    <w:rsid w:val="005F24B0"/>
    <w:rsid w:val="005F3344"/>
    <w:rsid w:val="005F4D79"/>
    <w:rsid w:val="005F60FC"/>
    <w:rsid w:val="005F6214"/>
    <w:rsid w:val="005F682D"/>
    <w:rsid w:val="00600B6D"/>
    <w:rsid w:val="00600D42"/>
    <w:rsid w:val="00601B46"/>
    <w:rsid w:val="006023F9"/>
    <w:rsid w:val="00604315"/>
    <w:rsid w:val="00604709"/>
    <w:rsid w:val="00604E26"/>
    <w:rsid w:val="0060523F"/>
    <w:rsid w:val="006052CF"/>
    <w:rsid w:val="006058DB"/>
    <w:rsid w:val="00605921"/>
    <w:rsid w:val="006069E8"/>
    <w:rsid w:val="00606BC5"/>
    <w:rsid w:val="00607B68"/>
    <w:rsid w:val="00607B8D"/>
    <w:rsid w:val="006112C8"/>
    <w:rsid w:val="00611F5C"/>
    <w:rsid w:val="0061234E"/>
    <w:rsid w:val="006134D4"/>
    <w:rsid w:val="00613563"/>
    <w:rsid w:val="006140C8"/>
    <w:rsid w:val="00616DA7"/>
    <w:rsid w:val="00616E09"/>
    <w:rsid w:val="006170C7"/>
    <w:rsid w:val="006209F1"/>
    <w:rsid w:val="00621D4F"/>
    <w:rsid w:val="00622A3B"/>
    <w:rsid w:val="00622EEA"/>
    <w:rsid w:val="0062396C"/>
    <w:rsid w:val="00623A6C"/>
    <w:rsid w:val="00623FF9"/>
    <w:rsid w:val="006244EC"/>
    <w:rsid w:val="0062663A"/>
    <w:rsid w:val="00627D4E"/>
    <w:rsid w:val="00632B89"/>
    <w:rsid w:val="0063346D"/>
    <w:rsid w:val="00633B1E"/>
    <w:rsid w:val="00634478"/>
    <w:rsid w:val="006351C2"/>
    <w:rsid w:val="006365BB"/>
    <w:rsid w:val="0063670E"/>
    <w:rsid w:val="00640066"/>
    <w:rsid w:val="00640607"/>
    <w:rsid w:val="00640724"/>
    <w:rsid w:val="00642448"/>
    <w:rsid w:val="0064336C"/>
    <w:rsid w:val="00643CAC"/>
    <w:rsid w:val="00644373"/>
    <w:rsid w:val="00645915"/>
    <w:rsid w:val="0065018B"/>
    <w:rsid w:val="0065040C"/>
    <w:rsid w:val="00650EA2"/>
    <w:rsid w:val="006519C3"/>
    <w:rsid w:val="00652B30"/>
    <w:rsid w:val="00654C69"/>
    <w:rsid w:val="0065510E"/>
    <w:rsid w:val="006557C2"/>
    <w:rsid w:val="00656345"/>
    <w:rsid w:val="0065652B"/>
    <w:rsid w:val="00656DC6"/>
    <w:rsid w:val="0066061F"/>
    <w:rsid w:val="006609D8"/>
    <w:rsid w:val="00660EC6"/>
    <w:rsid w:val="00663A8D"/>
    <w:rsid w:val="00664110"/>
    <w:rsid w:val="00664D17"/>
    <w:rsid w:val="0066507D"/>
    <w:rsid w:val="00666520"/>
    <w:rsid w:val="00667C5B"/>
    <w:rsid w:val="00670DBE"/>
    <w:rsid w:val="00672B57"/>
    <w:rsid w:val="00672BF2"/>
    <w:rsid w:val="0067368A"/>
    <w:rsid w:val="00675CDD"/>
    <w:rsid w:val="00677286"/>
    <w:rsid w:val="0067737B"/>
    <w:rsid w:val="006827C1"/>
    <w:rsid w:val="00682B95"/>
    <w:rsid w:val="006836E0"/>
    <w:rsid w:val="006874AB"/>
    <w:rsid w:val="00690F91"/>
    <w:rsid w:val="00691EB8"/>
    <w:rsid w:val="00692CDE"/>
    <w:rsid w:val="00693073"/>
    <w:rsid w:val="006977FF"/>
    <w:rsid w:val="006A01FA"/>
    <w:rsid w:val="006A0E9E"/>
    <w:rsid w:val="006A1DBD"/>
    <w:rsid w:val="006A25C7"/>
    <w:rsid w:val="006A2A91"/>
    <w:rsid w:val="006A4AAD"/>
    <w:rsid w:val="006A5271"/>
    <w:rsid w:val="006A6865"/>
    <w:rsid w:val="006A6959"/>
    <w:rsid w:val="006A6DA2"/>
    <w:rsid w:val="006A7AB2"/>
    <w:rsid w:val="006A7F44"/>
    <w:rsid w:val="006B180A"/>
    <w:rsid w:val="006B25E6"/>
    <w:rsid w:val="006B37BF"/>
    <w:rsid w:val="006B3A92"/>
    <w:rsid w:val="006B3BFD"/>
    <w:rsid w:val="006B4C22"/>
    <w:rsid w:val="006B52DE"/>
    <w:rsid w:val="006B5717"/>
    <w:rsid w:val="006B582F"/>
    <w:rsid w:val="006B5EB2"/>
    <w:rsid w:val="006C0CEB"/>
    <w:rsid w:val="006C1631"/>
    <w:rsid w:val="006C3A64"/>
    <w:rsid w:val="006C3B1E"/>
    <w:rsid w:val="006C47FD"/>
    <w:rsid w:val="006C527B"/>
    <w:rsid w:val="006C5C19"/>
    <w:rsid w:val="006C6452"/>
    <w:rsid w:val="006C70A0"/>
    <w:rsid w:val="006C7E66"/>
    <w:rsid w:val="006D1CA8"/>
    <w:rsid w:val="006D27CB"/>
    <w:rsid w:val="006D2F08"/>
    <w:rsid w:val="006D3411"/>
    <w:rsid w:val="006D42B6"/>
    <w:rsid w:val="006D45A4"/>
    <w:rsid w:val="006D576C"/>
    <w:rsid w:val="006D5865"/>
    <w:rsid w:val="006D7891"/>
    <w:rsid w:val="006E03BF"/>
    <w:rsid w:val="006E078D"/>
    <w:rsid w:val="006E18EF"/>
    <w:rsid w:val="006E1AEB"/>
    <w:rsid w:val="006E4923"/>
    <w:rsid w:val="006E4B1B"/>
    <w:rsid w:val="006E5445"/>
    <w:rsid w:val="006E5D13"/>
    <w:rsid w:val="006E7D93"/>
    <w:rsid w:val="006F2493"/>
    <w:rsid w:val="006F481F"/>
    <w:rsid w:val="006F6850"/>
    <w:rsid w:val="006F783F"/>
    <w:rsid w:val="007005CF"/>
    <w:rsid w:val="007012F4"/>
    <w:rsid w:val="00701D06"/>
    <w:rsid w:val="007029A3"/>
    <w:rsid w:val="00702F7E"/>
    <w:rsid w:val="00706E4E"/>
    <w:rsid w:val="0070791C"/>
    <w:rsid w:val="0071071F"/>
    <w:rsid w:val="00712B36"/>
    <w:rsid w:val="0071383C"/>
    <w:rsid w:val="007141A7"/>
    <w:rsid w:val="007141E0"/>
    <w:rsid w:val="007153FE"/>
    <w:rsid w:val="00715722"/>
    <w:rsid w:val="007161AE"/>
    <w:rsid w:val="00717C15"/>
    <w:rsid w:val="00720F0D"/>
    <w:rsid w:val="00720F4B"/>
    <w:rsid w:val="00721032"/>
    <w:rsid w:val="00721635"/>
    <w:rsid w:val="00721B55"/>
    <w:rsid w:val="00721BF0"/>
    <w:rsid w:val="007226F9"/>
    <w:rsid w:val="00726435"/>
    <w:rsid w:val="00726CE4"/>
    <w:rsid w:val="00731A1A"/>
    <w:rsid w:val="00732A97"/>
    <w:rsid w:val="00734143"/>
    <w:rsid w:val="0073481F"/>
    <w:rsid w:val="007356B5"/>
    <w:rsid w:val="00736B1D"/>
    <w:rsid w:val="007375F0"/>
    <w:rsid w:val="00737E47"/>
    <w:rsid w:val="00740EAC"/>
    <w:rsid w:val="00744956"/>
    <w:rsid w:val="00745A06"/>
    <w:rsid w:val="00745A5C"/>
    <w:rsid w:val="00745FF3"/>
    <w:rsid w:val="00746033"/>
    <w:rsid w:val="0074605F"/>
    <w:rsid w:val="00747E94"/>
    <w:rsid w:val="007501F5"/>
    <w:rsid w:val="0075054E"/>
    <w:rsid w:val="00751E7A"/>
    <w:rsid w:val="00754C83"/>
    <w:rsid w:val="00755829"/>
    <w:rsid w:val="00756127"/>
    <w:rsid w:val="007576E6"/>
    <w:rsid w:val="00757DA1"/>
    <w:rsid w:val="007616BE"/>
    <w:rsid w:val="00761E5C"/>
    <w:rsid w:val="00762446"/>
    <w:rsid w:val="00763236"/>
    <w:rsid w:val="0076440C"/>
    <w:rsid w:val="00764411"/>
    <w:rsid w:val="00765DF8"/>
    <w:rsid w:val="00766749"/>
    <w:rsid w:val="00766F6E"/>
    <w:rsid w:val="00767308"/>
    <w:rsid w:val="007674A7"/>
    <w:rsid w:val="00767A21"/>
    <w:rsid w:val="00767B86"/>
    <w:rsid w:val="00767C1B"/>
    <w:rsid w:val="00770D14"/>
    <w:rsid w:val="007714A9"/>
    <w:rsid w:val="00774F88"/>
    <w:rsid w:val="00774FDB"/>
    <w:rsid w:val="0077525B"/>
    <w:rsid w:val="00777552"/>
    <w:rsid w:val="00777BA2"/>
    <w:rsid w:val="00781408"/>
    <w:rsid w:val="007834FA"/>
    <w:rsid w:val="00784722"/>
    <w:rsid w:val="00784F7F"/>
    <w:rsid w:val="0078516F"/>
    <w:rsid w:val="007856EA"/>
    <w:rsid w:val="007878BD"/>
    <w:rsid w:val="00787D97"/>
    <w:rsid w:val="00794136"/>
    <w:rsid w:val="00794419"/>
    <w:rsid w:val="00794A1E"/>
    <w:rsid w:val="00795ED4"/>
    <w:rsid w:val="00796F25"/>
    <w:rsid w:val="0079708F"/>
    <w:rsid w:val="007977C4"/>
    <w:rsid w:val="007A15A4"/>
    <w:rsid w:val="007A2C1E"/>
    <w:rsid w:val="007A2E98"/>
    <w:rsid w:val="007A3BA3"/>
    <w:rsid w:val="007A4EC8"/>
    <w:rsid w:val="007A6CC0"/>
    <w:rsid w:val="007A7D62"/>
    <w:rsid w:val="007A7E95"/>
    <w:rsid w:val="007A7FEC"/>
    <w:rsid w:val="007B0292"/>
    <w:rsid w:val="007B1499"/>
    <w:rsid w:val="007B1BBF"/>
    <w:rsid w:val="007B22AB"/>
    <w:rsid w:val="007B2960"/>
    <w:rsid w:val="007B355D"/>
    <w:rsid w:val="007B7980"/>
    <w:rsid w:val="007C0B0F"/>
    <w:rsid w:val="007C0DEF"/>
    <w:rsid w:val="007C182C"/>
    <w:rsid w:val="007C266E"/>
    <w:rsid w:val="007C29CB"/>
    <w:rsid w:val="007C30D6"/>
    <w:rsid w:val="007C583A"/>
    <w:rsid w:val="007C5D5A"/>
    <w:rsid w:val="007C5EE9"/>
    <w:rsid w:val="007C607F"/>
    <w:rsid w:val="007C6E44"/>
    <w:rsid w:val="007C79DD"/>
    <w:rsid w:val="007D174F"/>
    <w:rsid w:val="007D1804"/>
    <w:rsid w:val="007D1A97"/>
    <w:rsid w:val="007D2CD6"/>
    <w:rsid w:val="007D3063"/>
    <w:rsid w:val="007D3076"/>
    <w:rsid w:val="007D365D"/>
    <w:rsid w:val="007D3CEB"/>
    <w:rsid w:val="007D4530"/>
    <w:rsid w:val="007E2831"/>
    <w:rsid w:val="007E39E9"/>
    <w:rsid w:val="007E44EE"/>
    <w:rsid w:val="007E63DC"/>
    <w:rsid w:val="007E7683"/>
    <w:rsid w:val="007E7959"/>
    <w:rsid w:val="007F0D7D"/>
    <w:rsid w:val="007F2262"/>
    <w:rsid w:val="007F49FA"/>
    <w:rsid w:val="007F54C4"/>
    <w:rsid w:val="007F67A6"/>
    <w:rsid w:val="007F6E9A"/>
    <w:rsid w:val="007F7498"/>
    <w:rsid w:val="00800CCD"/>
    <w:rsid w:val="008028F0"/>
    <w:rsid w:val="008044D4"/>
    <w:rsid w:val="008047FF"/>
    <w:rsid w:val="008052E8"/>
    <w:rsid w:val="0080688A"/>
    <w:rsid w:val="00810AB4"/>
    <w:rsid w:val="008140D6"/>
    <w:rsid w:val="00817B56"/>
    <w:rsid w:val="00820367"/>
    <w:rsid w:val="00820506"/>
    <w:rsid w:val="00820B4B"/>
    <w:rsid w:val="00820E84"/>
    <w:rsid w:val="00821A88"/>
    <w:rsid w:val="00822EB5"/>
    <w:rsid w:val="00823E9C"/>
    <w:rsid w:val="00824064"/>
    <w:rsid w:val="0082495D"/>
    <w:rsid w:val="00826795"/>
    <w:rsid w:val="00827C94"/>
    <w:rsid w:val="008304F6"/>
    <w:rsid w:val="00831AC3"/>
    <w:rsid w:val="0083247C"/>
    <w:rsid w:val="00833B7A"/>
    <w:rsid w:val="00834E90"/>
    <w:rsid w:val="00834ECF"/>
    <w:rsid w:val="008358B6"/>
    <w:rsid w:val="0083612B"/>
    <w:rsid w:val="00836D49"/>
    <w:rsid w:val="00836FCE"/>
    <w:rsid w:val="00840068"/>
    <w:rsid w:val="008408FF"/>
    <w:rsid w:val="0084326E"/>
    <w:rsid w:val="0084346A"/>
    <w:rsid w:val="00843D45"/>
    <w:rsid w:val="00844069"/>
    <w:rsid w:val="00845160"/>
    <w:rsid w:val="00845E9B"/>
    <w:rsid w:val="00847932"/>
    <w:rsid w:val="0085018B"/>
    <w:rsid w:val="00851F3F"/>
    <w:rsid w:val="00852AB0"/>
    <w:rsid w:val="00852F2A"/>
    <w:rsid w:val="00853118"/>
    <w:rsid w:val="00854F87"/>
    <w:rsid w:val="00855ED3"/>
    <w:rsid w:val="0085618F"/>
    <w:rsid w:val="00856EDC"/>
    <w:rsid w:val="008575E2"/>
    <w:rsid w:val="0085760F"/>
    <w:rsid w:val="00857B50"/>
    <w:rsid w:val="00860A69"/>
    <w:rsid w:val="008623B5"/>
    <w:rsid w:val="00862C73"/>
    <w:rsid w:val="00864119"/>
    <w:rsid w:val="00867975"/>
    <w:rsid w:val="00870ABA"/>
    <w:rsid w:val="008710E1"/>
    <w:rsid w:val="008716E5"/>
    <w:rsid w:val="0087211E"/>
    <w:rsid w:val="00873D9A"/>
    <w:rsid w:val="008741C6"/>
    <w:rsid w:val="00874AFF"/>
    <w:rsid w:val="00880881"/>
    <w:rsid w:val="008819AB"/>
    <w:rsid w:val="00881CA9"/>
    <w:rsid w:val="00882A10"/>
    <w:rsid w:val="00883277"/>
    <w:rsid w:val="00883628"/>
    <w:rsid w:val="00884C6C"/>
    <w:rsid w:val="0088507F"/>
    <w:rsid w:val="00885544"/>
    <w:rsid w:val="0088634E"/>
    <w:rsid w:val="00886C19"/>
    <w:rsid w:val="00891205"/>
    <w:rsid w:val="0089247A"/>
    <w:rsid w:val="00893AB8"/>
    <w:rsid w:val="008946BF"/>
    <w:rsid w:val="00896835"/>
    <w:rsid w:val="008A04C8"/>
    <w:rsid w:val="008A367F"/>
    <w:rsid w:val="008A4FF5"/>
    <w:rsid w:val="008A5021"/>
    <w:rsid w:val="008A5A23"/>
    <w:rsid w:val="008A6913"/>
    <w:rsid w:val="008B3825"/>
    <w:rsid w:val="008B61FB"/>
    <w:rsid w:val="008B62A5"/>
    <w:rsid w:val="008B70F3"/>
    <w:rsid w:val="008B71C4"/>
    <w:rsid w:val="008B7340"/>
    <w:rsid w:val="008B76DF"/>
    <w:rsid w:val="008C10F4"/>
    <w:rsid w:val="008C242C"/>
    <w:rsid w:val="008C3828"/>
    <w:rsid w:val="008C65F7"/>
    <w:rsid w:val="008C6894"/>
    <w:rsid w:val="008C75EF"/>
    <w:rsid w:val="008C7E27"/>
    <w:rsid w:val="008D020C"/>
    <w:rsid w:val="008D14BA"/>
    <w:rsid w:val="008D3038"/>
    <w:rsid w:val="008D3783"/>
    <w:rsid w:val="008D400C"/>
    <w:rsid w:val="008D5937"/>
    <w:rsid w:val="008E056A"/>
    <w:rsid w:val="008E057B"/>
    <w:rsid w:val="008E0621"/>
    <w:rsid w:val="008E0D72"/>
    <w:rsid w:val="008E46CE"/>
    <w:rsid w:val="008E4767"/>
    <w:rsid w:val="008E6000"/>
    <w:rsid w:val="008E7463"/>
    <w:rsid w:val="008E7A8C"/>
    <w:rsid w:val="008E7D27"/>
    <w:rsid w:val="008F7097"/>
    <w:rsid w:val="008F7F4B"/>
    <w:rsid w:val="009005A9"/>
    <w:rsid w:val="00901747"/>
    <w:rsid w:val="0090203B"/>
    <w:rsid w:val="00903285"/>
    <w:rsid w:val="00906F40"/>
    <w:rsid w:val="0090723A"/>
    <w:rsid w:val="0090731E"/>
    <w:rsid w:val="009077FB"/>
    <w:rsid w:val="009118A4"/>
    <w:rsid w:val="00915B1C"/>
    <w:rsid w:val="009174F3"/>
    <w:rsid w:val="0091797D"/>
    <w:rsid w:val="00917F13"/>
    <w:rsid w:val="00921059"/>
    <w:rsid w:val="00923CBA"/>
    <w:rsid w:val="00923E8C"/>
    <w:rsid w:val="0092511B"/>
    <w:rsid w:val="00926703"/>
    <w:rsid w:val="00927691"/>
    <w:rsid w:val="00927A5F"/>
    <w:rsid w:val="00930510"/>
    <w:rsid w:val="009312F0"/>
    <w:rsid w:val="0093476C"/>
    <w:rsid w:val="009351E0"/>
    <w:rsid w:val="00935316"/>
    <w:rsid w:val="009357C4"/>
    <w:rsid w:val="00935B63"/>
    <w:rsid w:val="00935F65"/>
    <w:rsid w:val="00936A02"/>
    <w:rsid w:val="0093727E"/>
    <w:rsid w:val="0094078F"/>
    <w:rsid w:val="00940FA3"/>
    <w:rsid w:val="00941FB0"/>
    <w:rsid w:val="009426D4"/>
    <w:rsid w:val="00942E7B"/>
    <w:rsid w:val="009430A1"/>
    <w:rsid w:val="0094365A"/>
    <w:rsid w:val="00944978"/>
    <w:rsid w:val="00944A55"/>
    <w:rsid w:val="00945D0E"/>
    <w:rsid w:val="009468CB"/>
    <w:rsid w:val="00947F25"/>
    <w:rsid w:val="00950159"/>
    <w:rsid w:val="00950555"/>
    <w:rsid w:val="009525E7"/>
    <w:rsid w:val="0095330D"/>
    <w:rsid w:val="0095490B"/>
    <w:rsid w:val="009579BD"/>
    <w:rsid w:val="0096023B"/>
    <w:rsid w:val="00960A33"/>
    <w:rsid w:val="00960E14"/>
    <w:rsid w:val="00961170"/>
    <w:rsid w:val="00961A92"/>
    <w:rsid w:val="009632EA"/>
    <w:rsid w:val="009639A5"/>
    <w:rsid w:val="00964F6D"/>
    <w:rsid w:val="00966A3D"/>
    <w:rsid w:val="00967497"/>
    <w:rsid w:val="00967582"/>
    <w:rsid w:val="00967C01"/>
    <w:rsid w:val="00971914"/>
    <w:rsid w:val="00972F42"/>
    <w:rsid w:val="00973E62"/>
    <w:rsid w:val="00973E7A"/>
    <w:rsid w:val="00974363"/>
    <w:rsid w:val="009749C1"/>
    <w:rsid w:val="00977194"/>
    <w:rsid w:val="009803FA"/>
    <w:rsid w:val="00981898"/>
    <w:rsid w:val="00982FCC"/>
    <w:rsid w:val="0098310C"/>
    <w:rsid w:val="0098380D"/>
    <w:rsid w:val="009865E7"/>
    <w:rsid w:val="00986E13"/>
    <w:rsid w:val="009875C7"/>
    <w:rsid w:val="00994085"/>
    <w:rsid w:val="0099577C"/>
    <w:rsid w:val="0099696A"/>
    <w:rsid w:val="00997199"/>
    <w:rsid w:val="009A01EC"/>
    <w:rsid w:val="009A152E"/>
    <w:rsid w:val="009A1BEB"/>
    <w:rsid w:val="009A22A0"/>
    <w:rsid w:val="009A333E"/>
    <w:rsid w:val="009A3BF7"/>
    <w:rsid w:val="009A3EC8"/>
    <w:rsid w:val="009A445F"/>
    <w:rsid w:val="009A5171"/>
    <w:rsid w:val="009A54B0"/>
    <w:rsid w:val="009A7E89"/>
    <w:rsid w:val="009A7F34"/>
    <w:rsid w:val="009B06AF"/>
    <w:rsid w:val="009B0B9B"/>
    <w:rsid w:val="009B1535"/>
    <w:rsid w:val="009B24A5"/>
    <w:rsid w:val="009B2601"/>
    <w:rsid w:val="009B38E8"/>
    <w:rsid w:val="009B396E"/>
    <w:rsid w:val="009B4E9E"/>
    <w:rsid w:val="009B7D24"/>
    <w:rsid w:val="009C0B98"/>
    <w:rsid w:val="009C0BEA"/>
    <w:rsid w:val="009C1690"/>
    <w:rsid w:val="009C440F"/>
    <w:rsid w:val="009C56E7"/>
    <w:rsid w:val="009C6141"/>
    <w:rsid w:val="009C6881"/>
    <w:rsid w:val="009C6CCD"/>
    <w:rsid w:val="009C7759"/>
    <w:rsid w:val="009D043D"/>
    <w:rsid w:val="009D07C8"/>
    <w:rsid w:val="009D0D73"/>
    <w:rsid w:val="009D1065"/>
    <w:rsid w:val="009D1B0A"/>
    <w:rsid w:val="009D3E76"/>
    <w:rsid w:val="009D4B41"/>
    <w:rsid w:val="009D5302"/>
    <w:rsid w:val="009D535E"/>
    <w:rsid w:val="009D54A9"/>
    <w:rsid w:val="009D5F10"/>
    <w:rsid w:val="009D5FE7"/>
    <w:rsid w:val="009D6578"/>
    <w:rsid w:val="009D6C71"/>
    <w:rsid w:val="009E0631"/>
    <w:rsid w:val="009E08F1"/>
    <w:rsid w:val="009E102A"/>
    <w:rsid w:val="009E16D0"/>
    <w:rsid w:val="009E2051"/>
    <w:rsid w:val="009E38FD"/>
    <w:rsid w:val="009E39D3"/>
    <w:rsid w:val="009E3ED8"/>
    <w:rsid w:val="009E70B4"/>
    <w:rsid w:val="009E7608"/>
    <w:rsid w:val="009F13D6"/>
    <w:rsid w:val="009F2B80"/>
    <w:rsid w:val="009F479F"/>
    <w:rsid w:val="009F4C6B"/>
    <w:rsid w:val="009F7252"/>
    <w:rsid w:val="009F78A8"/>
    <w:rsid w:val="009F7BF0"/>
    <w:rsid w:val="00A01439"/>
    <w:rsid w:val="00A01DB9"/>
    <w:rsid w:val="00A02AD6"/>
    <w:rsid w:val="00A0442F"/>
    <w:rsid w:val="00A0502C"/>
    <w:rsid w:val="00A07096"/>
    <w:rsid w:val="00A07318"/>
    <w:rsid w:val="00A07816"/>
    <w:rsid w:val="00A11370"/>
    <w:rsid w:val="00A121AA"/>
    <w:rsid w:val="00A127BE"/>
    <w:rsid w:val="00A13B87"/>
    <w:rsid w:val="00A179C7"/>
    <w:rsid w:val="00A224CE"/>
    <w:rsid w:val="00A22522"/>
    <w:rsid w:val="00A22C6E"/>
    <w:rsid w:val="00A22C93"/>
    <w:rsid w:val="00A2354B"/>
    <w:rsid w:val="00A24AFD"/>
    <w:rsid w:val="00A24F5C"/>
    <w:rsid w:val="00A3084A"/>
    <w:rsid w:val="00A30D68"/>
    <w:rsid w:val="00A31164"/>
    <w:rsid w:val="00A32ECB"/>
    <w:rsid w:val="00A32F96"/>
    <w:rsid w:val="00A333DA"/>
    <w:rsid w:val="00A343E5"/>
    <w:rsid w:val="00A35A70"/>
    <w:rsid w:val="00A3666E"/>
    <w:rsid w:val="00A40871"/>
    <w:rsid w:val="00A412AB"/>
    <w:rsid w:val="00A4193E"/>
    <w:rsid w:val="00A422C7"/>
    <w:rsid w:val="00A42946"/>
    <w:rsid w:val="00A440E0"/>
    <w:rsid w:val="00A442EF"/>
    <w:rsid w:val="00A46E37"/>
    <w:rsid w:val="00A506E0"/>
    <w:rsid w:val="00A5096F"/>
    <w:rsid w:val="00A51D1A"/>
    <w:rsid w:val="00A5222B"/>
    <w:rsid w:val="00A5418D"/>
    <w:rsid w:val="00A5474E"/>
    <w:rsid w:val="00A57618"/>
    <w:rsid w:val="00A61047"/>
    <w:rsid w:val="00A62AFA"/>
    <w:rsid w:val="00A62BBB"/>
    <w:rsid w:val="00A62E6F"/>
    <w:rsid w:val="00A62E96"/>
    <w:rsid w:val="00A634E9"/>
    <w:rsid w:val="00A63FA6"/>
    <w:rsid w:val="00A63FE3"/>
    <w:rsid w:val="00A64234"/>
    <w:rsid w:val="00A64498"/>
    <w:rsid w:val="00A6776D"/>
    <w:rsid w:val="00A67FCA"/>
    <w:rsid w:val="00A7097E"/>
    <w:rsid w:val="00A70ADF"/>
    <w:rsid w:val="00A71466"/>
    <w:rsid w:val="00A71C14"/>
    <w:rsid w:val="00A743D3"/>
    <w:rsid w:val="00A7460C"/>
    <w:rsid w:val="00A74A34"/>
    <w:rsid w:val="00A74B5E"/>
    <w:rsid w:val="00A7544B"/>
    <w:rsid w:val="00A75D8A"/>
    <w:rsid w:val="00A77D5B"/>
    <w:rsid w:val="00A812D8"/>
    <w:rsid w:val="00A81BED"/>
    <w:rsid w:val="00A81EC4"/>
    <w:rsid w:val="00A821BE"/>
    <w:rsid w:val="00A824E8"/>
    <w:rsid w:val="00A82901"/>
    <w:rsid w:val="00A8339E"/>
    <w:rsid w:val="00A85BF1"/>
    <w:rsid w:val="00A85CEA"/>
    <w:rsid w:val="00A860B2"/>
    <w:rsid w:val="00A86B9D"/>
    <w:rsid w:val="00A92640"/>
    <w:rsid w:val="00A92AD4"/>
    <w:rsid w:val="00A92AE2"/>
    <w:rsid w:val="00A967FD"/>
    <w:rsid w:val="00AA1984"/>
    <w:rsid w:val="00AA27F4"/>
    <w:rsid w:val="00AA2DE5"/>
    <w:rsid w:val="00AA36DA"/>
    <w:rsid w:val="00AA68ED"/>
    <w:rsid w:val="00AB156C"/>
    <w:rsid w:val="00AB1ECC"/>
    <w:rsid w:val="00AB369C"/>
    <w:rsid w:val="00AB5761"/>
    <w:rsid w:val="00AB5860"/>
    <w:rsid w:val="00AB631B"/>
    <w:rsid w:val="00AB680E"/>
    <w:rsid w:val="00AB6814"/>
    <w:rsid w:val="00AB7433"/>
    <w:rsid w:val="00AC04BA"/>
    <w:rsid w:val="00AC0E39"/>
    <w:rsid w:val="00AC2321"/>
    <w:rsid w:val="00AC2AF7"/>
    <w:rsid w:val="00AC544A"/>
    <w:rsid w:val="00AC590A"/>
    <w:rsid w:val="00AC636E"/>
    <w:rsid w:val="00AD3082"/>
    <w:rsid w:val="00AD32B4"/>
    <w:rsid w:val="00AD40A2"/>
    <w:rsid w:val="00AD48AB"/>
    <w:rsid w:val="00AD4AD0"/>
    <w:rsid w:val="00AD5436"/>
    <w:rsid w:val="00AD60CD"/>
    <w:rsid w:val="00AD6C8C"/>
    <w:rsid w:val="00AE04C5"/>
    <w:rsid w:val="00AE091D"/>
    <w:rsid w:val="00AE110B"/>
    <w:rsid w:val="00AE12F0"/>
    <w:rsid w:val="00AE1A79"/>
    <w:rsid w:val="00AE327F"/>
    <w:rsid w:val="00AE3375"/>
    <w:rsid w:val="00AE3B60"/>
    <w:rsid w:val="00AE53A1"/>
    <w:rsid w:val="00AE6204"/>
    <w:rsid w:val="00AE74F0"/>
    <w:rsid w:val="00AF2484"/>
    <w:rsid w:val="00AF2D07"/>
    <w:rsid w:val="00AF39C6"/>
    <w:rsid w:val="00AF449C"/>
    <w:rsid w:val="00AF465B"/>
    <w:rsid w:val="00AF63E7"/>
    <w:rsid w:val="00AF6E17"/>
    <w:rsid w:val="00AF71EF"/>
    <w:rsid w:val="00B010B0"/>
    <w:rsid w:val="00B0165D"/>
    <w:rsid w:val="00B01B60"/>
    <w:rsid w:val="00B031F3"/>
    <w:rsid w:val="00B04670"/>
    <w:rsid w:val="00B052A4"/>
    <w:rsid w:val="00B05613"/>
    <w:rsid w:val="00B0667D"/>
    <w:rsid w:val="00B06D80"/>
    <w:rsid w:val="00B113EE"/>
    <w:rsid w:val="00B125DE"/>
    <w:rsid w:val="00B13B35"/>
    <w:rsid w:val="00B13FDD"/>
    <w:rsid w:val="00B1444B"/>
    <w:rsid w:val="00B16B9F"/>
    <w:rsid w:val="00B1740D"/>
    <w:rsid w:val="00B22320"/>
    <w:rsid w:val="00B22EB2"/>
    <w:rsid w:val="00B2690A"/>
    <w:rsid w:val="00B27442"/>
    <w:rsid w:val="00B30DE6"/>
    <w:rsid w:val="00B31167"/>
    <w:rsid w:val="00B32347"/>
    <w:rsid w:val="00B324FB"/>
    <w:rsid w:val="00B329D8"/>
    <w:rsid w:val="00B32BB9"/>
    <w:rsid w:val="00B33AE1"/>
    <w:rsid w:val="00B3422D"/>
    <w:rsid w:val="00B37C38"/>
    <w:rsid w:val="00B401F6"/>
    <w:rsid w:val="00B41030"/>
    <w:rsid w:val="00B41380"/>
    <w:rsid w:val="00B421BD"/>
    <w:rsid w:val="00B42511"/>
    <w:rsid w:val="00B4288C"/>
    <w:rsid w:val="00B42F0F"/>
    <w:rsid w:val="00B4306A"/>
    <w:rsid w:val="00B43262"/>
    <w:rsid w:val="00B44100"/>
    <w:rsid w:val="00B44532"/>
    <w:rsid w:val="00B449C6"/>
    <w:rsid w:val="00B46CBA"/>
    <w:rsid w:val="00B46CCB"/>
    <w:rsid w:val="00B46F94"/>
    <w:rsid w:val="00B476CD"/>
    <w:rsid w:val="00B47B18"/>
    <w:rsid w:val="00B513C4"/>
    <w:rsid w:val="00B51A42"/>
    <w:rsid w:val="00B51B3C"/>
    <w:rsid w:val="00B5329E"/>
    <w:rsid w:val="00B54F35"/>
    <w:rsid w:val="00B57A5E"/>
    <w:rsid w:val="00B6003C"/>
    <w:rsid w:val="00B60633"/>
    <w:rsid w:val="00B61DED"/>
    <w:rsid w:val="00B61F03"/>
    <w:rsid w:val="00B626E4"/>
    <w:rsid w:val="00B62FA2"/>
    <w:rsid w:val="00B634D3"/>
    <w:rsid w:val="00B6480E"/>
    <w:rsid w:val="00B65099"/>
    <w:rsid w:val="00B652FA"/>
    <w:rsid w:val="00B66BCB"/>
    <w:rsid w:val="00B677C0"/>
    <w:rsid w:val="00B7241C"/>
    <w:rsid w:val="00B72F4A"/>
    <w:rsid w:val="00B753F9"/>
    <w:rsid w:val="00B75C5A"/>
    <w:rsid w:val="00B761EC"/>
    <w:rsid w:val="00B765C0"/>
    <w:rsid w:val="00B76731"/>
    <w:rsid w:val="00B83C27"/>
    <w:rsid w:val="00B83C81"/>
    <w:rsid w:val="00B84B7A"/>
    <w:rsid w:val="00B84BC3"/>
    <w:rsid w:val="00B84BDD"/>
    <w:rsid w:val="00B85973"/>
    <w:rsid w:val="00B87BC1"/>
    <w:rsid w:val="00B90C87"/>
    <w:rsid w:val="00B9147F"/>
    <w:rsid w:val="00B92812"/>
    <w:rsid w:val="00B9304A"/>
    <w:rsid w:val="00B96988"/>
    <w:rsid w:val="00BA030D"/>
    <w:rsid w:val="00BA277A"/>
    <w:rsid w:val="00BA29A7"/>
    <w:rsid w:val="00BA3B4A"/>
    <w:rsid w:val="00BA6926"/>
    <w:rsid w:val="00BA772B"/>
    <w:rsid w:val="00BA7EE5"/>
    <w:rsid w:val="00BB067F"/>
    <w:rsid w:val="00BB1A36"/>
    <w:rsid w:val="00BB24CB"/>
    <w:rsid w:val="00BB257F"/>
    <w:rsid w:val="00BB27C9"/>
    <w:rsid w:val="00BB3C6A"/>
    <w:rsid w:val="00BB4017"/>
    <w:rsid w:val="00BB45A1"/>
    <w:rsid w:val="00BB57D3"/>
    <w:rsid w:val="00BB6267"/>
    <w:rsid w:val="00BB66BC"/>
    <w:rsid w:val="00BB683C"/>
    <w:rsid w:val="00BB7686"/>
    <w:rsid w:val="00BC01F8"/>
    <w:rsid w:val="00BC23F9"/>
    <w:rsid w:val="00BC3421"/>
    <w:rsid w:val="00BC3654"/>
    <w:rsid w:val="00BC6E34"/>
    <w:rsid w:val="00BC732C"/>
    <w:rsid w:val="00BC76E5"/>
    <w:rsid w:val="00BD038D"/>
    <w:rsid w:val="00BD0CF2"/>
    <w:rsid w:val="00BD4421"/>
    <w:rsid w:val="00BD61F0"/>
    <w:rsid w:val="00BE0280"/>
    <w:rsid w:val="00BE0A45"/>
    <w:rsid w:val="00BE2580"/>
    <w:rsid w:val="00BE266D"/>
    <w:rsid w:val="00BE3938"/>
    <w:rsid w:val="00BE4C11"/>
    <w:rsid w:val="00BE4DF2"/>
    <w:rsid w:val="00BE6805"/>
    <w:rsid w:val="00BE71C0"/>
    <w:rsid w:val="00BE7758"/>
    <w:rsid w:val="00BE7DE5"/>
    <w:rsid w:val="00BF07B6"/>
    <w:rsid w:val="00BF0CB5"/>
    <w:rsid w:val="00BF1408"/>
    <w:rsid w:val="00BF3874"/>
    <w:rsid w:val="00BF4DC3"/>
    <w:rsid w:val="00BF5016"/>
    <w:rsid w:val="00BF610C"/>
    <w:rsid w:val="00C0060B"/>
    <w:rsid w:val="00C00716"/>
    <w:rsid w:val="00C00CD0"/>
    <w:rsid w:val="00C01A6C"/>
    <w:rsid w:val="00C0277D"/>
    <w:rsid w:val="00C0296C"/>
    <w:rsid w:val="00C0305D"/>
    <w:rsid w:val="00C033AB"/>
    <w:rsid w:val="00C03477"/>
    <w:rsid w:val="00C042CB"/>
    <w:rsid w:val="00C04F5E"/>
    <w:rsid w:val="00C050E7"/>
    <w:rsid w:val="00C053A1"/>
    <w:rsid w:val="00C054A9"/>
    <w:rsid w:val="00C07182"/>
    <w:rsid w:val="00C07DE8"/>
    <w:rsid w:val="00C10230"/>
    <w:rsid w:val="00C11B23"/>
    <w:rsid w:val="00C136EF"/>
    <w:rsid w:val="00C1596E"/>
    <w:rsid w:val="00C159B1"/>
    <w:rsid w:val="00C15BF7"/>
    <w:rsid w:val="00C16198"/>
    <w:rsid w:val="00C17485"/>
    <w:rsid w:val="00C20321"/>
    <w:rsid w:val="00C2083D"/>
    <w:rsid w:val="00C209EA"/>
    <w:rsid w:val="00C22F6B"/>
    <w:rsid w:val="00C24A53"/>
    <w:rsid w:val="00C30359"/>
    <w:rsid w:val="00C31474"/>
    <w:rsid w:val="00C31528"/>
    <w:rsid w:val="00C32298"/>
    <w:rsid w:val="00C3315D"/>
    <w:rsid w:val="00C34A05"/>
    <w:rsid w:val="00C35CCE"/>
    <w:rsid w:val="00C36548"/>
    <w:rsid w:val="00C379A6"/>
    <w:rsid w:val="00C37B09"/>
    <w:rsid w:val="00C4032F"/>
    <w:rsid w:val="00C40C96"/>
    <w:rsid w:val="00C42222"/>
    <w:rsid w:val="00C429B7"/>
    <w:rsid w:val="00C43860"/>
    <w:rsid w:val="00C44047"/>
    <w:rsid w:val="00C444D0"/>
    <w:rsid w:val="00C44B81"/>
    <w:rsid w:val="00C45155"/>
    <w:rsid w:val="00C4647B"/>
    <w:rsid w:val="00C46A5E"/>
    <w:rsid w:val="00C50581"/>
    <w:rsid w:val="00C50E32"/>
    <w:rsid w:val="00C518DE"/>
    <w:rsid w:val="00C51DC1"/>
    <w:rsid w:val="00C52E07"/>
    <w:rsid w:val="00C542B3"/>
    <w:rsid w:val="00C546BB"/>
    <w:rsid w:val="00C547A4"/>
    <w:rsid w:val="00C54898"/>
    <w:rsid w:val="00C5498F"/>
    <w:rsid w:val="00C55235"/>
    <w:rsid w:val="00C5591F"/>
    <w:rsid w:val="00C55C7F"/>
    <w:rsid w:val="00C60680"/>
    <w:rsid w:val="00C61AF8"/>
    <w:rsid w:val="00C63575"/>
    <w:rsid w:val="00C64CD0"/>
    <w:rsid w:val="00C65044"/>
    <w:rsid w:val="00C663CC"/>
    <w:rsid w:val="00C6684F"/>
    <w:rsid w:val="00C66F9A"/>
    <w:rsid w:val="00C67153"/>
    <w:rsid w:val="00C67F45"/>
    <w:rsid w:val="00C67FBA"/>
    <w:rsid w:val="00C70E70"/>
    <w:rsid w:val="00C73373"/>
    <w:rsid w:val="00C73917"/>
    <w:rsid w:val="00C749C1"/>
    <w:rsid w:val="00C75F8D"/>
    <w:rsid w:val="00C77380"/>
    <w:rsid w:val="00C82773"/>
    <w:rsid w:val="00C827BA"/>
    <w:rsid w:val="00C82A04"/>
    <w:rsid w:val="00C83BD8"/>
    <w:rsid w:val="00C83E38"/>
    <w:rsid w:val="00C84B0A"/>
    <w:rsid w:val="00C87E8A"/>
    <w:rsid w:val="00C90527"/>
    <w:rsid w:val="00C91314"/>
    <w:rsid w:val="00C94367"/>
    <w:rsid w:val="00C9507D"/>
    <w:rsid w:val="00C954B3"/>
    <w:rsid w:val="00C95D22"/>
    <w:rsid w:val="00C97736"/>
    <w:rsid w:val="00CA133F"/>
    <w:rsid w:val="00CA1676"/>
    <w:rsid w:val="00CA2E88"/>
    <w:rsid w:val="00CA345A"/>
    <w:rsid w:val="00CA6B05"/>
    <w:rsid w:val="00CB03C6"/>
    <w:rsid w:val="00CB1E82"/>
    <w:rsid w:val="00CB2B63"/>
    <w:rsid w:val="00CB4BA8"/>
    <w:rsid w:val="00CB52D7"/>
    <w:rsid w:val="00CB68E9"/>
    <w:rsid w:val="00CB72AA"/>
    <w:rsid w:val="00CB747D"/>
    <w:rsid w:val="00CB76B6"/>
    <w:rsid w:val="00CC1DCD"/>
    <w:rsid w:val="00CC29FB"/>
    <w:rsid w:val="00CC35AB"/>
    <w:rsid w:val="00CC52FC"/>
    <w:rsid w:val="00CC6732"/>
    <w:rsid w:val="00CC6CE0"/>
    <w:rsid w:val="00CD138D"/>
    <w:rsid w:val="00CD1F96"/>
    <w:rsid w:val="00CD7F21"/>
    <w:rsid w:val="00CE0A23"/>
    <w:rsid w:val="00CE0EE0"/>
    <w:rsid w:val="00CE1295"/>
    <w:rsid w:val="00CE3000"/>
    <w:rsid w:val="00CE3BE5"/>
    <w:rsid w:val="00CE3C96"/>
    <w:rsid w:val="00CE51A8"/>
    <w:rsid w:val="00CE5AD1"/>
    <w:rsid w:val="00CF00D6"/>
    <w:rsid w:val="00CF2CB2"/>
    <w:rsid w:val="00CF322D"/>
    <w:rsid w:val="00CF32AC"/>
    <w:rsid w:val="00CF369B"/>
    <w:rsid w:val="00CF3729"/>
    <w:rsid w:val="00CF53F7"/>
    <w:rsid w:val="00CF6E21"/>
    <w:rsid w:val="00D00E28"/>
    <w:rsid w:val="00D0269E"/>
    <w:rsid w:val="00D028DA"/>
    <w:rsid w:val="00D0559A"/>
    <w:rsid w:val="00D05D6C"/>
    <w:rsid w:val="00D07246"/>
    <w:rsid w:val="00D100E4"/>
    <w:rsid w:val="00D11B16"/>
    <w:rsid w:val="00D1367C"/>
    <w:rsid w:val="00D15810"/>
    <w:rsid w:val="00D15D7A"/>
    <w:rsid w:val="00D16D4E"/>
    <w:rsid w:val="00D16FE3"/>
    <w:rsid w:val="00D170BE"/>
    <w:rsid w:val="00D174D9"/>
    <w:rsid w:val="00D17E4F"/>
    <w:rsid w:val="00D17FBB"/>
    <w:rsid w:val="00D2269F"/>
    <w:rsid w:val="00D234B6"/>
    <w:rsid w:val="00D238F9"/>
    <w:rsid w:val="00D23978"/>
    <w:rsid w:val="00D2658D"/>
    <w:rsid w:val="00D27F41"/>
    <w:rsid w:val="00D30058"/>
    <w:rsid w:val="00D30B3A"/>
    <w:rsid w:val="00D36441"/>
    <w:rsid w:val="00D372AE"/>
    <w:rsid w:val="00D373AE"/>
    <w:rsid w:val="00D4064E"/>
    <w:rsid w:val="00D406C1"/>
    <w:rsid w:val="00D4120B"/>
    <w:rsid w:val="00D425CF"/>
    <w:rsid w:val="00D433FE"/>
    <w:rsid w:val="00D44E0E"/>
    <w:rsid w:val="00D44E9B"/>
    <w:rsid w:val="00D4584A"/>
    <w:rsid w:val="00D45B9E"/>
    <w:rsid w:val="00D45FD2"/>
    <w:rsid w:val="00D46077"/>
    <w:rsid w:val="00D46084"/>
    <w:rsid w:val="00D46359"/>
    <w:rsid w:val="00D47854"/>
    <w:rsid w:val="00D47AEB"/>
    <w:rsid w:val="00D47D42"/>
    <w:rsid w:val="00D50DB9"/>
    <w:rsid w:val="00D51302"/>
    <w:rsid w:val="00D52C43"/>
    <w:rsid w:val="00D53911"/>
    <w:rsid w:val="00D53C63"/>
    <w:rsid w:val="00D5520D"/>
    <w:rsid w:val="00D57A7F"/>
    <w:rsid w:val="00D60ACB"/>
    <w:rsid w:val="00D60D0E"/>
    <w:rsid w:val="00D62F53"/>
    <w:rsid w:val="00D64EDC"/>
    <w:rsid w:val="00D6507F"/>
    <w:rsid w:val="00D659D5"/>
    <w:rsid w:val="00D66EB9"/>
    <w:rsid w:val="00D71E62"/>
    <w:rsid w:val="00D730BC"/>
    <w:rsid w:val="00D73912"/>
    <w:rsid w:val="00D73A7B"/>
    <w:rsid w:val="00D76338"/>
    <w:rsid w:val="00D81DF3"/>
    <w:rsid w:val="00D841D6"/>
    <w:rsid w:val="00D84E15"/>
    <w:rsid w:val="00D85226"/>
    <w:rsid w:val="00D860DD"/>
    <w:rsid w:val="00D87B94"/>
    <w:rsid w:val="00D92D49"/>
    <w:rsid w:val="00D92EC1"/>
    <w:rsid w:val="00D939E3"/>
    <w:rsid w:val="00D93D31"/>
    <w:rsid w:val="00D94829"/>
    <w:rsid w:val="00D94872"/>
    <w:rsid w:val="00D96558"/>
    <w:rsid w:val="00D965A1"/>
    <w:rsid w:val="00D96DEA"/>
    <w:rsid w:val="00DA3C26"/>
    <w:rsid w:val="00DA4E41"/>
    <w:rsid w:val="00DA4E8C"/>
    <w:rsid w:val="00DB117A"/>
    <w:rsid w:val="00DB1C4D"/>
    <w:rsid w:val="00DB1C78"/>
    <w:rsid w:val="00DB2177"/>
    <w:rsid w:val="00DB2AA5"/>
    <w:rsid w:val="00DB2B49"/>
    <w:rsid w:val="00DB2D46"/>
    <w:rsid w:val="00DB5173"/>
    <w:rsid w:val="00DB62C1"/>
    <w:rsid w:val="00DB6E62"/>
    <w:rsid w:val="00DB7873"/>
    <w:rsid w:val="00DB7C49"/>
    <w:rsid w:val="00DC187B"/>
    <w:rsid w:val="00DC1CBD"/>
    <w:rsid w:val="00DC5416"/>
    <w:rsid w:val="00DC7DEF"/>
    <w:rsid w:val="00DD1207"/>
    <w:rsid w:val="00DD173A"/>
    <w:rsid w:val="00DD18CB"/>
    <w:rsid w:val="00DD1A43"/>
    <w:rsid w:val="00DD2BA9"/>
    <w:rsid w:val="00DD3739"/>
    <w:rsid w:val="00DD39C6"/>
    <w:rsid w:val="00DD3A69"/>
    <w:rsid w:val="00DD424B"/>
    <w:rsid w:val="00DD4E6F"/>
    <w:rsid w:val="00DD52FC"/>
    <w:rsid w:val="00DD597E"/>
    <w:rsid w:val="00DD5F4E"/>
    <w:rsid w:val="00DD73C2"/>
    <w:rsid w:val="00DD757C"/>
    <w:rsid w:val="00DE08D9"/>
    <w:rsid w:val="00DE0D35"/>
    <w:rsid w:val="00DE2D06"/>
    <w:rsid w:val="00DE319B"/>
    <w:rsid w:val="00DE3F85"/>
    <w:rsid w:val="00DE4B6D"/>
    <w:rsid w:val="00DE740B"/>
    <w:rsid w:val="00DF09CC"/>
    <w:rsid w:val="00DF2DF3"/>
    <w:rsid w:val="00DF34FE"/>
    <w:rsid w:val="00DF421E"/>
    <w:rsid w:val="00DF56AA"/>
    <w:rsid w:val="00DF56AF"/>
    <w:rsid w:val="00DF6E4D"/>
    <w:rsid w:val="00DF7845"/>
    <w:rsid w:val="00DF7864"/>
    <w:rsid w:val="00DF78E7"/>
    <w:rsid w:val="00E00ED6"/>
    <w:rsid w:val="00E019C8"/>
    <w:rsid w:val="00E03161"/>
    <w:rsid w:val="00E04467"/>
    <w:rsid w:val="00E068D3"/>
    <w:rsid w:val="00E07EED"/>
    <w:rsid w:val="00E1036C"/>
    <w:rsid w:val="00E110E0"/>
    <w:rsid w:val="00E11603"/>
    <w:rsid w:val="00E11AF3"/>
    <w:rsid w:val="00E122EA"/>
    <w:rsid w:val="00E15122"/>
    <w:rsid w:val="00E15371"/>
    <w:rsid w:val="00E15400"/>
    <w:rsid w:val="00E15460"/>
    <w:rsid w:val="00E16BFB"/>
    <w:rsid w:val="00E21249"/>
    <w:rsid w:val="00E23372"/>
    <w:rsid w:val="00E24104"/>
    <w:rsid w:val="00E25510"/>
    <w:rsid w:val="00E266AA"/>
    <w:rsid w:val="00E266B8"/>
    <w:rsid w:val="00E26D35"/>
    <w:rsid w:val="00E27F00"/>
    <w:rsid w:val="00E302D0"/>
    <w:rsid w:val="00E303DC"/>
    <w:rsid w:val="00E311AA"/>
    <w:rsid w:val="00E31BFD"/>
    <w:rsid w:val="00E33177"/>
    <w:rsid w:val="00E331DA"/>
    <w:rsid w:val="00E337AB"/>
    <w:rsid w:val="00E34993"/>
    <w:rsid w:val="00E3504E"/>
    <w:rsid w:val="00E35707"/>
    <w:rsid w:val="00E35746"/>
    <w:rsid w:val="00E35F43"/>
    <w:rsid w:val="00E36AA1"/>
    <w:rsid w:val="00E372FF"/>
    <w:rsid w:val="00E4164A"/>
    <w:rsid w:val="00E41ECB"/>
    <w:rsid w:val="00E42676"/>
    <w:rsid w:val="00E4465C"/>
    <w:rsid w:val="00E447D8"/>
    <w:rsid w:val="00E459DC"/>
    <w:rsid w:val="00E47E0E"/>
    <w:rsid w:val="00E50307"/>
    <w:rsid w:val="00E5264E"/>
    <w:rsid w:val="00E53C7D"/>
    <w:rsid w:val="00E54FDB"/>
    <w:rsid w:val="00E5617D"/>
    <w:rsid w:val="00E563D7"/>
    <w:rsid w:val="00E56741"/>
    <w:rsid w:val="00E56B8B"/>
    <w:rsid w:val="00E60338"/>
    <w:rsid w:val="00E60937"/>
    <w:rsid w:val="00E62097"/>
    <w:rsid w:val="00E6292B"/>
    <w:rsid w:val="00E63E9E"/>
    <w:rsid w:val="00E658BC"/>
    <w:rsid w:val="00E663F4"/>
    <w:rsid w:val="00E666F2"/>
    <w:rsid w:val="00E66DD4"/>
    <w:rsid w:val="00E70455"/>
    <w:rsid w:val="00E70793"/>
    <w:rsid w:val="00E718D8"/>
    <w:rsid w:val="00E719D0"/>
    <w:rsid w:val="00E71D42"/>
    <w:rsid w:val="00E72EE1"/>
    <w:rsid w:val="00E74250"/>
    <w:rsid w:val="00E74538"/>
    <w:rsid w:val="00E747C3"/>
    <w:rsid w:val="00E748CC"/>
    <w:rsid w:val="00E75415"/>
    <w:rsid w:val="00E75564"/>
    <w:rsid w:val="00E7612C"/>
    <w:rsid w:val="00E76902"/>
    <w:rsid w:val="00E775B1"/>
    <w:rsid w:val="00E81090"/>
    <w:rsid w:val="00E8152A"/>
    <w:rsid w:val="00E81B3D"/>
    <w:rsid w:val="00E82758"/>
    <w:rsid w:val="00E87515"/>
    <w:rsid w:val="00E8772A"/>
    <w:rsid w:val="00E93629"/>
    <w:rsid w:val="00E93B5C"/>
    <w:rsid w:val="00E94CEC"/>
    <w:rsid w:val="00EA04EF"/>
    <w:rsid w:val="00EA086C"/>
    <w:rsid w:val="00EA1489"/>
    <w:rsid w:val="00EA4586"/>
    <w:rsid w:val="00EA46CE"/>
    <w:rsid w:val="00EA6F19"/>
    <w:rsid w:val="00EA70C9"/>
    <w:rsid w:val="00EB2332"/>
    <w:rsid w:val="00EB48D9"/>
    <w:rsid w:val="00EB4AAB"/>
    <w:rsid w:val="00EB4B2D"/>
    <w:rsid w:val="00EB581F"/>
    <w:rsid w:val="00EB7090"/>
    <w:rsid w:val="00EC1BBE"/>
    <w:rsid w:val="00EC2B68"/>
    <w:rsid w:val="00EC3AEF"/>
    <w:rsid w:val="00EC4515"/>
    <w:rsid w:val="00EC5CD7"/>
    <w:rsid w:val="00EC66C3"/>
    <w:rsid w:val="00ED2EC2"/>
    <w:rsid w:val="00ED327A"/>
    <w:rsid w:val="00ED5781"/>
    <w:rsid w:val="00ED7F27"/>
    <w:rsid w:val="00EE3E1D"/>
    <w:rsid w:val="00EE4379"/>
    <w:rsid w:val="00EE4760"/>
    <w:rsid w:val="00EE50C7"/>
    <w:rsid w:val="00EE5DCD"/>
    <w:rsid w:val="00EE5FB3"/>
    <w:rsid w:val="00EE7464"/>
    <w:rsid w:val="00EE7F79"/>
    <w:rsid w:val="00EF0C7D"/>
    <w:rsid w:val="00EF2F19"/>
    <w:rsid w:val="00EF38D3"/>
    <w:rsid w:val="00EF4B33"/>
    <w:rsid w:val="00EF54B6"/>
    <w:rsid w:val="00EF5C27"/>
    <w:rsid w:val="00EF715A"/>
    <w:rsid w:val="00EF7529"/>
    <w:rsid w:val="00F01BC3"/>
    <w:rsid w:val="00F02650"/>
    <w:rsid w:val="00F06E14"/>
    <w:rsid w:val="00F14F22"/>
    <w:rsid w:val="00F15453"/>
    <w:rsid w:val="00F171C4"/>
    <w:rsid w:val="00F179D4"/>
    <w:rsid w:val="00F20F55"/>
    <w:rsid w:val="00F214D4"/>
    <w:rsid w:val="00F21991"/>
    <w:rsid w:val="00F21E61"/>
    <w:rsid w:val="00F242CE"/>
    <w:rsid w:val="00F24784"/>
    <w:rsid w:val="00F24F89"/>
    <w:rsid w:val="00F26865"/>
    <w:rsid w:val="00F26E8B"/>
    <w:rsid w:val="00F26FDF"/>
    <w:rsid w:val="00F27E1C"/>
    <w:rsid w:val="00F308A7"/>
    <w:rsid w:val="00F3091B"/>
    <w:rsid w:val="00F30A25"/>
    <w:rsid w:val="00F3139F"/>
    <w:rsid w:val="00F31795"/>
    <w:rsid w:val="00F3236B"/>
    <w:rsid w:val="00F326AA"/>
    <w:rsid w:val="00F33C56"/>
    <w:rsid w:val="00F347C7"/>
    <w:rsid w:val="00F34848"/>
    <w:rsid w:val="00F34A78"/>
    <w:rsid w:val="00F41D07"/>
    <w:rsid w:val="00F42D46"/>
    <w:rsid w:val="00F43F2C"/>
    <w:rsid w:val="00F4496C"/>
    <w:rsid w:val="00F44EB2"/>
    <w:rsid w:val="00F44F3A"/>
    <w:rsid w:val="00F4548F"/>
    <w:rsid w:val="00F45DD5"/>
    <w:rsid w:val="00F472BA"/>
    <w:rsid w:val="00F51F10"/>
    <w:rsid w:val="00F529A5"/>
    <w:rsid w:val="00F52CCE"/>
    <w:rsid w:val="00F544BA"/>
    <w:rsid w:val="00F56E0A"/>
    <w:rsid w:val="00F60F00"/>
    <w:rsid w:val="00F614C0"/>
    <w:rsid w:val="00F61ADF"/>
    <w:rsid w:val="00F61C77"/>
    <w:rsid w:val="00F621B1"/>
    <w:rsid w:val="00F62C37"/>
    <w:rsid w:val="00F6358A"/>
    <w:rsid w:val="00F6497C"/>
    <w:rsid w:val="00F667EF"/>
    <w:rsid w:val="00F74A34"/>
    <w:rsid w:val="00F74A7B"/>
    <w:rsid w:val="00F74A80"/>
    <w:rsid w:val="00F75A1E"/>
    <w:rsid w:val="00F76FD0"/>
    <w:rsid w:val="00F77B54"/>
    <w:rsid w:val="00F80ED4"/>
    <w:rsid w:val="00F82803"/>
    <w:rsid w:val="00F82B32"/>
    <w:rsid w:val="00F83848"/>
    <w:rsid w:val="00F8391E"/>
    <w:rsid w:val="00F84750"/>
    <w:rsid w:val="00F864F7"/>
    <w:rsid w:val="00F9277F"/>
    <w:rsid w:val="00F927F2"/>
    <w:rsid w:val="00F92C7E"/>
    <w:rsid w:val="00F94401"/>
    <w:rsid w:val="00F94566"/>
    <w:rsid w:val="00F9488D"/>
    <w:rsid w:val="00F975E9"/>
    <w:rsid w:val="00F97C21"/>
    <w:rsid w:val="00FA0B31"/>
    <w:rsid w:val="00FA1B7D"/>
    <w:rsid w:val="00FA2E7B"/>
    <w:rsid w:val="00FA2E9B"/>
    <w:rsid w:val="00FA3991"/>
    <w:rsid w:val="00FA5CA3"/>
    <w:rsid w:val="00FA6987"/>
    <w:rsid w:val="00FA6C09"/>
    <w:rsid w:val="00FB15B5"/>
    <w:rsid w:val="00FB2011"/>
    <w:rsid w:val="00FB270C"/>
    <w:rsid w:val="00FB4213"/>
    <w:rsid w:val="00FB7AA9"/>
    <w:rsid w:val="00FC003B"/>
    <w:rsid w:val="00FC07B9"/>
    <w:rsid w:val="00FC09DA"/>
    <w:rsid w:val="00FC1756"/>
    <w:rsid w:val="00FC2FEB"/>
    <w:rsid w:val="00FC36A0"/>
    <w:rsid w:val="00FC4E21"/>
    <w:rsid w:val="00FC5F6D"/>
    <w:rsid w:val="00FC62CB"/>
    <w:rsid w:val="00FC6871"/>
    <w:rsid w:val="00FC71B6"/>
    <w:rsid w:val="00FD0107"/>
    <w:rsid w:val="00FD2C2F"/>
    <w:rsid w:val="00FD38E8"/>
    <w:rsid w:val="00FD3B31"/>
    <w:rsid w:val="00FD543B"/>
    <w:rsid w:val="00FD79D1"/>
    <w:rsid w:val="00FE1823"/>
    <w:rsid w:val="00FE375E"/>
    <w:rsid w:val="00FE455F"/>
    <w:rsid w:val="00FE487A"/>
    <w:rsid w:val="00FE5235"/>
    <w:rsid w:val="00FE6160"/>
    <w:rsid w:val="00FE7489"/>
    <w:rsid w:val="00FF049E"/>
    <w:rsid w:val="00FF0569"/>
    <w:rsid w:val="00FF1211"/>
    <w:rsid w:val="00FF17D6"/>
    <w:rsid w:val="00FF206E"/>
    <w:rsid w:val="00FF3888"/>
    <w:rsid w:val="00FF39BC"/>
    <w:rsid w:val="00FF3C69"/>
    <w:rsid w:val="00FF3DF2"/>
    <w:rsid w:val="00FF448B"/>
    <w:rsid w:val="00FF5173"/>
    <w:rsid w:val="00FF5637"/>
    <w:rsid w:val="00FF5A1D"/>
    <w:rsid w:val="00FF5D77"/>
    <w:rsid w:val="00FF6E0A"/>
    <w:rsid w:val="00FF75E0"/>
    <w:rsid w:val="16B9AB6E"/>
    <w:rsid w:val="16C62AC3"/>
    <w:rsid w:val="1E3C888E"/>
    <w:rsid w:val="51AEF8FA"/>
    <w:rsid w:val="59A76668"/>
    <w:rsid w:val="5AEEAE97"/>
    <w:rsid w:val="5F9C2A61"/>
    <w:rsid w:val="651E4D9C"/>
    <w:rsid w:val="6B37129F"/>
    <w:rsid w:val="6CDF9385"/>
    <w:rsid w:val="7D2B8591"/>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5E9AA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5F60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5F60FC"/>
    <w:rPr>
      <w:rFonts w:ascii="Segoe UI" w:hAnsi="Segoe UI" w:cs="Segoe UI"/>
      <w:sz w:val="18"/>
      <w:szCs w:val="18"/>
    </w:rPr>
  </w:style>
  <w:style w:type="paragraph" w:customStyle="1" w:styleId="paragraph0">
    <w:name w:val="paragraph"/>
    <w:basedOn w:val="Normal"/>
    <w:rsid w:val="005F60FC"/>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5F60FC"/>
  </w:style>
  <w:style w:type="character" w:customStyle="1" w:styleId="eop">
    <w:name w:val="eop"/>
    <w:basedOn w:val="DefaultParagraphFont"/>
    <w:rsid w:val="005F60FC"/>
  </w:style>
  <w:style w:type="paragraph" w:styleId="NormalWeb">
    <w:name w:val="Normal (Web)"/>
    <w:basedOn w:val="Normal"/>
    <w:uiPriority w:val="99"/>
    <w:unhideWhenUsed/>
    <w:rsid w:val="005F60FC"/>
    <w:pPr>
      <w:spacing w:before="100" w:beforeAutospacing="1" w:after="100" w:afterAutospacing="1" w:line="240" w:lineRule="auto"/>
    </w:pPr>
    <w:rPr>
      <w:rFonts w:ascii="Times New Roman" w:hAnsi="Times New Roman"/>
      <w:sz w:val="24"/>
    </w:rPr>
  </w:style>
  <w:style w:type="paragraph" w:styleId="ListParagraph">
    <w:name w:val="List Paragraph"/>
    <w:basedOn w:val="Normal"/>
    <w:uiPriority w:val="34"/>
    <w:qFormat/>
    <w:rsid w:val="005F60FC"/>
    <w:pPr>
      <w:spacing w:after="0" w:line="240" w:lineRule="auto"/>
      <w:ind w:left="720"/>
      <w:contextualSpacing/>
    </w:pPr>
    <w:rPr>
      <w:rFonts w:ascii="Times New Roman" w:hAnsi="Times New Roman"/>
      <w:sz w:val="24"/>
    </w:rPr>
  </w:style>
  <w:style w:type="paragraph" w:customStyle="1" w:styleId="Bodysubheader0">
    <w:name w:val="Body sub header"/>
    <w:basedOn w:val="Normal"/>
    <w:next w:val="Normal"/>
    <w:rsid w:val="005F60FC"/>
    <w:pPr>
      <w:spacing w:after="0"/>
    </w:pPr>
    <w:rPr>
      <w:b/>
      <w:i/>
    </w:rPr>
  </w:style>
  <w:style w:type="paragraph" w:customStyle="1" w:styleId="ACMANormalTabbed">
    <w:name w:val="ACMA_NormalTabbed"/>
    <w:basedOn w:val="Normal"/>
    <w:qFormat/>
    <w:rsid w:val="005F60FC"/>
    <w:pPr>
      <w:tabs>
        <w:tab w:val="left" w:pos="1134"/>
      </w:tabs>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5F60FC"/>
    <w:rPr>
      <w:rFonts w:ascii="Arial" w:hAnsi="Arial"/>
      <w:sz w:val="16"/>
      <w:szCs w:val="16"/>
    </w:rPr>
  </w:style>
  <w:style w:type="paragraph" w:styleId="BodyText">
    <w:name w:val="Body Text"/>
    <w:basedOn w:val="Normal"/>
    <w:link w:val="BodyTextChar"/>
    <w:qFormat/>
    <w:rsid w:val="005F60FC"/>
    <w:rPr>
      <w:rFonts w:ascii="Century Gothic" w:hAnsi="Century Gothic" w:cs="Arial"/>
      <w:szCs w:val="20"/>
    </w:rPr>
  </w:style>
  <w:style w:type="character" w:customStyle="1" w:styleId="BodyTextChar">
    <w:name w:val="Body Text Char"/>
    <w:basedOn w:val="DefaultParagraphFont"/>
    <w:link w:val="BodyText"/>
    <w:rsid w:val="005F60FC"/>
    <w:rPr>
      <w:rFonts w:ascii="Century Gothic" w:hAnsi="Century Gothic" w:cs="Arial"/>
      <w:sz w:val="20"/>
      <w:szCs w:val="20"/>
    </w:rPr>
  </w:style>
  <w:style w:type="paragraph" w:styleId="Revision">
    <w:name w:val="Revision"/>
    <w:hidden/>
    <w:semiHidden/>
    <w:rsid w:val="00DD424B"/>
    <w:rPr>
      <w:rFonts w:ascii="Arial" w:hAnsi="Arial"/>
      <w:sz w:val="20"/>
    </w:rPr>
  </w:style>
  <w:style w:type="character" w:customStyle="1" w:styleId="kilo">
    <w:name w:val="kilo"/>
    <w:basedOn w:val="DefaultParagraphFont"/>
    <w:rsid w:val="00B421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079641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22409355">
      <w:bodyDiv w:val="1"/>
      <w:marLeft w:val="0"/>
      <w:marRight w:val="0"/>
      <w:marTop w:val="0"/>
      <w:marBottom w:val="0"/>
      <w:divBdr>
        <w:top w:val="none" w:sz="0" w:space="0" w:color="auto"/>
        <w:left w:val="none" w:sz="0" w:space="0" w:color="auto"/>
        <w:bottom w:val="none" w:sz="0" w:space="0" w:color="auto"/>
        <w:right w:val="none" w:sz="0" w:space="0" w:color="auto"/>
      </w:divBdr>
    </w:div>
    <w:div w:id="796873053">
      <w:bodyDiv w:val="1"/>
      <w:marLeft w:val="0"/>
      <w:marRight w:val="0"/>
      <w:marTop w:val="0"/>
      <w:marBottom w:val="0"/>
      <w:divBdr>
        <w:top w:val="none" w:sz="0" w:space="0" w:color="auto"/>
        <w:left w:val="none" w:sz="0" w:space="0" w:color="auto"/>
        <w:bottom w:val="none" w:sz="0" w:space="0" w:color="auto"/>
        <w:right w:val="none" w:sz="0" w:space="0" w:color="auto"/>
      </w:divBdr>
    </w:div>
    <w:div w:id="845290782">
      <w:bodyDiv w:val="1"/>
      <w:marLeft w:val="0"/>
      <w:marRight w:val="0"/>
      <w:marTop w:val="0"/>
      <w:marBottom w:val="0"/>
      <w:divBdr>
        <w:top w:val="none" w:sz="0" w:space="0" w:color="auto"/>
        <w:left w:val="none" w:sz="0" w:space="0" w:color="auto"/>
        <w:bottom w:val="none" w:sz="0" w:space="0" w:color="auto"/>
        <w:right w:val="none" w:sz="0" w:space="0" w:color="auto"/>
      </w:divBdr>
    </w:div>
    <w:div w:id="1107121992">
      <w:bodyDiv w:val="1"/>
      <w:marLeft w:val="0"/>
      <w:marRight w:val="0"/>
      <w:marTop w:val="0"/>
      <w:marBottom w:val="0"/>
      <w:divBdr>
        <w:top w:val="none" w:sz="0" w:space="0" w:color="auto"/>
        <w:left w:val="none" w:sz="0" w:space="0" w:color="auto"/>
        <w:bottom w:val="none" w:sz="0" w:space="0" w:color="auto"/>
        <w:right w:val="none" w:sz="0" w:space="0" w:color="auto"/>
      </w:divBdr>
    </w:div>
    <w:div w:id="126033008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50950573">
      <w:bodyDiv w:val="1"/>
      <w:marLeft w:val="0"/>
      <w:marRight w:val="0"/>
      <w:marTop w:val="0"/>
      <w:marBottom w:val="0"/>
      <w:divBdr>
        <w:top w:val="none" w:sz="0" w:space="0" w:color="auto"/>
        <w:left w:val="none" w:sz="0" w:space="0" w:color="auto"/>
        <w:bottom w:val="none" w:sz="0" w:space="0" w:color="auto"/>
        <w:right w:val="none" w:sz="0" w:space="0" w:color="auto"/>
      </w:divBdr>
    </w:div>
    <w:div w:id="186720881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6398986">
      <w:bodyDiv w:val="1"/>
      <w:marLeft w:val="0"/>
      <w:marRight w:val="0"/>
      <w:marTop w:val="0"/>
      <w:marBottom w:val="0"/>
      <w:divBdr>
        <w:top w:val="none" w:sz="0" w:space="0" w:color="auto"/>
        <w:left w:val="none" w:sz="0" w:space="0" w:color="auto"/>
        <w:bottom w:val="none" w:sz="0" w:space="0" w:color="auto"/>
        <w:right w:val="none" w:sz="0" w:space="0" w:color="auto"/>
      </w:divBdr>
    </w:div>
    <w:div w:id="207257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yperlink" Target="https://www.acma.gov.au/research-program" TargetMode="External"/><Relationship Id="rId39" Type="http://schemas.openxmlformats.org/officeDocument/2006/relationships/hyperlink" Target="https://www.gov.uk/government/publications/five-country-ministerial-communique/statement-of-intent-regarding-the-security-of-the-internet-of-things" TargetMode="External"/><Relationship Id="rId21" Type="http://schemas.openxmlformats.org/officeDocument/2006/relationships/header" Target="header6.xml"/><Relationship Id="rId34" Type="http://schemas.openxmlformats.org/officeDocument/2006/relationships/hyperlink" Target="https://www.acma.gov.au/consultations/2020-07/internet-things-applications-vhf-high-band-consultation-202020" TargetMode="External"/><Relationship Id="rId42" Type="http://schemas.openxmlformats.org/officeDocument/2006/relationships/hyperlink" Target="https://www.homeaffairs.gov.au/about-us/our-portfolios/cyber-security/strategy" TargetMode="External"/><Relationship Id="rId47" Type="http://schemas.openxmlformats.org/officeDocument/2006/relationships/hyperlink" Target="https://www.esafety.gov.au/key-issues/safety-by-design" TargetMode="External"/><Relationship Id="rId50" Type="http://schemas.openxmlformats.org/officeDocument/2006/relationships/hyperlink" Target="https://www.legislation.gov.au/Details/F2015L01486" TargetMode="External"/><Relationship Id="rId55" Type="http://schemas.openxmlformats.org/officeDocument/2006/relationships/image" Target="media/image9.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www.mimos.my/iot/National_IoT_Strategic_Roadmap_Summary.pdf" TargetMode="External"/><Relationship Id="rId41" Type="http://schemas.openxmlformats.org/officeDocument/2006/relationships/hyperlink" Target="https://treasury.gov.au/publication/p2019-41708" TargetMode="External"/><Relationship Id="rId54" Type="http://schemas.openxmlformats.org/officeDocument/2006/relationships/hyperlink" Target="https://www.acma.gov.au/research-progra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hyperlink" Target="https://www.acma.gov.au/fyso-2019-23-progress-report-july-dec-2019" TargetMode="External"/><Relationship Id="rId37" Type="http://schemas.openxmlformats.org/officeDocument/2006/relationships/hyperlink" Target="https://www.legislation.gov.au/Series/F2014L01253" TargetMode="External"/><Relationship Id="rId40" Type="http://schemas.openxmlformats.org/officeDocument/2006/relationships/hyperlink" Target="https://www.homeaffairs.gov.au/reports-and-publications/submissions-and-discussion-papers/code-of-practice" TargetMode="External"/><Relationship Id="rId45" Type="http://schemas.openxmlformats.org/officeDocument/2006/relationships/hyperlink" Target="https://www.productsafety.gov.au/products/electronics-technology/interconnected-devices" TargetMode="External"/><Relationship Id="rId53" Type="http://schemas.openxmlformats.org/officeDocument/2006/relationships/hyperlink" Target="https://www.acma.gov.au/research-program" TargetMode="External"/><Relationship Id="rId58"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image" Target="media/image6.png"/><Relationship Id="rId36" Type="http://schemas.openxmlformats.org/officeDocument/2006/relationships/hyperlink" Target="https://www.acma.gov.au/technical-standards" TargetMode="External"/><Relationship Id="rId49" Type="http://schemas.openxmlformats.org/officeDocument/2006/relationships/hyperlink" Target="https://www.homeaffairs.gov.au/reports-and-publications/submissions-and-discussion-papers/code-of-practice" TargetMode="External"/><Relationship Id="rId57" Type="http://schemas.openxmlformats.org/officeDocument/2006/relationships/header" Target="header8.xml"/><Relationship Id="rId61"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chart" Target="charts/chart1.xml"/><Relationship Id="rId44" Type="http://schemas.openxmlformats.org/officeDocument/2006/relationships/hyperlink" Target="http://www.iot.org.au/wp/wp-content/uploads/2016/12/IoTAA-Strategic-Plan-to-Strengthen-IoT-Security-in-Australia-v4.pdf" TargetMode="External"/><Relationship Id="rId52" Type="http://schemas.openxmlformats.org/officeDocument/2006/relationships/hyperlink" Target="https://www.acma.gov.au/consultations/2020-04/draft-five-year-spectrum-outlook-2020-24-consultation-092020"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image" Target="media/image5.png"/><Relationship Id="rId30" Type="http://schemas.openxmlformats.org/officeDocument/2006/relationships/image" Target="media/image7.png"/><Relationship Id="rId35" Type="http://schemas.openxmlformats.org/officeDocument/2006/relationships/hyperlink" Target="https://www.acma.gov.au/know-what-you-must-do" TargetMode="External"/><Relationship Id="rId43" Type="http://schemas.openxmlformats.org/officeDocument/2006/relationships/hyperlink" Target="https://www.staysmartonline.gov.au/news/internet-things-are-you-exposed" TargetMode="External"/><Relationship Id="rId48" Type="http://schemas.openxmlformats.org/officeDocument/2006/relationships/image" Target="media/image8.png"/><Relationship Id="rId56"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hyperlink" Target="https://www.acma.gov.au/publications/2018-10/report/corporate-plan-2018-19" TargetMode="External"/><Relationship Id="rId3" Type="http://schemas.openxmlformats.org/officeDocument/2006/relationships/styles" Target="styl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research-program" TargetMode="External"/><Relationship Id="rId33" Type="http://schemas.openxmlformats.org/officeDocument/2006/relationships/hyperlink" Target="https://www.legislation.gov.au/Details/F2019C00681" TargetMode="External"/><Relationship Id="rId38" Type="http://schemas.openxmlformats.org/officeDocument/2006/relationships/hyperlink" Target="https://webstore.iec.ch/publication/60604?utm_source=Webstore+Just+Published&amp;utm_campaign=75cdf04630-JUST+PUBLISHED+by+the+IEC+-+Edition++2019-02&amp;utm_medium=email&amp;utm_term=0_61d266ee9e-75cdf04630-133385653" TargetMode="External"/><Relationship Id="rId46" Type="http://schemas.openxmlformats.org/officeDocument/2006/relationships/hyperlink" Target="https://www.esafety.gov.au/women/using-your-device-safely/wearables-fitness-trackers" TargetMode="External"/><Relationship Id="rId59"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exchange.telstra.com.au/over-3-million-new-iot-things-on-our-network/" TargetMode="External"/><Relationship Id="rId13" Type="http://schemas.openxmlformats.org/officeDocument/2006/relationships/hyperlink" Target="https://www.pwc.com.au/consulting/assets/publications/acs-pwc-iot-report-web.pdf" TargetMode="External"/><Relationship Id="rId18" Type="http://schemas.openxmlformats.org/officeDocument/2006/relationships/hyperlink" Target="https://www.digital.nsw.gov.au/sites/default/files/IoT%20policy%20Guidance.pdf" TargetMode="External"/><Relationship Id="rId26" Type="http://schemas.openxmlformats.org/officeDocument/2006/relationships/hyperlink" Target="https://www.acma.gov.au/publications/2020-02/guide/area-wide-licensing-acma-approach-introducing-area-wide-licences" TargetMode="External"/><Relationship Id="rId3" Type="http://schemas.openxmlformats.org/officeDocument/2006/relationships/hyperlink" Target="https://www.acma.gov.au/consultations/2020-04/draft-five-year-spectrum-outlook-2020-24-consultation-092020" TargetMode="External"/><Relationship Id="rId21" Type="http://schemas.openxmlformats.org/officeDocument/2006/relationships/hyperlink" Target="https://www.cisco.com/c/dam/m/en_us/solutions/service-provider/vni-forecast-highlights/pdf/Australia_2022_Forecast_Highlights.pdf" TargetMode="External"/><Relationship Id="rId7" Type="http://schemas.openxmlformats.org/officeDocument/2006/relationships/hyperlink" Target="https://www.asx.com.au/asxpdf/20190730/pdf/4470f42g5jz99t.pdf" TargetMode="External"/><Relationship Id="rId12" Type="http://schemas.openxmlformats.org/officeDocument/2006/relationships/hyperlink" Target="https://www.telsyte.com.au/announcements/2019/5/14/australian-iothome-market-cracks-1bn-paving-the-way-for-iot-commerce-services" TargetMode="External"/><Relationship Id="rId17" Type="http://schemas.openxmlformats.org/officeDocument/2006/relationships/hyperlink" Target="https://www.acma.gov.au/publications/2015-11/report/internet-things-and-acmas-area-focus-emerging-issues-occasional-paper" TargetMode="External"/><Relationship Id="rId25" Type="http://schemas.openxmlformats.org/officeDocument/2006/relationships/hyperlink" Target="https://www.communications.gov.au/departmental-news/spectrum-released-5g-rollout" TargetMode="External"/><Relationship Id="rId33" Type="http://schemas.openxmlformats.org/officeDocument/2006/relationships/hyperlink" Target="https://www.acma.gov.au/publications/2015-11/report/internet-things-and-acmas-area-focus-emerging-issues-occasional-paper" TargetMode="External"/><Relationship Id="rId2" Type="http://schemas.openxmlformats.org/officeDocument/2006/relationships/hyperlink" Target="https://www.communications.gov.au/departmental-news/5g-enabling-future-economy" TargetMode="External"/><Relationship Id="rId16" Type="http://schemas.openxmlformats.org/officeDocument/2006/relationships/hyperlink" Target="https://www.idc.com/getdoc.jsp?containerId=prAP44760119" TargetMode="External"/><Relationship Id="rId20" Type="http://schemas.openxmlformats.org/officeDocument/2006/relationships/hyperlink" Target="https://www.acma.gov.au/consultations/2020-04/draft-five-year-spectrum-outlook-2020-24-consultation-092020" TargetMode="External"/><Relationship Id="rId29" Type="http://schemas.openxmlformats.org/officeDocument/2006/relationships/hyperlink" Target="https://www.gov.uk/government/news/plans-announced-to-introduce-new-laws-for-internet-connected-devices" TargetMode="External"/><Relationship Id="rId1" Type="http://schemas.openxmlformats.org/officeDocument/2006/relationships/hyperlink" Target="https://www.pwc.com.au/consulting/assets/publications/acs-pwc-iot-report-web.pdf" TargetMode="External"/><Relationship Id="rId6" Type="http://schemas.openxmlformats.org/officeDocument/2006/relationships/hyperlink" Target="https://www.gartner.com/en/newsroom/press-releases/2018-11-07-gartner-identifies-top-10-strategic-iot-technologies-and-trends" TargetMode="External"/><Relationship Id="rId11" Type="http://schemas.openxmlformats.org/officeDocument/2006/relationships/hyperlink" Target="https://www.fleet.space/about" TargetMode="External"/><Relationship Id="rId24" Type="http://schemas.openxmlformats.org/officeDocument/2006/relationships/hyperlink" Target="https://www.legislation.gov.au/Details/F2019L01374" TargetMode="External"/><Relationship Id="rId32" Type="http://schemas.openxmlformats.org/officeDocument/2006/relationships/hyperlink" Target="https://azure.microsoft.com/en-au/blog/new-smart-device-security-research-consumers-call-on-manufacturers-to-do-more/" TargetMode="External"/><Relationship Id="rId5" Type="http://schemas.openxmlformats.org/officeDocument/2006/relationships/hyperlink" Target="https://www.acma.gov.au/consultations/2020-04/draft-five-year-spectrum-outlook-2020-24-consultation-092020" TargetMode="External"/><Relationship Id="rId15" Type="http://schemas.openxmlformats.org/officeDocument/2006/relationships/hyperlink" Target="https://www.pwc.com.au/consulting/assets/publications/acs-pwc-iot-report-web.pdf" TargetMode="External"/><Relationship Id="rId23" Type="http://schemas.openxmlformats.org/officeDocument/2006/relationships/hyperlink" Target="https://www.acma.gov.au/publications/2016-02/report/5g-and-mobile-network-developments-emerging-issues-occasional-paper" TargetMode="External"/><Relationship Id="rId28" Type="http://schemas.openxmlformats.org/officeDocument/2006/relationships/hyperlink" Target="https://www.etsi.org/newsroom/press-releases/1549-2019-02-etsi-releases-first-globally-applicable-standard-for-consumer-iot-security" TargetMode="External"/><Relationship Id="rId10" Type="http://schemas.openxmlformats.org/officeDocument/2006/relationships/hyperlink" Target="https://www.governmentnews.com.au/gold-coast-unveils-nations-largest-digital-network/" TargetMode="External"/><Relationship Id="rId19" Type="http://schemas.openxmlformats.org/officeDocument/2006/relationships/hyperlink" Target="https://www.omdia.com/resources/product-content/private-lte-sets-the-scene-for-industrial-iot-and-5g-test-beds" TargetMode="External"/><Relationship Id="rId31" Type="http://schemas.openxmlformats.org/officeDocument/2006/relationships/hyperlink" Target="https://www.csa.gov.sg/programmes/cybersecurity-labelling" TargetMode="External"/><Relationship Id="rId4" Type="http://schemas.openxmlformats.org/officeDocument/2006/relationships/hyperlink" Target="https://www.ericsson.com/en/mobility-report/internet-of-things-forecast" TargetMode="External"/><Relationship Id="rId9" Type="http://schemas.openxmlformats.org/officeDocument/2006/relationships/hyperlink" Target="https://www.thinxtra.com/2019/02/iot_coverage_plug_play/" TargetMode="External"/><Relationship Id="rId14" Type="http://schemas.openxmlformats.org/officeDocument/2006/relationships/hyperlink" Target="https://exchange.telstra.com.au/a-pivotal-year-our-2019-financial-results-show-strong-progress-on-t22/" TargetMode="External"/><Relationship Id="rId22" Type="http://schemas.openxmlformats.org/officeDocument/2006/relationships/hyperlink" Target="https://www.acma.gov.au/consultations/2020-04/draft-five-year-spectrum-outlook-2020-24-consultation-092020" TargetMode="External"/><Relationship Id="rId27" Type="http://schemas.openxmlformats.org/officeDocument/2006/relationships/hyperlink" Target="https://webstore.iec.ch/publication/60604?utm_source=Webstore+Just+Published&amp;utm_campaign=75cdf04630-JUST+PUBLISHED+by+the+IEC+-+Edition++2019-02&amp;utm_medium=email&amp;utm_term=0_61d266ee9e-75cdf04630-133385653" TargetMode="External"/><Relationship Id="rId30" Type="http://schemas.openxmlformats.org/officeDocument/2006/relationships/hyperlink" Target="https://www.gov.uk/government/consultations/consultation-on-regulatory-proposals-on-consumer-iot-security/outcome/government-response-to-the-regulatory-proposals-for-consumer-internet-of-things-iot-security-consultat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barChart>
        <c:barDir val="bar"/>
        <c:grouping val="clustered"/>
        <c:varyColors val="0"/>
        <c:ser>
          <c:idx val="0"/>
          <c:order val="0"/>
          <c:tx>
            <c:strRef>
              <c:f>Sheet1!$B$1</c:f>
              <c:strCache>
                <c:ptCount val="1"/>
                <c:pt idx="0">
                  <c:v>Potential annual run rate benefit ($billions)</c:v>
                </c:pt>
              </c:strCache>
            </c:strRef>
          </c:tx>
          <c:spPr>
            <a:solidFill>
              <a:schemeClr val="accent5"/>
            </a:solidFill>
            <a:ln w="19050">
              <a:solidFill>
                <a:schemeClr val="lt1"/>
              </a:solid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Construction</c:v>
                </c:pt>
                <c:pt idx="1">
                  <c:v>Manufacturing</c:v>
                </c:pt>
                <c:pt idx="2">
                  <c:v>Healthcare</c:v>
                </c:pt>
                <c:pt idx="3">
                  <c:v>Mining</c:v>
                </c:pt>
                <c:pt idx="4">
                  <c:v>Agriculture, Fishing and Forestry</c:v>
                </c:pt>
              </c:strCache>
            </c:strRef>
          </c:cat>
          <c:val>
            <c:numRef>
              <c:f>Sheet1!$B$2:$B$6</c:f>
              <c:numCache>
                <c:formatCode>General</c:formatCode>
                <c:ptCount val="5"/>
                <c:pt idx="0">
                  <c:v>96</c:v>
                </c:pt>
                <c:pt idx="1">
                  <c:v>88</c:v>
                </c:pt>
                <c:pt idx="2">
                  <c:v>68</c:v>
                </c:pt>
                <c:pt idx="3">
                  <c:v>34</c:v>
                </c:pt>
                <c:pt idx="4">
                  <c:v>22</c:v>
                </c:pt>
              </c:numCache>
            </c:numRef>
          </c:val>
          <c:extLst>
            <c:ext xmlns:c16="http://schemas.microsoft.com/office/drawing/2014/chart" uri="{C3380CC4-5D6E-409C-BE32-E72D297353CC}">
              <c16:uniqueId val="{00000000-EE1A-4277-84B4-A166CE58ABF5}"/>
            </c:ext>
          </c:extLst>
        </c:ser>
        <c:dLbls>
          <c:showLegendKey val="0"/>
          <c:showVal val="0"/>
          <c:showCatName val="0"/>
          <c:showSerName val="0"/>
          <c:showPercent val="0"/>
          <c:showBubbleSize val="0"/>
        </c:dLbls>
        <c:gapWidth val="150"/>
        <c:axId val="729400920"/>
        <c:axId val="729400264"/>
      </c:barChart>
      <c:valAx>
        <c:axId val="7294002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29400920"/>
        <c:crosses val="autoZero"/>
        <c:crossBetween val="between"/>
      </c:valAx>
      <c:catAx>
        <c:axId val="729400920"/>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729400264"/>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 id="18">
  <a:schemeClr val="accent5"/>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0FD64F-725D-472D-9FA3-E73A0E5FC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5968</Words>
  <Characters>34377</Characters>
  <Application>Microsoft Office Word</Application>
  <DocSecurity>0</DocSecurity>
  <Lines>625</Lines>
  <Paragraphs>192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40153</CharactersWithSpaces>
  <SharedDoc>false</SharedDoc>
  <HyperlinkBase/>
  <HLinks>
    <vt:vector size="348" baseType="variant">
      <vt:variant>
        <vt:i4>983052</vt:i4>
      </vt:variant>
      <vt:variant>
        <vt:i4>120</vt:i4>
      </vt:variant>
      <vt:variant>
        <vt:i4>0</vt:i4>
      </vt:variant>
      <vt:variant>
        <vt:i4>5</vt:i4>
      </vt:variant>
      <vt:variant>
        <vt:lpwstr>https://www.acma.gov.au/research-program</vt:lpwstr>
      </vt:variant>
      <vt:variant>
        <vt:lpwstr/>
      </vt:variant>
      <vt:variant>
        <vt:i4>983052</vt:i4>
      </vt:variant>
      <vt:variant>
        <vt:i4>117</vt:i4>
      </vt:variant>
      <vt:variant>
        <vt:i4>0</vt:i4>
      </vt:variant>
      <vt:variant>
        <vt:i4>5</vt:i4>
      </vt:variant>
      <vt:variant>
        <vt:lpwstr>https://www.acma.gov.au/research-program</vt:lpwstr>
      </vt:variant>
      <vt:variant>
        <vt:lpwstr/>
      </vt:variant>
      <vt:variant>
        <vt:i4>3801128</vt:i4>
      </vt:variant>
      <vt:variant>
        <vt:i4>114</vt:i4>
      </vt:variant>
      <vt:variant>
        <vt:i4>0</vt:i4>
      </vt:variant>
      <vt:variant>
        <vt:i4>5</vt:i4>
      </vt:variant>
      <vt:variant>
        <vt:lpwstr>https://www.acma.gov.au/consultations/2020-04/draft-five-year-spectrum-outlook-2020-24-consultation-092020</vt:lpwstr>
      </vt:variant>
      <vt:variant>
        <vt:lpwstr/>
      </vt:variant>
      <vt:variant>
        <vt:i4>6750323</vt:i4>
      </vt:variant>
      <vt:variant>
        <vt:i4>111</vt:i4>
      </vt:variant>
      <vt:variant>
        <vt:i4>0</vt:i4>
      </vt:variant>
      <vt:variant>
        <vt:i4>5</vt:i4>
      </vt:variant>
      <vt:variant>
        <vt:lpwstr>https://www.acma.gov.au/publications/2018-10/report/corporate-plan-2018-19</vt:lpwstr>
      </vt:variant>
      <vt:variant>
        <vt:lpwstr/>
      </vt:variant>
      <vt:variant>
        <vt:i4>7471136</vt:i4>
      </vt:variant>
      <vt:variant>
        <vt:i4>108</vt:i4>
      </vt:variant>
      <vt:variant>
        <vt:i4>0</vt:i4>
      </vt:variant>
      <vt:variant>
        <vt:i4>5</vt:i4>
      </vt:variant>
      <vt:variant>
        <vt:lpwstr>https://www.legislation.gov.au/Details/F2015L01486</vt:lpwstr>
      </vt:variant>
      <vt:variant>
        <vt:lpwstr/>
      </vt:variant>
      <vt:variant>
        <vt:i4>7143545</vt:i4>
      </vt:variant>
      <vt:variant>
        <vt:i4>105</vt:i4>
      </vt:variant>
      <vt:variant>
        <vt:i4>0</vt:i4>
      </vt:variant>
      <vt:variant>
        <vt:i4>5</vt:i4>
      </vt:variant>
      <vt:variant>
        <vt:lpwstr>https://www.homeaffairs.gov.au/reports-and-publications/submissions-and-discussion-papers/code-of-practice</vt:lpwstr>
      </vt:variant>
      <vt:variant>
        <vt:lpwstr/>
      </vt:variant>
      <vt:variant>
        <vt:i4>2162815</vt:i4>
      </vt:variant>
      <vt:variant>
        <vt:i4>102</vt:i4>
      </vt:variant>
      <vt:variant>
        <vt:i4>0</vt:i4>
      </vt:variant>
      <vt:variant>
        <vt:i4>5</vt:i4>
      </vt:variant>
      <vt:variant>
        <vt:lpwstr>https://www.esafety.gov.au/key-issues/safety-by-design</vt:lpwstr>
      </vt:variant>
      <vt:variant>
        <vt:lpwstr/>
      </vt:variant>
      <vt:variant>
        <vt:i4>4259918</vt:i4>
      </vt:variant>
      <vt:variant>
        <vt:i4>99</vt:i4>
      </vt:variant>
      <vt:variant>
        <vt:i4>0</vt:i4>
      </vt:variant>
      <vt:variant>
        <vt:i4>5</vt:i4>
      </vt:variant>
      <vt:variant>
        <vt:lpwstr>https://www.esafety.gov.au/women/using-your-device-safely/wearables-fitness-trackers</vt:lpwstr>
      </vt:variant>
      <vt:variant>
        <vt:lpwstr/>
      </vt:variant>
      <vt:variant>
        <vt:i4>7471140</vt:i4>
      </vt:variant>
      <vt:variant>
        <vt:i4>96</vt:i4>
      </vt:variant>
      <vt:variant>
        <vt:i4>0</vt:i4>
      </vt:variant>
      <vt:variant>
        <vt:i4>5</vt:i4>
      </vt:variant>
      <vt:variant>
        <vt:lpwstr>https://www.productsafety.gov.au/products/electronics-technology/interconnected-devices</vt:lpwstr>
      </vt:variant>
      <vt:variant>
        <vt:lpwstr/>
      </vt:variant>
      <vt:variant>
        <vt:i4>6881394</vt:i4>
      </vt:variant>
      <vt:variant>
        <vt:i4>93</vt:i4>
      </vt:variant>
      <vt:variant>
        <vt:i4>0</vt:i4>
      </vt:variant>
      <vt:variant>
        <vt:i4>5</vt:i4>
      </vt:variant>
      <vt:variant>
        <vt:lpwstr>http://www.iot.org.au/wp/wp-content/uploads/2016/12/IoTAA-Strategic-Plan-to-Strengthen-IoT-Security-in-Australia-v4.pdf</vt:lpwstr>
      </vt:variant>
      <vt:variant>
        <vt:lpwstr/>
      </vt:variant>
      <vt:variant>
        <vt:i4>3276835</vt:i4>
      </vt:variant>
      <vt:variant>
        <vt:i4>90</vt:i4>
      </vt:variant>
      <vt:variant>
        <vt:i4>0</vt:i4>
      </vt:variant>
      <vt:variant>
        <vt:i4>5</vt:i4>
      </vt:variant>
      <vt:variant>
        <vt:lpwstr>https://www.staysmartonline.gov.au/news/internet-things-are-you-exposed</vt:lpwstr>
      </vt:variant>
      <vt:variant>
        <vt:lpwstr/>
      </vt:variant>
      <vt:variant>
        <vt:i4>7864376</vt:i4>
      </vt:variant>
      <vt:variant>
        <vt:i4>87</vt:i4>
      </vt:variant>
      <vt:variant>
        <vt:i4>0</vt:i4>
      </vt:variant>
      <vt:variant>
        <vt:i4>5</vt:i4>
      </vt:variant>
      <vt:variant>
        <vt:lpwstr>https://www.homeaffairs.gov.au/about-us/our-portfolios/cyber-security/strategy</vt:lpwstr>
      </vt:variant>
      <vt:variant>
        <vt:lpwstr/>
      </vt:variant>
      <vt:variant>
        <vt:i4>3145773</vt:i4>
      </vt:variant>
      <vt:variant>
        <vt:i4>84</vt:i4>
      </vt:variant>
      <vt:variant>
        <vt:i4>0</vt:i4>
      </vt:variant>
      <vt:variant>
        <vt:i4>5</vt:i4>
      </vt:variant>
      <vt:variant>
        <vt:lpwstr>https://treasury.gov.au/publication/p2019-41708</vt:lpwstr>
      </vt:variant>
      <vt:variant>
        <vt:lpwstr/>
      </vt:variant>
      <vt:variant>
        <vt:i4>7143545</vt:i4>
      </vt:variant>
      <vt:variant>
        <vt:i4>81</vt:i4>
      </vt:variant>
      <vt:variant>
        <vt:i4>0</vt:i4>
      </vt:variant>
      <vt:variant>
        <vt:i4>5</vt:i4>
      </vt:variant>
      <vt:variant>
        <vt:lpwstr>https://www.homeaffairs.gov.au/reports-and-publications/submissions-and-discussion-papers/code-of-practice</vt:lpwstr>
      </vt:variant>
      <vt:variant>
        <vt:lpwstr/>
      </vt:variant>
      <vt:variant>
        <vt:i4>3801121</vt:i4>
      </vt:variant>
      <vt:variant>
        <vt:i4>78</vt:i4>
      </vt:variant>
      <vt:variant>
        <vt:i4>0</vt:i4>
      </vt:variant>
      <vt:variant>
        <vt:i4>5</vt:i4>
      </vt:variant>
      <vt:variant>
        <vt:lpwstr>https://www.gov.uk/government/publications/five-country-ministerial-communique/statement-of-intent-regarding-the-security-of-the-internet-of-things</vt:lpwstr>
      </vt:variant>
      <vt:variant>
        <vt:lpwstr/>
      </vt:variant>
      <vt:variant>
        <vt:i4>7864402</vt:i4>
      </vt:variant>
      <vt:variant>
        <vt:i4>75</vt:i4>
      </vt:variant>
      <vt:variant>
        <vt:i4>0</vt:i4>
      </vt:variant>
      <vt:variant>
        <vt:i4>5</vt:i4>
      </vt:variant>
      <vt:variant>
        <vt:lpwstr>https://webstore.iec.ch/publication/60604?utm_source=Webstore+Just+Published&amp;utm_campaign=75cdf04630-JUST+PUBLISHED+by+the+IEC+-+Edition++2019-02&amp;utm_medium=email&amp;utm_term=0_61d266ee9e-75cdf04630-133385653</vt:lpwstr>
      </vt:variant>
      <vt:variant>
        <vt:lpwstr/>
      </vt:variant>
      <vt:variant>
        <vt:i4>589854</vt:i4>
      </vt:variant>
      <vt:variant>
        <vt:i4>72</vt:i4>
      </vt:variant>
      <vt:variant>
        <vt:i4>0</vt:i4>
      </vt:variant>
      <vt:variant>
        <vt:i4>5</vt:i4>
      </vt:variant>
      <vt:variant>
        <vt:lpwstr>https://www.legislation.gov.au/Series/F2014L01253</vt:lpwstr>
      </vt:variant>
      <vt:variant>
        <vt:lpwstr/>
      </vt:variant>
      <vt:variant>
        <vt:i4>3276922</vt:i4>
      </vt:variant>
      <vt:variant>
        <vt:i4>69</vt:i4>
      </vt:variant>
      <vt:variant>
        <vt:i4>0</vt:i4>
      </vt:variant>
      <vt:variant>
        <vt:i4>5</vt:i4>
      </vt:variant>
      <vt:variant>
        <vt:lpwstr>https://www.acma.gov.au/technical-standards</vt:lpwstr>
      </vt:variant>
      <vt:variant>
        <vt:lpwstr>telecommunications-standards</vt:lpwstr>
      </vt:variant>
      <vt:variant>
        <vt:i4>1048668</vt:i4>
      </vt:variant>
      <vt:variant>
        <vt:i4>66</vt:i4>
      </vt:variant>
      <vt:variant>
        <vt:i4>0</vt:i4>
      </vt:variant>
      <vt:variant>
        <vt:i4>5</vt:i4>
      </vt:variant>
      <vt:variant>
        <vt:lpwstr>https://www.acma.gov.au/know-what-you-must-do</vt:lpwstr>
      </vt:variant>
      <vt:variant>
        <vt:lpwstr/>
      </vt:variant>
      <vt:variant>
        <vt:i4>8060974</vt:i4>
      </vt:variant>
      <vt:variant>
        <vt:i4>63</vt:i4>
      </vt:variant>
      <vt:variant>
        <vt:i4>0</vt:i4>
      </vt:variant>
      <vt:variant>
        <vt:i4>5</vt:i4>
      </vt:variant>
      <vt:variant>
        <vt:lpwstr>https://www.legislation.gov.au/Details/F2019C00681</vt:lpwstr>
      </vt:variant>
      <vt:variant>
        <vt:lpwstr/>
      </vt:variant>
      <vt:variant>
        <vt:i4>3735598</vt:i4>
      </vt:variant>
      <vt:variant>
        <vt:i4>60</vt:i4>
      </vt:variant>
      <vt:variant>
        <vt:i4>0</vt:i4>
      </vt:variant>
      <vt:variant>
        <vt:i4>5</vt:i4>
      </vt:variant>
      <vt:variant>
        <vt:lpwstr>https://www.acma.gov.au/fyso-2019-23-progress-report-july-dec-2019</vt:lpwstr>
      </vt:variant>
      <vt:variant>
        <vt:lpwstr/>
      </vt:variant>
      <vt:variant>
        <vt:i4>2228276</vt:i4>
      </vt:variant>
      <vt:variant>
        <vt:i4>57</vt:i4>
      </vt:variant>
      <vt:variant>
        <vt:i4>0</vt:i4>
      </vt:variant>
      <vt:variant>
        <vt:i4>5</vt:i4>
      </vt:variant>
      <vt:variant>
        <vt:lpwstr>http://www.mimos.my/iot/National_IoT_Strategic_Roadmap_Summary.pdf</vt:lpwstr>
      </vt:variant>
      <vt:variant>
        <vt:lpwstr/>
      </vt:variant>
      <vt:variant>
        <vt:i4>983052</vt:i4>
      </vt:variant>
      <vt:variant>
        <vt:i4>54</vt:i4>
      </vt:variant>
      <vt:variant>
        <vt:i4>0</vt:i4>
      </vt:variant>
      <vt:variant>
        <vt:i4>5</vt:i4>
      </vt:variant>
      <vt:variant>
        <vt:lpwstr>https://www.acma.gov.au/research-program</vt:lpwstr>
      </vt:variant>
      <vt:variant>
        <vt:lpwstr/>
      </vt:variant>
      <vt:variant>
        <vt:i4>983052</vt:i4>
      </vt:variant>
      <vt:variant>
        <vt:i4>51</vt:i4>
      </vt:variant>
      <vt:variant>
        <vt:i4>0</vt:i4>
      </vt:variant>
      <vt:variant>
        <vt:i4>5</vt:i4>
      </vt:variant>
      <vt:variant>
        <vt:lpwstr>https://www.acma.gov.au/research-program</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65565</vt:i4>
      </vt:variant>
      <vt:variant>
        <vt:i4>93</vt:i4>
      </vt:variant>
      <vt:variant>
        <vt:i4>0</vt:i4>
      </vt:variant>
      <vt:variant>
        <vt:i4>5</vt:i4>
      </vt:variant>
      <vt:variant>
        <vt:lpwstr>https://www.acma.gov.au/publications/2015-11/report/internet-things-and-acmas-area-focus-emerging-issues-occasional-paper</vt:lpwstr>
      </vt:variant>
      <vt:variant>
        <vt:lpwstr/>
      </vt:variant>
      <vt:variant>
        <vt:i4>1048582</vt:i4>
      </vt:variant>
      <vt:variant>
        <vt:i4>90</vt:i4>
      </vt:variant>
      <vt:variant>
        <vt:i4>0</vt:i4>
      </vt:variant>
      <vt:variant>
        <vt:i4>5</vt:i4>
      </vt:variant>
      <vt:variant>
        <vt:lpwstr>https://azure.microsoft.com/en-au/blog/new-smart-device-security-research-consumers-call-on-manufacturers-to-do-more/</vt:lpwstr>
      </vt:variant>
      <vt:variant>
        <vt:lpwstr/>
      </vt:variant>
      <vt:variant>
        <vt:i4>5767197</vt:i4>
      </vt:variant>
      <vt:variant>
        <vt:i4>87</vt:i4>
      </vt:variant>
      <vt:variant>
        <vt:i4>0</vt:i4>
      </vt:variant>
      <vt:variant>
        <vt:i4>5</vt:i4>
      </vt:variant>
      <vt:variant>
        <vt:lpwstr>https://www.csa.gov.sg/programmes/cybersecurity-labelling</vt:lpwstr>
      </vt:variant>
      <vt:variant>
        <vt:lpwstr/>
      </vt:variant>
      <vt:variant>
        <vt:i4>3080247</vt:i4>
      </vt:variant>
      <vt:variant>
        <vt:i4>84</vt:i4>
      </vt:variant>
      <vt:variant>
        <vt:i4>0</vt:i4>
      </vt:variant>
      <vt:variant>
        <vt:i4>5</vt:i4>
      </vt:variant>
      <vt:variant>
        <vt:lpwstr>https://www.gov.uk/government/consultations/consultation-on-regulatory-proposals-on-consumer-iot-security/outcome/government-response-to-the-regulatory-proposals-for-consumer-internet-of-things-iot-security-consultation</vt:lpwstr>
      </vt:variant>
      <vt:variant>
        <vt:lpwstr/>
      </vt:variant>
      <vt:variant>
        <vt:i4>6357048</vt:i4>
      </vt:variant>
      <vt:variant>
        <vt:i4>81</vt:i4>
      </vt:variant>
      <vt:variant>
        <vt:i4>0</vt:i4>
      </vt:variant>
      <vt:variant>
        <vt:i4>5</vt:i4>
      </vt:variant>
      <vt:variant>
        <vt:lpwstr>https://www.gov.uk/government/news/plans-announced-to-introduce-new-laws-for-internet-connected-devices</vt:lpwstr>
      </vt:variant>
      <vt:variant>
        <vt:lpwstr/>
      </vt:variant>
      <vt:variant>
        <vt:i4>4259866</vt:i4>
      </vt:variant>
      <vt:variant>
        <vt:i4>78</vt:i4>
      </vt:variant>
      <vt:variant>
        <vt:i4>0</vt:i4>
      </vt:variant>
      <vt:variant>
        <vt:i4>5</vt:i4>
      </vt:variant>
      <vt:variant>
        <vt:lpwstr>https://www.etsi.org/newsroom/press-releases/1549-2019-02-etsi-releases-first-globally-applicable-standard-for-consumer-iot-security</vt:lpwstr>
      </vt:variant>
      <vt:variant>
        <vt:lpwstr/>
      </vt:variant>
      <vt:variant>
        <vt:i4>7864402</vt:i4>
      </vt:variant>
      <vt:variant>
        <vt:i4>75</vt:i4>
      </vt:variant>
      <vt:variant>
        <vt:i4>0</vt:i4>
      </vt:variant>
      <vt:variant>
        <vt:i4>5</vt:i4>
      </vt:variant>
      <vt:variant>
        <vt:lpwstr>https://webstore.iec.ch/publication/60604?utm_source=Webstore+Just+Published&amp;utm_campaign=75cdf04630-JUST+PUBLISHED+by+the+IEC+-+Edition++2019-02&amp;utm_medium=email&amp;utm_term=0_61d266ee9e-75cdf04630-133385653</vt:lpwstr>
      </vt:variant>
      <vt:variant>
        <vt:lpwstr/>
      </vt:variant>
      <vt:variant>
        <vt:i4>1179730</vt:i4>
      </vt:variant>
      <vt:variant>
        <vt:i4>72</vt:i4>
      </vt:variant>
      <vt:variant>
        <vt:i4>0</vt:i4>
      </vt:variant>
      <vt:variant>
        <vt:i4>5</vt:i4>
      </vt:variant>
      <vt:variant>
        <vt:lpwstr>https://www.communications.gov.au/departmental-news/spectrum-released-5g-rollout</vt:lpwstr>
      </vt:variant>
      <vt:variant>
        <vt:lpwstr/>
      </vt:variant>
      <vt:variant>
        <vt:i4>8060975</vt:i4>
      </vt:variant>
      <vt:variant>
        <vt:i4>69</vt:i4>
      </vt:variant>
      <vt:variant>
        <vt:i4>0</vt:i4>
      </vt:variant>
      <vt:variant>
        <vt:i4>5</vt:i4>
      </vt:variant>
      <vt:variant>
        <vt:lpwstr>https://www.legislation.gov.au/Details/F2019L01374</vt:lpwstr>
      </vt:variant>
      <vt:variant>
        <vt:lpwstr/>
      </vt:variant>
      <vt:variant>
        <vt:i4>3342397</vt:i4>
      </vt:variant>
      <vt:variant>
        <vt:i4>66</vt:i4>
      </vt:variant>
      <vt:variant>
        <vt:i4>0</vt:i4>
      </vt:variant>
      <vt:variant>
        <vt:i4>5</vt:i4>
      </vt:variant>
      <vt:variant>
        <vt:lpwstr>https://www.acma.gov.au/publications/2016-02/report/5g-and-mobile-network-developments-emerging-issues-occasional-paper</vt:lpwstr>
      </vt:variant>
      <vt:variant>
        <vt:lpwstr/>
      </vt:variant>
      <vt:variant>
        <vt:i4>3801128</vt:i4>
      </vt:variant>
      <vt:variant>
        <vt:i4>63</vt:i4>
      </vt:variant>
      <vt:variant>
        <vt:i4>0</vt:i4>
      </vt:variant>
      <vt:variant>
        <vt:i4>5</vt:i4>
      </vt:variant>
      <vt:variant>
        <vt:lpwstr>https://www.acma.gov.au/consultations/2020-04/draft-five-year-spectrum-outlook-2020-24-consultation-092020</vt:lpwstr>
      </vt:variant>
      <vt:variant>
        <vt:lpwstr/>
      </vt:variant>
      <vt:variant>
        <vt:i4>7274621</vt:i4>
      </vt:variant>
      <vt:variant>
        <vt:i4>60</vt:i4>
      </vt:variant>
      <vt:variant>
        <vt:i4>0</vt:i4>
      </vt:variant>
      <vt:variant>
        <vt:i4>5</vt:i4>
      </vt:variant>
      <vt:variant>
        <vt:lpwstr>https://www.cisco.com/c/dam/m/en_us/solutions/service-provider/vni-forecast-highlights/pdf/Australia_2022_Forecast_Highlights.pdf</vt:lpwstr>
      </vt:variant>
      <vt:variant>
        <vt:lpwstr/>
      </vt:variant>
      <vt:variant>
        <vt:i4>3801128</vt:i4>
      </vt:variant>
      <vt:variant>
        <vt:i4>57</vt:i4>
      </vt:variant>
      <vt:variant>
        <vt:i4>0</vt:i4>
      </vt:variant>
      <vt:variant>
        <vt:i4>5</vt:i4>
      </vt:variant>
      <vt:variant>
        <vt:lpwstr>https://www.acma.gov.au/consultations/2020-04/draft-five-year-spectrum-outlook-2020-24-consultation-092020</vt:lpwstr>
      </vt:variant>
      <vt:variant>
        <vt:lpwstr/>
      </vt:variant>
      <vt:variant>
        <vt:i4>7077926</vt:i4>
      </vt:variant>
      <vt:variant>
        <vt:i4>54</vt:i4>
      </vt:variant>
      <vt:variant>
        <vt:i4>0</vt:i4>
      </vt:variant>
      <vt:variant>
        <vt:i4>5</vt:i4>
      </vt:variant>
      <vt:variant>
        <vt:lpwstr>https://www.omdia.com/resources/product-content/private-lte-sets-the-scene-for-industrial-iot-and-5g-test-beds</vt:lpwstr>
      </vt:variant>
      <vt:variant>
        <vt:lpwstr/>
      </vt:variant>
      <vt:variant>
        <vt:i4>3014700</vt:i4>
      </vt:variant>
      <vt:variant>
        <vt:i4>51</vt:i4>
      </vt:variant>
      <vt:variant>
        <vt:i4>0</vt:i4>
      </vt:variant>
      <vt:variant>
        <vt:i4>5</vt:i4>
      </vt:variant>
      <vt:variant>
        <vt:lpwstr>https://www.digital.nsw.gov.au/sites/default/files/IoT policy Guidance.pdf</vt:lpwstr>
      </vt:variant>
      <vt:variant>
        <vt:lpwstr/>
      </vt:variant>
      <vt:variant>
        <vt:i4>65565</vt:i4>
      </vt:variant>
      <vt:variant>
        <vt:i4>48</vt:i4>
      </vt:variant>
      <vt:variant>
        <vt:i4>0</vt:i4>
      </vt:variant>
      <vt:variant>
        <vt:i4>5</vt:i4>
      </vt:variant>
      <vt:variant>
        <vt:lpwstr>https://www.acma.gov.au/publications/2015-11/report/internet-things-and-acmas-area-focus-emerging-issues-occasional-paper</vt:lpwstr>
      </vt:variant>
      <vt:variant>
        <vt:lpwstr/>
      </vt:variant>
      <vt:variant>
        <vt:i4>3997736</vt:i4>
      </vt:variant>
      <vt:variant>
        <vt:i4>45</vt:i4>
      </vt:variant>
      <vt:variant>
        <vt:i4>0</vt:i4>
      </vt:variant>
      <vt:variant>
        <vt:i4>5</vt:i4>
      </vt:variant>
      <vt:variant>
        <vt:lpwstr>https://www.idc.com/getdoc.jsp?containerId=prAP44760119</vt:lpwstr>
      </vt:variant>
      <vt:variant>
        <vt:lpwstr/>
      </vt:variant>
      <vt:variant>
        <vt:i4>1310808</vt:i4>
      </vt:variant>
      <vt:variant>
        <vt:i4>42</vt:i4>
      </vt:variant>
      <vt:variant>
        <vt:i4>0</vt:i4>
      </vt:variant>
      <vt:variant>
        <vt:i4>5</vt:i4>
      </vt:variant>
      <vt:variant>
        <vt:lpwstr>https://www.pwc.com.au/consulting/assets/publications/acs-pwc-iot-report-web.pdf</vt:lpwstr>
      </vt:variant>
      <vt:variant>
        <vt:lpwstr/>
      </vt:variant>
      <vt:variant>
        <vt:i4>7012384</vt:i4>
      </vt:variant>
      <vt:variant>
        <vt:i4>39</vt:i4>
      </vt:variant>
      <vt:variant>
        <vt:i4>0</vt:i4>
      </vt:variant>
      <vt:variant>
        <vt:i4>5</vt:i4>
      </vt:variant>
      <vt:variant>
        <vt:lpwstr>https://exchange.telstra.com.au/a-pivotal-year-our-2019-financial-results-show-strong-progress-on-t22/</vt:lpwstr>
      </vt:variant>
      <vt:variant>
        <vt:lpwstr/>
      </vt:variant>
      <vt:variant>
        <vt:i4>1310808</vt:i4>
      </vt:variant>
      <vt:variant>
        <vt:i4>36</vt:i4>
      </vt:variant>
      <vt:variant>
        <vt:i4>0</vt:i4>
      </vt:variant>
      <vt:variant>
        <vt:i4>5</vt:i4>
      </vt:variant>
      <vt:variant>
        <vt:lpwstr>https://www.pwc.com.au/consulting/assets/publications/acs-pwc-iot-report-web.pdf</vt:lpwstr>
      </vt:variant>
      <vt:variant>
        <vt:lpwstr/>
      </vt:variant>
      <vt:variant>
        <vt:i4>4391004</vt:i4>
      </vt:variant>
      <vt:variant>
        <vt:i4>33</vt:i4>
      </vt:variant>
      <vt:variant>
        <vt:i4>0</vt:i4>
      </vt:variant>
      <vt:variant>
        <vt:i4>5</vt:i4>
      </vt:variant>
      <vt:variant>
        <vt:lpwstr>https://www.telsyte.com.au/announcements/2019/5/14/australian-iothome-market-cracks-1bn-paving-the-way-for-iot-commerce-services</vt:lpwstr>
      </vt:variant>
      <vt:variant>
        <vt:lpwstr/>
      </vt:variant>
      <vt:variant>
        <vt:i4>4456526</vt:i4>
      </vt:variant>
      <vt:variant>
        <vt:i4>30</vt:i4>
      </vt:variant>
      <vt:variant>
        <vt:i4>0</vt:i4>
      </vt:variant>
      <vt:variant>
        <vt:i4>5</vt:i4>
      </vt:variant>
      <vt:variant>
        <vt:lpwstr>https://www.fleet.space/about</vt:lpwstr>
      </vt:variant>
      <vt:variant>
        <vt:lpwstr/>
      </vt:variant>
      <vt:variant>
        <vt:i4>196673</vt:i4>
      </vt:variant>
      <vt:variant>
        <vt:i4>27</vt:i4>
      </vt:variant>
      <vt:variant>
        <vt:i4>0</vt:i4>
      </vt:variant>
      <vt:variant>
        <vt:i4>5</vt:i4>
      </vt:variant>
      <vt:variant>
        <vt:lpwstr>https://www.governmentnews.com.au/gold-coast-unveils-nations-largest-digital-network/</vt:lpwstr>
      </vt:variant>
      <vt:variant>
        <vt:lpwstr/>
      </vt:variant>
      <vt:variant>
        <vt:i4>3932254</vt:i4>
      </vt:variant>
      <vt:variant>
        <vt:i4>24</vt:i4>
      </vt:variant>
      <vt:variant>
        <vt:i4>0</vt:i4>
      </vt:variant>
      <vt:variant>
        <vt:i4>5</vt:i4>
      </vt:variant>
      <vt:variant>
        <vt:lpwstr>https://www.thinxtra.com/2019/02/iot_coverage_plug_play/</vt:lpwstr>
      </vt:variant>
      <vt:variant>
        <vt:lpwstr/>
      </vt:variant>
      <vt:variant>
        <vt:i4>4718680</vt:i4>
      </vt:variant>
      <vt:variant>
        <vt:i4>21</vt:i4>
      </vt:variant>
      <vt:variant>
        <vt:i4>0</vt:i4>
      </vt:variant>
      <vt:variant>
        <vt:i4>5</vt:i4>
      </vt:variant>
      <vt:variant>
        <vt:lpwstr>https://exchange.telstra.com.au/over-3-million-new-iot-things-on-our-network/</vt:lpwstr>
      </vt:variant>
      <vt:variant>
        <vt:lpwstr/>
      </vt:variant>
      <vt:variant>
        <vt:i4>24</vt:i4>
      </vt:variant>
      <vt:variant>
        <vt:i4>18</vt:i4>
      </vt:variant>
      <vt:variant>
        <vt:i4>0</vt:i4>
      </vt:variant>
      <vt:variant>
        <vt:i4>5</vt:i4>
      </vt:variant>
      <vt:variant>
        <vt:lpwstr>https://www.asx.com.au/asxpdf/20190730/pdf/4470f42g5jz99t.pdf</vt:lpwstr>
      </vt:variant>
      <vt:variant>
        <vt:lpwstr/>
      </vt:variant>
      <vt:variant>
        <vt:i4>5308489</vt:i4>
      </vt:variant>
      <vt:variant>
        <vt:i4>15</vt:i4>
      </vt:variant>
      <vt:variant>
        <vt:i4>0</vt:i4>
      </vt:variant>
      <vt:variant>
        <vt:i4>5</vt:i4>
      </vt:variant>
      <vt:variant>
        <vt:lpwstr>https://www.gartner.com/en/newsroom/press-releases/2018-11-07-gartner-identifies-top-10-strategic-iot-technologies-and-trends</vt:lpwstr>
      </vt:variant>
      <vt:variant>
        <vt:lpwstr>:~:text=Gartner%20forecasts%20that%2014.2%20billion,producing%20immense%20volume%20of%20data.&amp;text=%E2%80%9CAI%20will%20be%20applied%20to,traffic%20activity%20and%20sensor%20data.%E2%80%9D</vt:lpwstr>
      </vt:variant>
      <vt:variant>
        <vt:i4>3801128</vt:i4>
      </vt:variant>
      <vt:variant>
        <vt:i4>12</vt:i4>
      </vt:variant>
      <vt:variant>
        <vt:i4>0</vt:i4>
      </vt:variant>
      <vt:variant>
        <vt:i4>5</vt:i4>
      </vt:variant>
      <vt:variant>
        <vt:lpwstr>https://www.acma.gov.au/consultations/2020-04/draft-five-year-spectrum-outlook-2020-24-consultation-092020</vt:lpwstr>
      </vt:variant>
      <vt:variant>
        <vt:lpwstr/>
      </vt:variant>
      <vt:variant>
        <vt:i4>7012457</vt:i4>
      </vt:variant>
      <vt:variant>
        <vt:i4>9</vt:i4>
      </vt:variant>
      <vt:variant>
        <vt:i4>0</vt:i4>
      </vt:variant>
      <vt:variant>
        <vt:i4>5</vt:i4>
      </vt:variant>
      <vt:variant>
        <vt:lpwstr>https://www.ericsson.com/en/mobility-report/internet-of-things-forecast</vt:lpwstr>
      </vt:variant>
      <vt:variant>
        <vt:lpwstr/>
      </vt:variant>
      <vt:variant>
        <vt:i4>3801128</vt:i4>
      </vt:variant>
      <vt:variant>
        <vt:i4>6</vt:i4>
      </vt:variant>
      <vt:variant>
        <vt:i4>0</vt:i4>
      </vt:variant>
      <vt:variant>
        <vt:i4>5</vt:i4>
      </vt:variant>
      <vt:variant>
        <vt:lpwstr>https://www.acma.gov.au/consultations/2020-04/draft-five-year-spectrum-outlook-2020-24-consultation-092020</vt:lpwstr>
      </vt:variant>
      <vt:variant>
        <vt:lpwstr/>
      </vt:variant>
      <vt:variant>
        <vt:i4>8257574</vt:i4>
      </vt:variant>
      <vt:variant>
        <vt:i4>3</vt:i4>
      </vt:variant>
      <vt:variant>
        <vt:i4>0</vt:i4>
      </vt:variant>
      <vt:variant>
        <vt:i4>5</vt:i4>
      </vt:variant>
      <vt:variant>
        <vt:lpwstr>https://www.communications.gov.au/departmental-news/5g-enabling-future-economy</vt:lpwstr>
      </vt:variant>
      <vt:variant>
        <vt:lpwstr/>
      </vt:variant>
      <vt:variant>
        <vt:i4>1310808</vt:i4>
      </vt:variant>
      <vt:variant>
        <vt:i4>0</vt:i4>
      </vt:variant>
      <vt:variant>
        <vt:i4>0</vt:i4>
      </vt:variant>
      <vt:variant>
        <vt:i4>5</vt:i4>
      </vt:variant>
      <vt:variant>
        <vt:lpwstr>https://www.pwc.com.au/consulting/assets/publications/acs-pwc-iot-report-web.pdf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2020-07-28T06:08:00Z</dcterms:created>
  <dcterms:modified xsi:type="dcterms:W3CDTF">2020-07-28T06:10:00Z</dcterms:modified>
  <cp:category/>
</cp:coreProperties>
</file>