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1F606B9" w14:textId="77777777" w:rsidR="007F36D6" w:rsidRPr="004F46DF" w:rsidRDefault="00733E2C" w:rsidP="00E233CE">
      <w:pPr>
        <w:tabs>
          <w:tab w:val="left" w:pos="6342"/>
        </w:tabs>
        <w:rPr>
          <w:b/>
        </w:rPr>
      </w:pPr>
      <w:r w:rsidRPr="004F46DF">
        <w:rPr>
          <w:b/>
        </w:rPr>
        <w:t>Regional digital radio allotments – A guide to interpreting results</w:t>
      </w:r>
      <w:r w:rsidR="00E233CE">
        <w:rPr>
          <w:b/>
        </w:rPr>
        <w:t xml:space="preserve"> </w:t>
      </w:r>
    </w:p>
    <w:p w14:paraId="366CC6AB" w14:textId="77777777" w:rsidR="00733E2C" w:rsidRPr="00530D73" w:rsidRDefault="00733E2C">
      <w:pPr>
        <w:rPr>
          <w:u w:val="single"/>
        </w:rPr>
      </w:pPr>
      <w:r w:rsidRPr="00530D73">
        <w:rPr>
          <w:u w:val="single"/>
        </w:rPr>
        <w:t>Introduction</w:t>
      </w:r>
    </w:p>
    <w:p w14:paraId="060E5156" w14:textId="5FDCFB13" w:rsidR="00D02BAD" w:rsidRPr="00D02BAD" w:rsidRDefault="005B0F1E" w:rsidP="00D02BAD">
      <w:r>
        <w:t>R</w:t>
      </w:r>
      <w:r w:rsidR="00733E2C">
        <w:t xml:space="preserve">esults of the </w:t>
      </w:r>
      <w:r>
        <w:t xml:space="preserve">ACMA’s work on </w:t>
      </w:r>
      <w:r w:rsidR="00733E2C">
        <w:t xml:space="preserve">allotment planning for regional digital radio </w:t>
      </w:r>
      <w:r w:rsidR="00C72656">
        <w:t>have been</w:t>
      </w:r>
      <w:r w:rsidR="00733E2C">
        <w:t xml:space="preserve"> posted on the </w:t>
      </w:r>
      <w:hyperlink r:id="rId11" w:history="1">
        <w:r w:rsidR="00E36728" w:rsidRPr="00E36728">
          <w:rPr>
            <w:rStyle w:val="Hyperlink"/>
          </w:rPr>
          <w:t>ACMA website</w:t>
        </w:r>
      </w:hyperlink>
      <w:r w:rsidR="00733E2C">
        <w:t xml:space="preserve">.  </w:t>
      </w:r>
      <w:r w:rsidR="00CD7DA8">
        <w:t>The</w:t>
      </w:r>
      <w:r>
        <w:t>se</w:t>
      </w:r>
      <w:r w:rsidR="00CD7DA8">
        <w:t xml:space="preserve"> </w:t>
      </w:r>
      <w:r w:rsidR="00D02BAD" w:rsidRPr="00D02BAD">
        <w:t xml:space="preserve">results should be considered as the allotment plan for these areas.  The </w:t>
      </w:r>
      <w:r w:rsidR="00810F57">
        <w:t xml:space="preserve">allotment </w:t>
      </w:r>
      <w:r w:rsidR="00D02BAD" w:rsidRPr="00D02BAD">
        <w:t>plan represents the best compromise</w:t>
      </w:r>
      <w:r w:rsidR="00810F57">
        <w:t xml:space="preserve"> that permits all licence areas to operate a digital radio service.  The allotment plan has been developed consistent with the</w:t>
      </w:r>
      <w:r w:rsidR="00D02BAD" w:rsidRPr="00D02BAD">
        <w:t xml:space="preserve"> </w:t>
      </w:r>
      <w:hyperlink r:id="rId12" w:history="1">
        <w:r w:rsidR="00D02BAD" w:rsidRPr="00D02BAD">
          <w:rPr>
            <w:rStyle w:val="Hyperlink"/>
          </w:rPr>
          <w:t>planning principles</w:t>
        </w:r>
      </w:hyperlink>
      <w:r w:rsidR="00D02BAD" w:rsidRPr="00D02BAD">
        <w:t xml:space="preserve"> developed jointly with industry</w:t>
      </w:r>
      <w:r w:rsidR="00810F57">
        <w:t xml:space="preserve">.  It should be noted that the plan </w:t>
      </w:r>
      <w:r w:rsidR="00D02BAD" w:rsidRPr="00D02BAD">
        <w:t>is not free from interference.</w:t>
      </w:r>
    </w:p>
    <w:p w14:paraId="6E530118" w14:textId="77777777" w:rsidR="00733E2C" w:rsidRDefault="00733E2C">
      <w:r>
        <w:t>This guide has been prepared to aid licensees and their engineering representatives interpret the results.</w:t>
      </w:r>
    </w:p>
    <w:p w14:paraId="015DE00C" w14:textId="77777777" w:rsidR="00810F57" w:rsidRDefault="00810F57">
      <w:pPr>
        <w:rPr>
          <w:u w:val="single"/>
        </w:rPr>
      </w:pPr>
      <w:r w:rsidRPr="00810F57">
        <w:rPr>
          <w:u w:val="single"/>
        </w:rPr>
        <w:t>Next steps</w:t>
      </w:r>
    </w:p>
    <w:p w14:paraId="0968D63F" w14:textId="3D727ED8" w:rsidR="00063E73" w:rsidRDefault="00810F57">
      <w:r>
        <w:t xml:space="preserve">A digital radio channel plan </w:t>
      </w:r>
      <w:r w:rsidR="007F1046">
        <w:t xml:space="preserve">(DRCP) </w:t>
      </w:r>
      <w:r>
        <w:t>will be prepared for licence ar</w:t>
      </w:r>
      <w:r w:rsidR="00063E73">
        <w:t>eas where at least one licensee</w:t>
      </w:r>
      <w:r>
        <w:t xml:space="preserve"> wish</w:t>
      </w:r>
      <w:r w:rsidR="00063E73">
        <w:t>es</w:t>
      </w:r>
      <w:r>
        <w:t xml:space="preserve"> to </w:t>
      </w:r>
      <w:r w:rsidR="00063E73">
        <w:t>rollout in the next-mover phase</w:t>
      </w:r>
      <w:r>
        <w:t xml:space="preserve">. </w:t>
      </w:r>
    </w:p>
    <w:p w14:paraId="15EFF6F9" w14:textId="5EAE041F" w:rsidR="00810F57" w:rsidRDefault="007F1046">
      <w:r>
        <w:t>DRCP</w:t>
      </w:r>
      <w:r w:rsidR="00C72656">
        <w:t>s</w:t>
      </w:r>
      <w:r w:rsidR="00810F57">
        <w:t xml:space="preserve"> will reflect the relevant allotment from the allotment plan</w:t>
      </w:r>
      <w:r>
        <w:t xml:space="preserve">.  Technical specifications for the licence area’s main transmitter(s) will be included in the DRCP.  Such technical specifications will generally </w:t>
      </w:r>
      <w:r w:rsidR="00672C18">
        <w:t xml:space="preserve">need to be </w:t>
      </w:r>
      <w:r>
        <w:t>consistent with the parameters used in developing the allotment plan but will be refined by any information provided by licensees about the likely implementation.  If a licensee’s proposal is not consistent with the parameters from the allotment plan</w:t>
      </w:r>
      <w:r w:rsidR="00C72656">
        <w:t>,</w:t>
      </w:r>
      <w:r>
        <w:t xml:space="preserve"> the impact of the proposal on other licence areas will be assessed.  For example</w:t>
      </w:r>
      <w:r w:rsidR="00672C18">
        <w:t>,</w:t>
      </w:r>
      <w:r>
        <w:t xml:space="preserve"> a licensee might propose a different antenna pattern, different site, different antenna height</w:t>
      </w:r>
      <w:r w:rsidR="00176874">
        <w:t>,</w:t>
      </w:r>
      <w:r>
        <w:t xml:space="preserve"> or request a power increase.  Draft DRCP</w:t>
      </w:r>
      <w:r w:rsidR="00672C18">
        <w:t>s will be published for comment giving other licensees the opportunity to comment on the proposals.</w:t>
      </w:r>
    </w:p>
    <w:p w14:paraId="31E26365" w14:textId="77777777" w:rsidR="005F2AEC" w:rsidRPr="007C5225" w:rsidRDefault="005F2AEC" w:rsidP="005F2AEC">
      <w:pPr>
        <w:keepNext/>
        <w:rPr>
          <w:u w:val="single"/>
        </w:rPr>
      </w:pPr>
      <w:r>
        <w:rPr>
          <w:u w:val="single"/>
        </w:rPr>
        <w:t>Allotments</w:t>
      </w:r>
    </w:p>
    <w:p w14:paraId="550BECF9" w14:textId="57A5B424" w:rsidR="00733E2C" w:rsidRDefault="00733E2C">
      <w:r>
        <w:t xml:space="preserve">The key result is the allotment number (1-6) for each commercial licence area.  Allotments 7 and 8 are for national broadcasters. </w:t>
      </w:r>
      <w:r w:rsidR="00176874">
        <w:t xml:space="preserve"> </w:t>
      </w:r>
      <w:r w:rsidR="00176874" w:rsidRPr="00176874">
        <w:t xml:space="preserve">A document </w:t>
      </w:r>
      <w:hyperlink r:id="rId13" w:history="1">
        <w:r w:rsidR="00E571F0">
          <w:rPr>
            <w:rStyle w:val="Hyperlink"/>
            <w:rFonts w:ascii="Segoe UI" w:hAnsi="Segoe UI" w:cs="Segoe UI"/>
            <w:sz w:val="20"/>
            <w:szCs w:val="20"/>
          </w:rPr>
          <w:t>Mapping of allotment numbers to frequency blocks</w:t>
        </w:r>
      </w:hyperlink>
      <w:r w:rsidR="00CD7DA8">
        <w:t xml:space="preserve"> </w:t>
      </w:r>
      <w:r w:rsidR="001021D1" w:rsidRPr="00176874">
        <w:t>is available on the SharePoint site</w:t>
      </w:r>
      <w:r w:rsidR="001021D1">
        <w:t xml:space="preserve"> </w:t>
      </w:r>
      <w:r w:rsidR="00CD7DA8">
        <w:t>and shown in Figure 1 below.</w:t>
      </w:r>
    </w:p>
    <w:p w14:paraId="458EF565" w14:textId="77777777" w:rsidR="00530D73" w:rsidRDefault="00530D73">
      <w:r w:rsidRPr="00710372">
        <w:rPr>
          <w:rFonts w:cs="Arial"/>
          <w:noProof/>
          <w:lang w:eastAsia="en-AU"/>
        </w:rPr>
        <w:drawing>
          <wp:inline distT="0" distB="0" distL="0" distR="0" wp14:anchorId="7429CCB0" wp14:editId="029E655E">
            <wp:extent cx="5731510" cy="703580"/>
            <wp:effectExtent l="0" t="0" r="2540" b="1270"/>
            <wp:docPr id="1" name="Picture 1" descr="The image indicates that allotment 1 is 9A, allotment 2 is 9B, allotment 3 is 8A, allotment 4 is 9D, allotment 5 is 8D, allotment 6 is 8C,  allotment 7 is 8B and allotment 8 is 9C." title="Figure 1 Proposed mapping of allotment numbers to frequency bloc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lotment mapping 6_2.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703580"/>
                    </a:xfrm>
                    <a:prstGeom prst="rect">
                      <a:avLst/>
                    </a:prstGeom>
                  </pic:spPr>
                </pic:pic>
              </a:graphicData>
            </a:graphic>
          </wp:inline>
        </w:drawing>
      </w:r>
    </w:p>
    <w:p w14:paraId="1868F943" w14:textId="77777777" w:rsidR="00530D73" w:rsidRPr="00530D73" w:rsidRDefault="00530D73" w:rsidP="004F46DF">
      <w:pPr>
        <w:pStyle w:val="ACMAFigureHeader"/>
      </w:pPr>
      <w:r w:rsidRPr="00530D73">
        <w:t xml:space="preserve">Figure 1: </w:t>
      </w:r>
      <w:bookmarkStart w:id="0" w:name="_Ref461525415"/>
      <w:r w:rsidRPr="00530D73">
        <w:t>Mapping of allotment numbers to frequency blocks</w:t>
      </w:r>
      <w:bookmarkEnd w:id="0"/>
    </w:p>
    <w:p w14:paraId="0E2F4374" w14:textId="02FAAE3B" w:rsidR="00530D73" w:rsidRDefault="00530D73">
      <w:r>
        <w:t xml:space="preserve">The relevant frequency block will be specified in any digital radio channel plan (DRCP) prepared for licence areas where a </w:t>
      </w:r>
      <w:r w:rsidR="00C72656">
        <w:t xml:space="preserve">commercial </w:t>
      </w:r>
      <w:r>
        <w:t>licensee indicate</w:t>
      </w:r>
      <w:r w:rsidR="005B0F1E">
        <w:t>s</w:t>
      </w:r>
      <w:r>
        <w:t xml:space="preserve"> they wish to commence a service.  The DRCPs are a legislative instrument and amongst other things the DRCPs will specify the technical specifications for one or more transmitters</w:t>
      </w:r>
      <w:r w:rsidR="004F46DF">
        <w:t>, mostly the main (high power) transmitter</w:t>
      </w:r>
      <w:r w:rsidR="001D34B3">
        <w:t>(s)</w:t>
      </w:r>
      <w:r w:rsidR="004F46DF">
        <w:t xml:space="preserve"> for each licence area</w:t>
      </w:r>
      <w:r w:rsidR="001D34B3">
        <w:rPr>
          <w:rStyle w:val="FootnoteReference"/>
        </w:rPr>
        <w:footnoteReference w:id="1"/>
      </w:r>
      <w:r w:rsidR="004F46DF">
        <w:t>.</w:t>
      </w:r>
      <w:r>
        <w:t xml:space="preserve">  Th</w:t>
      </w:r>
      <w:r w:rsidR="005B0F1E">
        <w:t>is</w:t>
      </w:r>
      <w:r>
        <w:t xml:space="preserve"> guide describe</w:t>
      </w:r>
      <w:r w:rsidR="005B0F1E">
        <w:t>s</w:t>
      </w:r>
      <w:r>
        <w:t xml:space="preserve"> the process,</w:t>
      </w:r>
      <w:r w:rsidR="0066017C">
        <w:t xml:space="preserve"> key inputs and results that le</w:t>
      </w:r>
      <w:r>
        <w:t>d to the allotment result.</w:t>
      </w:r>
      <w:r w:rsidR="00DF1639">
        <w:t xml:space="preserve">  </w:t>
      </w:r>
      <w:r w:rsidR="002F4095">
        <w:t>The following s</w:t>
      </w:r>
      <w:r w:rsidR="00DF1639">
        <w:t xml:space="preserve">lide </w:t>
      </w:r>
      <w:r w:rsidR="002F4095">
        <w:t>from a</w:t>
      </w:r>
      <w:r w:rsidR="00DF1639">
        <w:t xml:space="preserve"> </w:t>
      </w:r>
      <w:r w:rsidR="00DF1639" w:rsidRPr="002F4095">
        <w:t>PowerPoint presentation from the industry meeting held in February 2017</w:t>
      </w:r>
      <w:r w:rsidR="00DF1639">
        <w:t xml:space="preserve"> provide</w:t>
      </w:r>
      <w:r w:rsidR="002F4095">
        <w:t>s</w:t>
      </w:r>
      <w:r w:rsidR="00DF1639">
        <w:t xml:space="preserve"> an overview of the process.</w:t>
      </w:r>
    </w:p>
    <w:p w14:paraId="463B70E3" w14:textId="77777777" w:rsidR="00DF1639" w:rsidRDefault="00DF1639">
      <w:r>
        <w:rPr>
          <w:noProof/>
          <w:lang w:eastAsia="en-AU"/>
        </w:rPr>
        <w:lastRenderedPageBreak/>
        <w:drawing>
          <wp:inline distT="0" distB="0" distL="0" distR="0" wp14:anchorId="11A36A25" wp14:editId="452BBA40">
            <wp:extent cx="4614389" cy="346769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690948" cy="3525230"/>
                    </a:xfrm>
                    <a:prstGeom prst="rect">
                      <a:avLst/>
                    </a:prstGeom>
                  </pic:spPr>
                </pic:pic>
              </a:graphicData>
            </a:graphic>
          </wp:inline>
        </w:drawing>
      </w:r>
    </w:p>
    <w:p w14:paraId="716693B2" w14:textId="77777777" w:rsidR="00DF1639" w:rsidRPr="00530D73" w:rsidRDefault="00DF1639" w:rsidP="004F46DF">
      <w:pPr>
        <w:pStyle w:val="ACMAFigureHeader"/>
      </w:pPr>
      <w:r w:rsidRPr="00530D73">
        <w:t xml:space="preserve">Figure </w:t>
      </w:r>
      <w:r>
        <w:t>2</w:t>
      </w:r>
      <w:r w:rsidRPr="00530D73">
        <w:t xml:space="preserve">: </w:t>
      </w:r>
      <w:r>
        <w:t>Overview of allotment planning process from February 2017</w:t>
      </w:r>
    </w:p>
    <w:p w14:paraId="073D0EB3" w14:textId="77777777" w:rsidR="00530D73" w:rsidRPr="007C5225" w:rsidRDefault="007C5225" w:rsidP="007C5225">
      <w:pPr>
        <w:keepNext/>
        <w:rPr>
          <w:u w:val="single"/>
        </w:rPr>
      </w:pPr>
      <w:r w:rsidRPr="007C5225">
        <w:rPr>
          <w:u w:val="single"/>
        </w:rPr>
        <w:t>Notional transmitter networks</w:t>
      </w:r>
    </w:p>
    <w:p w14:paraId="4C69A665" w14:textId="289AA05B" w:rsidR="002B6E34" w:rsidRPr="002B6E34" w:rsidRDefault="007C5225" w:rsidP="002B6E34">
      <w:r>
        <w:t>For each licence area</w:t>
      </w:r>
      <w:r w:rsidR="002B6E34">
        <w:t>,</w:t>
      </w:r>
      <w:r>
        <w:t xml:space="preserve"> a notional transmitter network was developed.  </w:t>
      </w:r>
      <w:r w:rsidR="002B6E34">
        <w:t>The n</w:t>
      </w:r>
      <w:r w:rsidR="002B6E34" w:rsidRPr="002B6E34">
        <w:t xml:space="preserve">otional </w:t>
      </w:r>
      <w:r w:rsidR="002B6E34">
        <w:t>transmitter</w:t>
      </w:r>
      <w:r w:rsidR="002B6E34" w:rsidRPr="002B6E34">
        <w:t xml:space="preserve"> networks </w:t>
      </w:r>
      <w:r w:rsidR="002B6E34">
        <w:t xml:space="preserve">can be found in the </w:t>
      </w:r>
      <w:r w:rsidR="004642A8">
        <w:t xml:space="preserve">‘Transmitter Data’ tab of the </w:t>
      </w:r>
      <w:r w:rsidR="002B6E34">
        <w:t xml:space="preserve">spreadsheet: </w:t>
      </w:r>
      <w:hyperlink r:id="rId16" w:history="1">
        <w:r w:rsidR="002F4095">
          <w:rPr>
            <w:rStyle w:val="Hyperlink"/>
            <w:rFonts w:ascii="Segoe UI" w:hAnsi="Segoe UI" w:cs="Segoe UI"/>
            <w:sz w:val="20"/>
            <w:szCs w:val="20"/>
          </w:rPr>
          <w:t>Transmitter Data and Population Figures (all areas)</w:t>
        </w:r>
      </w:hyperlink>
      <w:r w:rsidR="002B6E34">
        <w:t>.</w:t>
      </w:r>
    </w:p>
    <w:p w14:paraId="0C214178" w14:textId="5C90EABB" w:rsidR="00205FA7" w:rsidRDefault="007C5225">
      <w:r>
        <w:t xml:space="preserve">Input from licensees was invited and the networks were updated </w:t>
      </w:r>
      <w:r w:rsidR="002B6E34">
        <w:t>after considering</w:t>
      </w:r>
      <w:r>
        <w:t xml:space="preserve"> this input.</w:t>
      </w:r>
      <w:r w:rsidR="00205FA7">
        <w:t xml:space="preserve"> Figure</w:t>
      </w:r>
      <w:r w:rsidR="00E47CF9">
        <w:t> </w:t>
      </w:r>
      <w:r w:rsidR="00205FA7">
        <w:t xml:space="preserve">3 shows an extract of this data for two areas. The antenna patterns are available on the SharePoint site in a folder titled </w:t>
      </w:r>
      <w:hyperlink r:id="rId17" w:history="1">
        <w:r w:rsidR="00257B41">
          <w:rPr>
            <w:rStyle w:val="Hyperlink"/>
            <w:rFonts w:ascii="Segoe UI" w:hAnsi="Segoe UI" w:cs="Segoe UI"/>
            <w:sz w:val="20"/>
            <w:szCs w:val="20"/>
          </w:rPr>
          <w:t>Antenna patterns</w:t>
        </w:r>
      </w:hyperlink>
      <w:r w:rsidR="00205FA7">
        <w:t>.</w:t>
      </w:r>
      <w:r w:rsidR="005B0F1E">
        <w:t xml:space="preserve">  Note that there are two pages of antenna patterns and two copies of each pattern with different scales (E/Emax and dB scales).</w:t>
      </w:r>
    </w:p>
    <w:p w14:paraId="142E6CE3" w14:textId="372EC7A8" w:rsidR="004E7F4D" w:rsidRDefault="004E7F4D">
      <w:r>
        <w:t>A column has been included to indicate which transmitters are most likely to be included in any DRCP for the licence area.  This includes the higher power transmitters (</w:t>
      </w:r>
      <w:r w:rsidR="00B83BBF">
        <w:t>greater than 1</w:t>
      </w:r>
      <w:r>
        <w:t xml:space="preserve"> kW ERP) as well as transmitters sited outside the licence area.</w:t>
      </w:r>
    </w:p>
    <w:p w14:paraId="541407B9" w14:textId="51639631" w:rsidR="00072CB6" w:rsidRDefault="00B83BBF" w:rsidP="009859D1">
      <w:pPr>
        <w:keepNext/>
      </w:pPr>
      <w:r>
        <w:rPr>
          <w:noProof/>
        </w:rPr>
        <w:drawing>
          <wp:inline distT="0" distB="0" distL="0" distR="0" wp14:anchorId="7485B87A" wp14:editId="575B017C">
            <wp:extent cx="5731510" cy="942975"/>
            <wp:effectExtent l="0" t="0" r="2540" b="952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1510" cy="942975"/>
                    </a:xfrm>
                    <a:prstGeom prst="rect">
                      <a:avLst/>
                    </a:prstGeom>
                  </pic:spPr>
                </pic:pic>
              </a:graphicData>
            </a:graphic>
          </wp:inline>
        </w:drawing>
      </w:r>
    </w:p>
    <w:p w14:paraId="1F791415" w14:textId="77777777" w:rsidR="00072CB6" w:rsidRPr="00530D73" w:rsidRDefault="00072CB6" w:rsidP="004F46DF">
      <w:pPr>
        <w:pStyle w:val="ACMAFigureHeader"/>
      </w:pPr>
      <w:r w:rsidRPr="00530D73">
        <w:t xml:space="preserve">Figure </w:t>
      </w:r>
      <w:r>
        <w:t>3</w:t>
      </w:r>
      <w:r w:rsidRPr="00530D73">
        <w:t xml:space="preserve">: </w:t>
      </w:r>
      <w:r>
        <w:t>Extract from Transmitter data and population figures spreadsheet</w:t>
      </w:r>
    </w:p>
    <w:p w14:paraId="0304353C" w14:textId="12A2496E" w:rsidR="00072CB6" w:rsidRDefault="00205FA7">
      <w:r>
        <w:t xml:space="preserve">In preparing the notional networks we considered that overspill would be acceptable </w:t>
      </w:r>
      <w:r w:rsidR="00CE2EBE">
        <w:t>i</w:t>
      </w:r>
      <w:r>
        <w:t>f the DAB+ power was no greater than the FM power by 10 dB (10 times) from the same site.  This is because the overspill limit for FM is 54 dBuV/m and for DAB+</w:t>
      </w:r>
      <w:r w:rsidR="00CE2EBE">
        <w:t>,</w:t>
      </w:r>
      <w:r>
        <w:t xml:space="preserve"> as </w:t>
      </w:r>
      <w:r w:rsidR="005B0F1E">
        <w:t>the</w:t>
      </w:r>
      <w:r>
        <w:t xml:space="preserve"> target</w:t>
      </w:r>
      <w:r w:rsidR="005B0F1E">
        <w:t xml:space="preserve"> is to provide</w:t>
      </w:r>
      <w:r>
        <w:t xml:space="preserve"> in-building coverage</w:t>
      </w:r>
      <w:r w:rsidR="009859D1">
        <w:t xml:space="preserve"> up to the licence area boundary</w:t>
      </w:r>
      <w:r w:rsidR="00CE2EBE">
        <w:t>,</w:t>
      </w:r>
      <w:r>
        <w:t xml:space="preserve"> it is 64 dBuV/m.</w:t>
      </w:r>
      <w:r w:rsidR="004F46DF">
        <w:t xml:space="preserve">  </w:t>
      </w:r>
      <w:r w:rsidR="00E47CF9">
        <w:t xml:space="preserve">As a result of the </w:t>
      </w:r>
      <w:r w:rsidR="00DB6389">
        <w:t>comparatively</w:t>
      </w:r>
      <w:r w:rsidR="00E47CF9">
        <w:t xml:space="preserve"> low DAB+ power levels there has been no assessment of the populations potentially receiving overspill signals. </w:t>
      </w:r>
      <w:r w:rsidR="00DB6389">
        <w:t>Where necessary, f</w:t>
      </w:r>
      <w:r w:rsidR="004F46DF">
        <w:t xml:space="preserve">urther consideration of overspill </w:t>
      </w:r>
      <w:r w:rsidR="00DB6389">
        <w:t>could occur</w:t>
      </w:r>
      <w:r w:rsidR="004F46DF">
        <w:t xml:space="preserve"> at the DRCP stage</w:t>
      </w:r>
      <w:r w:rsidR="00073344">
        <w:t xml:space="preserve"> when developing the technical specifications</w:t>
      </w:r>
      <w:r w:rsidR="004F46DF">
        <w:t xml:space="preserve"> for</w:t>
      </w:r>
      <w:r w:rsidR="00EC7573">
        <w:t xml:space="preserve"> main transmitters and on receipt of licence applications for additional repeaters.</w:t>
      </w:r>
    </w:p>
    <w:p w14:paraId="537AFCD6" w14:textId="77777777" w:rsidR="0063287A" w:rsidRDefault="0063287A" w:rsidP="0063287A">
      <w:r>
        <w:lastRenderedPageBreak/>
        <w:t xml:space="preserve">The notional transmitter networks used in the allotment planning are just that, notional.  However, they should provide a good starting point from which licensees can develop plans for their actual network deployment. </w:t>
      </w:r>
    </w:p>
    <w:p w14:paraId="304286DF" w14:textId="77777777" w:rsidR="00072CB6" w:rsidRDefault="00EC7573">
      <w:pPr>
        <w:rPr>
          <w:u w:val="single"/>
        </w:rPr>
      </w:pPr>
      <w:r w:rsidRPr="00EC7573">
        <w:rPr>
          <w:u w:val="single"/>
        </w:rPr>
        <w:t>Allotment</w:t>
      </w:r>
      <w:r w:rsidR="00C5666D">
        <w:rPr>
          <w:u w:val="single"/>
        </w:rPr>
        <w:t xml:space="preserve"> algorithm</w:t>
      </w:r>
      <w:r w:rsidRPr="00EC7573">
        <w:rPr>
          <w:u w:val="single"/>
        </w:rPr>
        <w:t xml:space="preserve"> Inputs</w:t>
      </w:r>
    </w:p>
    <w:p w14:paraId="033CDD6D" w14:textId="77777777" w:rsidR="00AF6287" w:rsidRDefault="00C5666D">
      <w:r>
        <w:t>As described in the next sect</w:t>
      </w:r>
      <w:r w:rsidR="006D5989">
        <w:t>i</w:t>
      </w:r>
      <w:r>
        <w:t xml:space="preserve">on an automated algorithm </w:t>
      </w:r>
      <w:r w:rsidR="006D5989">
        <w:t>was</w:t>
      </w:r>
      <w:r>
        <w:t xml:space="preserve"> used to determine most allotments.  The algorithm determines the combination of channel allotments that gives the lowest overall interference</w:t>
      </w:r>
      <w:r w:rsidR="00AF6287" w:rsidRPr="00AF6287">
        <w:t xml:space="preserve"> </w:t>
      </w:r>
      <w:r w:rsidR="00AF6287">
        <w:t>for 1% of time</w:t>
      </w:r>
      <w:r w:rsidR="00AF6287">
        <w:rPr>
          <w:rStyle w:val="FootnoteReference"/>
        </w:rPr>
        <w:footnoteReference w:id="2"/>
      </w:r>
      <w:r>
        <w:t>.  Therefore</w:t>
      </w:r>
      <w:r w:rsidR="005B0F1E">
        <w:t>,</w:t>
      </w:r>
      <w:r>
        <w:t xml:space="preserve"> the level of interference between licence areas is the key input to the algorithm.</w:t>
      </w:r>
      <w:r w:rsidR="00AF6287">
        <w:t xml:space="preserve">  </w:t>
      </w:r>
    </w:p>
    <w:p w14:paraId="51074BDB" w14:textId="77777777" w:rsidR="00F95778" w:rsidRPr="00F95778" w:rsidRDefault="00F95778">
      <w:pPr>
        <w:rPr>
          <w:i/>
        </w:rPr>
      </w:pPr>
      <w:r w:rsidRPr="00F95778">
        <w:rPr>
          <w:i/>
        </w:rPr>
        <w:t>‘Pair-wise’ co-channel DAB to DAB interference</w:t>
      </w:r>
    </w:p>
    <w:p w14:paraId="1FF5DF50" w14:textId="54044AEC" w:rsidR="00EC7573" w:rsidRDefault="00EC7573">
      <w:r>
        <w:t xml:space="preserve">Using the notional transmitter networks, the interference between each licence area and every other licence area was </w:t>
      </w:r>
      <w:r w:rsidR="006D5989">
        <w:t>determined</w:t>
      </w:r>
      <w:r>
        <w:t xml:space="preserve"> and matrices populated with the ‘pair-wise’ results of the population predicted to receive interference</w:t>
      </w:r>
      <w:r w:rsidR="00BE5FC7" w:rsidRPr="00BE5FC7">
        <w:t xml:space="preserve"> </w:t>
      </w:r>
      <w:r w:rsidR="00BE5FC7">
        <w:t>for each area</w:t>
      </w:r>
      <w:r>
        <w:t>.  If licence areas were far enough apart to not interact</w:t>
      </w:r>
      <w:r w:rsidR="006D5989">
        <w:t>,</w:t>
      </w:r>
      <w:r>
        <w:t xml:space="preserve"> then calculations were not undertaken and there is no entry in the ‘pair-wise’ </w:t>
      </w:r>
      <w:r w:rsidR="00AF6287">
        <w:t xml:space="preserve">wise’ </w:t>
      </w:r>
      <w:r w:rsidR="00AF6287" w:rsidRPr="004404A7">
        <w:t>matrix</w:t>
      </w:r>
      <w:r w:rsidR="00AF6287">
        <w:t xml:space="preserve"> in the file </w:t>
      </w:r>
      <w:hyperlink r:id="rId19" w:history="1">
        <w:r w:rsidR="00257B41">
          <w:rPr>
            <w:rStyle w:val="Hyperlink"/>
            <w:rFonts w:ascii="Segoe UI" w:hAnsi="Segoe UI" w:cs="Segoe UI"/>
            <w:sz w:val="20"/>
            <w:szCs w:val="20"/>
          </w:rPr>
          <w:t>Consolidated Algorithm Inputs</w:t>
        </w:r>
      </w:hyperlink>
      <w:r>
        <w:t>.</w:t>
      </w:r>
    </w:p>
    <w:p w14:paraId="3684C6DF" w14:textId="23F261A9" w:rsidR="003438A9" w:rsidRDefault="008D4D30">
      <w:r>
        <w:t>A</w:t>
      </w:r>
      <w:r w:rsidR="00EC7573">
        <w:t xml:space="preserve"> second matrix was calculated </w:t>
      </w:r>
      <w:r>
        <w:t>from the pair-wise matrix.  This forms</w:t>
      </w:r>
      <w:r w:rsidR="00EC7573">
        <w:t xml:space="preserve"> the input to the automated allotment algorithm.  This ‘algorithm’ matrix contains the sum of the interference between </w:t>
      </w:r>
      <w:r w:rsidR="006D5989">
        <w:t>each pair of</w:t>
      </w:r>
      <w:r w:rsidR="00EC7573">
        <w:t xml:space="preserve"> licence areas.  That is</w:t>
      </w:r>
      <w:r>
        <w:t>,</w:t>
      </w:r>
      <w:r w:rsidR="00EC7573">
        <w:t xml:space="preserve"> the interference from licence area A into licence area B is added to the interference from licence area B into licence area A.  This </w:t>
      </w:r>
      <w:r w:rsidR="00AF6287">
        <w:t xml:space="preserve">gives the overall interference between each pair of licence areas </w:t>
      </w:r>
      <w:r w:rsidR="003438A9">
        <w:t>as it does not matter which licence area causes the most interference in the allotment process.</w:t>
      </w:r>
    </w:p>
    <w:p w14:paraId="1ECE2571" w14:textId="0518D00E" w:rsidR="008D4D30" w:rsidRDefault="008D4D30">
      <w:r>
        <w:t xml:space="preserve">The pair-wise interference results were all calculated using the </w:t>
      </w:r>
      <w:proofErr w:type="spellStart"/>
      <w:r>
        <w:t>Chirplus</w:t>
      </w:r>
      <w:proofErr w:type="spellEnd"/>
      <w:r>
        <w:t xml:space="preserve"> BC software package and the CRC-predict propagation model</w:t>
      </w:r>
      <w:r w:rsidR="00393DF7">
        <w:t>.</w:t>
      </w:r>
    </w:p>
    <w:p w14:paraId="657F1E04" w14:textId="77777777" w:rsidR="00F95778" w:rsidRPr="00F95778" w:rsidRDefault="00F95778" w:rsidP="00F95778">
      <w:pPr>
        <w:rPr>
          <w:i/>
        </w:rPr>
      </w:pPr>
      <w:r>
        <w:rPr>
          <w:i/>
        </w:rPr>
        <w:t xml:space="preserve">Adjacent </w:t>
      </w:r>
      <w:r w:rsidRPr="00F95778">
        <w:rPr>
          <w:i/>
        </w:rPr>
        <w:t xml:space="preserve">channel DAB to </w:t>
      </w:r>
      <w:r>
        <w:rPr>
          <w:i/>
        </w:rPr>
        <w:t>TV</w:t>
      </w:r>
      <w:r w:rsidRPr="00F95778">
        <w:rPr>
          <w:i/>
        </w:rPr>
        <w:t xml:space="preserve"> interference</w:t>
      </w:r>
    </w:p>
    <w:p w14:paraId="58AF619C" w14:textId="14E220FA" w:rsidR="00F95778" w:rsidRDefault="00F95778">
      <w:r>
        <w:t xml:space="preserve">An additional part of the input matrix is the potential interference to adjacent channel television services operating on either TV channel 8 or 10 (refer Figure 1).  While </w:t>
      </w:r>
      <w:r w:rsidR="007F06D5">
        <w:t xml:space="preserve">the ‘adjacent block’ </w:t>
      </w:r>
      <w:r>
        <w:t>allotments 3 and 4 are the worst case (having a protection ratio of -5 dB)</w:t>
      </w:r>
      <w:r w:rsidR="00041F30">
        <w:t>,</w:t>
      </w:r>
      <w:r>
        <w:t xml:space="preserve"> the other </w:t>
      </w:r>
      <w:r w:rsidR="007F06D5">
        <w:t xml:space="preserve">‘any block’ </w:t>
      </w:r>
      <w:r>
        <w:t>allotments also have some the potential to cause interference (protection ratio of -30 dB).  The population potential</w:t>
      </w:r>
      <w:r w:rsidR="00056966">
        <w:t>ly</w:t>
      </w:r>
      <w:r>
        <w:t xml:space="preserve"> affected by interference to TV was calculated for each </w:t>
      </w:r>
      <w:r w:rsidR="00C14F22">
        <w:t xml:space="preserve">DAB </w:t>
      </w:r>
      <w:r>
        <w:t xml:space="preserve">transmitter </w:t>
      </w:r>
      <w:r w:rsidR="00C14F22">
        <w:t xml:space="preserve">and </w:t>
      </w:r>
      <w:r>
        <w:t xml:space="preserve">for both protection ratios.  </w:t>
      </w:r>
      <w:r w:rsidR="007F06D5">
        <w:t xml:space="preserve">The difference between the two results for the different protection ratios was determined (labelled ‘residual’ in Figure 4) and then the results for all transmitters in a licence area were added together and the results are listed in the </w:t>
      </w:r>
      <w:hyperlink r:id="rId20" w:history="1">
        <w:r w:rsidR="00257B41">
          <w:rPr>
            <w:rStyle w:val="Hyperlink"/>
            <w:rFonts w:ascii="Segoe UI" w:hAnsi="Segoe UI" w:cs="Segoe UI"/>
            <w:sz w:val="20"/>
            <w:szCs w:val="20"/>
          </w:rPr>
          <w:t>Summary - adj ch pop predictions</w:t>
        </w:r>
      </w:hyperlink>
      <w:r w:rsidR="007F06D5">
        <w:t xml:space="preserve"> spreadsheet.  The difference</w:t>
      </w:r>
      <w:r w:rsidR="00056966">
        <w:t xml:space="preserve"> (or residual)</w:t>
      </w:r>
      <w:r w:rsidR="007F06D5">
        <w:t xml:space="preserve"> figure </w:t>
      </w:r>
      <w:r w:rsidR="00352C4F">
        <w:t xml:space="preserve">(circled below) </w:t>
      </w:r>
      <w:r w:rsidR="007F06D5">
        <w:t xml:space="preserve">was included in the algorithm matrix, as it is this figure that represents </w:t>
      </w:r>
      <w:r w:rsidR="00056966">
        <w:t>additional interference that could result if</w:t>
      </w:r>
      <w:r w:rsidR="007F06D5">
        <w:t xml:space="preserve"> the algorithm allot</w:t>
      </w:r>
      <w:r w:rsidR="00056966">
        <w:t>s</w:t>
      </w:r>
      <w:r w:rsidR="007F06D5">
        <w:t xml:space="preserve"> blocks 3 or 4</w:t>
      </w:r>
      <w:r w:rsidR="00056966">
        <w:t xml:space="preserve"> to the licence area</w:t>
      </w:r>
      <w:r w:rsidR="007F06D5">
        <w:t>.</w:t>
      </w:r>
    </w:p>
    <w:p w14:paraId="5B407590" w14:textId="77777777" w:rsidR="007F06D5" w:rsidRDefault="00352C4F">
      <w:r>
        <w:rPr>
          <w:noProof/>
          <w:lang w:eastAsia="en-AU"/>
        </w:rPr>
        <w:lastRenderedPageBreak/>
        <mc:AlternateContent>
          <mc:Choice Requires="wps">
            <w:drawing>
              <wp:anchor distT="0" distB="0" distL="114300" distR="114300" simplePos="0" relativeHeight="251659264" behindDoc="0" locked="0" layoutInCell="1" allowOverlap="1" wp14:anchorId="7D59B293" wp14:editId="7524A9F6">
                <wp:simplePos x="0" y="0"/>
                <wp:positionH relativeFrom="column">
                  <wp:posOffset>2014855</wp:posOffset>
                </wp:positionH>
                <wp:positionV relativeFrom="paragraph">
                  <wp:posOffset>81621</wp:posOffset>
                </wp:positionV>
                <wp:extent cx="750570" cy="1325880"/>
                <wp:effectExtent l="0" t="0" r="11430" b="26670"/>
                <wp:wrapNone/>
                <wp:docPr id="5" name="Oval 5"/>
                <wp:cNvGraphicFramePr/>
                <a:graphic xmlns:a="http://schemas.openxmlformats.org/drawingml/2006/main">
                  <a:graphicData uri="http://schemas.microsoft.com/office/word/2010/wordprocessingShape">
                    <wps:wsp>
                      <wps:cNvSpPr/>
                      <wps:spPr>
                        <a:xfrm>
                          <a:off x="0" y="0"/>
                          <a:ext cx="750570" cy="1325880"/>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1C4D4DFE" id="Oval 5" o:spid="_x0000_s1026" style="position:absolute;margin-left:158.65pt;margin-top:6.45pt;width:59.1pt;height:104.4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wVXmQIAAI0FAAAOAAAAZHJzL2Uyb0RvYy54bWysVE1vGyEQvVfqf0Dcm1273iaxso4sR64q&#10;RYnVpMoZs+BFYhkK2Gv313dgP2I1UQ9VfVgDM/OG95iZm9tjo8lBOK/AlHRykVMiDIdKmV1Jfzyv&#10;P11R4gMzFdNgRElPwtPbxccPN62diynUoCvhCIIYP29tSesQ7DzLPK9Fw/wFWGHQKME1LODW7bLK&#10;sRbRG51N8/xL1oKrrAMuvMfTu85IFwlfSsHDo5ReBKJLincL6evSdxu/2eKGzXeO2Vrx/hrsH27R&#10;MGUw6Qh1xwIje6feQDWKO/AgwwWHJgMpFReJA7KZ5H+weaqZFYkLiuPtKJP/f7D84bBxRFUlLSgx&#10;rMEnejwwTYqoTGv9HB2e7Mb1O4/LSPMoXRP/kQA5JjVPo5riGAjHw8siLy5Rc46myedpcXWV5M5e&#10;o63z4auAhsRFSYXWyvpImM3Z4d4HTIreg1c8NrBWWqdH04a0CHydF3mK8KBVFa3Rz7vddqUdQSol&#10;Xa9z/EVCiHbmhjtt8DDS7IilVThpETG0+S4kSoNUpl2GWJRihGWcCxMmnalmleiyFefJhoiUOgFG&#10;ZIm3HLF7gMGzAxmwuzv3/jFUpJoeg3vqfwseI1JmMGEMbpQB9x4zjaz6zJ3/IFInTVRpC9UJC8dB&#10;11He8rXCR7xnPmyYwxbCh8exEB7xIzXgS0G/oqQG9+u98+iPlY1WSlpsyZL6n3vmBCX6m8Gav57M&#10;ZrGH02ZWXE5x484t23OL2TcrwNef4ACyPC2jf9DDUjpoXnB6LGNWNDHDMXdJeXDDZhW6UYHzh4vl&#10;Mrlh31oW7s2T5RE8qhor9Pn4wpztKzlgDzzA0L5vqrnzjZEGlvsAUqVSf9W11xt7PhVOP5/iUDnf&#10;J6/XKbr4DQAA//8DAFBLAwQUAAYACAAAACEAeS6gm90AAAAKAQAADwAAAGRycy9kb3ducmV2Lnht&#10;bEyPy07DMBBF90j8gzVI7KjzJBDiVAiJBexogbUbD0nUeJzGThr+nmEFy9E9uvdMtV3tIBacfO9I&#10;QbyJQCA1zvTUKnjfP9/cgfBBk9GDI1TwjR629eVFpUvjzvSGyy60gkvIl1pBF8JYSumbDq32Gzci&#10;cfblJqsDn1MrzaTPXG4HmUTRrbS6J17o9IhPHTbH3WwVFC+vH584L/605EV2mkN2pL1T6vpqfXwA&#10;EXANfzD86rM61Ox0cDMZLwYFaVykjHKQ3INgIEvzHMRBQZLEBci6kv9fqH8AAAD//wMAUEsBAi0A&#10;FAAGAAgAAAAhALaDOJL+AAAA4QEAABMAAAAAAAAAAAAAAAAAAAAAAFtDb250ZW50X1R5cGVzXS54&#10;bWxQSwECLQAUAAYACAAAACEAOP0h/9YAAACUAQAACwAAAAAAAAAAAAAAAAAvAQAAX3JlbHMvLnJl&#10;bHNQSwECLQAUAAYACAAAACEAyUMFV5kCAACNBQAADgAAAAAAAAAAAAAAAAAuAgAAZHJzL2Uyb0Rv&#10;Yy54bWxQSwECLQAUAAYACAAAACEAeS6gm90AAAAKAQAADwAAAAAAAAAAAAAAAADzBAAAZHJzL2Rv&#10;d25yZXYueG1sUEsFBgAAAAAEAAQA8wAAAP0FAAAAAA==&#10;" filled="f" strokecolor="red" strokeweight="1.5pt">
                <v:stroke joinstyle="miter"/>
              </v:oval>
            </w:pict>
          </mc:Fallback>
        </mc:AlternateContent>
      </w:r>
      <w:r>
        <w:rPr>
          <w:noProof/>
          <w:lang w:eastAsia="en-AU"/>
        </w:rPr>
        <w:drawing>
          <wp:inline distT="0" distB="0" distL="0" distR="0" wp14:anchorId="1A992640" wp14:editId="005D1DAD">
            <wp:extent cx="5731510" cy="1329690"/>
            <wp:effectExtent l="0" t="0" r="2540" b="381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1510" cy="1329690"/>
                    </a:xfrm>
                    <a:prstGeom prst="rect">
                      <a:avLst/>
                    </a:prstGeom>
                  </pic:spPr>
                </pic:pic>
              </a:graphicData>
            </a:graphic>
          </wp:inline>
        </w:drawing>
      </w:r>
    </w:p>
    <w:p w14:paraId="52EAF1A0" w14:textId="77777777" w:rsidR="007F06D5" w:rsidRDefault="004642A8">
      <w:pPr>
        <w:rPr>
          <w:i/>
        </w:rPr>
      </w:pPr>
      <w:r>
        <w:rPr>
          <w:i/>
        </w:rPr>
        <w:t>Figure 4: Extract from the summary of adjacent channel interference into TV predictions</w:t>
      </w:r>
    </w:p>
    <w:p w14:paraId="1A445893" w14:textId="60DD0C4A" w:rsidR="00352C4F" w:rsidRPr="00352C4F" w:rsidRDefault="00352C4F">
      <w:r>
        <w:t>It should also be noted that in calculating the potential interference to TV</w:t>
      </w:r>
      <w:r w:rsidR="00C14F22">
        <w:t>,</w:t>
      </w:r>
      <w:r>
        <w:t xml:space="preserve"> account was taken of alternative UHF TV transmissions where these were clearly the better signal for viewers to be receiving</w:t>
      </w:r>
      <w:r w:rsidR="00945477">
        <w:rPr>
          <w:rStyle w:val="FootnoteReference"/>
        </w:rPr>
        <w:footnoteReference w:id="3"/>
      </w:r>
      <w:r w:rsidR="00945477">
        <w:t>.  Interference in areas with better UHF coverage was not included in the adjacent channel figure used to determine the allotments</w:t>
      </w:r>
      <w:r>
        <w:t>.  Nevertheless</w:t>
      </w:r>
      <w:r w:rsidR="00C14F22">
        <w:t>,</w:t>
      </w:r>
      <w:r>
        <w:t xml:space="preserve"> it is possible that some households in good UHF coverage areas may still be relying on the VHF signals.  The areas around Brisbane have particularly high numbers of potential VHF viewers </w:t>
      </w:r>
      <w:r w:rsidR="00C03181">
        <w:t>including Gold Coast (317,631), Ipswich (87,267), Nambour (66,715) and Toowoomba/Warwick (101,511).  A</w:t>
      </w:r>
      <w:r>
        <w:t xml:space="preserve">ll of these areas are allotted an ‘Adjacent Block’.  </w:t>
      </w:r>
      <w:r w:rsidR="00041F30">
        <w:t>In these areas and in areas with similarly high potentially affected populations it will be particularly important for digital radio multiplex licensees to have</w:t>
      </w:r>
      <w:r>
        <w:t xml:space="preserve"> an appropriate interference management strategy in place</w:t>
      </w:r>
      <w:r w:rsidR="00041F30">
        <w:t>.</w:t>
      </w:r>
    </w:p>
    <w:p w14:paraId="4B06C3E3" w14:textId="77777777" w:rsidR="00393DF7" w:rsidRPr="00393DF7" w:rsidRDefault="00393DF7">
      <w:pPr>
        <w:rPr>
          <w:u w:val="single"/>
        </w:rPr>
      </w:pPr>
      <w:r w:rsidRPr="00393DF7">
        <w:rPr>
          <w:u w:val="single"/>
        </w:rPr>
        <w:t>Allotment Algorithm</w:t>
      </w:r>
    </w:p>
    <w:p w14:paraId="5D95B60D" w14:textId="77777777" w:rsidR="00393DF7" w:rsidRDefault="00393DF7">
      <w:r>
        <w:t>The allotment algorithm was described in the previously mentioned PowerPoint presentation from February 2017.  Put simply, the algorithm takes the input matrix of summed interference results and calculates the optimum set of allotments that minimise</w:t>
      </w:r>
      <w:r w:rsidR="004A043B">
        <w:t>s</w:t>
      </w:r>
      <w:r>
        <w:t xml:space="preserve"> the total </w:t>
      </w:r>
      <w:r w:rsidR="00E674D7">
        <w:t xml:space="preserve">(co &amp; adj channel) </w:t>
      </w:r>
      <w:r>
        <w:t>interference population.</w:t>
      </w:r>
    </w:p>
    <w:p w14:paraId="537601B7" w14:textId="3C5FA3FC" w:rsidR="006D0FC2" w:rsidRDefault="00393DF7">
      <w:r>
        <w:t>Determining the optimum set of allotments is challenging computation</w:t>
      </w:r>
      <w:r w:rsidR="004A043B">
        <w:t>ally</w:t>
      </w:r>
      <w:r>
        <w:t xml:space="preserve"> as the number of combinations increase</w:t>
      </w:r>
      <w:r w:rsidR="004A043B">
        <w:t>s</w:t>
      </w:r>
      <w:r>
        <w:t xml:space="preserve"> </w:t>
      </w:r>
      <w:r w:rsidR="006D0FC2">
        <w:t>exponentially</w:t>
      </w:r>
      <w:r>
        <w:t xml:space="preserve"> </w:t>
      </w:r>
      <w:r w:rsidR="006D0FC2">
        <w:t xml:space="preserve">for each additional area considered.  For this reason, </w:t>
      </w:r>
      <w:r w:rsidR="00496C1A">
        <w:t>eastern Australia</w:t>
      </w:r>
      <w:r w:rsidR="006D0FC2">
        <w:t xml:space="preserve"> </w:t>
      </w:r>
      <w:r w:rsidR="00496C1A">
        <w:t>was</w:t>
      </w:r>
      <w:r w:rsidR="006D0FC2">
        <w:t xml:space="preserve"> broken into groups of licence areas with some overlap.</w:t>
      </w:r>
    </w:p>
    <w:p w14:paraId="712CA005" w14:textId="77777777" w:rsidR="00393DF7" w:rsidRDefault="006D0FC2">
      <w:r>
        <w:t xml:space="preserve">The allotments for certain licence areas </w:t>
      </w:r>
      <w:r w:rsidR="004A043B">
        <w:t>can</w:t>
      </w:r>
      <w:r>
        <w:t xml:space="preserve"> be fixed</w:t>
      </w:r>
      <w:r w:rsidR="004A043B">
        <w:t xml:space="preserve"> in the algorithm</w:t>
      </w:r>
      <w:r>
        <w:t>.  For example</w:t>
      </w:r>
      <w:r w:rsidR="004A043B">
        <w:t>,</w:t>
      </w:r>
      <w:r>
        <w:t xml:space="preserve"> the allotments for the metropolitan licence areas were fixed</w:t>
      </w:r>
      <w:r w:rsidR="004A043B">
        <w:t>,</w:t>
      </w:r>
      <w:r>
        <w:t xml:space="preserve"> as was the allotment for Canberra which is now specified in a DRCP.  </w:t>
      </w:r>
    </w:p>
    <w:p w14:paraId="5803D826" w14:textId="4217CF77" w:rsidR="006D0FC2" w:rsidRDefault="006D0FC2">
      <w:r>
        <w:t xml:space="preserve">We ran the algorithm for </w:t>
      </w:r>
      <w:r w:rsidR="004A043B">
        <w:t>one</w:t>
      </w:r>
      <w:r>
        <w:t xml:space="preserve"> group of licence areas and then used the result to fix the allotments for the licence areas overlapping the next group.  We tried doing this in different orders and found that the best</w:t>
      </w:r>
      <w:r w:rsidR="004A043B">
        <w:t xml:space="preserve"> overall</w:t>
      </w:r>
      <w:r>
        <w:t xml:space="preserve"> result was when Victoria was run first, followed by </w:t>
      </w:r>
      <w:r w:rsidR="00E674D7">
        <w:t>S &amp; C</w:t>
      </w:r>
      <w:r w:rsidR="00852E38">
        <w:t>.</w:t>
      </w:r>
      <w:r>
        <w:t>NSW and the</w:t>
      </w:r>
      <w:r w:rsidR="00E674D7">
        <w:t>n</w:t>
      </w:r>
      <w:r>
        <w:t xml:space="preserve"> </w:t>
      </w:r>
      <w:proofErr w:type="spellStart"/>
      <w:r>
        <w:t>S.Qld</w:t>
      </w:r>
      <w:proofErr w:type="spellEnd"/>
      <w:r w:rsidR="00E674D7">
        <w:t>/N.NSW</w:t>
      </w:r>
      <w:r>
        <w:t xml:space="preserve">. As there </w:t>
      </w:r>
      <w:r w:rsidR="004A043B">
        <w:t>is</w:t>
      </w:r>
      <w:r>
        <w:t xml:space="preserve"> minimal </w:t>
      </w:r>
      <w:r w:rsidR="004A043B">
        <w:t xml:space="preserve">predicted </w:t>
      </w:r>
      <w:r>
        <w:t>inter</w:t>
      </w:r>
      <w:r w:rsidR="004A043B">
        <w:t>ference</w:t>
      </w:r>
      <w:r>
        <w:t xml:space="preserve"> between Tasmania</w:t>
      </w:r>
      <w:r w:rsidR="004A043B">
        <w:t>n</w:t>
      </w:r>
      <w:r>
        <w:t xml:space="preserve"> and Victoria</w:t>
      </w:r>
      <w:r w:rsidR="004A043B">
        <w:t>n licence areas</w:t>
      </w:r>
      <w:r>
        <w:t xml:space="preserve"> and only </w:t>
      </w:r>
      <w:r w:rsidR="004A043B">
        <w:t>six</w:t>
      </w:r>
      <w:r>
        <w:t xml:space="preserve"> Tasmanian licence areas, the Tasmanian allotments were done manually.</w:t>
      </w:r>
    </w:p>
    <w:p w14:paraId="26881F38" w14:textId="77777777" w:rsidR="004A043B" w:rsidRPr="004A043B" w:rsidRDefault="004A043B">
      <w:pPr>
        <w:rPr>
          <w:u w:val="single"/>
        </w:rPr>
      </w:pPr>
      <w:r w:rsidRPr="004A043B">
        <w:rPr>
          <w:u w:val="single"/>
        </w:rPr>
        <w:t>Allotment algorithm output tables</w:t>
      </w:r>
    </w:p>
    <w:p w14:paraId="4F227305" w14:textId="337FB1DB" w:rsidR="00EC7573" w:rsidRDefault="00945477">
      <w:r w:rsidRPr="00F631AB">
        <w:t xml:space="preserve">A word document named </w:t>
      </w:r>
      <w:hyperlink r:id="rId22" w:history="1">
        <w:r w:rsidR="00F631AB" w:rsidRPr="00F631AB">
          <w:rPr>
            <w:rStyle w:val="Hyperlink"/>
            <w:rFonts w:ascii="Segoe UI" w:hAnsi="Segoe UI" w:cs="Segoe UI"/>
            <w:sz w:val="20"/>
            <w:szCs w:val="20"/>
          </w:rPr>
          <w:t>Allotment Algorithm Output Tables</w:t>
        </w:r>
      </w:hyperlink>
      <w:r w:rsidR="004A043B" w:rsidRPr="00F631AB">
        <w:t xml:space="preserve"> </w:t>
      </w:r>
      <w:r w:rsidRPr="00F631AB">
        <w:t xml:space="preserve">is available on the SharePoint </w:t>
      </w:r>
      <w:r w:rsidR="004A043B" w:rsidRPr="00F631AB">
        <w:t>that</w:t>
      </w:r>
      <w:r w:rsidR="004A043B">
        <w:t xml:space="preserve"> shows the allotments </w:t>
      </w:r>
      <w:r w:rsidR="00927A72">
        <w:t>in tabular form</w:t>
      </w:r>
      <w:r w:rsidR="004A043B">
        <w:t xml:space="preserve">.  </w:t>
      </w:r>
      <w:r w:rsidR="00C0413B">
        <w:t>A</w:t>
      </w:r>
      <w:r w:rsidR="007316AE">
        <w:t xml:space="preserve">reas in bolded text </w:t>
      </w:r>
      <w:r w:rsidR="00C0413B">
        <w:t>were fixed during the process of determining the allotments or, prior to November 2018, were incorporated in a DRCP</w:t>
      </w:r>
      <w:r w:rsidR="007316AE">
        <w:t>.</w:t>
      </w:r>
    </w:p>
    <w:p w14:paraId="77A37230" w14:textId="77777777" w:rsidR="007316AE" w:rsidRDefault="004642A8">
      <w:r>
        <w:rPr>
          <w:noProof/>
          <w:lang w:eastAsia="en-AU"/>
        </w:rPr>
        <w:lastRenderedPageBreak/>
        <w:drawing>
          <wp:inline distT="0" distB="0" distL="0" distR="0" wp14:anchorId="0F4820B6" wp14:editId="5D1B95B2">
            <wp:extent cx="5731510" cy="1920875"/>
            <wp:effectExtent l="0" t="0" r="254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1510" cy="1920875"/>
                    </a:xfrm>
                    <a:prstGeom prst="rect">
                      <a:avLst/>
                    </a:prstGeom>
                  </pic:spPr>
                </pic:pic>
              </a:graphicData>
            </a:graphic>
          </wp:inline>
        </w:drawing>
      </w:r>
    </w:p>
    <w:p w14:paraId="54608071" w14:textId="77777777" w:rsidR="004642A8" w:rsidRPr="004642A8" w:rsidRDefault="004642A8">
      <w:pPr>
        <w:rPr>
          <w:i/>
        </w:rPr>
      </w:pPr>
      <w:r w:rsidRPr="004642A8">
        <w:rPr>
          <w:i/>
        </w:rPr>
        <w:t xml:space="preserve">Figure 5: </w:t>
      </w:r>
      <w:r>
        <w:rPr>
          <w:i/>
        </w:rPr>
        <w:t>Allotment algorithm output for Southern &amp; Central NSW (Rev.1)</w:t>
      </w:r>
    </w:p>
    <w:p w14:paraId="152C4333" w14:textId="77777777" w:rsidR="007316AE" w:rsidRPr="00805498" w:rsidRDefault="00805498">
      <w:pPr>
        <w:rPr>
          <w:u w:val="single"/>
        </w:rPr>
      </w:pPr>
      <w:r w:rsidRPr="00805498">
        <w:rPr>
          <w:u w:val="single"/>
        </w:rPr>
        <w:t>Overall interference populations</w:t>
      </w:r>
    </w:p>
    <w:p w14:paraId="5E1AAE54" w14:textId="3D232634" w:rsidR="00E05BBB" w:rsidRPr="002B6E34" w:rsidRDefault="00D97B2B" w:rsidP="00E05BBB">
      <w:r>
        <w:t>Once</w:t>
      </w:r>
      <w:r w:rsidR="00805498">
        <w:t xml:space="preserve"> the allotments </w:t>
      </w:r>
      <w:r>
        <w:t xml:space="preserve">were </w:t>
      </w:r>
      <w:r w:rsidR="00805498">
        <w:t>determined</w:t>
      </w:r>
      <w:r>
        <w:t xml:space="preserve"> by the algorithm calculating the total of the pair-wise interference results</w:t>
      </w:r>
      <w:r w:rsidR="00805498">
        <w:t>, further interferenc</w:t>
      </w:r>
      <w:r w:rsidR="00857727">
        <w:t>e predictions were performed to find</w:t>
      </w:r>
      <w:r w:rsidR="00805498">
        <w:t xml:space="preserve"> the interference into each licence area (or remote sub-area) from all other licence areas (or remote sub-areas) on the same allotment.  </w:t>
      </w:r>
      <w:r w:rsidR="00E05BBB">
        <w:t>As before, the more distant areas that would clearly have no potential to interfere were excluded from the calculations.  As this was the final run we used the 3 second DEM</w:t>
      </w:r>
      <w:r w:rsidR="00E674D7">
        <w:rPr>
          <w:rStyle w:val="FootnoteReference"/>
        </w:rPr>
        <w:footnoteReference w:id="4"/>
      </w:r>
      <w:r w:rsidR="00E05BBB">
        <w:t xml:space="preserve"> and the CRC-predict model.  These interference levels are listed in the </w:t>
      </w:r>
      <w:r w:rsidR="00081528">
        <w:t xml:space="preserve">fourth column of the </w:t>
      </w:r>
      <w:r w:rsidR="00E05BBB">
        <w:t xml:space="preserve">‘Population Numbers’ tab of the spreadsheet: </w:t>
      </w:r>
      <w:hyperlink r:id="rId24" w:history="1">
        <w:r w:rsidR="002F4095">
          <w:rPr>
            <w:rStyle w:val="Hyperlink"/>
            <w:rFonts w:ascii="Segoe UI" w:hAnsi="Segoe UI" w:cs="Segoe UI"/>
            <w:sz w:val="20"/>
            <w:szCs w:val="20"/>
          </w:rPr>
          <w:t>Transmitter Data and Population Figures (all areas)</w:t>
        </w:r>
      </w:hyperlink>
      <w:r w:rsidR="00081528">
        <w:t>, an extract of which is shown in Figure 6.</w:t>
      </w:r>
      <w:r w:rsidR="00CF44DC">
        <w:t xml:space="preserve">  The value shown in the fourth column ‘Interference’ is the population of the area that is predicted to receive interference </w:t>
      </w:r>
      <w:r w:rsidR="006F42C8">
        <w:t>more</w:t>
      </w:r>
      <w:r w:rsidR="00CF44DC">
        <w:t xml:space="preserve"> than 1% of the time</w:t>
      </w:r>
      <w:r w:rsidR="00AD56AE">
        <w:rPr>
          <w:rStyle w:val="FootnoteReference"/>
        </w:rPr>
        <w:footnoteReference w:id="5"/>
      </w:r>
      <w:r w:rsidR="00CF44DC">
        <w:t>.</w:t>
      </w:r>
    </w:p>
    <w:p w14:paraId="409EAC33" w14:textId="77777777" w:rsidR="00805498" w:rsidRDefault="003638C6">
      <w:r>
        <w:rPr>
          <w:noProof/>
          <w:lang w:eastAsia="en-AU"/>
        </w:rPr>
        <w:drawing>
          <wp:inline distT="0" distB="0" distL="0" distR="0" wp14:anchorId="064AC2FD" wp14:editId="7D270A1F">
            <wp:extent cx="5731510" cy="1459865"/>
            <wp:effectExtent l="0" t="0" r="2540" b="6985"/>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31510" cy="1459865"/>
                    </a:xfrm>
                    <a:prstGeom prst="rect">
                      <a:avLst/>
                    </a:prstGeom>
                  </pic:spPr>
                </pic:pic>
              </a:graphicData>
            </a:graphic>
          </wp:inline>
        </w:drawing>
      </w:r>
    </w:p>
    <w:p w14:paraId="2240F8A5" w14:textId="77777777" w:rsidR="00081528" w:rsidRPr="004642A8" w:rsidRDefault="00081528" w:rsidP="00081528">
      <w:pPr>
        <w:rPr>
          <w:i/>
        </w:rPr>
      </w:pPr>
      <w:r w:rsidRPr="004642A8">
        <w:rPr>
          <w:i/>
        </w:rPr>
        <w:t xml:space="preserve">Figure </w:t>
      </w:r>
      <w:r>
        <w:rPr>
          <w:i/>
        </w:rPr>
        <w:t>6</w:t>
      </w:r>
      <w:r w:rsidRPr="004642A8">
        <w:rPr>
          <w:i/>
        </w:rPr>
        <w:t xml:space="preserve">: </w:t>
      </w:r>
      <w:r>
        <w:rPr>
          <w:i/>
        </w:rPr>
        <w:t>Extract showing interference and coverage prediction results</w:t>
      </w:r>
    </w:p>
    <w:p w14:paraId="318F9CCC" w14:textId="77777777" w:rsidR="00081528" w:rsidRDefault="00081528">
      <w:r>
        <w:t xml:space="preserve">All coverage and interference predictions have been performed using the minimum median field strength of 60 dBµV/m at 10 m </w:t>
      </w:r>
      <w:proofErr w:type="spellStart"/>
      <w:r>
        <w:t>a.g.l</w:t>
      </w:r>
      <w:proofErr w:type="spellEnd"/>
      <w:r>
        <w:t xml:space="preserve"> as the reference level for mobile DAB+ coverage. </w:t>
      </w:r>
    </w:p>
    <w:p w14:paraId="6D7F0331" w14:textId="77777777" w:rsidR="00CF44DC" w:rsidRDefault="00081528">
      <w:r>
        <w:t xml:space="preserve">The fifth column </w:t>
      </w:r>
      <w:r w:rsidR="00857727">
        <w:t xml:space="preserve">(‘%int LA’) </w:t>
      </w:r>
      <w:r>
        <w:t>list</w:t>
      </w:r>
      <w:r w:rsidR="00CF44DC">
        <w:t>s</w:t>
      </w:r>
      <w:r>
        <w:t xml:space="preserve"> the </w:t>
      </w:r>
      <w:r w:rsidR="00CF44DC">
        <w:t xml:space="preserve">population in the area predicted to receive </w:t>
      </w:r>
      <w:r>
        <w:t xml:space="preserve">interference as a percentage relative to the total licence area population.  </w:t>
      </w:r>
    </w:p>
    <w:p w14:paraId="3CAA5AC6" w14:textId="77777777" w:rsidR="00CF44DC" w:rsidRDefault="00CF44DC">
      <w:r>
        <w:t xml:space="preserve">The sixth column (‘%int &gt;60) lists the population in the area predicted to receive interference as a percentage relative to the population that would receive greater the 60 dBuV/m in the absence of interference.  </w:t>
      </w:r>
    </w:p>
    <w:p w14:paraId="6E692E07" w14:textId="77777777" w:rsidR="00081528" w:rsidRDefault="00081528">
      <w:r>
        <w:t xml:space="preserve">The cells in these columns are coloured if the percentage </w:t>
      </w:r>
      <w:r w:rsidR="00CF44DC">
        <w:t xml:space="preserve">value </w:t>
      </w:r>
      <w:r>
        <w:t>exceeds 2% (</w:t>
      </w:r>
      <w:r w:rsidR="00E674D7">
        <w:t>gold</w:t>
      </w:r>
      <w:r>
        <w:t>) or 5% (red).</w:t>
      </w:r>
    </w:p>
    <w:p w14:paraId="5417A30D" w14:textId="77777777" w:rsidR="00B411C8" w:rsidRDefault="00B411C8">
      <w:r>
        <w:t xml:space="preserve">The seventh column </w:t>
      </w:r>
      <w:r w:rsidR="007B7D44">
        <w:t>(</w:t>
      </w:r>
      <w:proofErr w:type="spellStart"/>
      <w:r>
        <w:t>Cov</w:t>
      </w:r>
      <w:proofErr w:type="spellEnd"/>
      <w:r w:rsidR="007B7D44">
        <w:t>)</w:t>
      </w:r>
      <w:r>
        <w:t xml:space="preserve"> indicates the population </w:t>
      </w:r>
      <w:r w:rsidR="00676CD8">
        <w:t xml:space="preserve">of the area </w:t>
      </w:r>
      <w:r w:rsidR="00176874">
        <w:t xml:space="preserve">that is </w:t>
      </w:r>
      <w:r>
        <w:t>predicted to be covered in the presence of interfer</w:t>
      </w:r>
      <w:r w:rsidR="00B50DCD">
        <w:t>ing signals from other licence areas</w:t>
      </w:r>
      <w:r>
        <w:t xml:space="preserve">, while the eleventh column </w:t>
      </w:r>
      <w:r w:rsidR="007B7D44">
        <w:t xml:space="preserve">(Pop&gt;60) </w:t>
      </w:r>
      <w:r>
        <w:lastRenderedPageBreak/>
        <w:t>indicates the population</w:t>
      </w:r>
      <w:r w:rsidRPr="00B411C8">
        <w:t xml:space="preserve"> </w:t>
      </w:r>
      <w:r w:rsidR="00B50DCD">
        <w:t xml:space="preserve">of the area </w:t>
      </w:r>
      <w:r>
        <w:t xml:space="preserve">predicted to be covered in the absence of </w:t>
      </w:r>
      <w:r w:rsidR="00B50DCD">
        <w:t>any interfering signals</w:t>
      </w:r>
      <w:r>
        <w:t xml:space="preserve">.  </w:t>
      </w:r>
      <w:r w:rsidR="00E674D7">
        <w:t>Both these population figures relate to coverage within the licence area</w:t>
      </w:r>
      <w:r w:rsidR="00176874">
        <w:t xml:space="preserve"> (coverage outside the licence area is not included)</w:t>
      </w:r>
      <w:r w:rsidR="00E674D7">
        <w:t xml:space="preserve">.  </w:t>
      </w:r>
      <w:r>
        <w:t>There are comment fields in the spreadsheet column headings that explain the content of each column.  The headings with comments have a small red triangle in the upper right corner.</w:t>
      </w:r>
    </w:p>
    <w:p w14:paraId="386B8017" w14:textId="77777777" w:rsidR="00081528" w:rsidRPr="00C50CFC" w:rsidRDefault="00F44608">
      <w:pPr>
        <w:rPr>
          <w:u w:val="single"/>
        </w:rPr>
      </w:pPr>
      <w:r w:rsidRPr="00C50CFC">
        <w:rPr>
          <w:u w:val="single"/>
        </w:rPr>
        <w:t>Allotment maps</w:t>
      </w:r>
    </w:p>
    <w:p w14:paraId="0F1DBB90" w14:textId="355605FA" w:rsidR="00F44608" w:rsidRDefault="00F44608">
      <w:r>
        <w:t>A map has been produced for each licence area that shows the coverage and interference from all relevant co-channel areas</w:t>
      </w:r>
      <w:r w:rsidR="00C50CFC">
        <w:t xml:space="preserve"> with the same allotment</w:t>
      </w:r>
      <w:r>
        <w:t>.</w:t>
      </w:r>
      <w:r w:rsidR="00C50CFC">
        <w:t xml:space="preserve">  </w:t>
      </w:r>
      <w:r w:rsidR="00857727">
        <w:t xml:space="preserve">The maps </w:t>
      </w:r>
      <w:r w:rsidR="00FA66A8">
        <w:t xml:space="preserve">for each area with the same allotment </w:t>
      </w:r>
      <w:r w:rsidR="00857727">
        <w:t xml:space="preserve">can be found in </w:t>
      </w:r>
      <w:r w:rsidR="00FA66A8">
        <w:t xml:space="preserve">a </w:t>
      </w:r>
      <w:hyperlink r:id="rId26" w:history="1">
        <w:r w:rsidR="00FA66A8" w:rsidRPr="00FA66A8">
          <w:rPr>
            <w:rStyle w:val="Hyperlink"/>
          </w:rPr>
          <w:t>zip file</w:t>
        </w:r>
        <w:r w:rsidR="00857727" w:rsidRPr="00FA66A8">
          <w:rPr>
            <w:rStyle w:val="Hyperlink"/>
          </w:rPr>
          <w:t xml:space="preserve"> folder</w:t>
        </w:r>
      </w:hyperlink>
      <w:r w:rsidR="00FA66A8">
        <w:t>.</w:t>
      </w:r>
      <w:r w:rsidR="00857727">
        <w:t xml:space="preserve">  </w:t>
      </w:r>
      <w:r w:rsidR="00C50CFC">
        <w:t>All co-channelled areas (including those too distant to interfere) are listed on the map.</w:t>
      </w:r>
      <w:r>
        <w:t xml:space="preserve">  Covered areas free from predicted interference are shown in blue and green colours.  Areas of potential interference area shown in yellow, orange, and red.</w:t>
      </w:r>
      <w:r w:rsidR="00C50CFC">
        <w:t xml:space="preserve">  Note that the interference predictions are for interference that could occur for </w:t>
      </w:r>
      <w:r w:rsidR="00582960">
        <w:t>less</w:t>
      </w:r>
      <w:r w:rsidR="00C50CFC">
        <w:t xml:space="preserve"> than 1% of the time.  In practice some areas with interference shown may not be noticeable most of the time.  On the other hand, the predictions do not take account of local clutter or obstructions</w:t>
      </w:r>
      <w:r w:rsidR="00D97B2B">
        <w:t>,</w:t>
      </w:r>
      <w:r w:rsidR="00C50CFC">
        <w:t xml:space="preserve"> so </w:t>
      </w:r>
      <w:r w:rsidR="00D97B2B">
        <w:t xml:space="preserve">it is possible </w:t>
      </w:r>
      <w:r w:rsidR="00C50CFC">
        <w:t>they could over predict coverage</w:t>
      </w:r>
      <w:r w:rsidR="00D84A8C">
        <w:t xml:space="preserve"> and/or interference</w:t>
      </w:r>
      <w:r w:rsidR="00C50CFC">
        <w:t>.</w:t>
      </w:r>
    </w:p>
    <w:p w14:paraId="02B1488D" w14:textId="77777777" w:rsidR="00E7651D" w:rsidRDefault="00E7651D">
      <w:r>
        <w:t>To mitigate interference, licensees could consider providing additional repeaters in areas where interference is shown.</w:t>
      </w:r>
      <w:r w:rsidR="007F7153">
        <w:t xml:space="preserve">  For example</w:t>
      </w:r>
      <w:r w:rsidR="00DE6E4A">
        <w:t>,</w:t>
      </w:r>
      <w:r w:rsidR="007F7153">
        <w:t xml:space="preserve"> the northern part of the Murwillumbah licence area appears to receive interference.  An additional repeater in this area could potentially overcome this interference.  In </w:t>
      </w:r>
      <w:r w:rsidR="00DE6E4A">
        <w:t>developing</w:t>
      </w:r>
      <w:r w:rsidR="007F7153">
        <w:t xml:space="preserve"> </w:t>
      </w:r>
      <w:r w:rsidR="00DE6E4A">
        <w:t xml:space="preserve">a proposal for </w:t>
      </w:r>
      <w:r w:rsidR="007F7153">
        <w:t>such a repeater</w:t>
      </w:r>
      <w:r w:rsidR="00DE6E4A">
        <w:t>,</w:t>
      </w:r>
      <w:r w:rsidR="007F7153">
        <w:t xml:space="preserve"> consideration </w:t>
      </w:r>
      <w:r w:rsidR="00DE6E4A">
        <w:t>should</w:t>
      </w:r>
      <w:r w:rsidR="007F7153">
        <w:t xml:space="preserve"> need to be given to minimising interference to other areas with the same allotment </w:t>
      </w:r>
      <w:r w:rsidR="006B78B0">
        <w:t>(in this case to</w:t>
      </w:r>
      <w:r w:rsidR="007F7153">
        <w:t xml:space="preserve"> Ipswich</w:t>
      </w:r>
      <w:r w:rsidR="006B78B0">
        <w:rPr>
          <w:rStyle w:val="FootnoteReference"/>
        </w:rPr>
        <w:footnoteReference w:id="6"/>
      </w:r>
      <w:r w:rsidR="006B78B0">
        <w:t>)</w:t>
      </w:r>
      <w:r w:rsidR="007F7153">
        <w:t>, as well as minimising signal overspill.</w:t>
      </w:r>
      <w:r w:rsidR="002A36C9">
        <w:t xml:space="preserve">  A further factor to consider is timing, as this additional repeater would not be needed until a digital radio multiplex commences in Ipswich.</w:t>
      </w:r>
    </w:p>
    <w:p w14:paraId="6638F667" w14:textId="77777777" w:rsidR="007F7153" w:rsidRDefault="00C616B6">
      <w:r>
        <w:rPr>
          <w:noProof/>
          <w:lang w:eastAsia="en-AU"/>
        </w:rPr>
        <w:drawing>
          <wp:anchor distT="0" distB="0" distL="114300" distR="114300" simplePos="0" relativeHeight="251666432" behindDoc="0" locked="0" layoutInCell="1" allowOverlap="1" wp14:anchorId="5DBC3987" wp14:editId="18F7CA09">
            <wp:simplePos x="0" y="0"/>
            <wp:positionH relativeFrom="column">
              <wp:posOffset>4635500</wp:posOffset>
            </wp:positionH>
            <wp:positionV relativeFrom="paragraph">
              <wp:posOffset>5080</wp:posOffset>
            </wp:positionV>
            <wp:extent cx="1096010" cy="1571625"/>
            <wp:effectExtent l="0" t="0" r="889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cstate="print">
                      <a:extLst>
                        <a:ext uri="{28A0092B-C50C-407E-A947-70E740481C1C}">
                          <a14:useLocalDpi xmlns:a14="http://schemas.microsoft.com/office/drawing/2010/main" val="0"/>
                        </a:ext>
                      </a:extLst>
                    </a:blip>
                    <a:stretch>
                      <a:fillRect/>
                    </a:stretch>
                  </pic:blipFill>
                  <pic:spPr>
                    <a:xfrm>
                      <a:off x="0" y="0"/>
                      <a:ext cx="1096010" cy="1571625"/>
                    </a:xfrm>
                    <a:prstGeom prst="rect">
                      <a:avLst/>
                    </a:prstGeom>
                  </pic:spPr>
                </pic:pic>
              </a:graphicData>
            </a:graphic>
          </wp:anchor>
        </w:drawing>
      </w:r>
      <w:r w:rsidR="007F7153">
        <w:rPr>
          <w:noProof/>
          <w:lang w:eastAsia="en-AU"/>
        </w:rPr>
        <mc:AlternateContent>
          <mc:Choice Requires="wps">
            <w:drawing>
              <wp:anchor distT="0" distB="0" distL="114300" distR="114300" simplePos="0" relativeHeight="251660288" behindDoc="0" locked="0" layoutInCell="1" allowOverlap="1" wp14:anchorId="750E7483" wp14:editId="4698BD1A">
                <wp:simplePos x="0" y="0"/>
                <wp:positionH relativeFrom="column">
                  <wp:posOffset>2795905</wp:posOffset>
                </wp:positionH>
                <wp:positionV relativeFrom="paragraph">
                  <wp:posOffset>1094399</wp:posOffset>
                </wp:positionV>
                <wp:extent cx="829622" cy="987068"/>
                <wp:effectExtent l="19050" t="19050" r="27940" b="22860"/>
                <wp:wrapNone/>
                <wp:docPr id="10" name="Oval 10"/>
                <wp:cNvGraphicFramePr/>
                <a:graphic xmlns:a="http://schemas.openxmlformats.org/drawingml/2006/main">
                  <a:graphicData uri="http://schemas.microsoft.com/office/word/2010/wordprocessingShape">
                    <wps:wsp>
                      <wps:cNvSpPr/>
                      <wps:spPr>
                        <a:xfrm>
                          <a:off x="0" y="0"/>
                          <a:ext cx="829622" cy="987068"/>
                        </a:xfrm>
                        <a:prstGeom prst="ellipse">
                          <a:avLst/>
                        </a:prstGeom>
                        <a:noFill/>
                        <a:ln w="28575">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03BC588" id="Oval 10" o:spid="_x0000_s1026" style="position:absolute;margin-left:220.15pt;margin-top:86.15pt;width:65.3pt;height:77.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H4dRmgIAAI0FAAAOAAAAZHJzL2Uyb0RvYy54bWysVMFu2zAMvQ/YPwi6r3aMpk2NOkXQosOA&#10;oi3WDj0rshQbkEVNUuJkXz9Ksp1gLXYYloMjiuQj+UTy+mbfKbIT1rWgKzo7yykRmkPd6k1Ff7ze&#10;f1lQ4jzTNVOgRUUPwtGb5edP170pRQENqFpYgiDalb2paOO9KbPM8UZ0zJ2BERqVEmzHPIp2k9WW&#10;9YjeqazI84usB1sbC1w4h7d3SUmXEV9Kwf2TlE54oiqKufn4tfG7Dt9sec3KjWWmafmQBvuHLDrW&#10;agw6Qd0xz8jWtu+gupZbcCD9GYcuAylbLmINWM0s/6Oal4YZEWtBcpyZaHL/D5Y/7p4taWt8O6RH&#10;sw7f6GnHFEERuemNK9HkxTzbQXJ4DIXupe3CP5ZA9pHPw8Sn2HvC8XJRXF0UBSUcVVeLy/xiETCz&#10;o7Oxzn8V0JFwqKhQqjUuVMxKtntwPlmPVuFaw32rFN6zUmnSV7RYzC/n0cOBauugDcrYQOJWWYLF&#10;VHS9mQ2hT6wwEaUxn1BkKiue/EGJhP9dSKQGCylSgNCUR0zGudB+llQNq0UKNc/xNwYbPWLVSiNg&#10;QJaY5IQ9AIyWCWTETgQM9sFVxJ6enPO/JZacJ48YGbSfnLtWg/0IQGFVQ+RkP5KUqAksraE+YONY&#10;SBPlDL9v8Q0fmPPPzOIIYTfhWvBP+JEK8KFgOFHSgP310X2wx85GLSU9jmRF3c8ts4IS9U1jz1/N&#10;zs/DDEfhfH5ZoGBPNetTjd52t4BPP8MFZHg8BnuvxqO00L3h9liFqKhimmPsinJvR+HWp1WB+4eL&#10;1Sqa4dwa5h/0i+EBPLAaGvR1/8asGRrZ4wQ8wji+75o52QZPDautB9nGTj/yOvCNMx8bZ9hPYamc&#10;ytHquEWXvwEAAP//AwBQSwMEFAAGAAgAAAAhAFQu6srjAAAACwEAAA8AAABkcnMvZG93bnJldi54&#10;bWxMj01Lw0AQhu+C/2EZwYu0u01iozGbUqSCFFFaFa/b7JiE7kfIbtv47zue9DbD+/DOM+VitIYd&#10;cQiddxJmUwEMXe115xoJH+9PkztgISqnlfEOJfxggEV1eVGqQvuT2+BxGxtGJS4USkIbY19wHuoW&#10;rQpT36Oj7NsPVkVah4brQZ2o3BqeCDHnVnWOLrSqx8cW6/32YCUsV4l5/nzJ9tivN2+zm1X6ujZf&#10;Ul5fjcsHYBHH+AfDrz6pQ0VOO39wOjAjIctESigFeUIDEbe5uAe2k5AmeQ68Kvn/H6ozAAAA//8D&#10;AFBLAQItABQABgAIAAAAIQC2gziS/gAAAOEBAAATAAAAAAAAAAAAAAAAAAAAAABbQ29udGVudF9U&#10;eXBlc10ueG1sUEsBAi0AFAAGAAgAAAAhADj9If/WAAAAlAEAAAsAAAAAAAAAAAAAAAAALwEAAF9y&#10;ZWxzLy5yZWxzUEsBAi0AFAAGAAgAAAAhAC4fh1GaAgAAjQUAAA4AAAAAAAAAAAAAAAAALgIAAGRy&#10;cy9lMm9Eb2MueG1sUEsBAi0AFAAGAAgAAAAhAFQu6srjAAAACwEAAA8AAAAAAAAAAAAAAAAA9AQA&#10;AGRycy9kb3ducmV2LnhtbFBLBQYAAAAABAAEAPMAAAAEBgAAAAA=&#10;" filled="f" strokecolor="white [3212]" strokeweight="2.25pt">
                <v:stroke joinstyle="miter"/>
              </v:oval>
            </w:pict>
          </mc:Fallback>
        </mc:AlternateContent>
      </w:r>
      <w:r w:rsidR="00B17084">
        <w:rPr>
          <w:noProof/>
          <w:lang w:eastAsia="en-AU"/>
        </w:rPr>
        <w:drawing>
          <wp:inline distT="0" distB="0" distL="0" distR="0" wp14:anchorId="6C9B5D7E" wp14:editId="1F5E9CD1">
            <wp:extent cx="5731510" cy="3404235"/>
            <wp:effectExtent l="0" t="0" r="2540" b="5715"/>
            <wp:docPr id="4" name="Picture 4">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31510" cy="3404235"/>
                    </a:xfrm>
                    <a:prstGeom prst="rect">
                      <a:avLst/>
                    </a:prstGeom>
                  </pic:spPr>
                </pic:pic>
              </a:graphicData>
            </a:graphic>
          </wp:inline>
        </w:drawing>
      </w:r>
    </w:p>
    <w:p w14:paraId="3251BB91" w14:textId="77777777" w:rsidR="00EB3C3C" w:rsidRPr="00EB3C3C" w:rsidRDefault="00EB3C3C">
      <w:pPr>
        <w:rPr>
          <w:i/>
        </w:rPr>
      </w:pPr>
      <w:r w:rsidRPr="00EB3C3C">
        <w:rPr>
          <w:i/>
        </w:rPr>
        <w:t>Figure 7: Part of the coverage and interference map for Allotment 6: Murwillumbah RA1</w:t>
      </w:r>
      <w:r>
        <w:rPr>
          <w:i/>
        </w:rPr>
        <w:t xml:space="preserve"> highlighting interference in the Broadbeach to Burleigh Heads region.</w:t>
      </w:r>
      <w:r w:rsidR="00C616B6" w:rsidRPr="00C616B6">
        <w:rPr>
          <w:noProof/>
          <w:lang w:eastAsia="en-AU"/>
        </w:rPr>
        <w:t xml:space="preserve"> </w:t>
      </w:r>
    </w:p>
    <w:p w14:paraId="0495749C" w14:textId="47BB4FE1" w:rsidR="002A36C9" w:rsidRDefault="00857727" w:rsidP="002A36C9">
      <w:r>
        <w:lastRenderedPageBreak/>
        <w:t>A</w:t>
      </w:r>
      <w:r w:rsidRPr="004404A7">
        <w:t xml:space="preserve">dditional </w:t>
      </w:r>
      <w:r w:rsidR="00981286">
        <w:t xml:space="preserve">overview </w:t>
      </w:r>
      <w:r w:rsidRPr="004404A7">
        <w:t>map</w:t>
      </w:r>
      <w:r w:rsidR="00981286">
        <w:t>s</w:t>
      </w:r>
      <w:r>
        <w:t xml:space="preserve"> (</w:t>
      </w:r>
      <w:r w:rsidR="00981286">
        <w:t xml:space="preserve">see folder: </w:t>
      </w:r>
      <w:hyperlink r:id="rId30" w:history="1">
        <w:r w:rsidR="00981286">
          <w:rPr>
            <w:rStyle w:val="Hyperlink"/>
            <w:rFonts w:ascii="Segoe UI" w:hAnsi="Segoe UI" w:cs="Segoe UI"/>
            <w:sz w:val="20"/>
            <w:szCs w:val="20"/>
          </w:rPr>
          <w:t>Overview maps</w:t>
        </w:r>
      </w:hyperlink>
      <w:r>
        <w:t>) ha</w:t>
      </w:r>
      <w:r w:rsidR="00981286">
        <w:t>ve</w:t>
      </w:r>
      <w:r>
        <w:t xml:space="preserve"> </w:t>
      </w:r>
      <w:r w:rsidR="002A36C9">
        <w:t xml:space="preserve">also been produced that illustrates all of the allotment numbers for each licence area and remote sub-area.  Remote sub-area allotments are illustrated by transmitter icons, while different coloured licence areas are used to illustrate the licence area allotments.  </w:t>
      </w:r>
    </w:p>
    <w:p w14:paraId="74A72A5C" w14:textId="77777777" w:rsidR="00C904DF" w:rsidRPr="00C904DF" w:rsidRDefault="00C904DF">
      <w:pPr>
        <w:rPr>
          <w:u w:val="single"/>
        </w:rPr>
      </w:pPr>
      <w:r w:rsidRPr="00C904DF">
        <w:rPr>
          <w:u w:val="single"/>
        </w:rPr>
        <w:t>Single frequency networks</w:t>
      </w:r>
    </w:p>
    <w:p w14:paraId="4C10F346" w14:textId="5B9E67C8" w:rsidR="00E51C11" w:rsidRDefault="00C50CFC">
      <w:r>
        <w:t xml:space="preserve">It should be noted that </w:t>
      </w:r>
      <w:r w:rsidR="00CD4D91">
        <w:t xml:space="preserve">all of </w:t>
      </w:r>
      <w:r w:rsidR="00C904DF">
        <w:t xml:space="preserve">the transmitters in </w:t>
      </w:r>
      <w:r w:rsidR="002A36C9">
        <w:t xml:space="preserve">a </w:t>
      </w:r>
      <w:r w:rsidR="00C904DF">
        <w:t xml:space="preserve">licence area (or remote sub-area) will need to </w:t>
      </w:r>
      <w:r w:rsidR="00CD4D91">
        <w:t>operate on the same allotment.</w:t>
      </w:r>
      <w:r w:rsidR="00C904DF">
        <w:t xml:space="preserve">  That is</w:t>
      </w:r>
      <w:r w:rsidR="002A36C9">
        <w:t>,</w:t>
      </w:r>
      <w:r w:rsidR="00C904DF">
        <w:t xml:space="preserve"> </w:t>
      </w:r>
      <w:r w:rsidR="00CD4D91">
        <w:t xml:space="preserve">they will all operate </w:t>
      </w:r>
      <w:r w:rsidR="00C904DF">
        <w:t xml:space="preserve">on the same frequency, </w:t>
      </w:r>
      <w:r w:rsidR="002A36C9">
        <w:t xml:space="preserve">and be </w:t>
      </w:r>
      <w:r w:rsidR="00C904DF">
        <w:t>operat</w:t>
      </w:r>
      <w:r w:rsidR="002A36C9">
        <w:t>ed</w:t>
      </w:r>
      <w:r w:rsidR="00C904DF">
        <w:t xml:space="preserve"> as a single frequency network (SFN).  SFNs can have ‘self-interference’</w:t>
      </w:r>
      <w:r w:rsidR="00E51C11">
        <w:t xml:space="preserve"> where the transmitters within the same network interfere with each other.  Whether self-interference occurs at a particular point depends on the relative level and time of arrival of signals from different transmitters.  If the signal levels and relative delays are within certain </w:t>
      </w:r>
      <w:r w:rsidR="00981286">
        <w:t>limits,</w:t>
      </w:r>
      <w:r w:rsidR="00E51C11">
        <w:t xml:space="preserve"> then interference does not occur</w:t>
      </w:r>
      <w:r w:rsidR="00C904DF">
        <w:t xml:space="preserve">.  </w:t>
      </w:r>
    </w:p>
    <w:p w14:paraId="415194FA" w14:textId="77777777" w:rsidR="00C50CFC" w:rsidRDefault="00C904DF">
      <w:r>
        <w:t>An SFN needs to be carefully designed to minimise the potential for self-interference.  Delaying the transmission at some transmitter or repeater sites is a way of preventing such interference or to steer such interference into less populated areas.  Adjustment of transmission power</w:t>
      </w:r>
      <w:r w:rsidR="00E51C11">
        <w:t xml:space="preserve">s and antenna radiation patterns are additional </w:t>
      </w:r>
      <w:r>
        <w:t>way</w:t>
      </w:r>
      <w:r w:rsidR="00E51C11">
        <w:t>s to</w:t>
      </w:r>
      <w:r>
        <w:t xml:space="preserve"> manag</w:t>
      </w:r>
      <w:r w:rsidR="00E51C11">
        <w:t>e</w:t>
      </w:r>
      <w:r>
        <w:t xml:space="preserve"> the potential self-interference.</w:t>
      </w:r>
      <w:r w:rsidR="002A36C9">
        <w:t xml:space="preserve">  In areas where the transmission timing is not critical, it might be possible to operate a repeater as an ‘on-channel repeater’ OCR, which receives the main transmitter off-air and retransmits it on the same frequency.</w:t>
      </w:r>
    </w:p>
    <w:p w14:paraId="71CD1EC6" w14:textId="77777777" w:rsidR="00C904DF" w:rsidRDefault="00C904DF">
      <w:pPr>
        <w:rPr>
          <w:b/>
        </w:rPr>
      </w:pPr>
      <w:r>
        <w:t>As SFN design is a complex area, the allotment studies have not addressed or predicted the extent of self-interference</w:t>
      </w:r>
      <w:r w:rsidR="00E51C11">
        <w:t xml:space="preserve"> for the notional transmitter networks</w:t>
      </w:r>
      <w:r>
        <w:t xml:space="preserve">.  All coverage and interference results presented assume no self-interference.  </w:t>
      </w:r>
      <w:r w:rsidRPr="00E51C11">
        <w:rPr>
          <w:b/>
        </w:rPr>
        <w:t>It is the responsibility of broadcasters to design their transmitter network to manage self-interference.</w:t>
      </w:r>
    </w:p>
    <w:p w14:paraId="6522779B" w14:textId="77777777" w:rsidR="001021D1" w:rsidRPr="0063287A" w:rsidRDefault="001021D1" w:rsidP="001021D1">
      <w:pPr>
        <w:rPr>
          <w:b/>
        </w:rPr>
      </w:pPr>
      <w:r w:rsidRPr="0063287A">
        <w:rPr>
          <w:b/>
        </w:rPr>
        <w:t>Summary</w:t>
      </w:r>
    </w:p>
    <w:p w14:paraId="765361E0" w14:textId="518C3C66" w:rsidR="001021D1" w:rsidRDefault="001021D1" w:rsidP="001021D1">
      <w:r>
        <w:t>This document has provided an overview of the allotment planning process and a guide to the allotment results.  An example showing the results to look for is provided below.  This example is based around the Gold Coast licence area.</w:t>
      </w:r>
    </w:p>
    <w:p w14:paraId="77DED624" w14:textId="77777777" w:rsidR="001021D1" w:rsidRDefault="001021D1" w:rsidP="001021D1">
      <w:r>
        <w:t xml:space="preserve">For further information contact </w:t>
      </w:r>
      <w:hyperlink r:id="rId31" w:history="1">
        <w:r w:rsidRPr="0048018E">
          <w:rPr>
            <w:rStyle w:val="Hyperlink"/>
          </w:rPr>
          <w:t>broadcastplanning@acma.gov.au</w:t>
        </w:r>
      </w:hyperlink>
    </w:p>
    <w:p w14:paraId="787BCA1B" w14:textId="77777777" w:rsidR="001021D1" w:rsidRDefault="001021D1">
      <w:pPr>
        <w:rPr>
          <w:b/>
        </w:rPr>
      </w:pPr>
    </w:p>
    <w:p w14:paraId="400568D7" w14:textId="77777777" w:rsidR="00CF44DC" w:rsidRDefault="00CF44DC">
      <w:pPr>
        <w:rPr>
          <w:b/>
        </w:rPr>
      </w:pPr>
      <w:r>
        <w:rPr>
          <w:b/>
        </w:rPr>
        <w:br w:type="page"/>
      </w:r>
    </w:p>
    <w:p w14:paraId="2A93E3D6" w14:textId="77777777" w:rsidR="002A36C9" w:rsidRDefault="003638C6" w:rsidP="0063287A">
      <w:pPr>
        <w:tabs>
          <w:tab w:val="left" w:pos="1430"/>
        </w:tabs>
        <w:rPr>
          <w:b/>
        </w:rPr>
      </w:pPr>
      <w:r>
        <w:rPr>
          <w:b/>
        </w:rPr>
        <w:lastRenderedPageBreak/>
        <w:t>Example</w:t>
      </w:r>
      <w:r w:rsidR="0063287A">
        <w:rPr>
          <w:b/>
        </w:rPr>
        <w:t>: Gold Coast</w:t>
      </w:r>
    </w:p>
    <w:p w14:paraId="06985985" w14:textId="77777777" w:rsidR="004012EE" w:rsidRDefault="003638C6">
      <w:r>
        <w:t>Using Gold Coast as an example t</w:t>
      </w:r>
      <w:r w:rsidR="004012EE">
        <w:t>he key results licensees should look for are:</w:t>
      </w:r>
    </w:p>
    <w:p w14:paraId="1DAEEF74" w14:textId="77777777" w:rsidR="002A36C9" w:rsidRPr="0063287A" w:rsidRDefault="004012EE" w:rsidP="00FE73D0">
      <w:pPr>
        <w:keepNext/>
        <w:rPr>
          <w:i/>
        </w:rPr>
      </w:pPr>
      <w:r w:rsidRPr="0063287A">
        <w:rPr>
          <w:i/>
        </w:rPr>
        <w:t>1. Allotment number/ frequency block</w:t>
      </w:r>
      <w:r w:rsidR="003638C6" w:rsidRPr="0063287A">
        <w:rPr>
          <w:i/>
        </w:rPr>
        <w:t>: Gold Coast = 4 / 9D</w:t>
      </w:r>
    </w:p>
    <w:p w14:paraId="5B24E817" w14:textId="77777777" w:rsidR="003638C6" w:rsidRDefault="003638C6">
      <w:r>
        <w:rPr>
          <w:noProof/>
          <w:lang w:eastAsia="en-AU"/>
        </w:rPr>
        <mc:AlternateContent>
          <mc:Choice Requires="wps">
            <w:drawing>
              <wp:anchor distT="0" distB="0" distL="114300" distR="114300" simplePos="0" relativeHeight="251661312" behindDoc="0" locked="0" layoutInCell="1" allowOverlap="1" wp14:anchorId="0BB2C317" wp14:editId="63F2EF91">
                <wp:simplePos x="0" y="0"/>
                <wp:positionH relativeFrom="column">
                  <wp:posOffset>1589064</wp:posOffset>
                </wp:positionH>
                <wp:positionV relativeFrom="paragraph">
                  <wp:posOffset>127635</wp:posOffset>
                </wp:positionV>
                <wp:extent cx="660064" cy="865484"/>
                <wp:effectExtent l="0" t="0" r="26035" b="11430"/>
                <wp:wrapNone/>
                <wp:docPr id="15" name="Oval 15"/>
                <wp:cNvGraphicFramePr/>
                <a:graphic xmlns:a="http://schemas.openxmlformats.org/drawingml/2006/main">
                  <a:graphicData uri="http://schemas.microsoft.com/office/word/2010/wordprocessingShape">
                    <wps:wsp>
                      <wps:cNvSpPr/>
                      <wps:spPr>
                        <a:xfrm>
                          <a:off x="0" y="0"/>
                          <a:ext cx="660064" cy="865484"/>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8F75349" id="Oval 15" o:spid="_x0000_s1026" style="position:absolute;margin-left:125.1pt;margin-top:10.05pt;width:51.95pt;height:68.1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fvmAIAAI4FAAAOAAAAZHJzL2Uyb0RvYy54bWysVE1v2zAMvQ/YfxB0X+0ESdYadYqgRYYB&#10;xVqsHXpWZCkWIIuapHzt14+SbDdYix2G5eCIIvnIR5G8vjl2muyF8wpMTScXJSXCcGiU2db0x/P6&#10;0yUlPjDTMA1G1PQkPL1ZfvxwfbCVmEILuhGOIIjx1cHWtA3BVkXheSs65i/ACoNKCa5jAUW3LRrH&#10;Doje6WJaloviAK6xDrjwHm/vspIuE76UgocHKb0IRNcUcwvp69J3E7/F8ppVW8dsq3ifBvuHLDqm&#10;DAYdoe5YYGTn1BuoTnEHHmS44NAVIKXiInFANpPyDzZPLbMiccHieDuWyf8/WP5t/+iIavDt5pQY&#10;1uEbPeyZJihibQ7WV2jyZB9dL3k8RqJH6br4jxTIMdXzNNZTHAPheLlY4AvNKOGoulzMZ5eziFm8&#10;OlvnwxcBHYmHmgqtlfWRMavY/t6HbD1YxWsDa6U13rNKG3LAtK/KeZk8PGjVRG1Uerfd3GpHkEpN&#10;1+sSf33sMzPMRBtMKLLMvNIpnLTIAb4LibVBJtMcIXalGGEZ58KESVa1rBE52vw82OCRaGuDgBFZ&#10;YpYjdg8wWGaQATtXoLePriI19ejcU/+b8+iRIoMJo3OnDLj3mGlk1UfO9kORcmlilTbQnLBzHOSR&#10;8pavFT7iPfPhkTmcIZw23AvhAT9SA74U9CdKWnC/3ruP9tjaqKXkgDNZU/9zx5ygRH812PRXk9ks&#10;DnESZvPPUxTcuWZzrjG77hbw9Se4gSxPx2gf9HCUDroXXB+rGBVVzHCMXVMe3CDchrwrcAFxsVol&#10;Mxxcy8K9ebI8gseqxg59Pr4wZ/tODjgC32CY3zfdnG2jp4HVLoBUqdVf69rXG4c+NU6/oOJWOZeT&#10;1esaXf4GAAD//wMAUEsDBBQABgAIAAAAIQDxv+rG3QAAAAoBAAAPAAAAZHJzL2Rvd25yZXYueG1s&#10;TI/BTsMwDIbvSLxDZCRuLFlpN9Q1nRASB7ixAees8dpqjdM1aVfeHnNit9/yp9+fi+3sOjHhEFpP&#10;GpYLBQKp8ralWsPn/vXhCUSIhqzpPKGGHwywLW9vCpNbf6EPnHaxFlxCITcamhj7XMpQNehMWPge&#10;iXdHPzgTeRxqaQdz4XLXyUSplXSmJb7QmB5fGqxOu9FpWL+9f33jOIXzlK3T8xjTE+291vd38/MG&#10;RMQ5/sPwp8/qULLTwY9kg+g0JJlKGOWgliAYeMxSDgcms1UKsizk9QvlLwAAAP//AwBQSwECLQAU&#10;AAYACAAAACEAtoM4kv4AAADhAQAAEwAAAAAAAAAAAAAAAAAAAAAAW0NvbnRlbnRfVHlwZXNdLnht&#10;bFBLAQItABQABgAIAAAAIQA4/SH/1gAAAJQBAAALAAAAAAAAAAAAAAAAAC8BAABfcmVscy8ucmVs&#10;c1BLAQItABQABgAIAAAAIQC+WEfvmAIAAI4FAAAOAAAAAAAAAAAAAAAAAC4CAABkcnMvZTJvRG9j&#10;LnhtbFBLAQItABQABgAIAAAAIQDxv+rG3QAAAAoBAAAPAAAAAAAAAAAAAAAAAPIEAABkcnMvZG93&#10;bnJldi54bWxQSwUGAAAAAAQABADzAAAA/AUAAAAA&#10;" filled="f" strokecolor="red" strokeweight="1.5pt">
                <v:stroke joinstyle="miter"/>
              </v:oval>
            </w:pict>
          </mc:Fallback>
        </mc:AlternateContent>
      </w:r>
      <w:r>
        <w:rPr>
          <w:noProof/>
          <w:lang w:eastAsia="en-AU"/>
        </w:rPr>
        <mc:AlternateContent>
          <mc:Choice Requires="wps">
            <w:drawing>
              <wp:anchor distT="0" distB="0" distL="114300" distR="114300" simplePos="0" relativeHeight="251663360" behindDoc="0" locked="0" layoutInCell="1" allowOverlap="1" wp14:anchorId="79DD7FF0" wp14:editId="41821A77">
                <wp:simplePos x="0" y="0"/>
                <wp:positionH relativeFrom="column">
                  <wp:posOffset>3727109</wp:posOffset>
                </wp:positionH>
                <wp:positionV relativeFrom="paragraph">
                  <wp:posOffset>993775</wp:posOffset>
                </wp:positionV>
                <wp:extent cx="647952" cy="703580"/>
                <wp:effectExtent l="0" t="0" r="19050" b="20320"/>
                <wp:wrapNone/>
                <wp:docPr id="16" name="Oval 16"/>
                <wp:cNvGraphicFramePr/>
                <a:graphic xmlns:a="http://schemas.openxmlformats.org/drawingml/2006/main">
                  <a:graphicData uri="http://schemas.microsoft.com/office/word/2010/wordprocessingShape">
                    <wps:wsp>
                      <wps:cNvSpPr/>
                      <wps:spPr>
                        <a:xfrm>
                          <a:off x="0" y="0"/>
                          <a:ext cx="647952" cy="703580"/>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6E00022" id="Oval 16" o:spid="_x0000_s1026" style="position:absolute;margin-left:293.45pt;margin-top:78.25pt;width:51pt;height:55.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ov4mgIAAI4FAAAOAAAAZHJzL2Uyb0RvYy54bWysVEtvGyEQvlfqf0Dcm127dh5W1pGVyFWl&#10;qImaVDljFrxIwFDAXru/vgP7iNVEPVTdA8swM9/wDTNzfXMwmuyFDwpsRSdnJSXCcqiV3Vb0x/P6&#10;0yUlITJbMw1WVPQoAr1Zfvxw3bqFmEIDuhaeIIgNi9ZVtInRLYoi8EYYFs7ACYtKCd6wiKLfFrVn&#10;LaIbXUzL8rxowdfOAxch4Oldp6TLjC+l4PFByiAi0RXFu8W8+rxu0losr9li65lrFO+vwf7hFoYp&#10;i0FHqDsWGdl59QbKKO4hgIxnHEwBUiouMgdkMyn/YPPUMCcyF0xOcGOawv+D5d/2j56oGt/unBLL&#10;DL7Rw55pgiLmpnVhgSZP7tH3UsBtInqQ3qQ/UiCHnM/jmE9xiITj4fns4mo+pYSj6qL8PL/M+S5e&#10;nZ0P8YsAQ9KmokJr5UJizBZsfx8ixkTrwSodW1grrfOraUtavPZVOS+zRwCt6qRNdsFvN7faE6RS&#10;0fW6xC/xQbQTM5S0xcPEsuOVd/GoRcLQ9ruQmBtkMu0ipKoUIyzjXNg46VQNq0UXbX4abPDIoTNg&#10;QpZ4yxG7BxgsO5ABu7tzb59cRS7q0bmn/jfn0SNHBhtHZ6Ms+PeYaWTVR+7shyR1qUlZ2kB9xMrx&#10;0LVUcHyt8BHvWYiPzGMPYbfhXIgPuEgN+FLQ7yhpwP967zzZY2mjlpIWe7Ki4eeOeUGJ/mqx6K8m&#10;s1lq4izM5hdTFPypZnOqsTtzC/j6E5xAjudtso962EoP5gXHxypFRRWzHGNXlEc/CLexmxU4gLhY&#10;rbIZNq5j8d4+OZ7AU1ZThT4fXph3fSVHbIFvMPTvm2rubJOnhdUuglS51F/z2ucbmz4XTj+g0lQ5&#10;lbPV6xhd/gYAAP//AwBQSwMEFAAGAAgAAAAhAMLQkUneAAAACwEAAA8AAABkcnMvZG93bnJldi54&#10;bWxMj8FOwzAMhu9IvENkJG4sZaxpKU0nhMQBbmzAOWtMW61xuibtyttjTnC0/0+/P5fbxfVixjF0&#10;njTcrhIQSLW3HTUa3vfPNzmIEA1Z03tCDd8YYFtdXpSmsP5MbzjvYiO4hEJhNLQxDoWUoW7RmbDy&#10;AxJnX350JvI4NtKO5szlrpfrJFHSmY74QmsGfGqxPu4mpyF7ef34xGkOpznNNqcpbo6091pfXy2P&#10;DyAiLvEPhl99VoeKnQ5+IhtEryHN1T2jHKQqBcGEynPeHDSsVXYHsirl/x+qHwAAAP//AwBQSwEC&#10;LQAUAAYACAAAACEAtoM4kv4AAADhAQAAEwAAAAAAAAAAAAAAAAAAAAAAW0NvbnRlbnRfVHlwZXNd&#10;LnhtbFBLAQItABQABgAIAAAAIQA4/SH/1gAAAJQBAAALAAAAAAAAAAAAAAAAAC8BAABfcmVscy8u&#10;cmVsc1BLAQItABQABgAIAAAAIQAwYov4mgIAAI4FAAAOAAAAAAAAAAAAAAAAAC4CAABkcnMvZTJv&#10;RG9jLnhtbFBLAQItABQABgAIAAAAIQDC0JFJ3gAAAAsBAAAPAAAAAAAAAAAAAAAAAPQEAABkcnMv&#10;ZG93bnJldi54bWxQSwUGAAAAAAQABADzAAAA/wUAAAAA&#10;" filled="f" strokecolor="red" strokeweight="1.5pt">
                <v:stroke joinstyle="miter"/>
              </v:oval>
            </w:pict>
          </mc:Fallback>
        </mc:AlternateContent>
      </w:r>
      <w:r>
        <w:rPr>
          <w:noProof/>
          <w:lang w:eastAsia="en-AU"/>
        </w:rPr>
        <w:drawing>
          <wp:inline distT="0" distB="0" distL="0" distR="0" wp14:anchorId="373E1FDF" wp14:editId="65598347">
            <wp:extent cx="5731510" cy="894715"/>
            <wp:effectExtent l="0" t="0" r="2540" b="63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31510" cy="894715"/>
                    </a:xfrm>
                    <a:prstGeom prst="rect">
                      <a:avLst/>
                    </a:prstGeom>
                  </pic:spPr>
                </pic:pic>
              </a:graphicData>
            </a:graphic>
          </wp:inline>
        </w:drawing>
      </w:r>
    </w:p>
    <w:p w14:paraId="31E8A7FA" w14:textId="77777777" w:rsidR="003638C6" w:rsidRDefault="003638C6">
      <w:r w:rsidRPr="00710372">
        <w:rPr>
          <w:rFonts w:cs="Arial"/>
          <w:noProof/>
          <w:lang w:eastAsia="en-AU"/>
        </w:rPr>
        <w:drawing>
          <wp:inline distT="0" distB="0" distL="0" distR="0" wp14:anchorId="360E2FC2" wp14:editId="594AEDB5">
            <wp:extent cx="5731510" cy="703580"/>
            <wp:effectExtent l="0" t="0" r="2540" b="1270"/>
            <wp:docPr id="14" name="Picture 14" descr="The image indicates that allotment 1 is 9A, allotment 2 is 9B, allotment 3 is 8A, allotment 4 is 9D, allotment 5 is 8D, allotment 6 is 8C,  allotment 7 is 8B and allotment 8 is 9C." title="Figure 1 Proposed mapping of allotment numbers to frequency bloc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llotment mapping 6_2.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703580"/>
                    </a:xfrm>
                    <a:prstGeom prst="rect">
                      <a:avLst/>
                    </a:prstGeom>
                  </pic:spPr>
                </pic:pic>
              </a:graphicData>
            </a:graphic>
          </wp:inline>
        </w:drawing>
      </w:r>
    </w:p>
    <w:p w14:paraId="4580F1B2" w14:textId="77777777" w:rsidR="004012EE" w:rsidRPr="0063287A" w:rsidRDefault="004012EE" w:rsidP="00FE73D0">
      <w:pPr>
        <w:keepNext/>
        <w:rPr>
          <w:i/>
        </w:rPr>
      </w:pPr>
      <w:r w:rsidRPr="0063287A">
        <w:rPr>
          <w:i/>
        </w:rPr>
        <w:t>2. The coverage in the presence of interference</w:t>
      </w:r>
    </w:p>
    <w:p w14:paraId="7EC50543" w14:textId="77777777" w:rsidR="003638C6" w:rsidRDefault="0063287A">
      <w:pPr>
        <w:rPr>
          <w:noProof/>
          <w:lang w:eastAsia="en-AU"/>
        </w:rPr>
      </w:pPr>
      <w:r>
        <w:rPr>
          <w:noProof/>
          <w:lang w:eastAsia="en-AU"/>
        </w:rPr>
        <mc:AlternateContent>
          <mc:Choice Requires="wps">
            <w:drawing>
              <wp:anchor distT="0" distB="0" distL="114300" distR="114300" simplePos="0" relativeHeight="251665408" behindDoc="0" locked="0" layoutInCell="1" allowOverlap="1" wp14:anchorId="2A8E167E" wp14:editId="28019C2B">
                <wp:simplePos x="0" y="0"/>
                <wp:positionH relativeFrom="column">
                  <wp:posOffset>2858770</wp:posOffset>
                </wp:positionH>
                <wp:positionV relativeFrom="paragraph">
                  <wp:posOffset>397131</wp:posOffset>
                </wp:positionV>
                <wp:extent cx="659765" cy="864870"/>
                <wp:effectExtent l="0" t="0" r="26035" b="11430"/>
                <wp:wrapNone/>
                <wp:docPr id="20" name="Oval 20"/>
                <wp:cNvGraphicFramePr/>
                <a:graphic xmlns:a="http://schemas.openxmlformats.org/drawingml/2006/main">
                  <a:graphicData uri="http://schemas.microsoft.com/office/word/2010/wordprocessingShape">
                    <wps:wsp>
                      <wps:cNvSpPr/>
                      <wps:spPr>
                        <a:xfrm>
                          <a:off x="0" y="0"/>
                          <a:ext cx="659765" cy="864870"/>
                        </a:xfrm>
                        <a:prstGeom prst="ellipse">
                          <a:avLst/>
                        </a:prstGeom>
                        <a:noFill/>
                        <a:ln w="19050">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BD8079F" id="Oval 20" o:spid="_x0000_s1026" style="position:absolute;margin-left:225.1pt;margin-top:31.25pt;width:51.95pt;height:68.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EoRmgIAAI4FAAAOAAAAZHJzL2Uyb0RvYy54bWysVE1v2zAMvQ/YfxB0X+wESdoEdYqgRYYB&#10;QVusHXpWZCkWIIuapMTJfv0o+aPBWuwwzAdZFMlHPYrkze2p1uQonFdgCjoe5ZQIw6FUZl/QHy+b&#10;L9eU+MBMyTQYUdCz8PR29fnTTWOXYgIV6FI4giDGLxtb0CoEu8wyzytRMz8CKwwqJbiaBRTdPisd&#10;axC91tkkz+dZA660DrjwHk/vWyVdJXwpBQ+PUnoRiC4o3i2k1aV1F9dsdcOWe8dspXh3DfYPt6iZ&#10;Mhh0gLpngZGDU++gasUdeJBhxKHOQErFReKAbMb5H2yeK2ZF4oLJ8XZIk/9/sPzh+OSIKgs6wfQY&#10;VuMbPR6ZJihibhrrl2jybJ9cJ3ncRqIn6er4RwrklPJ5HvIpToFwPJzPFlfzGSUcVdfz6fVVwsze&#10;nK3z4auAmsRNQYXWyvrImC3ZcesDxkTr3ioeG9gordOraUMaLLlFPsuThwetyqiNdt7td3faEaRS&#10;0M0mxy/yQbQLM5S0wcPIsuWVduGsRcTQ5ruQmBtkMmkjxKoUAyzjXJgwblUVK0UbbXYZrPdIoRNg&#10;RJZ4ywG7A+gtW5Aeu71zZx9dRSrqwbmj/jfnwSNFBhMG51oZcB8x08iqi9za90lqUxOztIPyjJXj&#10;oG0pb/lG4SNumQ9PzGEPYTnhXAiPuEgN+FLQ7SipwP366DzaY2mjlpIGe7Kg/ueBOUGJ/maw6Bfj&#10;6TQ2cRKms6tYsu5Ss7vUmEN9B/j6Y5xAlqdttA+630oH9SuOj3WMiipmOMYuKA+uF+5COytwAHGx&#10;XiczbFzLwtY8Wx7BY1Zjhb6cXpmzXSUHbIEH6Pv3XTW3ttHTwPoQQKpU6m957fKNTZ8KpxtQcapc&#10;ysnqbYyufgMAAP//AwBQSwMEFAAGAAgAAAAhAAPk3a/dAAAACgEAAA8AAABkcnMvZG93bnJldi54&#10;bWxMj8FOwzAQRO9I/IO1SNyo0yhuSohTISQOcKMFzm68JFHjdRo7afh7lhMcV/M087bcLa4XM46h&#10;86RhvUpAINXedtRoeD88321BhGjImt4TavjGALvq+qo0hfUXesN5HxvBJRQKo6GNcSikDHWLzoSV&#10;H5A4+/KjM5HPsZF2NBcud71Mk2QjnemIF1oz4FOL9Wk/OQ35y+vHJ05zOM8qz85TzE508Frf3iyP&#10;DyAiLvEPhl99VoeKnY5+IhtEryFTScqohk2qQDCgVLYGcWTyfpuDrEr5/4XqBwAA//8DAFBLAQIt&#10;ABQABgAIAAAAIQC2gziS/gAAAOEBAAATAAAAAAAAAAAAAAAAAAAAAABbQ29udGVudF9UeXBlc10u&#10;eG1sUEsBAi0AFAAGAAgAAAAhADj9If/WAAAAlAEAAAsAAAAAAAAAAAAAAAAALwEAAF9yZWxzLy5y&#10;ZWxzUEsBAi0AFAAGAAgAAAAhAE9kShGaAgAAjgUAAA4AAAAAAAAAAAAAAAAALgIAAGRycy9lMm9E&#10;b2MueG1sUEsBAi0AFAAGAAgAAAAhAAPk3a/dAAAACgEAAA8AAAAAAAAAAAAAAAAA9AQAAGRycy9k&#10;b3ducmV2LnhtbFBLBQYAAAAABAAEAPMAAAD+BQAAAAA=&#10;" filled="f" strokecolor="red" strokeweight="1.5pt">
                <v:stroke joinstyle="miter"/>
              </v:oval>
            </w:pict>
          </mc:Fallback>
        </mc:AlternateContent>
      </w:r>
      <w:r w:rsidR="003638C6">
        <w:rPr>
          <w:noProof/>
          <w:lang w:eastAsia="en-AU"/>
        </w:rPr>
        <w:drawing>
          <wp:inline distT="0" distB="0" distL="0" distR="0" wp14:anchorId="60D0E088" wp14:editId="4842A31D">
            <wp:extent cx="4878082" cy="761491"/>
            <wp:effectExtent l="0" t="0" r="0" b="635"/>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4939807" cy="771127"/>
                    </a:xfrm>
                    <a:prstGeom prst="rect">
                      <a:avLst/>
                    </a:prstGeom>
                  </pic:spPr>
                </pic:pic>
              </a:graphicData>
            </a:graphic>
          </wp:inline>
        </w:drawing>
      </w:r>
      <w:r w:rsidRPr="0063287A">
        <w:rPr>
          <w:noProof/>
          <w:lang w:eastAsia="en-AU"/>
        </w:rPr>
        <w:t xml:space="preserve"> </w:t>
      </w:r>
      <w:r>
        <w:rPr>
          <w:noProof/>
          <w:lang w:eastAsia="en-AU"/>
        </w:rPr>
        <w:drawing>
          <wp:inline distT="0" distB="0" distL="0" distR="0" wp14:anchorId="3F7863FB" wp14:editId="08A062DD">
            <wp:extent cx="787232" cy="1162804"/>
            <wp:effectExtent l="0" t="0" r="0" b="0"/>
            <wp:docPr id="31" name="Picture 31">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805389" cy="1189623"/>
                    </a:xfrm>
                    <a:prstGeom prst="rect">
                      <a:avLst/>
                    </a:prstGeom>
                  </pic:spPr>
                </pic:pic>
              </a:graphicData>
            </a:graphic>
          </wp:inline>
        </w:drawing>
      </w:r>
    </w:p>
    <w:p w14:paraId="6767E61B" w14:textId="77777777" w:rsidR="0063287A" w:rsidRDefault="0063287A">
      <w:r>
        <w:rPr>
          <w:noProof/>
          <w:lang w:eastAsia="en-AU"/>
        </w:rPr>
        <w:t>Despite the interference shown in the coverage map, over half a million people can be covered representing 96.7% of the licence area population.</w:t>
      </w:r>
    </w:p>
    <w:p w14:paraId="17F382F0" w14:textId="77777777" w:rsidR="004012EE" w:rsidRPr="0063287A" w:rsidRDefault="004012EE" w:rsidP="00FE73D0">
      <w:pPr>
        <w:keepNext/>
        <w:rPr>
          <w:i/>
        </w:rPr>
      </w:pPr>
      <w:r w:rsidRPr="0063287A">
        <w:rPr>
          <w:i/>
        </w:rPr>
        <w:t>3. The notional transmitter network</w:t>
      </w:r>
    </w:p>
    <w:p w14:paraId="73F2DE97" w14:textId="77777777" w:rsidR="003638C6" w:rsidRDefault="003638C6">
      <w:r>
        <w:rPr>
          <w:noProof/>
          <w:lang w:eastAsia="en-AU"/>
        </w:rPr>
        <w:drawing>
          <wp:inline distT="0" distB="0" distL="0" distR="0" wp14:anchorId="0BFD6120" wp14:editId="1283BBE1">
            <wp:extent cx="5731510" cy="730250"/>
            <wp:effectExtent l="0" t="0" r="254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731510" cy="730250"/>
                    </a:xfrm>
                    <a:prstGeom prst="rect">
                      <a:avLst/>
                    </a:prstGeom>
                  </pic:spPr>
                </pic:pic>
              </a:graphicData>
            </a:graphic>
          </wp:inline>
        </w:drawing>
      </w:r>
    </w:p>
    <w:p w14:paraId="475249E8" w14:textId="77777777" w:rsidR="00D14934" w:rsidRDefault="00D14934">
      <w:r>
        <w:rPr>
          <w:noProof/>
          <w:lang w:eastAsia="en-AU"/>
        </w:rPr>
        <w:drawing>
          <wp:inline distT="0" distB="0" distL="0" distR="0" wp14:anchorId="62CB6381" wp14:editId="2FB5319E">
            <wp:extent cx="987068" cy="972113"/>
            <wp:effectExtent l="0" t="0" r="381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012708" cy="997365"/>
                    </a:xfrm>
                    <a:prstGeom prst="rect">
                      <a:avLst/>
                    </a:prstGeom>
                  </pic:spPr>
                </pic:pic>
              </a:graphicData>
            </a:graphic>
          </wp:inline>
        </w:drawing>
      </w:r>
      <w:r>
        <w:rPr>
          <w:noProof/>
          <w:lang w:eastAsia="en-AU"/>
        </w:rPr>
        <w:drawing>
          <wp:inline distT="0" distB="0" distL="0" distR="0" wp14:anchorId="553D4780" wp14:editId="2AECCFD2">
            <wp:extent cx="989888" cy="986504"/>
            <wp:effectExtent l="0" t="0" r="1270" b="444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1029320" cy="1025801"/>
                    </a:xfrm>
                    <a:prstGeom prst="rect">
                      <a:avLst/>
                    </a:prstGeom>
                  </pic:spPr>
                </pic:pic>
              </a:graphicData>
            </a:graphic>
          </wp:inline>
        </w:drawing>
      </w:r>
      <w:r>
        <w:rPr>
          <w:noProof/>
          <w:lang w:eastAsia="en-AU"/>
        </w:rPr>
        <w:drawing>
          <wp:inline distT="0" distB="0" distL="0" distR="0" wp14:anchorId="59ED685B" wp14:editId="03C94653">
            <wp:extent cx="944573" cy="981710"/>
            <wp:effectExtent l="0" t="0" r="8255" b="889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962544" cy="1000388"/>
                    </a:xfrm>
                    <a:prstGeom prst="rect">
                      <a:avLst/>
                    </a:prstGeom>
                  </pic:spPr>
                </pic:pic>
              </a:graphicData>
            </a:graphic>
          </wp:inline>
        </w:drawing>
      </w:r>
      <w:r>
        <w:rPr>
          <w:noProof/>
          <w:lang w:eastAsia="en-AU"/>
        </w:rPr>
        <w:drawing>
          <wp:inline distT="0" distB="0" distL="0" distR="0" wp14:anchorId="5B9B9AC5" wp14:editId="7B8D4F61">
            <wp:extent cx="987068" cy="972113"/>
            <wp:effectExtent l="0" t="0" r="381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1012708" cy="997365"/>
                    </a:xfrm>
                    <a:prstGeom prst="rect">
                      <a:avLst/>
                    </a:prstGeom>
                  </pic:spPr>
                </pic:pic>
              </a:graphicData>
            </a:graphic>
          </wp:inline>
        </w:drawing>
      </w:r>
    </w:p>
    <w:p w14:paraId="3AEA1748" w14:textId="77777777" w:rsidR="00D14934" w:rsidRDefault="00D14934">
      <w:r>
        <w:t>The transmitters in the notional transmitter network are listed in the above spreadsheet extract and the antenna patterns are illustrated (in the order listed in the spreadsheet) immediately above for azimuth equal to zero degrees.  Only the third pattern is in the correct orientation all the others need to be rotated clockwise by the specified azimuth</w:t>
      </w:r>
      <w:r w:rsidR="001021D1">
        <w:t xml:space="preserve"> angle</w:t>
      </w:r>
      <w:r>
        <w:t xml:space="preserve">. </w:t>
      </w:r>
    </w:p>
    <w:p w14:paraId="418C025E" w14:textId="77777777" w:rsidR="004012EE" w:rsidRPr="0063287A" w:rsidRDefault="004012EE" w:rsidP="00FE73D0">
      <w:pPr>
        <w:keepNext/>
        <w:rPr>
          <w:i/>
        </w:rPr>
      </w:pPr>
      <w:r w:rsidRPr="0063287A">
        <w:rPr>
          <w:i/>
        </w:rPr>
        <w:t>4. Whether the allotment is immediately adjacent to VHF TV services</w:t>
      </w:r>
    </w:p>
    <w:p w14:paraId="3343A87D" w14:textId="77777777" w:rsidR="00A965E1" w:rsidRDefault="00A965E1">
      <w:r>
        <w:t>The Gold Coast allotment is 4 (9D) which is immediately adjacent to VHF TV channel 10</w:t>
      </w:r>
      <w:r w:rsidR="00D14934">
        <w:t xml:space="preserve"> as can be seen in the illustration for point 1 above</w:t>
      </w:r>
      <w:r>
        <w:t xml:space="preserve">.  TV channel </w:t>
      </w:r>
      <w:r w:rsidR="00D14934">
        <w:t xml:space="preserve">10 </w:t>
      </w:r>
      <w:r>
        <w:t>is not in use currently but is planned for a future Brisbane TV service.  (In such a scenario it may be advantageous to establish digital radio transmissions at each transmission site prior to a service commencing on VHF channel 10).</w:t>
      </w:r>
    </w:p>
    <w:p w14:paraId="45A3A32B" w14:textId="77777777" w:rsidR="004012EE" w:rsidRPr="0063287A" w:rsidRDefault="004012EE" w:rsidP="00FE73D0">
      <w:pPr>
        <w:keepNext/>
        <w:rPr>
          <w:i/>
        </w:rPr>
      </w:pPr>
      <w:r w:rsidRPr="0063287A">
        <w:rPr>
          <w:i/>
        </w:rPr>
        <w:lastRenderedPageBreak/>
        <w:t>5. The potential interference to VHF TV viewers</w:t>
      </w:r>
      <w:r w:rsidR="00A965E1" w:rsidRPr="0063287A">
        <w:rPr>
          <w:i/>
        </w:rPr>
        <w:t>.</w:t>
      </w:r>
    </w:p>
    <w:p w14:paraId="31B787B5" w14:textId="77777777" w:rsidR="00A965E1" w:rsidRDefault="00A965E1">
      <w:r>
        <w:rPr>
          <w:noProof/>
          <w:lang w:eastAsia="en-AU"/>
        </w:rPr>
        <w:drawing>
          <wp:inline distT="0" distB="0" distL="0" distR="0" wp14:anchorId="772B37F1" wp14:editId="500E148E">
            <wp:extent cx="5731510" cy="467995"/>
            <wp:effectExtent l="0" t="0" r="2540" b="825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31510" cy="467995"/>
                    </a:xfrm>
                    <a:prstGeom prst="rect">
                      <a:avLst/>
                    </a:prstGeom>
                  </pic:spPr>
                </pic:pic>
              </a:graphicData>
            </a:graphic>
          </wp:inline>
        </w:drawing>
      </w:r>
    </w:p>
    <w:p w14:paraId="68DDF17C" w14:textId="77777777" w:rsidR="00A965E1" w:rsidRDefault="00A965E1">
      <w:r>
        <w:t xml:space="preserve">The population that could receive Brisbane VHF TV services and receive interference from an immediately adjacent DAB service is very large (317,631).  </w:t>
      </w:r>
      <w:r w:rsidR="00FE73D0">
        <w:t>However, t</w:t>
      </w:r>
      <w:r>
        <w:t>he majority of this population would be expected to be watching UHF TV services from various transmitters including Gold Co</w:t>
      </w:r>
      <w:r w:rsidR="00B0335E">
        <w:t>ast (Mt Tamborine), Currumbin</w:t>
      </w:r>
      <w:r>
        <w:t xml:space="preserve">, Gold Coast Southern Hinterland (Springbrook) and Brisbane </w:t>
      </w:r>
      <w:r w:rsidR="00B0335E">
        <w:t xml:space="preserve">South East </w:t>
      </w:r>
      <w:r>
        <w:t>(</w:t>
      </w:r>
      <w:r w:rsidR="00B0335E">
        <w:t xml:space="preserve">Darlington Range).  After considering UHF TV alternative services the potential for interference falls to 5,326 assuming everyone that can, </w:t>
      </w:r>
      <w:r w:rsidR="00FE73D0">
        <w:t xml:space="preserve">does </w:t>
      </w:r>
      <w:r w:rsidR="00B0335E">
        <w:t xml:space="preserve">watch the UHF </w:t>
      </w:r>
      <w:r w:rsidR="00FE73D0">
        <w:t xml:space="preserve">TV </w:t>
      </w:r>
      <w:r w:rsidR="00B0335E">
        <w:t>services.  Inevitably</w:t>
      </w:r>
      <w:r w:rsidR="00FE73D0">
        <w:t xml:space="preserve">, some of the </w:t>
      </w:r>
      <w:r w:rsidR="00B0335E">
        <w:t xml:space="preserve">viewers that should be watching UHF </w:t>
      </w:r>
      <w:r w:rsidR="00FE73D0">
        <w:t xml:space="preserve">TV </w:t>
      </w:r>
      <w:r w:rsidR="00B0335E">
        <w:t xml:space="preserve">services </w:t>
      </w:r>
      <w:r w:rsidR="00FE73D0">
        <w:t>will be</w:t>
      </w:r>
      <w:r w:rsidR="00B0335E">
        <w:t xml:space="preserve"> watching the VHF </w:t>
      </w:r>
      <w:r w:rsidR="00FE73D0">
        <w:t xml:space="preserve">TV </w:t>
      </w:r>
      <w:r w:rsidR="00B0335E">
        <w:t>service.  They may require some assistance or advice about watching the UHF services.</w:t>
      </w:r>
    </w:p>
    <w:p w14:paraId="25860DDF" w14:textId="77777777" w:rsidR="00B0335E" w:rsidRDefault="00B0335E">
      <w:r>
        <w:t>As noted above TV channel 10 is not currently in use, however, there remains a risk of interference to channel 8 TV services, which could affect a population of up to 70,833 but only 775 after UHF TV coverage is considered</w:t>
      </w:r>
      <w:r w:rsidR="00FE73D0">
        <w:t>. Refer to the ‘Any Block’ results above.</w:t>
      </w:r>
    </w:p>
    <w:p w14:paraId="22CEE61A" w14:textId="3D9B9E1E" w:rsidR="00D14934" w:rsidRDefault="00D14934">
      <w:r>
        <w:t xml:space="preserve">TV coverage areas </w:t>
      </w:r>
      <w:r w:rsidR="00607101">
        <w:t xml:space="preserve">and channel information </w:t>
      </w:r>
      <w:r>
        <w:t xml:space="preserve">can be found in </w:t>
      </w:r>
      <w:hyperlink r:id="rId40" w:history="1">
        <w:proofErr w:type="spellStart"/>
        <w:r w:rsidRPr="00D14934">
          <w:rPr>
            <w:rStyle w:val="Hyperlink"/>
          </w:rPr>
          <w:t>myswitch</w:t>
        </w:r>
        <w:proofErr w:type="spellEnd"/>
      </w:hyperlink>
      <w:r>
        <w:t>.</w:t>
      </w:r>
    </w:p>
    <w:p w14:paraId="765E2EDC" w14:textId="77777777" w:rsidR="004012EE" w:rsidRPr="0063287A" w:rsidRDefault="004012EE" w:rsidP="00FE73D0">
      <w:pPr>
        <w:keepNext/>
        <w:rPr>
          <w:i/>
        </w:rPr>
      </w:pPr>
      <w:r w:rsidRPr="0063287A">
        <w:rPr>
          <w:i/>
        </w:rPr>
        <w:t xml:space="preserve">6. </w:t>
      </w:r>
      <w:r w:rsidR="00403E26" w:rsidRPr="0063287A">
        <w:rPr>
          <w:i/>
        </w:rPr>
        <w:t>O</w:t>
      </w:r>
      <w:r w:rsidRPr="0063287A">
        <w:rPr>
          <w:i/>
        </w:rPr>
        <w:t>ther co-channel</w:t>
      </w:r>
      <w:r w:rsidR="00403E26" w:rsidRPr="0063287A">
        <w:rPr>
          <w:i/>
        </w:rPr>
        <w:t xml:space="preserve"> areas</w:t>
      </w:r>
    </w:p>
    <w:p w14:paraId="1638AFB3" w14:textId="52AA236A" w:rsidR="00403E26" w:rsidRDefault="00403E26" w:rsidP="00FE73D0">
      <w:pPr>
        <w:keepNext/>
      </w:pPr>
      <w:r>
        <w:t>It is important to know which other areas are co-channel</w:t>
      </w:r>
      <w:r w:rsidR="00616F33">
        <w:t>led</w:t>
      </w:r>
      <w:r>
        <w:t xml:space="preserve"> when designing your </w:t>
      </w:r>
      <w:r w:rsidRPr="00403E26">
        <w:rPr>
          <w:u w:val="single"/>
        </w:rPr>
        <w:t>actual</w:t>
      </w:r>
      <w:r>
        <w:t xml:space="preserve"> transmitter network.  Licensees will need to be cognisant of this to minimise interference to these other areas and to plan to mitigate the effects of interference from these other areas.</w:t>
      </w:r>
    </w:p>
    <w:p w14:paraId="17B93095" w14:textId="77777777" w:rsidR="00B0335E" w:rsidRDefault="00403E26">
      <w:r>
        <w:rPr>
          <w:noProof/>
          <w:lang w:eastAsia="en-AU"/>
        </w:rPr>
        <w:drawing>
          <wp:inline distT="0" distB="0" distL="0" distR="0" wp14:anchorId="47377D1A" wp14:editId="36C72F67">
            <wp:extent cx="5731510" cy="1332865"/>
            <wp:effectExtent l="0" t="0" r="2540" b="63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731510" cy="1332865"/>
                    </a:xfrm>
                    <a:prstGeom prst="rect">
                      <a:avLst/>
                    </a:prstGeom>
                  </pic:spPr>
                </pic:pic>
              </a:graphicData>
            </a:graphic>
          </wp:inline>
        </w:drawing>
      </w:r>
    </w:p>
    <w:p w14:paraId="368993B4" w14:textId="77777777" w:rsidR="00791F53" w:rsidRDefault="00791F53">
      <w:r>
        <w:t xml:space="preserve">Filtering the spreadsheet for the same Allotment and </w:t>
      </w:r>
      <w:r w:rsidR="00403E26">
        <w:t xml:space="preserve">same </w:t>
      </w:r>
      <w:r>
        <w:t>Region</w:t>
      </w:r>
      <w:r w:rsidR="00403E26">
        <w:t xml:space="preserve"> (Region 1 including overlapping areas)</w:t>
      </w:r>
      <w:r>
        <w:t xml:space="preserve"> shows the closest co-channel areas.</w:t>
      </w:r>
      <w:r w:rsidR="00403E26">
        <w:t xml:space="preserve">  These areas could also be found by inspection of the overall allotment map.</w:t>
      </w:r>
      <w:bookmarkStart w:id="1" w:name="_GoBack"/>
      <w:bookmarkEnd w:id="1"/>
    </w:p>
    <w:p w14:paraId="56F4367B" w14:textId="07A24173" w:rsidR="00607101" w:rsidRDefault="00607101">
      <w:r>
        <w:t xml:space="preserve">Examining the ‘pair-wise results’ in the Algorithm input spreadsheet after hiding rows and columns for </w:t>
      </w:r>
      <w:r w:rsidR="00FE73D0">
        <w:t>non co-</w:t>
      </w:r>
      <w:r>
        <w:t xml:space="preserve">channelled areas shows that only Gold Coast and Toowoomba/Warwick </w:t>
      </w:r>
      <w:r w:rsidR="00257B41">
        <w:t>interact,</w:t>
      </w:r>
      <w:r w:rsidR="00FE73D0">
        <w:t xml:space="preserve"> and that Banana was considered too far away to interfere with Gold Coast.</w:t>
      </w:r>
    </w:p>
    <w:p w14:paraId="71DB0192" w14:textId="77777777" w:rsidR="00607101" w:rsidRDefault="00382238">
      <w:r>
        <w:rPr>
          <w:noProof/>
          <w:lang w:eastAsia="en-AU"/>
        </w:rPr>
        <w:drawing>
          <wp:inline distT="0" distB="0" distL="0" distR="0" wp14:anchorId="12725DE9" wp14:editId="48895ECE">
            <wp:extent cx="4876816" cy="1532243"/>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4982646" cy="1565494"/>
                    </a:xfrm>
                    <a:prstGeom prst="rect">
                      <a:avLst/>
                    </a:prstGeom>
                  </pic:spPr>
                </pic:pic>
              </a:graphicData>
            </a:graphic>
          </wp:inline>
        </w:drawing>
      </w:r>
    </w:p>
    <w:p w14:paraId="79D825A9" w14:textId="625932C9" w:rsidR="004012EE" w:rsidRPr="004012EE" w:rsidRDefault="00FE335A">
      <w:r>
        <w:t>Note that these</w:t>
      </w:r>
      <w:r w:rsidR="00981286">
        <w:t xml:space="preserve"> (but not all)</w:t>
      </w:r>
      <w:r>
        <w:t xml:space="preserve"> </w:t>
      </w:r>
      <w:r w:rsidR="00382238">
        <w:t xml:space="preserve">‘pair-wise results’ </w:t>
      </w:r>
      <w:r>
        <w:t>are 9 s</w:t>
      </w:r>
      <w:r w:rsidR="00607101">
        <w:t>econd DEM results</w:t>
      </w:r>
      <w:r w:rsidR="00FE73D0">
        <w:t xml:space="preserve"> and as can be seen </w:t>
      </w:r>
      <w:r>
        <w:t xml:space="preserve">to </w:t>
      </w:r>
      <w:r w:rsidR="00FE73D0">
        <w:t>give different results</w:t>
      </w:r>
      <w:r>
        <w:t xml:space="preserve"> to the table above, with the 3 second DEM results being generally less</w:t>
      </w:r>
      <w:r w:rsidR="00FE73D0">
        <w:t>.</w:t>
      </w:r>
    </w:p>
    <w:sectPr w:rsidR="004012EE" w:rsidRPr="004012EE" w:rsidSect="0066017C">
      <w:headerReference w:type="default" r:id="rId43"/>
      <w:footerReference w:type="default" r:id="rId44"/>
      <w:pgSz w:w="11906" w:h="16838"/>
      <w:pgMar w:top="1440" w:right="1440" w:bottom="993" w:left="1440"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9EC284D" w14:textId="77777777" w:rsidR="00DF68D3" w:rsidRDefault="00DF68D3" w:rsidP="00CD7DA8">
      <w:pPr>
        <w:spacing w:after="0" w:line="240" w:lineRule="auto"/>
      </w:pPr>
      <w:r>
        <w:separator/>
      </w:r>
    </w:p>
  </w:endnote>
  <w:endnote w:type="continuationSeparator" w:id="0">
    <w:p w14:paraId="4F98E61E" w14:textId="77777777" w:rsidR="00DF68D3" w:rsidRDefault="00DF68D3" w:rsidP="00CD7DA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67880576"/>
      <w:docPartObj>
        <w:docPartGallery w:val="Page Numbers (Bottom of Page)"/>
        <w:docPartUnique/>
      </w:docPartObj>
    </w:sdtPr>
    <w:sdtEndPr>
      <w:rPr>
        <w:noProof/>
      </w:rPr>
    </w:sdtEndPr>
    <w:sdtContent>
      <w:p w14:paraId="7E64BCC8" w14:textId="77777777" w:rsidR="0066017C" w:rsidRDefault="0066017C" w:rsidP="0066017C">
        <w:pPr>
          <w:pStyle w:val="Footer"/>
          <w:jc w:val="center"/>
        </w:pPr>
        <w:r>
          <w:fldChar w:fldCharType="begin"/>
        </w:r>
        <w:r>
          <w:instrText xml:space="preserve"> PAGE   \* MERGEFORMAT </w:instrText>
        </w:r>
        <w:r>
          <w:fldChar w:fldCharType="separate"/>
        </w:r>
        <w:r w:rsidR="00883759">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C667C39" w14:textId="77777777" w:rsidR="00DF68D3" w:rsidRDefault="00DF68D3" w:rsidP="00CD7DA8">
      <w:pPr>
        <w:spacing w:after="0" w:line="240" w:lineRule="auto"/>
      </w:pPr>
      <w:r>
        <w:separator/>
      </w:r>
    </w:p>
  </w:footnote>
  <w:footnote w:type="continuationSeparator" w:id="0">
    <w:p w14:paraId="6EF53537" w14:textId="77777777" w:rsidR="00DF68D3" w:rsidRDefault="00DF68D3" w:rsidP="00CD7DA8">
      <w:pPr>
        <w:spacing w:after="0" w:line="240" w:lineRule="auto"/>
      </w:pPr>
      <w:r>
        <w:continuationSeparator/>
      </w:r>
    </w:p>
  </w:footnote>
  <w:footnote w:id="1">
    <w:p w14:paraId="218F5F25" w14:textId="77777777" w:rsidR="001D34B3" w:rsidRDefault="001D34B3">
      <w:pPr>
        <w:pStyle w:val="FootnoteText"/>
      </w:pPr>
      <w:r>
        <w:rPr>
          <w:rStyle w:val="FootnoteReference"/>
        </w:rPr>
        <w:footnoteRef/>
      </w:r>
      <w:r>
        <w:t xml:space="preserve"> Some DRCPs may need to specify more than one high power transmitter and some repeaters may also need to be included in the DRCP if, for example, it is sited outside the licence area.</w:t>
      </w:r>
    </w:p>
  </w:footnote>
  <w:footnote w:id="2">
    <w:p w14:paraId="1441C9DD" w14:textId="77777777" w:rsidR="00AF6287" w:rsidRPr="00C5666D" w:rsidRDefault="00AF6287" w:rsidP="00AF6287">
      <w:r>
        <w:rPr>
          <w:rStyle w:val="FootnoteReference"/>
        </w:rPr>
        <w:footnoteRef/>
      </w:r>
      <w:r>
        <w:t xml:space="preserve"> </w:t>
      </w:r>
      <w:r w:rsidRPr="00AF6287">
        <w:rPr>
          <w:sz w:val="20"/>
        </w:rPr>
        <w:t xml:space="preserve">It should be noted that all interference calculations used in the allotment planning </w:t>
      </w:r>
      <w:r w:rsidR="009859D1">
        <w:rPr>
          <w:sz w:val="20"/>
        </w:rPr>
        <w:t xml:space="preserve">process </w:t>
      </w:r>
      <w:r w:rsidR="007841DC">
        <w:rPr>
          <w:sz w:val="20"/>
        </w:rPr>
        <w:t>were obtained for 1</w:t>
      </w:r>
      <w:r w:rsidRPr="00AF6287">
        <w:rPr>
          <w:sz w:val="20"/>
        </w:rPr>
        <w:t xml:space="preserve">% of </w:t>
      </w:r>
      <w:r w:rsidR="007841DC">
        <w:rPr>
          <w:sz w:val="20"/>
        </w:rPr>
        <w:t xml:space="preserve">the </w:t>
      </w:r>
      <w:r w:rsidRPr="00AF6287">
        <w:rPr>
          <w:sz w:val="20"/>
        </w:rPr>
        <w:t>time. This includes both DAB to DAB co-channel and DAB to DTV adjacent channel interference calculations.</w:t>
      </w:r>
    </w:p>
    <w:p w14:paraId="3AE9D856" w14:textId="77777777" w:rsidR="00AF6287" w:rsidRDefault="00AF6287">
      <w:pPr>
        <w:pStyle w:val="FootnoteText"/>
      </w:pPr>
    </w:p>
  </w:footnote>
  <w:footnote w:id="3">
    <w:p w14:paraId="381D25CC" w14:textId="77777777" w:rsidR="00945477" w:rsidRDefault="00945477">
      <w:pPr>
        <w:pStyle w:val="FootnoteText"/>
      </w:pPr>
      <w:r>
        <w:rPr>
          <w:rStyle w:val="FootnoteReference"/>
        </w:rPr>
        <w:footnoteRef/>
      </w:r>
      <w:r>
        <w:t xml:space="preserve"> UHF TV reception was considered to be the better signal if a suburban grade (&gt;67 dBµV/m) UHF TV signal was available.</w:t>
      </w:r>
    </w:p>
  </w:footnote>
  <w:footnote w:id="4">
    <w:p w14:paraId="513FD2AF" w14:textId="77777777" w:rsidR="00E674D7" w:rsidRDefault="00E674D7">
      <w:pPr>
        <w:pStyle w:val="FootnoteText"/>
      </w:pPr>
      <w:r>
        <w:rPr>
          <w:rStyle w:val="FootnoteReference"/>
        </w:rPr>
        <w:footnoteRef/>
      </w:r>
      <w:r>
        <w:t xml:space="preserve"> 3 Second DEM cell size is approximately 90x90m.</w:t>
      </w:r>
    </w:p>
  </w:footnote>
  <w:footnote w:id="5">
    <w:p w14:paraId="188259AB" w14:textId="77777777" w:rsidR="00AD56AE" w:rsidRDefault="00AD56AE">
      <w:pPr>
        <w:pStyle w:val="FootnoteText"/>
      </w:pPr>
      <w:r>
        <w:rPr>
          <w:rStyle w:val="FootnoteReference"/>
        </w:rPr>
        <w:footnoteRef/>
      </w:r>
      <w:r>
        <w:t xml:space="preserve"> Areas that are considered to be covered receive interference less than 1% of the time.</w:t>
      </w:r>
    </w:p>
  </w:footnote>
  <w:footnote w:id="6">
    <w:p w14:paraId="5BB6C3A5" w14:textId="77777777" w:rsidR="006B78B0" w:rsidRDefault="006B78B0">
      <w:pPr>
        <w:pStyle w:val="FootnoteText"/>
      </w:pPr>
      <w:r>
        <w:rPr>
          <w:rStyle w:val="FootnoteReference"/>
        </w:rPr>
        <w:footnoteRef/>
      </w:r>
      <w:r>
        <w:t xml:space="preserve"> Maryborough (Qld) is also on the same allotment, however, examination of the pair-wise interference populations between Maryborough and Murwillumbah shows zero interference in both directions.  Therefore, an additional low power repeater is unlikely to cause interference to Maryborough.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7BB592" w14:textId="663837E6" w:rsidR="00E233CE" w:rsidRPr="003C139D" w:rsidRDefault="00C72656" w:rsidP="00E233CE">
    <w:pPr>
      <w:pStyle w:val="Header"/>
      <w:jc w:val="right"/>
    </w:pPr>
    <w:r>
      <w:t>November</w:t>
    </w:r>
    <w:r w:rsidR="00E233CE" w:rsidRPr="003C139D">
      <w:t xml:space="preserve"> 2018</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3E2C"/>
    <w:rsid w:val="0001545B"/>
    <w:rsid w:val="00017B53"/>
    <w:rsid w:val="00041F30"/>
    <w:rsid w:val="00056966"/>
    <w:rsid w:val="00063E73"/>
    <w:rsid w:val="00072CB6"/>
    <w:rsid w:val="00073344"/>
    <w:rsid w:val="000755EC"/>
    <w:rsid w:val="00081528"/>
    <w:rsid w:val="000A7B0C"/>
    <w:rsid w:val="001021D1"/>
    <w:rsid w:val="00176874"/>
    <w:rsid w:val="001D34B3"/>
    <w:rsid w:val="00205FA7"/>
    <w:rsid w:val="00257B41"/>
    <w:rsid w:val="002A36C9"/>
    <w:rsid w:val="002B6E34"/>
    <w:rsid w:val="002F4095"/>
    <w:rsid w:val="003438A9"/>
    <w:rsid w:val="0035044F"/>
    <w:rsid w:val="00352C4F"/>
    <w:rsid w:val="003638C6"/>
    <w:rsid w:val="00382238"/>
    <w:rsid w:val="00393DF7"/>
    <w:rsid w:val="00395B5E"/>
    <w:rsid w:val="003C139D"/>
    <w:rsid w:val="003E1ED6"/>
    <w:rsid w:val="004012EE"/>
    <w:rsid w:val="00403E26"/>
    <w:rsid w:val="00441348"/>
    <w:rsid w:val="004642A8"/>
    <w:rsid w:val="00496C1A"/>
    <w:rsid w:val="004A043B"/>
    <w:rsid w:val="004C5948"/>
    <w:rsid w:val="004E7F4D"/>
    <w:rsid w:val="004F46DF"/>
    <w:rsid w:val="00530D73"/>
    <w:rsid w:val="00582960"/>
    <w:rsid w:val="005B0F1E"/>
    <w:rsid w:val="005F2AEC"/>
    <w:rsid w:val="00607101"/>
    <w:rsid w:val="00616F33"/>
    <w:rsid w:val="0063287A"/>
    <w:rsid w:val="0066017C"/>
    <w:rsid w:val="00672C18"/>
    <w:rsid w:val="00676CD8"/>
    <w:rsid w:val="006B78B0"/>
    <w:rsid w:val="006D0FC2"/>
    <w:rsid w:val="006D5989"/>
    <w:rsid w:val="006F42C8"/>
    <w:rsid w:val="007316AE"/>
    <w:rsid w:val="00733E2C"/>
    <w:rsid w:val="007627AD"/>
    <w:rsid w:val="00771470"/>
    <w:rsid w:val="007841DC"/>
    <w:rsid w:val="00791F53"/>
    <w:rsid w:val="007B4E72"/>
    <w:rsid w:val="007B7D44"/>
    <w:rsid w:val="007C5225"/>
    <w:rsid w:val="007E5A03"/>
    <w:rsid w:val="007F06D5"/>
    <w:rsid w:val="007F1046"/>
    <w:rsid w:val="007F36D6"/>
    <w:rsid w:val="007F7153"/>
    <w:rsid w:val="00805498"/>
    <w:rsid w:val="00810F57"/>
    <w:rsid w:val="00823035"/>
    <w:rsid w:val="00852E38"/>
    <w:rsid w:val="00857727"/>
    <w:rsid w:val="008820ED"/>
    <w:rsid w:val="00883759"/>
    <w:rsid w:val="008B17A2"/>
    <w:rsid w:val="008D4D30"/>
    <w:rsid w:val="009163EA"/>
    <w:rsid w:val="00927A72"/>
    <w:rsid w:val="00941029"/>
    <w:rsid w:val="00945477"/>
    <w:rsid w:val="0096340D"/>
    <w:rsid w:val="00981286"/>
    <w:rsid w:val="009859D1"/>
    <w:rsid w:val="009B70DB"/>
    <w:rsid w:val="009F7C2A"/>
    <w:rsid w:val="00A965E1"/>
    <w:rsid w:val="00AD56AE"/>
    <w:rsid w:val="00AF2DBD"/>
    <w:rsid w:val="00AF6287"/>
    <w:rsid w:val="00B01F41"/>
    <w:rsid w:val="00B0335E"/>
    <w:rsid w:val="00B17084"/>
    <w:rsid w:val="00B411C8"/>
    <w:rsid w:val="00B50DCD"/>
    <w:rsid w:val="00B6439D"/>
    <w:rsid w:val="00B83BBF"/>
    <w:rsid w:val="00BE5FC7"/>
    <w:rsid w:val="00C03181"/>
    <w:rsid w:val="00C0413B"/>
    <w:rsid w:val="00C14F22"/>
    <w:rsid w:val="00C41304"/>
    <w:rsid w:val="00C46C2A"/>
    <w:rsid w:val="00C50CFC"/>
    <w:rsid w:val="00C5666D"/>
    <w:rsid w:val="00C616B6"/>
    <w:rsid w:val="00C7041F"/>
    <w:rsid w:val="00C72656"/>
    <w:rsid w:val="00C904DF"/>
    <w:rsid w:val="00CD4D91"/>
    <w:rsid w:val="00CD7DA8"/>
    <w:rsid w:val="00CE2EBE"/>
    <w:rsid w:val="00CE68F1"/>
    <w:rsid w:val="00CF44DC"/>
    <w:rsid w:val="00D02BAD"/>
    <w:rsid w:val="00D14934"/>
    <w:rsid w:val="00D84A8C"/>
    <w:rsid w:val="00D84B38"/>
    <w:rsid w:val="00D97B2B"/>
    <w:rsid w:val="00DB6389"/>
    <w:rsid w:val="00DC7100"/>
    <w:rsid w:val="00DE6E4A"/>
    <w:rsid w:val="00DF1639"/>
    <w:rsid w:val="00DF68D3"/>
    <w:rsid w:val="00E05BBB"/>
    <w:rsid w:val="00E233CE"/>
    <w:rsid w:val="00E36728"/>
    <w:rsid w:val="00E47CF9"/>
    <w:rsid w:val="00E51C11"/>
    <w:rsid w:val="00E571F0"/>
    <w:rsid w:val="00E674D7"/>
    <w:rsid w:val="00E74743"/>
    <w:rsid w:val="00E75E27"/>
    <w:rsid w:val="00E7651D"/>
    <w:rsid w:val="00EB241E"/>
    <w:rsid w:val="00EB3C3C"/>
    <w:rsid w:val="00EB4480"/>
    <w:rsid w:val="00EC7573"/>
    <w:rsid w:val="00F44608"/>
    <w:rsid w:val="00F631AB"/>
    <w:rsid w:val="00F95778"/>
    <w:rsid w:val="00FA66A8"/>
    <w:rsid w:val="00FE335A"/>
    <w:rsid w:val="00FE73D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67DA627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33E2C"/>
    <w:rPr>
      <w:color w:val="0563C1" w:themeColor="hyperlink"/>
      <w:u w:val="single"/>
    </w:rPr>
  </w:style>
  <w:style w:type="character" w:styleId="FollowedHyperlink">
    <w:name w:val="FollowedHyperlink"/>
    <w:basedOn w:val="DefaultParagraphFont"/>
    <w:uiPriority w:val="99"/>
    <w:semiHidden/>
    <w:unhideWhenUsed/>
    <w:rsid w:val="00B01F41"/>
    <w:rPr>
      <w:color w:val="954F72" w:themeColor="followedHyperlink"/>
      <w:u w:val="single"/>
    </w:rPr>
  </w:style>
  <w:style w:type="paragraph" w:customStyle="1" w:styleId="ACMAFigureHeader">
    <w:name w:val="ACMA_FigureHeader"/>
    <w:autoRedefine/>
    <w:qFormat/>
    <w:rsid w:val="004F46DF"/>
    <w:pPr>
      <w:spacing w:line="240" w:lineRule="auto"/>
    </w:pPr>
    <w:rPr>
      <w:rFonts w:ascii="Arial" w:eastAsia="Times New Roman" w:hAnsi="Arial" w:cs="Times New Roman"/>
      <w:bCs/>
      <w:i/>
      <w:color w:val="323232"/>
      <w:sz w:val="20"/>
      <w:szCs w:val="20"/>
      <w:lang w:eastAsia="en-AU"/>
    </w:rPr>
  </w:style>
  <w:style w:type="paragraph" w:styleId="BalloonText">
    <w:name w:val="Balloon Text"/>
    <w:basedOn w:val="Normal"/>
    <w:link w:val="BalloonTextChar"/>
    <w:uiPriority w:val="99"/>
    <w:semiHidden/>
    <w:unhideWhenUsed/>
    <w:rsid w:val="0035044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5044F"/>
    <w:rPr>
      <w:rFonts w:ascii="Segoe UI" w:hAnsi="Segoe UI" w:cs="Segoe UI"/>
      <w:sz w:val="18"/>
      <w:szCs w:val="18"/>
    </w:rPr>
  </w:style>
  <w:style w:type="paragraph" w:styleId="NormalWeb">
    <w:name w:val="Normal (Web)"/>
    <w:basedOn w:val="Normal"/>
    <w:uiPriority w:val="99"/>
    <w:semiHidden/>
    <w:unhideWhenUsed/>
    <w:rsid w:val="002B6E34"/>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FootnoteText">
    <w:name w:val="footnote text"/>
    <w:basedOn w:val="Normal"/>
    <w:link w:val="FootnoteTextChar"/>
    <w:uiPriority w:val="99"/>
    <w:semiHidden/>
    <w:unhideWhenUsed/>
    <w:rsid w:val="00CD7DA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D7DA8"/>
    <w:rPr>
      <w:sz w:val="20"/>
      <w:szCs w:val="20"/>
    </w:rPr>
  </w:style>
  <w:style w:type="character" w:styleId="FootnoteReference">
    <w:name w:val="footnote reference"/>
    <w:basedOn w:val="DefaultParagraphFont"/>
    <w:uiPriority w:val="99"/>
    <w:semiHidden/>
    <w:unhideWhenUsed/>
    <w:rsid w:val="00CD7DA8"/>
    <w:rPr>
      <w:vertAlign w:val="superscript"/>
    </w:rPr>
  </w:style>
  <w:style w:type="paragraph" w:styleId="Header">
    <w:name w:val="header"/>
    <w:basedOn w:val="Normal"/>
    <w:link w:val="HeaderChar"/>
    <w:uiPriority w:val="99"/>
    <w:unhideWhenUsed/>
    <w:rsid w:val="0066017C"/>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017C"/>
  </w:style>
  <w:style w:type="paragraph" w:styleId="Footer">
    <w:name w:val="footer"/>
    <w:basedOn w:val="Normal"/>
    <w:link w:val="FooterChar"/>
    <w:uiPriority w:val="99"/>
    <w:unhideWhenUsed/>
    <w:rsid w:val="0066017C"/>
    <w:pPr>
      <w:tabs>
        <w:tab w:val="center" w:pos="4513"/>
        <w:tab w:val="right" w:pos="9026"/>
      </w:tabs>
      <w:spacing w:after="0" w:line="240" w:lineRule="auto"/>
    </w:pPr>
  </w:style>
  <w:style w:type="character" w:customStyle="1" w:styleId="FooterChar">
    <w:name w:val="Footer Char"/>
    <w:basedOn w:val="DefaultParagraphFont"/>
    <w:link w:val="Footer"/>
    <w:uiPriority w:val="99"/>
    <w:rsid w:val="0066017C"/>
  </w:style>
  <w:style w:type="character" w:styleId="CommentReference">
    <w:name w:val="annotation reference"/>
    <w:basedOn w:val="DefaultParagraphFont"/>
    <w:uiPriority w:val="99"/>
    <w:semiHidden/>
    <w:unhideWhenUsed/>
    <w:rsid w:val="00AF6287"/>
    <w:rPr>
      <w:sz w:val="16"/>
      <w:szCs w:val="16"/>
    </w:rPr>
  </w:style>
  <w:style w:type="paragraph" w:styleId="CommentText">
    <w:name w:val="annotation text"/>
    <w:basedOn w:val="Normal"/>
    <w:link w:val="CommentTextChar"/>
    <w:uiPriority w:val="99"/>
    <w:semiHidden/>
    <w:unhideWhenUsed/>
    <w:rsid w:val="00AF6287"/>
    <w:pPr>
      <w:spacing w:line="240" w:lineRule="auto"/>
    </w:pPr>
    <w:rPr>
      <w:sz w:val="20"/>
      <w:szCs w:val="20"/>
    </w:rPr>
  </w:style>
  <w:style w:type="character" w:customStyle="1" w:styleId="CommentTextChar">
    <w:name w:val="Comment Text Char"/>
    <w:basedOn w:val="DefaultParagraphFont"/>
    <w:link w:val="CommentText"/>
    <w:uiPriority w:val="99"/>
    <w:semiHidden/>
    <w:rsid w:val="00AF6287"/>
    <w:rPr>
      <w:sz w:val="20"/>
      <w:szCs w:val="20"/>
    </w:rPr>
  </w:style>
  <w:style w:type="paragraph" w:styleId="CommentSubject">
    <w:name w:val="annotation subject"/>
    <w:basedOn w:val="CommentText"/>
    <w:next w:val="CommentText"/>
    <w:link w:val="CommentSubjectChar"/>
    <w:uiPriority w:val="99"/>
    <w:semiHidden/>
    <w:unhideWhenUsed/>
    <w:rsid w:val="00945477"/>
    <w:rPr>
      <w:b/>
      <w:bCs/>
    </w:rPr>
  </w:style>
  <w:style w:type="character" w:customStyle="1" w:styleId="CommentSubjectChar">
    <w:name w:val="Comment Subject Char"/>
    <w:basedOn w:val="CommentTextChar"/>
    <w:link w:val="CommentSubject"/>
    <w:uiPriority w:val="99"/>
    <w:semiHidden/>
    <w:rsid w:val="00945477"/>
    <w:rPr>
      <w:b/>
      <w:bCs/>
      <w:sz w:val="20"/>
      <w:szCs w:val="20"/>
    </w:rPr>
  </w:style>
  <w:style w:type="character" w:styleId="UnresolvedMention">
    <w:name w:val="Unresolved Mention"/>
    <w:basedOn w:val="DefaultParagraphFont"/>
    <w:uiPriority w:val="99"/>
    <w:semiHidden/>
    <w:unhideWhenUsed/>
    <w:rsid w:val="00E3672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5804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cma.gov.au/-/media/Broadcast-Carriage-Policy/Information/Word-document/Mapping-of-allotment-numbers-to-frequency-blocks-docx.docx?la=en" TargetMode="External"/><Relationship Id="rId18" Type="http://schemas.openxmlformats.org/officeDocument/2006/relationships/image" Target="media/image3.png"/><Relationship Id="rId26" Type="http://schemas.openxmlformats.org/officeDocument/2006/relationships/hyperlink" Target="https://www.acma.gov.au/theACMA/regional-allotment-plan-resources" TargetMode="External"/><Relationship Id="rId39" Type="http://schemas.openxmlformats.org/officeDocument/2006/relationships/image" Target="media/image15.png"/><Relationship Id="rId3" Type="http://schemas.openxmlformats.org/officeDocument/2006/relationships/customXml" Target="../customXml/item3.xml"/><Relationship Id="rId21" Type="http://schemas.openxmlformats.org/officeDocument/2006/relationships/image" Target="media/image4.png"/><Relationship Id="rId34" Type="http://schemas.openxmlformats.org/officeDocument/2006/relationships/image" Target="media/image10.png"/><Relationship Id="rId42" Type="http://schemas.openxmlformats.org/officeDocument/2006/relationships/image" Target="media/image17.png"/><Relationship Id="rId7" Type="http://schemas.openxmlformats.org/officeDocument/2006/relationships/settings" Target="settings.xml"/><Relationship Id="rId12" Type="http://schemas.openxmlformats.org/officeDocument/2006/relationships/hyperlink" Target="http://www.acma.gov.au/Industry/Broadcast/Spectrum-for-broadcasting/Spectrum-digital-radio/planning-principles" TargetMode="External"/><Relationship Id="rId17" Type="http://schemas.openxmlformats.org/officeDocument/2006/relationships/hyperlink" Target="https://www.acma.gov.au/-/media/Broadcast-Carriage-Policy/Information/zip-file/Antenna-patterns-zip.zip?la=en" TargetMode="External"/><Relationship Id="rId25" Type="http://schemas.openxmlformats.org/officeDocument/2006/relationships/image" Target="media/image6.png"/><Relationship Id="rId33" Type="http://schemas.openxmlformats.org/officeDocument/2006/relationships/hyperlink" Target="https://portal.acma.gov.au/sites/drc/Shared%20Documents/Regional%20Networks/Allotment%20Maps%20-%20Tranche%201%20V.2%20(March%202018)/Allotment%204/GOLD%20COAST.pdf?Web=1" TargetMode="External"/><Relationship Id="rId38" Type="http://schemas.openxmlformats.org/officeDocument/2006/relationships/image" Target="media/image14.png"/><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acma.gov.au/-/media/Broadcast-Carriage-Policy/Information/Spreadsheet/Transmitter-Data-and-Population-Figures-all-areas-xlsx.xlsx?la=en" TargetMode="External"/><Relationship Id="rId20" Type="http://schemas.openxmlformats.org/officeDocument/2006/relationships/hyperlink" Target="https://www.acma.gov.au/-/media/Broadcast-Carriage-Policy/Information/Spreadsheet/Summary---adj-ch-pop-predictions-xlsx.xlsx?la=en" TargetMode="External"/><Relationship Id="rId29" Type="http://schemas.openxmlformats.org/officeDocument/2006/relationships/image" Target="media/image8.png"/><Relationship Id="rId41"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cma.gov.au/theACMA/planning-digital-radio" TargetMode="External"/><Relationship Id="rId24" Type="http://schemas.openxmlformats.org/officeDocument/2006/relationships/hyperlink" Target="https://www.acma.gov.au/-/media/Broadcast-Carriage-Policy/Information/Spreadsheet/Transmitter-Data-and-Population-Figures-all-areas-xlsx.xlsx?la=en" TargetMode="External"/><Relationship Id="rId32" Type="http://schemas.openxmlformats.org/officeDocument/2006/relationships/image" Target="media/image9.png"/><Relationship Id="rId37" Type="http://schemas.openxmlformats.org/officeDocument/2006/relationships/image" Target="media/image13.png"/><Relationship Id="rId40" Type="http://schemas.openxmlformats.org/officeDocument/2006/relationships/hyperlink" Target="https://myswitch.digitalready.gov.au/" TargetMode="External"/><Relationship Id="rId45"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2.png"/><Relationship Id="rId23" Type="http://schemas.openxmlformats.org/officeDocument/2006/relationships/image" Target="media/image5.png"/><Relationship Id="rId28" Type="http://schemas.openxmlformats.org/officeDocument/2006/relationships/hyperlink" Target="https://portal.acma.gov.au/sites/drc/Shared%20Documents/Regional%20Networks/Allotment%20Maps%20-%20Tranche%201%20V.2%20(March%202018)/Allotment%206/MURWILLUMBAH.pdf?Web=1" TargetMode="External"/><Relationship Id="rId36" Type="http://schemas.openxmlformats.org/officeDocument/2006/relationships/image" Target="media/image12.png"/><Relationship Id="rId10" Type="http://schemas.openxmlformats.org/officeDocument/2006/relationships/endnotes" Target="endnotes.xml"/><Relationship Id="rId19" Type="http://schemas.openxmlformats.org/officeDocument/2006/relationships/hyperlink" Target="https://www.acma.gov.au/-/media/Broadcast-Carriage-Policy/Information/Spreadsheet/Consolidated-Algorithm-Inputs-xlsx.xlsx?la=en" TargetMode="External"/><Relationship Id="rId31" Type="http://schemas.openxmlformats.org/officeDocument/2006/relationships/hyperlink" Target="mailto:broadcastplanning@acma.gov.au" TargetMode="External"/><Relationship Id="rId44"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 Id="rId22" Type="http://schemas.openxmlformats.org/officeDocument/2006/relationships/hyperlink" Target="https://www.acma.gov.au/-/media/Broadcast-Carriage-Policy/Information/Word-document/Allotment-Algorithm-Output-Tables-docx.docx?la=en" TargetMode="External"/><Relationship Id="rId27" Type="http://schemas.openxmlformats.org/officeDocument/2006/relationships/image" Target="media/image7.png"/><Relationship Id="rId30" Type="http://schemas.openxmlformats.org/officeDocument/2006/relationships/hyperlink" Target="https://www.acma.gov.au/-/media/Broadcast-Carriage-Policy/Information/zip-file/Overview-Maps-zip.zip?la=en" TargetMode="External"/><Relationship Id="rId35" Type="http://schemas.openxmlformats.org/officeDocument/2006/relationships/image" Target="media/image11.png"/><Relationship Id="rId43"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1d983eb4-33f7-44b0-aea1-cbdcf0c55136">3NE2HDV7HD6D-1926472841-385</_dlc_DocId>
    <_dlc_DocIdUrl xmlns="1d983eb4-33f7-44b0-aea1-cbdcf0c55136">
      <Url>http://collaboration/organisation/cid/RPB/BCP/_layouts/15/DocIdRedir.aspx?ID=3NE2HDV7HD6D-1926472841-385</Url>
      <Description>3NE2HDV7HD6D-1926472841-385</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ED4164A4312E504CAB8EEBECBED4E720" ma:contentTypeVersion="0" ma:contentTypeDescription="Create a new document." ma:contentTypeScope="" ma:versionID="0bdbc4735c90a9a6cf88e5746348f4b6">
  <xsd:schema xmlns:xsd="http://www.w3.org/2001/XMLSchema" xmlns:xs="http://www.w3.org/2001/XMLSchema" xmlns:p="http://schemas.microsoft.com/office/2006/metadata/properties" xmlns:ns2="1d983eb4-33f7-44b0-aea1-cbdcf0c55136" targetNamespace="http://schemas.microsoft.com/office/2006/metadata/properties" ma:root="true" ma:fieldsID="85ca1f7d1e1b38634bae0caaff15e10b" ns2:_="">
    <xsd:import namespace="1d983eb4-33f7-44b0-aea1-cbdcf0c55136"/>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983eb4-33f7-44b0-aea1-cbdcf0c55136"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45E18E-C04B-4027-BA95-C2C9704E7696}">
  <ds:schemaRefs>
    <ds:schemaRef ds:uri="http://schemas.microsoft.com/sharepoint/events"/>
  </ds:schemaRefs>
</ds:datastoreItem>
</file>

<file path=customXml/itemProps2.xml><?xml version="1.0" encoding="utf-8"?>
<ds:datastoreItem xmlns:ds="http://schemas.openxmlformats.org/officeDocument/2006/customXml" ds:itemID="{345466AC-A91A-42A4-8E60-AF3AB6CF9FE6}">
  <ds:schemaRefs>
    <ds:schemaRef ds:uri="http://schemas.microsoft.com/sharepoint/v3/contenttype/forms"/>
  </ds:schemaRefs>
</ds:datastoreItem>
</file>

<file path=customXml/itemProps3.xml><?xml version="1.0" encoding="utf-8"?>
<ds:datastoreItem xmlns:ds="http://schemas.openxmlformats.org/officeDocument/2006/customXml" ds:itemID="{102ED8F5-BA58-4500-9BB6-85759D894311}">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1d983eb4-33f7-44b0-aea1-cbdcf0c55136"/>
    <ds:schemaRef ds:uri="http://schemas.microsoft.com/office/2006/documentManagement/types"/>
    <ds:schemaRef ds:uri="http://www.w3.org/XML/1998/namespace"/>
    <ds:schemaRef ds:uri="http://purl.org/dc/dcmitype/"/>
  </ds:schemaRefs>
</ds:datastoreItem>
</file>

<file path=customXml/itemProps4.xml><?xml version="1.0" encoding="utf-8"?>
<ds:datastoreItem xmlns:ds="http://schemas.openxmlformats.org/officeDocument/2006/customXml" ds:itemID="{9E24A5BD-14BF-47DC-B95F-408F08D7C7E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983eb4-33f7-44b0-aea1-cbdcf0c551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BA4F317-CDD9-4271-9098-90C95F0205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3091</Words>
  <Characters>17623</Characters>
  <Application>Microsoft Office Word</Application>
  <DocSecurity>0</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2019-06-26T23:50:00Z</dcterms:created>
  <dcterms:modified xsi:type="dcterms:W3CDTF">2019-06-27T00:03:00Z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0x010100ED4164A4312E504CAB8EEBECBED4E720</vt:lpwstr>
  </property>
  <property fmtid="{D5CDD505-2E9C-101B-9397-08002B2CF9AE}" pid="3" name="_dlc_DocIdItemGuid">
    <vt:lpwstr>a7701bd4-bcbc-4db3-9fe3-bcdc4920b6af</vt:lpwstr>
  </property>
</Properties>
</file>