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D2267B" w14:textId="77777777" w:rsidR="00F9541D" w:rsidRDefault="00F9541D" w:rsidP="00F9541D">
      <w:pPr>
        <w:pStyle w:val="Reporttitle"/>
      </w:pPr>
      <w:r>
        <w:t>Expansion of digital radio to regional Australia</w:t>
      </w:r>
    </w:p>
    <w:p w14:paraId="68AD74CD" w14:textId="77777777" w:rsidR="00F9541D" w:rsidRDefault="00F9541D" w:rsidP="00F9541D">
      <w:pPr>
        <w:pStyle w:val="Reportsubtitle"/>
      </w:pPr>
      <w:r>
        <w:t>Proposed principles for licence area deeming</w:t>
      </w:r>
    </w:p>
    <w:p w14:paraId="7CCD4802" w14:textId="566EF47B" w:rsidR="00C97736" w:rsidRPr="000D76E0" w:rsidRDefault="00F9541D"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June</w:t>
      </w:r>
      <w:r w:rsidR="00BD4421">
        <w:t xml:space="preserve"> 20</w:t>
      </w:r>
      <w:r w:rsidR="008E0428">
        <w:t>20</w:t>
      </w:r>
    </w:p>
    <w:p w14:paraId="6A506711" w14:textId="77777777" w:rsidR="0005011A" w:rsidRPr="00F44F3A" w:rsidRDefault="0005011A" w:rsidP="00FC07B9">
      <w:pPr>
        <w:pStyle w:val="ACMACorporateAddressHeader"/>
      </w:pPr>
      <w:r w:rsidRPr="00F44F3A">
        <w:lastRenderedPageBreak/>
        <w:t>Canberra</w:t>
      </w:r>
    </w:p>
    <w:p w14:paraId="298ED83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8094BB5" w14:textId="77777777" w:rsidR="0005011A" w:rsidRPr="00FC07B9" w:rsidRDefault="0005011A" w:rsidP="00FC07B9">
      <w:pPr>
        <w:pStyle w:val="ACMACorporateAddresses"/>
      </w:pPr>
      <w:r w:rsidRPr="00FC07B9">
        <w:t>PO Box 78</w:t>
      </w:r>
      <w:r w:rsidRPr="00FC07B9">
        <w:br/>
        <w:t>Belconnen ACT 2616</w:t>
      </w:r>
    </w:p>
    <w:p w14:paraId="47AA5285"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C2C8424" w14:textId="77777777" w:rsidR="0005011A" w:rsidRPr="00F44F3A" w:rsidRDefault="0005011A" w:rsidP="00FC07B9">
      <w:pPr>
        <w:pStyle w:val="ACMACorporateAddressHeader"/>
      </w:pPr>
      <w:r w:rsidRPr="00F44F3A">
        <w:t>Melbourne</w:t>
      </w:r>
    </w:p>
    <w:p w14:paraId="02D65264"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3237CC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377A057"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F4EE853" w14:textId="77777777" w:rsidR="0005011A" w:rsidRPr="00F44F3A" w:rsidRDefault="0005011A" w:rsidP="00FC07B9">
      <w:pPr>
        <w:pStyle w:val="ACMACorporateAddressHeader"/>
      </w:pPr>
      <w:r w:rsidRPr="00F44F3A">
        <w:t>Sydney</w:t>
      </w:r>
    </w:p>
    <w:p w14:paraId="61336CE6"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CE5AEF7"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275F36C"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2087131" w14:textId="77777777" w:rsidR="00140318" w:rsidRPr="006D46E5" w:rsidRDefault="00140318" w:rsidP="00FC07B9">
      <w:pPr>
        <w:pStyle w:val="ACMACopyrightHeader"/>
      </w:pPr>
      <w:r w:rsidRPr="00140318">
        <w:t>Copyright notice</w:t>
      </w:r>
    </w:p>
    <w:p w14:paraId="78EB4169" w14:textId="77777777" w:rsidR="00140318" w:rsidRPr="006D46E5" w:rsidRDefault="00623FF9" w:rsidP="00623FF9">
      <w:pPr>
        <w:pStyle w:val="ACMACClogo"/>
      </w:pPr>
      <w:r>
        <w:rPr>
          <w:noProof/>
        </w:rPr>
        <w:drawing>
          <wp:inline distT="0" distB="0" distL="0" distR="0" wp14:anchorId="1AE2C775" wp14:editId="4065BEAB">
            <wp:extent cx="838200" cy="295275"/>
            <wp:effectExtent l="0" t="0" r="0" b="0"/>
            <wp:docPr id="209335820"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74394676" w14:textId="77777777" w:rsidR="00AA2DE5" w:rsidRDefault="006B3062" w:rsidP="00AA2DE5">
      <w:pPr>
        <w:pStyle w:val="ACMACorporateAddresses"/>
        <w:rPr>
          <w:rStyle w:val="Hyperlink"/>
        </w:rPr>
      </w:pPr>
      <w:hyperlink r:id="rId13" w:history="1">
        <w:r w:rsidR="00AA2DE5">
          <w:rPr>
            <w:rStyle w:val="Hyperlink"/>
          </w:rPr>
          <w:t>https://creativecommons.org/licenses/by/4.0/</w:t>
        </w:r>
      </w:hyperlink>
    </w:p>
    <w:p w14:paraId="54511DAB"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46EC0C40"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689ED900" w14:textId="77777777" w:rsidR="00AA2DE5" w:rsidRDefault="00AA2DE5" w:rsidP="00AA2DE5">
      <w:pPr>
        <w:pStyle w:val="ACMACorporateAddresses"/>
      </w:pPr>
      <w:r>
        <w:t>All other rights are reserved.</w:t>
      </w:r>
    </w:p>
    <w:p w14:paraId="30F7C87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CD2538D" w14:textId="77777777" w:rsidR="00AA2DE5" w:rsidRDefault="00AA2DE5" w:rsidP="00AA2DE5">
      <w:pPr>
        <w:pStyle w:val="ACMACorporateAddresses"/>
      </w:pPr>
      <w:r>
        <w:t>Written enquiries may be sent to:</w:t>
      </w:r>
    </w:p>
    <w:p w14:paraId="1BDC054B"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62C3C325" w14:textId="77777777" w:rsidR="00D16FE3" w:rsidRDefault="00D16FE3" w:rsidP="00D16FE3">
      <w:pPr>
        <w:pStyle w:val="ACMACorporateAddresses"/>
        <w:rPr>
          <w:rStyle w:val="Hyperlink"/>
        </w:rPr>
      </w:pPr>
    </w:p>
    <w:p w14:paraId="0B22456D"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06F652F1" w14:textId="22C0AB9B" w:rsidR="001B4567"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1B4567">
        <w:t>Executive summary</w:t>
      </w:r>
      <w:r w:rsidR="001B4567">
        <w:tab/>
      </w:r>
      <w:r w:rsidR="001B4567">
        <w:fldChar w:fldCharType="begin"/>
      </w:r>
      <w:r w:rsidR="001B4567">
        <w:instrText xml:space="preserve"> PAGEREF _Toc44322802 \h </w:instrText>
      </w:r>
      <w:r w:rsidR="001B4567">
        <w:fldChar w:fldCharType="separate"/>
      </w:r>
      <w:r w:rsidR="001B4567">
        <w:t>1</w:t>
      </w:r>
      <w:r w:rsidR="001B4567">
        <w:fldChar w:fldCharType="end"/>
      </w:r>
    </w:p>
    <w:p w14:paraId="32D8AF09" w14:textId="4C704165" w:rsidR="001B4567" w:rsidRDefault="001B4567">
      <w:pPr>
        <w:pStyle w:val="TOC2"/>
        <w:rPr>
          <w:rFonts w:asciiTheme="minorHAnsi" w:eastAsiaTheme="minorEastAsia" w:hAnsiTheme="minorHAnsi" w:cstheme="minorBidi"/>
          <w:spacing w:val="0"/>
          <w:sz w:val="22"/>
          <w:szCs w:val="22"/>
        </w:rPr>
      </w:pPr>
      <w:r>
        <w:t>Community radio’s transition path to digital radio</w:t>
      </w:r>
      <w:r>
        <w:tab/>
      </w:r>
      <w:r>
        <w:fldChar w:fldCharType="begin"/>
      </w:r>
      <w:r>
        <w:instrText xml:space="preserve"> PAGEREF _Toc44322803 \h </w:instrText>
      </w:r>
      <w:r>
        <w:fldChar w:fldCharType="separate"/>
      </w:r>
      <w:r>
        <w:t>1</w:t>
      </w:r>
      <w:r>
        <w:fldChar w:fldCharType="end"/>
      </w:r>
    </w:p>
    <w:p w14:paraId="3DBFAAAF" w14:textId="54A409F0" w:rsidR="001B4567" w:rsidRDefault="001B4567">
      <w:pPr>
        <w:pStyle w:val="TOC2"/>
        <w:rPr>
          <w:rFonts w:asciiTheme="minorHAnsi" w:eastAsiaTheme="minorEastAsia" w:hAnsiTheme="minorHAnsi" w:cstheme="minorBidi"/>
          <w:spacing w:val="0"/>
          <w:sz w:val="22"/>
          <w:szCs w:val="22"/>
        </w:rPr>
      </w:pPr>
      <w:r>
        <w:t>Statutory framework</w:t>
      </w:r>
      <w:r>
        <w:tab/>
      </w:r>
      <w:r>
        <w:fldChar w:fldCharType="begin"/>
      </w:r>
      <w:r>
        <w:instrText xml:space="preserve"> PAGEREF _Toc44322804 \h </w:instrText>
      </w:r>
      <w:r>
        <w:fldChar w:fldCharType="separate"/>
      </w:r>
      <w:r>
        <w:t>1</w:t>
      </w:r>
      <w:r>
        <w:fldChar w:fldCharType="end"/>
      </w:r>
    </w:p>
    <w:p w14:paraId="7D03E12C" w14:textId="465AFEA2" w:rsidR="001B4567" w:rsidRDefault="001B4567">
      <w:pPr>
        <w:pStyle w:val="TOC2"/>
        <w:rPr>
          <w:rFonts w:asciiTheme="minorHAnsi" w:eastAsiaTheme="minorEastAsia" w:hAnsiTheme="minorHAnsi" w:cstheme="minorBidi"/>
          <w:spacing w:val="0"/>
          <w:sz w:val="22"/>
          <w:szCs w:val="22"/>
        </w:rPr>
      </w:pPr>
      <w:r>
        <w:t>Deeming decisions to date in the roll out of digital radio</w:t>
      </w:r>
      <w:r>
        <w:tab/>
      </w:r>
      <w:r>
        <w:fldChar w:fldCharType="begin"/>
      </w:r>
      <w:r>
        <w:instrText xml:space="preserve"> PAGEREF _Toc44322805 \h </w:instrText>
      </w:r>
      <w:r>
        <w:fldChar w:fldCharType="separate"/>
      </w:r>
      <w:r>
        <w:t>2</w:t>
      </w:r>
      <w:r>
        <w:fldChar w:fldCharType="end"/>
      </w:r>
    </w:p>
    <w:p w14:paraId="18E260E1" w14:textId="7B5D4E0C" w:rsidR="001B4567" w:rsidRDefault="001B4567">
      <w:pPr>
        <w:pStyle w:val="TOC2"/>
        <w:rPr>
          <w:rFonts w:asciiTheme="minorHAnsi" w:eastAsiaTheme="minorEastAsia" w:hAnsiTheme="minorHAnsi" w:cstheme="minorBidi"/>
          <w:spacing w:val="0"/>
          <w:sz w:val="22"/>
          <w:szCs w:val="22"/>
        </w:rPr>
      </w:pPr>
      <w:r>
        <w:t>Deeming approach</w:t>
      </w:r>
      <w:r>
        <w:tab/>
      </w:r>
      <w:r>
        <w:fldChar w:fldCharType="begin"/>
      </w:r>
      <w:r>
        <w:instrText xml:space="preserve"> PAGEREF _Toc44322806 \h </w:instrText>
      </w:r>
      <w:r>
        <w:fldChar w:fldCharType="separate"/>
      </w:r>
      <w:r>
        <w:t>2</w:t>
      </w:r>
      <w:r>
        <w:fldChar w:fldCharType="end"/>
      </w:r>
    </w:p>
    <w:p w14:paraId="3FAB5003" w14:textId="12EC02C5" w:rsidR="001B4567" w:rsidRDefault="001B4567">
      <w:pPr>
        <w:pStyle w:val="TOC2"/>
        <w:rPr>
          <w:rFonts w:asciiTheme="minorHAnsi" w:eastAsiaTheme="minorEastAsia" w:hAnsiTheme="minorHAnsi" w:cstheme="minorBidi"/>
          <w:spacing w:val="0"/>
          <w:sz w:val="22"/>
          <w:szCs w:val="22"/>
        </w:rPr>
      </w:pPr>
      <w:r>
        <w:t>Consultation</w:t>
      </w:r>
      <w:r>
        <w:tab/>
      </w:r>
      <w:r>
        <w:fldChar w:fldCharType="begin"/>
      </w:r>
      <w:r>
        <w:instrText xml:space="preserve"> PAGEREF _Toc44322807 \h </w:instrText>
      </w:r>
      <w:r>
        <w:fldChar w:fldCharType="separate"/>
      </w:r>
      <w:r>
        <w:t>3</w:t>
      </w:r>
      <w:r>
        <w:fldChar w:fldCharType="end"/>
      </w:r>
    </w:p>
    <w:p w14:paraId="2A294661" w14:textId="6663A955" w:rsidR="001B4567" w:rsidRDefault="001B4567">
      <w:pPr>
        <w:pStyle w:val="TOC1"/>
        <w:rPr>
          <w:rFonts w:asciiTheme="minorHAnsi" w:eastAsiaTheme="minorEastAsia" w:hAnsiTheme="minorHAnsi" w:cstheme="minorBidi"/>
          <w:b w:val="0"/>
          <w:spacing w:val="0"/>
          <w:sz w:val="22"/>
          <w:szCs w:val="22"/>
        </w:rPr>
      </w:pPr>
      <w:r>
        <w:t>Proposed deeming principles</w:t>
      </w:r>
      <w:r>
        <w:tab/>
      </w:r>
      <w:r>
        <w:fldChar w:fldCharType="begin"/>
      </w:r>
      <w:r>
        <w:instrText xml:space="preserve"> PAGEREF _Toc44322808 \h </w:instrText>
      </w:r>
      <w:r>
        <w:fldChar w:fldCharType="separate"/>
      </w:r>
      <w:r>
        <w:t>4</w:t>
      </w:r>
      <w:r>
        <w:fldChar w:fldCharType="end"/>
      </w:r>
    </w:p>
    <w:p w14:paraId="0C7DAF10" w14:textId="072E28CE" w:rsidR="001B4567" w:rsidRDefault="001B4567">
      <w:pPr>
        <w:pStyle w:val="TOC2"/>
        <w:rPr>
          <w:rFonts w:asciiTheme="minorHAnsi" w:eastAsiaTheme="minorEastAsia" w:hAnsiTheme="minorHAnsi" w:cstheme="minorBidi"/>
          <w:spacing w:val="0"/>
          <w:sz w:val="22"/>
          <w:szCs w:val="22"/>
        </w:rPr>
      </w:pPr>
      <w:r>
        <w:t>Overarching principles for deeming</w:t>
      </w:r>
      <w:r>
        <w:tab/>
      </w:r>
      <w:r>
        <w:fldChar w:fldCharType="begin"/>
      </w:r>
      <w:r>
        <w:instrText xml:space="preserve"> PAGEREF _Toc44322809 \h </w:instrText>
      </w:r>
      <w:r>
        <w:fldChar w:fldCharType="separate"/>
      </w:r>
      <w:r>
        <w:t>4</w:t>
      </w:r>
      <w:r>
        <w:fldChar w:fldCharType="end"/>
      </w:r>
    </w:p>
    <w:p w14:paraId="4CB1B8A7" w14:textId="58C3E2D2" w:rsidR="001B4567" w:rsidRDefault="001B4567">
      <w:pPr>
        <w:pStyle w:val="TOC2"/>
        <w:rPr>
          <w:rFonts w:asciiTheme="minorHAnsi" w:eastAsiaTheme="minorEastAsia" w:hAnsiTheme="minorHAnsi" w:cstheme="minorBidi"/>
          <w:spacing w:val="0"/>
          <w:sz w:val="22"/>
          <w:szCs w:val="22"/>
        </w:rPr>
      </w:pPr>
      <w:r>
        <w:t>Principle one: spare capacity on the multiplex</w:t>
      </w:r>
      <w:r>
        <w:tab/>
      </w:r>
      <w:r>
        <w:fldChar w:fldCharType="begin"/>
      </w:r>
      <w:r>
        <w:instrText xml:space="preserve"> PAGEREF _Toc44322810 \h </w:instrText>
      </w:r>
      <w:r>
        <w:fldChar w:fldCharType="separate"/>
      </w:r>
      <w:r>
        <w:t>4</w:t>
      </w:r>
      <w:r>
        <w:fldChar w:fldCharType="end"/>
      </w:r>
    </w:p>
    <w:p w14:paraId="5905AF37" w14:textId="212C2860" w:rsidR="001B4567" w:rsidRDefault="001B4567">
      <w:pPr>
        <w:pStyle w:val="TOC2"/>
        <w:rPr>
          <w:rFonts w:asciiTheme="minorHAnsi" w:eastAsiaTheme="minorEastAsia" w:hAnsiTheme="minorHAnsi" w:cstheme="minorBidi"/>
          <w:spacing w:val="0"/>
          <w:sz w:val="22"/>
          <w:szCs w:val="22"/>
        </w:rPr>
      </w:pPr>
      <w:r>
        <w:t>Principle two: significant correlation between commercial and community licence area populations</w:t>
      </w:r>
      <w:r>
        <w:tab/>
      </w:r>
      <w:r>
        <w:fldChar w:fldCharType="begin"/>
      </w:r>
      <w:r>
        <w:instrText xml:space="preserve"> PAGEREF _Toc44322811 \h </w:instrText>
      </w:r>
      <w:r>
        <w:fldChar w:fldCharType="separate"/>
      </w:r>
      <w:r>
        <w:t>5</w:t>
      </w:r>
      <w:r>
        <w:fldChar w:fldCharType="end"/>
      </w:r>
    </w:p>
    <w:p w14:paraId="4A1FB4EF" w14:textId="55294A3A" w:rsidR="001B4567" w:rsidRDefault="001B4567">
      <w:pPr>
        <w:pStyle w:val="TOC2"/>
        <w:rPr>
          <w:rFonts w:asciiTheme="minorHAnsi" w:eastAsiaTheme="minorEastAsia" w:hAnsiTheme="minorHAnsi" w:cstheme="minorBidi"/>
          <w:spacing w:val="0"/>
          <w:sz w:val="22"/>
          <w:szCs w:val="22"/>
        </w:rPr>
      </w:pPr>
      <w:r>
        <w:t>Principle three: relevance of community interest to the community of the commercial licence area</w:t>
      </w:r>
      <w:r>
        <w:tab/>
      </w:r>
      <w:r>
        <w:fldChar w:fldCharType="begin"/>
      </w:r>
      <w:r>
        <w:instrText xml:space="preserve"> PAGEREF _Toc44322812 \h </w:instrText>
      </w:r>
      <w:r>
        <w:fldChar w:fldCharType="separate"/>
      </w:r>
      <w:r>
        <w:t>8</w:t>
      </w:r>
      <w:r>
        <w:fldChar w:fldCharType="end"/>
      </w:r>
    </w:p>
    <w:p w14:paraId="3D6D1A81" w14:textId="1DE73318" w:rsidR="001B4567" w:rsidRDefault="001B4567">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_Toc44322813 \h </w:instrText>
      </w:r>
      <w:r>
        <w:fldChar w:fldCharType="separate"/>
      </w:r>
      <w:r>
        <w:t>9</w:t>
      </w:r>
      <w:r>
        <w:fldChar w:fldCharType="end"/>
      </w:r>
    </w:p>
    <w:p w14:paraId="1D9E8D00" w14:textId="0F4A5382" w:rsidR="001B4567" w:rsidRDefault="001B4567">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_Toc44322814 \h </w:instrText>
      </w:r>
      <w:r>
        <w:fldChar w:fldCharType="separate"/>
      </w:r>
      <w:r>
        <w:t>9</w:t>
      </w:r>
      <w:r>
        <w:fldChar w:fldCharType="end"/>
      </w:r>
    </w:p>
    <w:p w14:paraId="28F8C5FF" w14:textId="6693ED13"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AD080A8" w14:textId="77777777" w:rsidR="009D6C71" w:rsidRPr="009174F3" w:rsidRDefault="009D6C71" w:rsidP="009174F3">
      <w:pPr>
        <w:pStyle w:val="Execsummaryheading"/>
      </w:pPr>
      <w:bookmarkStart w:id="0" w:name="_Toc44322802"/>
      <w:r w:rsidRPr="009174F3">
        <w:lastRenderedPageBreak/>
        <w:t>Executive summary</w:t>
      </w:r>
      <w:bookmarkEnd w:id="0"/>
    </w:p>
    <w:p w14:paraId="0DAC0213" w14:textId="77777777" w:rsidR="00F9541D" w:rsidRDefault="00F9541D" w:rsidP="00F9541D">
      <w:pPr>
        <w:pStyle w:val="Heading2"/>
      </w:pPr>
      <w:bookmarkStart w:id="1" w:name="_Toc23422451"/>
      <w:bookmarkStart w:id="2" w:name="_Toc43968692"/>
      <w:bookmarkStart w:id="3" w:name="_Toc433122125"/>
      <w:bookmarkStart w:id="4" w:name="_Toc44322803"/>
      <w:r>
        <w:t>Community radio’s transition path to digital radio</w:t>
      </w:r>
      <w:bookmarkEnd w:id="1"/>
      <w:bookmarkEnd w:id="2"/>
      <w:bookmarkEnd w:id="4"/>
    </w:p>
    <w:p w14:paraId="20986B16" w14:textId="77777777" w:rsidR="00483920" w:rsidRDefault="00F9541D" w:rsidP="00483920">
      <w:pPr>
        <w:pStyle w:val="Paragraph"/>
      </w:pPr>
      <w:r w:rsidRPr="00DF25F2">
        <w:t xml:space="preserve">The </w:t>
      </w:r>
      <w:r w:rsidRPr="00DF25F2">
        <w:rPr>
          <w:i/>
          <w:iCs/>
        </w:rPr>
        <w:t xml:space="preserve">Radiocommunications Act 1992 </w:t>
      </w:r>
      <w:r w:rsidRPr="00DF25F2">
        <w:t xml:space="preserve">(RA) reserves two-ninths of a foundation digital radio multiplex transmitter’s capacity for digital community radio broadcasting licensees. </w:t>
      </w:r>
    </w:p>
    <w:p w14:paraId="01088CC2" w14:textId="1506452E" w:rsidR="00483920" w:rsidRDefault="00F9541D" w:rsidP="00483920">
      <w:pPr>
        <w:pStyle w:val="Paragraph"/>
      </w:pPr>
      <w:r w:rsidRPr="00DF25F2">
        <w:t xml:space="preserve">Among the range of legislative requirements that must be met </w:t>
      </w:r>
      <w:r>
        <w:t>before</w:t>
      </w:r>
      <w:r w:rsidRPr="00DF25F2">
        <w:t xml:space="preserve"> a</w:t>
      </w:r>
      <w:r>
        <w:rPr>
          <w:sz w:val="22"/>
          <w:szCs w:val="22"/>
        </w:rPr>
        <w:t xml:space="preserve"> </w:t>
      </w:r>
      <w:r w:rsidRPr="00DF25F2">
        <w:t>community radio broadcasting licensee is authorised to provide one</w:t>
      </w:r>
      <w:r>
        <w:t xml:space="preserve"> or</w:t>
      </w:r>
      <w:r w:rsidRPr="00DF25F2">
        <w:t xml:space="preserve"> more digital services using the multiplex </w:t>
      </w:r>
      <w:r>
        <w:t>transmitter</w:t>
      </w:r>
      <w:r w:rsidR="008B0D6A">
        <w:t>,</w:t>
      </w:r>
      <w:r>
        <w:t xml:space="preserve"> </w:t>
      </w:r>
      <w:r w:rsidRPr="00DF25F2">
        <w:t xml:space="preserve">is that the licence needs to be a </w:t>
      </w:r>
      <w:r w:rsidR="00CF06B7">
        <w:t>‘</w:t>
      </w:r>
      <w:r w:rsidRPr="00DF25F2">
        <w:t>designated community radio broadcasting licence</w:t>
      </w:r>
      <w:r w:rsidR="00CF06B7">
        <w:t>’</w:t>
      </w:r>
      <w:r w:rsidRPr="00DF25F2">
        <w:t xml:space="preserve"> (see section 8AA of the </w:t>
      </w:r>
      <w:r w:rsidRPr="00DF25F2">
        <w:rPr>
          <w:i/>
          <w:iCs/>
        </w:rPr>
        <w:t>Broadcasting Services Act 1992</w:t>
      </w:r>
      <w:r w:rsidRPr="00DF25F2">
        <w:t xml:space="preserve"> (BSA)). </w:t>
      </w:r>
    </w:p>
    <w:p w14:paraId="1AD85C2F" w14:textId="3292B924" w:rsidR="00F9541D" w:rsidRPr="00DF25F2" w:rsidRDefault="00F9541D" w:rsidP="00483920">
      <w:pPr>
        <w:pStyle w:val="Paragraphbeforelist"/>
      </w:pPr>
      <w:r w:rsidRPr="00DF25F2">
        <w:t xml:space="preserve">To </w:t>
      </w:r>
      <w:r w:rsidR="00E82FFB">
        <w:t xml:space="preserve">fall within the definition of a </w:t>
      </w:r>
      <w:r w:rsidRPr="00DF25F2">
        <w:t xml:space="preserve">designated community radio broadcasting licence, the licence area of the community radio broadcasting licence needs to be the same as the licence area of a commercial radio broadcasting </w:t>
      </w:r>
      <w:r w:rsidRPr="00483920">
        <w:t>licence</w:t>
      </w:r>
      <w:r w:rsidRPr="00DF25F2">
        <w:t xml:space="preserve"> (paragraph 8AA(1)(b) of the BSA).</w:t>
      </w:r>
      <w:r>
        <w:t xml:space="preserve"> </w:t>
      </w:r>
      <w:r w:rsidRPr="00DF25F2">
        <w:t>That requirement can be satisfied in circumstances where:</w:t>
      </w:r>
    </w:p>
    <w:p w14:paraId="79554346" w14:textId="6979D4E1" w:rsidR="00F9541D" w:rsidRDefault="00545ABD" w:rsidP="00483920">
      <w:pPr>
        <w:pStyle w:val="Bulletlevel1"/>
      </w:pPr>
      <w:r>
        <w:t>T</w:t>
      </w:r>
      <w:r w:rsidR="00F9541D" w:rsidRPr="00DF25F2">
        <w:t>he licence area (as designated by the ACMA under section 29 of the BSA) of a community radio broadcasting licence is the same as that of a commercial radio broadcasting licensee</w:t>
      </w:r>
      <w:r>
        <w:t xml:space="preserve">. </w:t>
      </w:r>
      <w:r w:rsidR="00F9541D" w:rsidRPr="00DF25F2">
        <w:t xml:space="preserve"> </w:t>
      </w:r>
    </w:p>
    <w:p w14:paraId="5702CA37" w14:textId="583FA111" w:rsidR="00F9541D" w:rsidRDefault="00545ABD" w:rsidP="00483920">
      <w:pPr>
        <w:pStyle w:val="Bulletlevel1"/>
      </w:pPr>
      <w:r>
        <w:t>T</w:t>
      </w:r>
      <w:r w:rsidR="00F9541D" w:rsidRPr="00DF25F2">
        <w:t>he BSA provides that certain community radio broadcasting licence areas are taken to be the same as the licence area of a commercial radio broadcasting licence (the BSA specifies the Western Suburbs Sydney RA1, Hobart RA2 and Hobart RA4 licence areas for this purpose (see subsections 8AD(1) and (2))</w:t>
      </w:r>
      <w:r>
        <w:t xml:space="preserve">. </w:t>
      </w:r>
      <w:r w:rsidR="00F9541D" w:rsidRPr="00DF25F2">
        <w:t xml:space="preserve"> </w:t>
      </w:r>
    </w:p>
    <w:p w14:paraId="21148E80" w14:textId="1DA161DA" w:rsidR="00F9541D" w:rsidRPr="00DF25F2" w:rsidRDefault="00545ABD" w:rsidP="00483920">
      <w:pPr>
        <w:pStyle w:val="Bulletlevel1last"/>
      </w:pPr>
      <w:r>
        <w:t>T</w:t>
      </w:r>
      <w:r w:rsidR="00F9541D" w:rsidRPr="00DF25F2">
        <w:t>he ACMA, under subsection 8</w:t>
      </w:r>
      <w:proofErr w:type="gramStart"/>
      <w:r w:rsidR="00F9541D" w:rsidRPr="00DF25F2">
        <w:t>AD(</w:t>
      </w:r>
      <w:proofErr w:type="gramEnd"/>
      <w:r w:rsidR="00F9541D" w:rsidRPr="00DF25F2">
        <w:t>3) of the BSA, determines that a community radio broadcasting licence area is the same as the licence area of a commercial radio broadcasting service. This process is referred to in this paper as ‘deeming’.</w:t>
      </w:r>
    </w:p>
    <w:p w14:paraId="2CAB9B45" w14:textId="6FF08302" w:rsidR="00F9541D" w:rsidRDefault="00F9541D" w:rsidP="00483920">
      <w:pPr>
        <w:pStyle w:val="Paragraph"/>
      </w:pPr>
      <w:r>
        <w:t xml:space="preserve">This consultation paper proposes </w:t>
      </w:r>
      <w:r w:rsidR="00545ABD">
        <w:t xml:space="preserve">a set of </w:t>
      </w:r>
      <w:r>
        <w:t>principles to guide the ACMA’s deeming powers under subsection 8</w:t>
      </w:r>
      <w:proofErr w:type="gramStart"/>
      <w:r>
        <w:t>AD(</w:t>
      </w:r>
      <w:proofErr w:type="gramEnd"/>
      <w:r>
        <w:t xml:space="preserve">3) of the BSA </w:t>
      </w:r>
      <w:r w:rsidR="008B0D6A">
        <w:t>for</w:t>
      </w:r>
      <w:r>
        <w:t xml:space="preserve"> community broadcasting licence areas in regional Australia.  </w:t>
      </w:r>
    </w:p>
    <w:p w14:paraId="4E706694" w14:textId="77777777" w:rsidR="00F9541D" w:rsidRDefault="00F9541D" w:rsidP="00F9541D">
      <w:pPr>
        <w:pStyle w:val="Heading2"/>
      </w:pPr>
      <w:bookmarkStart w:id="5" w:name="_Toc23422452"/>
      <w:bookmarkStart w:id="6" w:name="_Toc43968693"/>
      <w:bookmarkStart w:id="7" w:name="_Toc44322804"/>
      <w:r>
        <w:t>Statutory framework</w:t>
      </w:r>
      <w:bookmarkEnd w:id="5"/>
      <w:bookmarkEnd w:id="6"/>
      <w:bookmarkEnd w:id="7"/>
    </w:p>
    <w:p w14:paraId="491C24AA" w14:textId="77777777" w:rsidR="00F9541D" w:rsidRDefault="00F9541D" w:rsidP="00F9541D">
      <w:pPr>
        <w:pStyle w:val="Paragraph"/>
      </w:pPr>
      <w:r>
        <w:t xml:space="preserve">The </w:t>
      </w:r>
      <w:r>
        <w:rPr>
          <w:bCs/>
        </w:rPr>
        <w:t>RA</w:t>
      </w:r>
      <w:r>
        <w:t xml:space="preserve"> and the </w:t>
      </w:r>
      <w:r>
        <w:rPr>
          <w:bCs/>
        </w:rPr>
        <w:t>BSA</w:t>
      </w:r>
      <w:r>
        <w:t xml:space="preserve"> provide the statutory framework for digital radio in Australia. </w:t>
      </w:r>
    </w:p>
    <w:p w14:paraId="57B772FC" w14:textId="631653C4" w:rsidR="00F9541D" w:rsidRDefault="00F9541D" w:rsidP="00F9541D">
      <w:pPr>
        <w:pStyle w:val="Paragraph"/>
      </w:pPr>
      <w:r>
        <w:t xml:space="preserve">Under the </w:t>
      </w:r>
      <w:r w:rsidRPr="47548C57">
        <w:t>RA</w:t>
      </w:r>
      <w:r>
        <w:t>, digital radio multiplex transmitters are planned in radio licence areas that are identical to commercial radio licence areas.</w:t>
      </w:r>
      <w:r w:rsidRPr="47548C57">
        <w:rPr>
          <w:rStyle w:val="FootnoteReference"/>
          <w:color w:val="000000" w:themeColor="text1"/>
        </w:rPr>
        <w:footnoteReference w:id="1"/>
      </w:r>
      <w:r>
        <w:t xml:space="preserve"> For a community radio broadcasting licensee to be eligible to provide digital radio services, it must be a </w:t>
      </w:r>
      <w:r w:rsidRPr="47548C57">
        <w:t>designated community radio broadcasting licensee</w:t>
      </w:r>
      <w:r w:rsidR="005125C8">
        <w:rPr>
          <w:iCs/>
        </w:rPr>
        <w:t>.</w:t>
      </w:r>
      <w:r w:rsidRPr="47548C57">
        <w:rPr>
          <w:rStyle w:val="FootnoteReference"/>
          <w:color w:val="000000" w:themeColor="text1"/>
        </w:rPr>
        <w:footnoteReference w:id="2"/>
      </w:r>
      <w:r>
        <w:t xml:space="preserve"> Generally, this means it must have either been planned in the relevant commercial radio licence area,</w:t>
      </w:r>
      <w:r w:rsidR="1CD3D78E">
        <w:t xml:space="preserve"> </w:t>
      </w:r>
      <w:r>
        <w:t xml:space="preserve">or have its </w:t>
      </w:r>
      <w:r>
        <w:lastRenderedPageBreak/>
        <w:t>licence area deemed by the BSA or the ACMA to be the same as a specified licence area of a commercial radio broadcasting licence.</w:t>
      </w:r>
    </w:p>
    <w:p w14:paraId="33C31699" w14:textId="37B0355D" w:rsidR="00F9541D" w:rsidRDefault="00F9541D" w:rsidP="00F9541D">
      <w:pPr>
        <w:pStyle w:val="Paragraph"/>
      </w:pPr>
      <w:r>
        <w:t>Subsection 8AD(3) of the BSA states that f</w:t>
      </w:r>
      <w:r>
        <w:rPr>
          <w:bCs/>
        </w:rPr>
        <w:t xml:space="preserve">or the purposes of digital radio, the ACMA may determine that </w:t>
      </w:r>
      <w:r>
        <w:t xml:space="preserve">a specified licence area of a community radio broadcasting licence is taken to be the same as a specified licence area of a commercial radio broadcasting licence. </w:t>
      </w:r>
    </w:p>
    <w:p w14:paraId="5E46B862" w14:textId="3E35030F" w:rsidR="00F9541D" w:rsidRDefault="00F9541D" w:rsidP="00F9541D">
      <w:pPr>
        <w:pStyle w:val="Paragraph"/>
      </w:pPr>
      <w:r>
        <w:t xml:space="preserve">According to </w:t>
      </w:r>
      <w:r w:rsidR="005D3218">
        <w:t>our</w:t>
      </w:r>
      <w:r>
        <w:t xml:space="preserve"> analysis, only 10 per cent of regional commercial radio licence areas have a planned community radio broadcasting service with the same licence area. This means that the exercise of </w:t>
      </w:r>
      <w:r w:rsidR="005125C8">
        <w:t>our</w:t>
      </w:r>
      <w:r>
        <w:t xml:space="preserve"> deeming powers under subsection 8</w:t>
      </w:r>
      <w:proofErr w:type="gramStart"/>
      <w:r>
        <w:t>AD(</w:t>
      </w:r>
      <w:proofErr w:type="gramEnd"/>
      <w:r>
        <w:t xml:space="preserve">3) of the BSA is a key mechanism by which community radio broadcasting licensees may have the opportunity to gain access to multiplex capacity. </w:t>
      </w:r>
    </w:p>
    <w:p w14:paraId="5A1C6868" w14:textId="77777777" w:rsidR="00F9541D" w:rsidRDefault="00F9541D" w:rsidP="00F9541D">
      <w:pPr>
        <w:pStyle w:val="Heading2"/>
      </w:pPr>
      <w:bookmarkStart w:id="8" w:name="_Toc23422453"/>
      <w:bookmarkStart w:id="9" w:name="_Toc43968694"/>
      <w:bookmarkStart w:id="10" w:name="_Toc44322805"/>
      <w:r>
        <w:t>Deeming decisions to date in the roll out of digital radio</w:t>
      </w:r>
      <w:bookmarkEnd w:id="8"/>
      <w:bookmarkEnd w:id="9"/>
      <w:bookmarkEnd w:id="10"/>
    </w:p>
    <w:p w14:paraId="21D2C910" w14:textId="1CB3CDDF" w:rsidR="00CF06B7" w:rsidRDefault="005125C8" w:rsidP="009746D6">
      <w:pPr>
        <w:pStyle w:val="Paragraphbeforelist"/>
      </w:pPr>
      <w:r>
        <w:t>We have</w:t>
      </w:r>
      <w:r w:rsidR="00F9541D">
        <w:t xml:space="preserve"> exercised </w:t>
      </w:r>
      <w:r>
        <w:t xml:space="preserve">our </w:t>
      </w:r>
      <w:r w:rsidR="00F9541D">
        <w:t xml:space="preserve">deeming powers pursuant to subsection 8AD(3) of the BSA by making the </w:t>
      </w:r>
      <w:hyperlink r:id="rId24" w:history="1">
        <w:r w:rsidR="00F9541D" w:rsidRPr="00667D46">
          <w:rPr>
            <w:rStyle w:val="Hyperlink"/>
            <w:i/>
            <w:iCs/>
          </w:rPr>
          <w:t>Broadcasting Services (Deemed Digital Radio Licence Areas) Determination 2017</w:t>
        </w:r>
      </w:hyperlink>
      <w:r w:rsidR="00F9541D" w:rsidRPr="005B1E7B">
        <w:rPr>
          <w:i/>
          <w:iCs/>
        </w:rPr>
        <w:t>.</w:t>
      </w:r>
      <w:r w:rsidR="00F9541D">
        <w:t xml:space="preserve"> This determination deems six community radio licence areas to be the same as certain specified commercial radio licence areas.</w:t>
      </w:r>
      <w:r w:rsidR="00F9541D">
        <w:rPr>
          <w:color w:val="000000" w:themeColor="text1"/>
          <w:szCs w:val="20"/>
        </w:rPr>
        <w:t xml:space="preserve"> T</w:t>
      </w:r>
      <w:r w:rsidR="00F9541D">
        <w:t xml:space="preserve">he six community radio licence areas that were deemed by </w:t>
      </w:r>
      <w:r>
        <w:t>us</w:t>
      </w:r>
      <w:r w:rsidR="00F9541D">
        <w:t xml:space="preserve"> are:</w:t>
      </w:r>
    </w:p>
    <w:p w14:paraId="01BE8B1D" w14:textId="11C1BB14" w:rsidR="00CF06B7" w:rsidRDefault="00F9541D" w:rsidP="009746D6">
      <w:pPr>
        <w:pStyle w:val="Bulletlevel1"/>
      </w:pPr>
      <w:r>
        <w:t>NSW Community RA1</w:t>
      </w:r>
    </w:p>
    <w:p w14:paraId="0BB8A484" w14:textId="5032B8F8" w:rsidR="00CF06B7" w:rsidRDefault="00F9541D" w:rsidP="009746D6">
      <w:pPr>
        <w:pStyle w:val="Bulletlevel1"/>
      </w:pPr>
      <w:r>
        <w:t>Victorian Community RA1</w:t>
      </w:r>
    </w:p>
    <w:p w14:paraId="0851D9EF" w14:textId="44EEDF9B" w:rsidR="00CF06B7" w:rsidRDefault="00F9541D" w:rsidP="009746D6">
      <w:pPr>
        <w:pStyle w:val="Bulletlevel1"/>
      </w:pPr>
      <w:r>
        <w:t>Darwin RA2</w:t>
      </w:r>
    </w:p>
    <w:p w14:paraId="0AE1B71F" w14:textId="1B050B29" w:rsidR="00CF06B7" w:rsidRDefault="00F9541D" w:rsidP="009746D6">
      <w:pPr>
        <w:pStyle w:val="Bulletlevel1"/>
      </w:pPr>
      <w:r>
        <w:t>Darwin RA3</w:t>
      </w:r>
    </w:p>
    <w:p w14:paraId="3EB04D1E" w14:textId="2B89F32C" w:rsidR="00CF06B7" w:rsidRDefault="00F9541D" w:rsidP="009746D6">
      <w:pPr>
        <w:pStyle w:val="Bulletlevel1"/>
      </w:pPr>
      <w:r>
        <w:t>Canberra RA2</w:t>
      </w:r>
    </w:p>
    <w:p w14:paraId="50545392" w14:textId="11F3527D" w:rsidR="005125C8" w:rsidRDefault="00F9541D" w:rsidP="009746D6">
      <w:pPr>
        <w:pStyle w:val="Bulletlevel1last"/>
      </w:pPr>
      <w:r>
        <w:t xml:space="preserve">Hobart RA3. </w:t>
      </w:r>
    </w:p>
    <w:p w14:paraId="0EDE51B3" w14:textId="4E16D78A" w:rsidR="00F9541D" w:rsidRDefault="00F9541D" w:rsidP="00F9541D">
      <w:pPr>
        <w:pStyle w:val="Paragraph"/>
      </w:pPr>
      <w:r>
        <w:t>Other than Hobart RA3, these licence areas were deemed on the basis that they were considered ‘wide-coverage’ areas.</w:t>
      </w:r>
      <w:r>
        <w:rPr>
          <w:rStyle w:val="FootnoteReference"/>
        </w:rPr>
        <w:footnoteReference w:id="3"/>
      </w:r>
      <w:r>
        <w:t xml:space="preserve"> Three (NSW Community RA1, Victorian Community RA1 and Canberra RA2) covered 100 per cent of the population of the relevant commercial radio licence area and the remaining two (Darwin RA2 and Darwin RA3) covered approximately 67 per cent of the population of the relevant commercial radio licence area. The Hobart RA3 licence area is situated wholly within the Hobart RA1 licence area. The percentage of population overlap with the Hobart RA1 licence area is approximately</w:t>
      </w:r>
      <w:r w:rsidR="005125C8">
        <w:t xml:space="preserve"> </w:t>
      </w:r>
      <w:r>
        <w:t xml:space="preserve">31 per cent of the Hobart RA1 licence area population.  </w:t>
      </w:r>
    </w:p>
    <w:p w14:paraId="01F0F36F" w14:textId="326FBB4E" w:rsidR="00F9541D" w:rsidRDefault="006F05A1" w:rsidP="00F9541D">
      <w:pPr>
        <w:pStyle w:val="Heading2"/>
      </w:pPr>
      <w:bookmarkStart w:id="11" w:name="_Toc469331635"/>
      <w:bookmarkStart w:id="12" w:name="_Toc44322806"/>
      <w:r>
        <w:t>Deeming approach</w:t>
      </w:r>
      <w:bookmarkEnd w:id="12"/>
      <w:r>
        <w:t xml:space="preserve"> </w:t>
      </w:r>
    </w:p>
    <w:p w14:paraId="13B78DAB" w14:textId="53B804C0" w:rsidR="00F9541D" w:rsidRDefault="00F9541D" w:rsidP="00F9541D">
      <w:pPr>
        <w:pStyle w:val="Paragraph"/>
        <w:rPr>
          <w:snapToGrid w:val="0"/>
        </w:rPr>
      </w:pPr>
      <w:r>
        <w:t>The object</w:t>
      </w:r>
      <w:r w:rsidR="002E29B9">
        <w:t>s</w:t>
      </w:r>
      <w:r>
        <w:t xml:space="preserve"> of the RA </w:t>
      </w:r>
      <w:r w:rsidR="002E29B9">
        <w:t xml:space="preserve">include maximising </w:t>
      </w:r>
      <w:r>
        <w:t xml:space="preserve">the overall public benefit derived from using the radiofrequency spectrum </w:t>
      </w:r>
      <w:r w:rsidR="00452365">
        <w:t xml:space="preserve">by </w:t>
      </w:r>
      <w:r w:rsidR="002E29B9">
        <w:t xml:space="preserve">ensuring the efficient allocation and use of the spectrum </w:t>
      </w:r>
      <w:r>
        <w:t>and mak</w:t>
      </w:r>
      <w:r w:rsidR="002E29B9">
        <w:t>ing</w:t>
      </w:r>
      <w:r>
        <w:t xml:space="preserve"> adequate provision of the spectrum for use by public or community services.</w:t>
      </w:r>
      <w:r>
        <w:rPr>
          <w:vertAlign w:val="superscript"/>
        </w:rPr>
        <w:footnoteReference w:id="4"/>
      </w:r>
      <w:r>
        <w:t xml:space="preserve"> The objects of the BSA include promot</w:t>
      </w:r>
      <w:r w:rsidR="005125C8">
        <w:t>ing</w:t>
      </w:r>
      <w:r>
        <w:t xml:space="preserve"> </w:t>
      </w:r>
      <w:r w:rsidR="005125C8">
        <w:t xml:space="preserve">a diverse range of radio services </w:t>
      </w:r>
      <w:r>
        <w:t>availab</w:t>
      </w:r>
      <w:r w:rsidR="005125C8">
        <w:t>le</w:t>
      </w:r>
      <w:r>
        <w:t xml:space="preserve"> to audiences throughout Australia</w:t>
      </w:r>
      <w:r w:rsidR="005125C8">
        <w:t>.</w:t>
      </w:r>
      <w:r>
        <w:rPr>
          <w:vertAlign w:val="superscript"/>
        </w:rPr>
        <w:footnoteReference w:id="5"/>
      </w:r>
      <w:r>
        <w:t xml:space="preserve"> </w:t>
      </w:r>
      <w:r>
        <w:rPr>
          <w:snapToGrid w:val="0"/>
        </w:rPr>
        <w:t xml:space="preserve">The deeming principles </w:t>
      </w:r>
      <w:r>
        <w:rPr>
          <w:snapToGrid w:val="0"/>
        </w:rPr>
        <w:lastRenderedPageBreak/>
        <w:t>proposed in this paper are directed towards the relevant objects of the RA and BSA. They recognise that the BSA and RA envisage community radio participation in the provision of digital radio services throughout Australia, including by the reservation of two-ninths of digital radio multiplex transmitter capacity for that purpose.</w:t>
      </w:r>
    </w:p>
    <w:p w14:paraId="03C29046" w14:textId="3A200FF5" w:rsidR="00F9541D" w:rsidRDefault="005125C8" w:rsidP="00F9541D">
      <w:pPr>
        <w:pStyle w:val="Paragraph"/>
      </w:pPr>
      <w:bookmarkStart w:id="13" w:name="_Hlk31299237"/>
      <w:r>
        <w:t>We have</w:t>
      </w:r>
      <w:r w:rsidR="00F9541D">
        <w:t xml:space="preserve"> indicated to radio industry representatives through the Digital Radio Planning Committee</w:t>
      </w:r>
      <w:r w:rsidR="002E29B9">
        <w:t xml:space="preserve"> that we</w:t>
      </w:r>
      <w:r w:rsidR="00F9541D">
        <w:t xml:space="preserve"> will prepare a digital radio channel plan for any commercial radio licence area where at least one commercial or community radio broadcasting licensee has committed to deploying digital radio services. </w:t>
      </w:r>
    </w:p>
    <w:bookmarkEnd w:id="13"/>
    <w:p w14:paraId="5A258BEB" w14:textId="4CEC615A" w:rsidR="00F9541D" w:rsidRDefault="00F9541D" w:rsidP="00F9541D">
      <w:pPr>
        <w:pStyle w:val="ACMASpaceaftertable"/>
        <w:rPr>
          <w:snapToGrid w:val="0"/>
          <w:lang w:eastAsia="en-US"/>
        </w:rPr>
      </w:pPr>
      <w:r>
        <w:t xml:space="preserve">The exercise of </w:t>
      </w:r>
      <w:r w:rsidR="005125C8">
        <w:t xml:space="preserve">our </w:t>
      </w:r>
      <w:r>
        <w:t xml:space="preserve">deeming power can facilitate access to the digital radio multiplex transmitter infrastructure. </w:t>
      </w:r>
      <w:r w:rsidR="005125C8">
        <w:t>We</w:t>
      </w:r>
      <w:r>
        <w:t xml:space="preserve"> acknowledge that the exclusion of a community broadcasting licence area from the digital platform may have ramifications for local communities and the diversity of broadcasting services in regional areas.</w:t>
      </w:r>
    </w:p>
    <w:p w14:paraId="6D75A2F1" w14:textId="77777777" w:rsidR="00F9541D" w:rsidRDefault="00F9541D" w:rsidP="00F9541D">
      <w:pPr>
        <w:pStyle w:val="Heading3"/>
      </w:pPr>
      <w:bookmarkStart w:id="14" w:name="_Toc23415109"/>
      <w:r>
        <w:t>Desired outcomes of deeming principles</w:t>
      </w:r>
      <w:bookmarkEnd w:id="14"/>
    </w:p>
    <w:p w14:paraId="54F8D8F5" w14:textId="77777777" w:rsidR="00F9541D" w:rsidRDefault="00F9541D" w:rsidP="00483920">
      <w:pPr>
        <w:pStyle w:val="Paragraphbeforelist"/>
        <w:rPr>
          <w:snapToGrid w:val="0"/>
        </w:rPr>
      </w:pPr>
      <w:r>
        <w:rPr>
          <w:snapToGrid w:val="0"/>
        </w:rPr>
        <w:t>The desired outcomes of the proposed deeming principles are directed to:</w:t>
      </w:r>
    </w:p>
    <w:p w14:paraId="69A80DF0" w14:textId="7B110557" w:rsidR="00F9541D" w:rsidRDefault="00F9541D" w:rsidP="00483920">
      <w:pPr>
        <w:pStyle w:val="Bulletlevel1"/>
        <w:rPr>
          <w:b/>
          <w:bCs/>
          <w:iCs/>
          <w:snapToGrid w:val="0"/>
          <w:lang w:eastAsia="en-US"/>
        </w:rPr>
      </w:pPr>
      <w:r>
        <w:rPr>
          <w:snapToGrid w:val="0"/>
          <w:lang w:eastAsia="en-US"/>
        </w:rPr>
        <w:t>ensur</w:t>
      </w:r>
      <w:r w:rsidR="005125C8">
        <w:rPr>
          <w:snapToGrid w:val="0"/>
          <w:lang w:eastAsia="en-US"/>
        </w:rPr>
        <w:t>e</w:t>
      </w:r>
      <w:r>
        <w:rPr>
          <w:snapToGrid w:val="0"/>
          <w:lang w:eastAsia="en-US"/>
        </w:rPr>
        <w:t xml:space="preserve"> the efficient use of the radiofrequency spectrum by maximising the utilisation of digital radio multiplex transmitter capacity</w:t>
      </w:r>
    </w:p>
    <w:p w14:paraId="6F2B8F58" w14:textId="6E3CCA8D" w:rsidR="00F9541D" w:rsidRDefault="00F9541D" w:rsidP="00483920">
      <w:pPr>
        <w:pStyle w:val="Bulletlevel1"/>
        <w:rPr>
          <w:snapToGrid w:val="0"/>
          <w:lang w:eastAsia="en-US"/>
        </w:rPr>
      </w:pPr>
      <w:r>
        <w:rPr>
          <w:snapToGrid w:val="0"/>
          <w:lang w:eastAsia="en-US"/>
        </w:rPr>
        <w:t>promo</w:t>
      </w:r>
      <w:r w:rsidR="005125C8">
        <w:rPr>
          <w:snapToGrid w:val="0"/>
          <w:lang w:eastAsia="en-US"/>
        </w:rPr>
        <w:t>te</w:t>
      </w:r>
      <w:r>
        <w:rPr>
          <w:snapToGrid w:val="0"/>
          <w:lang w:eastAsia="en-US"/>
        </w:rPr>
        <w:t xml:space="preserve"> the availability of a diverse range of radio services throughout Australia</w:t>
      </w:r>
    </w:p>
    <w:p w14:paraId="75271708" w14:textId="2D3379C3" w:rsidR="00F9541D" w:rsidRDefault="00F9541D" w:rsidP="00483920">
      <w:pPr>
        <w:pStyle w:val="Bulletlevel1last"/>
        <w:rPr>
          <w:b/>
          <w:bCs/>
          <w:iCs/>
          <w:snapToGrid w:val="0"/>
          <w:lang w:eastAsia="en-US"/>
        </w:rPr>
      </w:pPr>
      <w:r>
        <w:rPr>
          <w:snapToGrid w:val="0"/>
          <w:lang w:eastAsia="en-US"/>
        </w:rPr>
        <w:t>provi</w:t>
      </w:r>
      <w:r w:rsidR="005125C8">
        <w:rPr>
          <w:snapToGrid w:val="0"/>
          <w:lang w:eastAsia="en-US"/>
        </w:rPr>
        <w:t>de</w:t>
      </w:r>
      <w:r>
        <w:rPr>
          <w:snapToGrid w:val="0"/>
          <w:lang w:eastAsia="en-US"/>
        </w:rPr>
        <w:t xml:space="preserve"> guidance for </w:t>
      </w:r>
      <w:r w:rsidRPr="00483920">
        <w:t>community</w:t>
      </w:r>
      <w:r>
        <w:rPr>
          <w:snapToGrid w:val="0"/>
          <w:lang w:eastAsia="en-US"/>
        </w:rPr>
        <w:t xml:space="preserve"> radio broadcasting licensees about whether they may have the opportunity to access digital radio multiplex capacity.</w:t>
      </w:r>
    </w:p>
    <w:p w14:paraId="77AB75AE" w14:textId="77777777" w:rsidR="00F9541D" w:rsidRDefault="00F9541D" w:rsidP="00F9541D">
      <w:pPr>
        <w:pStyle w:val="Heading3"/>
      </w:pPr>
      <w:bookmarkStart w:id="15" w:name="_Toc23415110"/>
      <w:r>
        <w:t>Explanatory notes on planning principles</w:t>
      </w:r>
      <w:bookmarkEnd w:id="15"/>
    </w:p>
    <w:p w14:paraId="07CE8415" w14:textId="77777777" w:rsidR="00F9541D" w:rsidRDefault="00F9541D" w:rsidP="00483920">
      <w:pPr>
        <w:pStyle w:val="Paragraph"/>
      </w:pPr>
      <w:r>
        <w:t>Each of the proposed deeming principles set out below is followed by an explanatory note, which clarifies the meaning and application of the principle.</w:t>
      </w:r>
    </w:p>
    <w:p w14:paraId="18ADD473" w14:textId="77777777" w:rsidR="00F9541D" w:rsidRDefault="00F9541D" w:rsidP="00F9541D">
      <w:pPr>
        <w:pStyle w:val="Heading2"/>
      </w:pPr>
      <w:bookmarkStart w:id="16" w:name="_Toc23422457"/>
      <w:bookmarkStart w:id="17" w:name="_Toc43968696"/>
      <w:bookmarkStart w:id="18" w:name="_Toc44322807"/>
      <w:bookmarkEnd w:id="11"/>
      <w:r>
        <w:t>Consultation</w:t>
      </w:r>
      <w:bookmarkEnd w:id="16"/>
      <w:bookmarkEnd w:id="17"/>
      <w:bookmarkEnd w:id="18"/>
    </w:p>
    <w:p w14:paraId="5FBC09CE" w14:textId="15DA5646" w:rsidR="00F9541D" w:rsidRDefault="00F9541D" w:rsidP="00F9541D">
      <w:r>
        <w:t xml:space="preserve">This consultation paper does not ask specific questions. However, </w:t>
      </w:r>
      <w:r w:rsidR="005125C8">
        <w:t>we</w:t>
      </w:r>
      <w:r>
        <w:t xml:space="preserve"> welcome comment from interested stakeholders on the issues raised in this paper or any other issues relevant to licence area deeming for digital radio in regional Australia.</w:t>
      </w:r>
    </w:p>
    <w:p w14:paraId="3ABBA882" w14:textId="77777777" w:rsidR="00F9541D" w:rsidRDefault="00F9541D" w:rsidP="00F9541D">
      <w:pPr>
        <w:pStyle w:val="Heading1"/>
      </w:pPr>
      <w:bookmarkStart w:id="19" w:name="_Toc43968697"/>
      <w:bookmarkStart w:id="20" w:name="_Toc44322808"/>
      <w:bookmarkEnd w:id="3"/>
      <w:r>
        <w:lastRenderedPageBreak/>
        <w:t>Proposed deeming principles</w:t>
      </w:r>
      <w:bookmarkEnd w:id="19"/>
      <w:bookmarkEnd w:id="20"/>
    </w:p>
    <w:p w14:paraId="4C3C55F2" w14:textId="6610F531" w:rsidR="00F9541D" w:rsidRDefault="00F9541D" w:rsidP="00F9541D">
      <w:pPr>
        <w:pStyle w:val="Paragraph"/>
        <w:rPr>
          <w:snapToGrid w:val="0"/>
        </w:rPr>
      </w:pPr>
      <w:r>
        <w:rPr>
          <w:snapToGrid w:val="0"/>
        </w:rPr>
        <w:t xml:space="preserve">The following principles are proposed to guide the exercise of </w:t>
      </w:r>
      <w:r w:rsidR="00FA0CA9">
        <w:rPr>
          <w:snapToGrid w:val="0"/>
        </w:rPr>
        <w:t>the ACMA’s</w:t>
      </w:r>
      <w:r w:rsidR="000762CE">
        <w:rPr>
          <w:snapToGrid w:val="0"/>
        </w:rPr>
        <w:t xml:space="preserve"> </w:t>
      </w:r>
      <w:r>
        <w:rPr>
          <w:snapToGrid w:val="0"/>
        </w:rPr>
        <w:t>power to deem licence areas under subsection 8</w:t>
      </w:r>
      <w:proofErr w:type="gramStart"/>
      <w:r>
        <w:rPr>
          <w:snapToGrid w:val="0"/>
        </w:rPr>
        <w:t>AD(</w:t>
      </w:r>
      <w:proofErr w:type="gramEnd"/>
      <w:r>
        <w:rPr>
          <w:snapToGrid w:val="0"/>
        </w:rPr>
        <w:t xml:space="preserve">3) of the BSA. </w:t>
      </w:r>
    </w:p>
    <w:p w14:paraId="41BA1322" w14:textId="2701B1FC" w:rsidR="00F9541D" w:rsidRPr="009F588E" w:rsidRDefault="00F9541D" w:rsidP="00F9541D">
      <w:pPr>
        <w:pStyle w:val="Paragraph"/>
      </w:pPr>
      <w:r>
        <w:t xml:space="preserve">A decision to deem a particular community licence area </w:t>
      </w:r>
      <w:r>
        <w:rPr>
          <w:snapToGrid w:val="0"/>
        </w:rPr>
        <w:t>under subsection 8</w:t>
      </w:r>
      <w:proofErr w:type="gramStart"/>
      <w:r>
        <w:rPr>
          <w:snapToGrid w:val="0"/>
        </w:rPr>
        <w:t>AD(</w:t>
      </w:r>
      <w:proofErr w:type="gramEnd"/>
      <w:r>
        <w:rPr>
          <w:snapToGrid w:val="0"/>
        </w:rPr>
        <w:t>3) of the BSA</w:t>
      </w:r>
      <w:r>
        <w:t xml:space="preserve"> is made by legislative instrument. B</w:t>
      </w:r>
      <w:r w:rsidRPr="009F588E">
        <w:t xml:space="preserve">efore making a legislative instrument, </w:t>
      </w:r>
      <w:r w:rsidR="000762CE">
        <w:t>we</w:t>
      </w:r>
      <w:r w:rsidRPr="009F588E">
        <w:t xml:space="preserve"> must be satisfied that appropriate consultation, as is reasonably practicable, has been undertaken</w:t>
      </w:r>
      <w:r>
        <w:t>.</w:t>
      </w:r>
      <w:r>
        <w:rPr>
          <w:rStyle w:val="FootnoteReference"/>
        </w:rPr>
        <w:footnoteReference w:id="6"/>
      </w:r>
      <w:r>
        <w:t xml:space="preserve"> </w:t>
      </w:r>
      <w:r w:rsidR="000762CE">
        <w:t>We</w:t>
      </w:r>
      <w:r>
        <w:t xml:space="preserve"> intend to consult with the public and industry before making each deeming decision.</w:t>
      </w:r>
    </w:p>
    <w:p w14:paraId="1A7CE09C" w14:textId="77777777" w:rsidR="00F9541D" w:rsidRDefault="00F9541D" w:rsidP="00F9541D">
      <w:pPr>
        <w:pStyle w:val="Paragraph"/>
        <w:rPr>
          <w:snapToGrid w:val="0"/>
        </w:rPr>
      </w:pPr>
      <w:r>
        <w:rPr>
          <w:snapToGrid w:val="0"/>
        </w:rPr>
        <w:t xml:space="preserve">The proposed principles are not intended to be binding on the ACMA but represent a statement of disposition. </w:t>
      </w:r>
    </w:p>
    <w:p w14:paraId="43C191AB" w14:textId="6D57FA72" w:rsidR="00F9541D" w:rsidRDefault="00F9541D" w:rsidP="00F9541D">
      <w:pPr>
        <w:pStyle w:val="Paragraph"/>
        <w:rPr>
          <w:snapToGrid w:val="0"/>
        </w:rPr>
      </w:pPr>
      <w:r>
        <w:rPr>
          <w:snapToGrid w:val="0"/>
        </w:rPr>
        <w:t xml:space="preserve">Circumstances may arise where it is necessary and appropriate for the ACMA to depart from the deeming principles. In these instances, </w:t>
      </w:r>
      <w:r w:rsidR="000762CE">
        <w:rPr>
          <w:snapToGrid w:val="0"/>
        </w:rPr>
        <w:t>we</w:t>
      </w:r>
      <w:r>
        <w:rPr>
          <w:snapToGrid w:val="0"/>
        </w:rPr>
        <w:t xml:space="preserve"> expect to provide information about any proposed significant departure from the principles during a consultation process. </w:t>
      </w:r>
    </w:p>
    <w:p w14:paraId="73FE3485" w14:textId="77777777" w:rsidR="00F9541D" w:rsidRDefault="00F9541D" w:rsidP="00F9541D">
      <w:pPr>
        <w:pStyle w:val="Heading2"/>
      </w:pPr>
      <w:bookmarkStart w:id="21" w:name="_Toc23422459"/>
      <w:bookmarkStart w:id="22" w:name="_Toc43968698"/>
      <w:bookmarkStart w:id="23" w:name="_Hlk17358906"/>
      <w:bookmarkStart w:id="24" w:name="_Toc44322809"/>
      <w:r>
        <w:t>Overarching principles for deeming</w:t>
      </w:r>
      <w:bookmarkEnd w:id="21"/>
      <w:bookmarkEnd w:id="22"/>
      <w:bookmarkEnd w:id="24"/>
    </w:p>
    <w:p w14:paraId="7A31C5A1" w14:textId="20941220" w:rsidR="00F9541D" w:rsidRDefault="00432538" w:rsidP="00483920">
      <w:pPr>
        <w:pStyle w:val="Paragraphbeforelist"/>
      </w:pPr>
      <w:r>
        <w:t>For the expansion of digital radio into regional Australia, t</w:t>
      </w:r>
      <w:r w:rsidR="00F9541D">
        <w:t xml:space="preserve">here are three proposed overarching principles that </w:t>
      </w:r>
      <w:r>
        <w:t>we</w:t>
      </w:r>
      <w:r w:rsidR="00F9541D">
        <w:t xml:space="preserve"> intend to apply when considering whether to deem a community licence area under subsection 8</w:t>
      </w:r>
      <w:proofErr w:type="gramStart"/>
      <w:r w:rsidR="00F9541D">
        <w:t>AD(</w:t>
      </w:r>
      <w:proofErr w:type="gramEnd"/>
      <w:r w:rsidR="00F9541D">
        <w:t>3) of the BSA:</w:t>
      </w:r>
    </w:p>
    <w:p w14:paraId="6277A04E" w14:textId="77777777" w:rsidR="00F9541D" w:rsidRDefault="00F9541D" w:rsidP="00483920">
      <w:pPr>
        <w:pStyle w:val="Numberlistlevel1"/>
      </w:pPr>
      <w:r>
        <w:t xml:space="preserve">There is spare capacity on the relevant digital radio multiplex transmitter (within the two-ninth allocation for community radio broadcasting services). </w:t>
      </w:r>
    </w:p>
    <w:p w14:paraId="224DC30E" w14:textId="77777777" w:rsidR="00F9541D" w:rsidRDefault="00F9541D" w:rsidP="00483920">
      <w:pPr>
        <w:pStyle w:val="Numberlistlevel1"/>
      </w:pPr>
      <w:r>
        <w:t>There is significant correlation between the commercial and community licence areas.</w:t>
      </w:r>
    </w:p>
    <w:p w14:paraId="1C40A716" w14:textId="77777777" w:rsidR="00F9541D" w:rsidRDefault="00F9541D" w:rsidP="00483920">
      <w:pPr>
        <w:pStyle w:val="Numberlistlast"/>
      </w:pPr>
      <w:r>
        <w:t>T</w:t>
      </w:r>
      <w:r w:rsidDel="004058FB">
        <w:t>he community interest</w:t>
      </w:r>
      <w:r>
        <w:t>s</w:t>
      </w:r>
      <w:r w:rsidDel="004058FB">
        <w:t xml:space="preserve"> </w:t>
      </w:r>
      <w:r>
        <w:t xml:space="preserve">represented by the relevant community radio broadcasting licences are </w:t>
      </w:r>
      <w:r w:rsidDel="004058FB">
        <w:t xml:space="preserve">relevant </w:t>
      </w:r>
      <w:r>
        <w:t xml:space="preserve">to the </w:t>
      </w:r>
      <w:r w:rsidDel="004058FB">
        <w:t>commercial licence area</w:t>
      </w:r>
      <w:r>
        <w:t xml:space="preserve">. </w:t>
      </w:r>
    </w:p>
    <w:p w14:paraId="54B3B9CC" w14:textId="6620C026" w:rsidR="00F9541D" w:rsidRPr="0041090D" w:rsidRDefault="00432538" w:rsidP="00483920">
      <w:pPr>
        <w:pStyle w:val="Paragraph"/>
        <w:rPr>
          <w:snapToGrid w:val="0"/>
        </w:rPr>
      </w:pPr>
      <w:r>
        <w:rPr>
          <w:snapToGrid w:val="0"/>
        </w:rPr>
        <w:t>We</w:t>
      </w:r>
      <w:r w:rsidR="00F9541D">
        <w:rPr>
          <w:snapToGrid w:val="0"/>
        </w:rPr>
        <w:t xml:space="preserve"> consider principle one to offer a threshold question—if there is no spare capacity on the multiplex, further consideration of whether to deem the community licence area is unlikely to occur. </w:t>
      </w:r>
    </w:p>
    <w:p w14:paraId="0DEBA6F2" w14:textId="02262DD5" w:rsidR="00F9541D" w:rsidRDefault="00432538" w:rsidP="00483920">
      <w:pPr>
        <w:pStyle w:val="Paragraph"/>
      </w:pPr>
      <w:bookmarkStart w:id="25" w:name="_Toc23422460"/>
      <w:bookmarkEnd w:id="23"/>
      <w:r>
        <w:t>We also</w:t>
      </w:r>
      <w:r w:rsidR="00F9541D">
        <w:t xml:space="preserve"> consider that</w:t>
      </w:r>
      <w:r w:rsidR="00F9541D" w:rsidRPr="009F588E">
        <w:t xml:space="preserve"> principles two and three </w:t>
      </w:r>
      <w:r w:rsidR="00F9541D">
        <w:t xml:space="preserve">would generally </w:t>
      </w:r>
      <w:r w:rsidR="00F9541D" w:rsidRPr="009F588E">
        <w:t xml:space="preserve">be </w:t>
      </w:r>
      <w:r w:rsidR="00F9541D">
        <w:t>assess</w:t>
      </w:r>
      <w:r w:rsidR="00F9541D" w:rsidRPr="009F588E">
        <w:t>ed together</w:t>
      </w:r>
      <w:r w:rsidR="00F9541D">
        <w:t xml:space="preserve">, so that </w:t>
      </w:r>
      <w:r w:rsidR="00F9541D" w:rsidRPr="009F588E">
        <w:t>the level of correlation</w:t>
      </w:r>
      <w:r w:rsidR="00F9541D">
        <w:t xml:space="preserve"> under principle two and the relevance of the community interests under principle three</w:t>
      </w:r>
      <w:r w:rsidR="00F9541D" w:rsidRPr="009F588E">
        <w:t xml:space="preserve"> </w:t>
      </w:r>
      <w:r w:rsidR="00F9541D">
        <w:t>will cumulatively</w:t>
      </w:r>
      <w:r w:rsidR="00F9541D" w:rsidRPr="009F588E">
        <w:t xml:space="preserve"> inform </w:t>
      </w:r>
      <w:r>
        <w:t>our</w:t>
      </w:r>
      <w:r w:rsidRPr="009F588E">
        <w:t xml:space="preserve"> </w:t>
      </w:r>
      <w:r w:rsidR="00F9541D" w:rsidRPr="009F588E">
        <w:t>overall decision</w:t>
      </w:r>
      <w:r w:rsidR="00F9541D">
        <w:t>.</w:t>
      </w:r>
    </w:p>
    <w:p w14:paraId="2470519B" w14:textId="0DB908CB" w:rsidR="00F9541D" w:rsidRDefault="00F9541D" w:rsidP="00483920">
      <w:pPr>
        <w:pStyle w:val="Paragraph"/>
      </w:pPr>
      <w:r>
        <w:t xml:space="preserve">Applying principles two and three together acknowledges that there is a wide variety of regional markets where </w:t>
      </w:r>
      <w:proofErr w:type="gramStart"/>
      <w:r>
        <w:t>particular circumstances</w:t>
      </w:r>
      <w:proofErr w:type="gramEnd"/>
      <w:r>
        <w:t xml:space="preserve"> will need to be considered carefully.</w:t>
      </w:r>
    </w:p>
    <w:p w14:paraId="45A74891" w14:textId="495EE351" w:rsidR="00F9541D" w:rsidRDefault="00F9541D" w:rsidP="006F05A1">
      <w:pPr>
        <w:pStyle w:val="Heading2"/>
      </w:pPr>
      <w:bookmarkStart w:id="26" w:name="_Toc43968699"/>
      <w:bookmarkStart w:id="27" w:name="_Toc44322810"/>
      <w:r>
        <w:t>Principle one</w:t>
      </w:r>
      <w:r w:rsidR="003D00E4">
        <w:t>: s</w:t>
      </w:r>
      <w:r>
        <w:t>pare capacity on the multiplex</w:t>
      </w:r>
      <w:bookmarkEnd w:id="26"/>
      <w:bookmarkEnd w:id="27"/>
      <w:r>
        <w:t xml:space="preserve"> </w:t>
      </w:r>
      <w:bookmarkEnd w:id="25"/>
    </w:p>
    <w:p w14:paraId="3D97C79B" w14:textId="77777777" w:rsidR="00F9541D" w:rsidRDefault="00F9541D" w:rsidP="00F9541D">
      <w:pPr>
        <w:pStyle w:val="Paragraph"/>
        <w:rPr>
          <w:snapToGrid w:val="0"/>
        </w:rPr>
      </w:pPr>
      <w:r>
        <w:rPr>
          <w:snapToGrid w:val="0"/>
        </w:rPr>
        <w:t xml:space="preserve">The first principle to be applied in deciding whether to deem a community licence area to be the same as a commercial licence area is </w:t>
      </w:r>
      <w:r>
        <w:t>whether there is available digital radio multiplex transmitter capacity for community services</w:t>
      </w:r>
      <w:r>
        <w:rPr>
          <w:snapToGrid w:val="0"/>
        </w:rPr>
        <w:t xml:space="preserve">. </w:t>
      </w:r>
    </w:p>
    <w:p w14:paraId="02D1527D" w14:textId="58437DDB" w:rsidR="00F9541D" w:rsidRDefault="00F9541D" w:rsidP="00F9541D">
      <w:pPr>
        <w:pStyle w:val="Paragraph"/>
        <w:rPr>
          <w:snapToGrid w:val="0"/>
        </w:rPr>
      </w:pPr>
      <w:r>
        <w:rPr>
          <w:snapToGrid w:val="0"/>
        </w:rPr>
        <w:lastRenderedPageBreak/>
        <w:t>Two-ninths of the digital radio multiplex transmitter capacity is reserved for designated community radio broadcasting licensees.</w:t>
      </w:r>
      <w:r>
        <w:rPr>
          <w:snapToGrid w:val="0"/>
          <w:vertAlign w:val="superscript"/>
        </w:rPr>
        <w:footnoteReference w:id="7"/>
      </w:r>
      <w:r>
        <w:rPr>
          <w:snapToGrid w:val="0"/>
        </w:rPr>
        <w:t xml:space="preserve"> This equates to a maximum of five near-FM quality services (more services may be possible with lower quality services using a lower bit rate). </w:t>
      </w:r>
    </w:p>
    <w:p w14:paraId="33563C55" w14:textId="5F788062" w:rsidR="00F9541D" w:rsidRDefault="000104A4" w:rsidP="00483920">
      <w:pPr>
        <w:pStyle w:val="Paragraph"/>
      </w:pPr>
      <w:r>
        <w:t>We</w:t>
      </w:r>
      <w:r w:rsidR="00F9541D">
        <w:t xml:space="preserve"> consider it appropriate to have an upper limit on the number of services that could have access to the two-ninth community capacity reservation (which equates to 256 kbit/s total available bit rate) to avoid diminution of the quality of the services. </w:t>
      </w:r>
    </w:p>
    <w:p w14:paraId="0E556832" w14:textId="623ADAC8" w:rsidR="00F9541D" w:rsidRDefault="00F9541D" w:rsidP="00483920">
      <w:pPr>
        <w:pStyle w:val="Paragraph"/>
      </w:pPr>
      <w:r>
        <w:t>Adding too many services may impact the bit rates that are available and therefore potentially compromise the audio quality of service. However, providing the opportunity for greater numbers of community broadcasting licensees to provide digital services may assist broadcasters in sharing the costs of delivery.</w:t>
      </w:r>
    </w:p>
    <w:p w14:paraId="7D8AEC13" w14:textId="2F8F3A64" w:rsidR="00F9541D" w:rsidRDefault="00F9541D" w:rsidP="00483920">
      <w:pPr>
        <w:pStyle w:val="Paragraphbeforelist"/>
      </w:pPr>
      <w:r>
        <w:t xml:space="preserve">Based on technical considerations, and the experience of delivering digital radio services to date, </w:t>
      </w:r>
      <w:r w:rsidR="000104A4">
        <w:t>we</w:t>
      </w:r>
      <w:r>
        <w:t xml:space="preserve"> consider that:</w:t>
      </w:r>
    </w:p>
    <w:p w14:paraId="558F91A8" w14:textId="24BFE027" w:rsidR="00F9541D" w:rsidRDefault="00F9541D" w:rsidP="00483920">
      <w:pPr>
        <w:pStyle w:val="Bulletlevel1"/>
      </w:pPr>
      <w:r>
        <w:t>Four community radio broadcasting services would be optimal, with each service being able to access approximately 64 kbit/s</w:t>
      </w:r>
      <w:r w:rsidR="000104A4">
        <w:t>.</w:t>
      </w:r>
      <w:r>
        <w:rPr>
          <w:rStyle w:val="FootnoteReference"/>
        </w:rPr>
        <w:footnoteReference w:id="8"/>
      </w:r>
    </w:p>
    <w:p w14:paraId="7FD3C480" w14:textId="77777777" w:rsidR="00F9541D" w:rsidRDefault="00F9541D" w:rsidP="00483920">
      <w:pPr>
        <w:pStyle w:val="Bulletlevel1"/>
        <w:rPr>
          <w:iCs/>
        </w:rPr>
      </w:pPr>
      <w:r>
        <w:rPr>
          <w:iCs/>
        </w:rPr>
        <w:t xml:space="preserve">Five community radio broadcasting services would be achievable, and it is proposed that, to the extent the ACMA is involved, this number should be the upper limit for community radio broadcasting services using the two-ninths allocation on a single digital radio multiplex transmitter. </w:t>
      </w:r>
    </w:p>
    <w:p w14:paraId="7A2666F8" w14:textId="56905355" w:rsidR="00F9541D" w:rsidRDefault="00F9541D" w:rsidP="00483920">
      <w:pPr>
        <w:pStyle w:val="Bulletlevel1last"/>
      </w:pPr>
      <w:r>
        <w:t xml:space="preserve">In some cases, </w:t>
      </w:r>
      <w:r w:rsidR="000104A4">
        <w:t>we</w:t>
      </w:r>
      <w:r>
        <w:t xml:space="preserve"> may consider departing from the principles and may deem the community licence areas that would result in six or more community services having access to multiplex capacity, reflecting the number of incumbent community services eligible to operate in some licence areas</w:t>
      </w:r>
      <w:r w:rsidR="000104A4">
        <w:t>.</w:t>
      </w:r>
      <w:r>
        <w:rPr>
          <w:rStyle w:val="FootnoteReference"/>
          <w:iCs/>
          <w:szCs w:val="20"/>
        </w:rPr>
        <w:footnoteReference w:id="9"/>
      </w:r>
    </w:p>
    <w:p w14:paraId="2E493DB1" w14:textId="79D9D6E4" w:rsidR="00F9541D" w:rsidRDefault="00F9541D" w:rsidP="006F05A1">
      <w:pPr>
        <w:pStyle w:val="Heading2"/>
        <w:rPr>
          <w:snapToGrid w:val="0"/>
        </w:rPr>
      </w:pPr>
      <w:bookmarkStart w:id="28" w:name="_Toc23422461"/>
      <w:bookmarkStart w:id="29" w:name="_Toc43968700"/>
      <w:bookmarkStart w:id="30" w:name="_Toc44322811"/>
      <w:r>
        <w:t>Principle two</w:t>
      </w:r>
      <w:r w:rsidR="003D00E4">
        <w:t xml:space="preserve">: </w:t>
      </w:r>
      <w:r>
        <w:t>significant correlation between commercial and community licence area populations</w:t>
      </w:r>
      <w:bookmarkEnd w:id="28"/>
      <w:bookmarkEnd w:id="29"/>
      <w:bookmarkEnd w:id="30"/>
    </w:p>
    <w:p w14:paraId="4AD0840B" w14:textId="77777777" w:rsidR="00F9541D" w:rsidRDefault="00F9541D" w:rsidP="00483920">
      <w:pPr>
        <w:pStyle w:val="Paragraph"/>
      </w:pPr>
      <w:bookmarkStart w:id="31" w:name="_Hlk17359412"/>
      <w:r>
        <w:rPr>
          <w:snapToGrid w:val="0"/>
        </w:rPr>
        <w:t xml:space="preserve">The second principle to be applied in deciding whether to deem a community licence area to be the same as a commercial licence area is </w:t>
      </w:r>
      <w:r>
        <w:t>whether there is a significant correlation between the two licence areas.</w:t>
      </w:r>
    </w:p>
    <w:p w14:paraId="3C66848B" w14:textId="3515E210" w:rsidR="00F9541D" w:rsidRDefault="00F9541D" w:rsidP="00483920">
      <w:pPr>
        <w:pStyle w:val="Paragraph"/>
      </w:pPr>
      <w:r>
        <w:t xml:space="preserve">There are several factors that could be used to assess the correlation of the relevant community licence area to the commercial licence area. These may include the extent of the population overlap, the extent of the geographic overlap and coverage of major population centres. </w:t>
      </w:r>
    </w:p>
    <w:p w14:paraId="43F7AD93" w14:textId="77777777" w:rsidR="00F9541D" w:rsidRDefault="00F9541D" w:rsidP="00483920">
      <w:pPr>
        <w:pStyle w:val="Paragraph"/>
      </w:pPr>
      <w:r>
        <w:t>In most cases, the population overlap is likely to be the best indication of the correlation of the community and commercial licence areas, as it indicates the number of potential listeners, rather than the extent of geographic coverage, and so population is considered the most relevant factor for this assessment.</w:t>
      </w:r>
      <w:bookmarkEnd w:id="31"/>
    </w:p>
    <w:p w14:paraId="0FCABB85" w14:textId="0FF7AA24" w:rsidR="00F9541D" w:rsidRDefault="00F9541D" w:rsidP="00483920">
      <w:pPr>
        <w:pStyle w:val="Paragraph"/>
      </w:pPr>
      <w:r>
        <w:t xml:space="preserve">If an analog community radio broadcasting service is already broadcasting to a significant proportion of the population of the commercial licence area, a case can be made to deem the community licence area to be the same as the commercial licence </w:t>
      </w:r>
      <w:r>
        <w:lastRenderedPageBreak/>
        <w:t>area for the purpose of digital radio. Similarly, if a significant percentage of the population of the community licence area is contained in the overlapping</w:t>
      </w:r>
      <w:r w:rsidR="000104A4">
        <w:t xml:space="preserve"> commercial licence area, a case can be made to deem the community licence area</w:t>
      </w:r>
      <w:r w:rsidR="000104A4">
        <w:rPr>
          <w:color w:val="000000" w:themeColor="text1"/>
          <w:szCs w:val="20"/>
        </w:rPr>
        <w:t>.</w:t>
      </w:r>
      <w:r>
        <w:rPr>
          <w:rStyle w:val="FootnoteReference"/>
          <w:color w:val="000000" w:themeColor="text1"/>
          <w:szCs w:val="20"/>
        </w:rPr>
        <w:footnoteReference w:id="10"/>
      </w:r>
      <w:r>
        <w:t xml:space="preserve"> </w:t>
      </w:r>
    </w:p>
    <w:p w14:paraId="6F888BFF" w14:textId="77777777" w:rsidR="00F9541D" w:rsidRPr="0013495A" w:rsidRDefault="00F9541D" w:rsidP="00483920">
      <w:pPr>
        <w:pStyle w:val="Paragraph"/>
        <w:rPr>
          <w:shd w:val="clear" w:color="auto" w:fill="FFFFFF"/>
        </w:rPr>
      </w:pPr>
      <w:r>
        <w:rPr>
          <w:shd w:val="clear" w:color="auto" w:fill="FFFFFF"/>
        </w:rPr>
        <w:t>In some cases, it may be appropriate to consider other matters, such as the extent of the geographic overlap and coverage of major population centres.</w:t>
      </w:r>
    </w:p>
    <w:p w14:paraId="646F95B1" w14:textId="77777777" w:rsidR="00F9541D" w:rsidRDefault="00F9541D" w:rsidP="006F05A1">
      <w:pPr>
        <w:pStyle w:val="Heading3"/>
      </w:pPr>
      <w:bookmarkStart w:id="32" w:name="_Toc23422462"/>
      <w:r>
        <w:t xml:space="preserve">Assessing population overlap </w:t>
      </w:r>
      <w:bookmarkEnd w:id="32"/>
    </w:p>
    <w:p w14:paraId="27CEA269" w14:textId="2265D6CF" w:rsidR="00F9541D" w:rsidRDefault="000104A4" w:rsidP="00483920">
      <w:pPr>
        <w:pStyle w:val="Paragraphbeforelist"/>
        <w:rPr>
          <w:shd w:val="clear" w:color="auto" w:fill="FFFFFF"/>
        </w:rPr>
      </w:pPr>
      <w:r>
        <w:rPr>
          <w:shd w:val="clear" w:color="auto" w:fill="FFFFFF"/>
        </w:rPr>
        <w:t>In most cases</w:t>
      </w:r>
      <w:r w:rsidR="00FC4108">
        <w:rPr>
          <w:shd w:val="clear" w:color="auto" w:fill="FFFFFF"/>
        </w:rPr>
        <w:t>,</w:t>
      </w:r>
      <w:r>
        <w:rPr>
          <w:shd w:val="clear" w:color="auto" w:fill="FFFFFF"/>
        </w:rPr>
        <w:t xml:space="preserve"> we</w:t>
      </w:r>
      <w:r w:rsidR="00F9541D">
        <w:rPr>
          <w:shd w:val="clear" w:color="auto" w:fill="FFFFFF"/>
        </w:rPr>
        <w:t xml:space="preserve"> propose that, in most cases, the level of population overlap should be assessed in two ways</w:t>
      </w:r>
      <w:r w:rsidR="00F9541D">
        <w:t>:</w:t>
      </w:r>
    </w:p>
    <w:p w14:paraId="3D395A54" w14:textId="37EE7D6B" w:rsidR="00F9541D" w:rsidRDefault="00FC4108" w:rsidP="00483920">
      <w:pPr>
        <w:pStyle w:val="ListNumber"/>
        <w:numPr>
          <w:ilvl w:val="0"/>
          <w:numId w:val="24"/>
        </w:numPr>
      </w:pPr>
      <w:r>
        <w:t>T</w:t>
      </w:r>
      <w:r w:rsidR="00F9541D">
        <w:t>he extent to which the commercial licence area overlaps with the community licence area—this would establish the proportion of the population of the overlapping area in relation to the population of the commercial licence area. This is called ‘Commercial licence area population overlap’.</w:t>
      </w:r>
    </w:p>
    <w:p w14:paraId="5C4B2D98" w14:textId="7E81ADDD" w:rsidR="00F9541D" w:rsidRDefault="00FC4108" w:rsidP="00483920">
      <w:pPr>
        <w:pStyle w:val="Numberlistlast"/>
      </w:pPr>
      <w:r>
        <w:t>T</w:t>
      </w:r>
      <w:r w:rsidR="00F9541D">
        <w:t>he extent to which the community area overlaps with the commercial licence area—this would establish the proportion of the population of the overlapping area in relation to the population of the community licence area. This called ‘Community licence area population overlap’</w:t>
      </w:r>
      <w:r w:rsidR="004C78CA">
        <w:t>.</w:t>
      </w:r>
    </w:p>
    <w:p w14:paraId="4B20FB55" w14:textId="77777777" w:rsidR="00F9541D" w:rsidRDefault="00F9541D" w:rsidP="00483920">
      <w:pPr>
        <w:pStyle w:val="Paragraph"/>
      </w:pPr>
      <w:r>
        <w:t>Examples of how licence areas commonly overlap are depicted below.</w:t>
      </w:r>
    </w:p>
    <w:p w14:paraId="4B56C0EC" w14:textId="77777777" w:rsidR="00F9541D" w:rsidRDefault="00F9541D" w:rsidP="00F9541D">
      <w:pPr>
        <w:pStyle w:val="ACMAFigureHeader"/>
        <w:keepNext/>
        <w:numPr>
          <w:ilvl w:val="0"/>
          <w:numId w:val="21"/>
        </w:numPr>
      </w:pPr>
      <w:r>
        <w:t xml:space="preserve">Depiction of population overlaps </w:t>
      </w:r>
    </w:p>
    <w:p w14:paraId="5A33FDCB" w14:textId="31726C7B" w:rsidR="00F9541D" w:rsidRDefault="00F9541D" w:rsidP="00F9541D">
      <w:pPr>
        <w:pStyle w:val="ACMASpaceaftertable"/>
        <w:rPr>
          <w:sz w:val="22"/>
          <w:szCs w:val="22"/>
        </w:rPr>
      </w:pPr>
      <w:r>
        <w:rPr>
          <w:noProof/>
        </w:rPr>
        <w:drawing>
          <wp:inline distT="0" distB="0" distL="0" distR="0" wp14:anchorId="6BCCB861" wp14:editId="0DB884C0">
            <wp:extent cx="5972175" cy="3175206"/>
            <wp:effectExtent l="0" t="0" r="0" b="6350"/>
            <wp:docPr id="2" name="Picture 2" descr="An example of how licence areas commonly overlap. &#10;&#10;Four circles make up the image showing percentages of overlap of community license areas over the commercial licence are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piction of population overlap tests"/>
                    <pic:cNvPicPr>
                      <a:picLocks noChangeAspect="1" noChangeArrowheads="1"/>
                    </pic:cNvPicPr>
                  </pic:nvPicPr>
                  <pic:blipFill>
                    <a:blip r:embed="rId25"/>
                    <a:stretch>
                      <a:fillRect/>
                    </a:stretch>
                  </pic:blipFill>
                  <pic:spPr bwMode="auto">
                    <a:xfrm>
                      <a:off x="0" y="0"/>
                      <a:ext cx="5980498" cy="3179631"/>
                    </a:xfrm>
                    <a:prstGeom prst="rect">
                      <a:avLst/>
                    </a:prstGeom>
                    <a:noFill/>
                    <a:ln>
                      <a:noFill/>
                    </a:ln>
                  </pic:spPr>
                </pic:pic>
              </a:graphicData>
            </a:graphic>
          </wp:inline>
        </w:drawing>
      </w:r>
    </w:p>
    <w:p w14:paraId="179C2958" w14:textId="77777777" w:rsidR="00F9541D" w:rsidRDefault="00F9541D" w:rsidP="00B402C0">
      <w:pPr>
        <w:pStyle w:val="Heading3"/>
        <w:keepLines/>
      </w:pPr>
      <w:bookmarkStart w:id="33" w:name="_Toc23422463"/>
      <w:bookmarkStart w:id="34" w:name="_Hlk17359481"/>
      <w:r>
        <w:lastRenderedPageBreak/>
        <w:t>Data analysis and modelling</w:t>
      </w:r>
      <w:bookmarkEnd w:id="33"/>
    </w:p>
    <w:p w14:paraId="5CEACB37" w14:textId="77777777" w:rsidR="00F9541D" w:rsidRDefault="00F9541D" w:rsidP="00FD1E3C">
      <w:pPr>
        <w:pStyle w:val="Paragraphbeforelist"/>
        <w:keepNext/>
        <w:keepLines/>
      </w:pPr>
      <w:r>
        <w:t>To illustrate how this assessment would work in practice, we used radio licence area population data from the 2016 Census to generate population overlap percentages for each commercial and community licence area in Australia. The analysis excluded the following community licence areas:</w:t>
      </w:r>
    </w:p>
    <w:p w14:paraId="3682EA4D" w14:textId="77777777" w:rsidR="00F9541D" w:rsidRDefault="00F9541D" w:rsidP="00FD1E3C">
      <w:pPr>
        <w:pStyle w:val="ListNumber"/>
        <w:keepNext/>
        <w:keepLines/>
        <w:numPr>
          <w:ilvl w:val="0"/>
          <w:numId w:val="25"/>
        </w:numPr>
      </w:pPr>
      <w:r>
        <w:t xml:space="preserve">Community licence areas that overlap with metropolitan, capital cities, section </w:t>
      </w:r>
      <w:proofErr w:type="gramStart"/>
      <w:r>
        <w:t>40</w:t>
      </w:r>
      <w:proofErr w:type="gramEnd"/>
      <w:r>
        <w:t xml:space="preserve"> and remote commercial licence areas, as those areas are not relevant to deeming of regional community licence areas. </w:t>
      </w:r>
    </w:p>
    <w:p w14:paraId="57636656" w14:textId="77777777" w:rsidR="00F9541D" w:rsidRPr="00E96FCE" w:rsidRDefault="00F9541D" w:rsidP="00FD1E3C">
      <w:pPr>
        <w:pStyle w:val="Numberlistlevel1"/>
        <w:keepNext/>
        <w:keepLines/>
        <w:rPr>
          <w:color w:val="000000" w:themeColor="text1"/>
        </w:rPr>
      </w:pPr>
      <w:r>
        <w:rPr>
          <w:color w:val="000000" w:themeColor="text1"/>
        </w:rPr>
        <w:t xml:space="preserve">Community licence areas whose </w:t>
      </w:r>
      <w:r w:rsidRPr="00DF25F2">
        <w:t>licence</w:t>
      </w:r>
      <w:r>
        <w:t xml:space="preserve"> area</w:t>
      </w:r>
      <w:r w:rsidRPr="00DF25F2">
        <w:t xml:space="preserve"> is the same as that of a commercial radio broadcasting licensee</w:t>
      </w:r>
      <w:r>
        <w:t>, as community services in those community licence areas have an automatic entitlement to access digital radio multiplex and do not need to be deemed.</w:t>
      </w:r>
    </w:p>
    <w:p w14:paraId="1B59CD55" w14:textId="77777777" w:rsidR="00F9541D" w:rsidRDefault="00F9541D" w:rsidP="00FD1E3C">
      <w:pPr>
        <w:pStyle w:val="Numberlistlast"/>
        <w:keepNext/>
        <w:keepLines/>
      </w:pPr>
      <w:r>
        <w:t>Community licence areas for which there is no current long-term community licence allocated.</w:t>
      </w:r>
    </w:p>
    <w:p w14:paraId="5F26F26B" w14:textId="651B08AF" w:rsidR="00F9541D" w:rsidRDefault="00F9541D" w:rsidP="00483920">
      <w:pPr>
        <w:pStyle w:val="Paragraph"/>
      </w:pPr>
      <w:r>
        <w:t xml:space="preserve">This </w:t>
      </w:r>
      <w:r w:rsidR="0074028E">
        <w:t xml:space="preserve">provided </w:t>
      </w:r>
      <w:r>
        <w:t>a total of 154 community licence areas considered in the analysis, with 170 associated community services.</w:t>
      </w:r>
    </w:p>
    <w:p w14:paraId="742EEA14" w14:textId="6B6C9B6C" w:rsidR="00F9541D" w:rsidRDefault="00F9541D" w:rsidP="00483920">
      <w:pPr>
        <w:pStyle w:val="Paragraph"/>
      </w:pPr>
      <w:r>
        <w:t>We then modelled the data by using three licence area population overlap percentages</w:t>
      </w:r>
      <w:r w:rsidR="004C78CA">
        <w:t>—25, 50 and 75 per cent—</w:t>
      </w:r>
      <w:r>
        <w:t xml:space="preserve">for both commercial and community population overlaps. </w:t>
      </w:r>
    </w:p>
    <w:p w14:paraId="46D70118" w14:textId="77777777" w:rsidR="00F9541D" w:rsidRDefault="00F9541D" w:rsidP="006F05A1">
      <w:pPr>
        <w:pStyle w:val="Heading3"/>
      </w:pPr>
      <w:bookmarkStart w:id="35" w:name="_Toc23422464"/>
      <w:r>
        <w:t>Results</w:t>
      </w:r>
      <w:bookmarkEnd w:id="35"/>
    </w:p>
    <w:p w14:paraId="4151CB10" w14:textId="3B0AF7FC" w:rsidR="00F9541D" w:rsidRDefault="00F9541D" w:rsidP="00483920">
      <w:pPr>
        <w:pStyle w:val="Paragraph"/>
      </w:pPr>
      <w:r>
        <w:t>The data in Table 1 shows</w:t>
      </w:r>
      <w:r w:rsidRPr="00FB43E8">
        <w:t xml:space="preserve"> the number of community licence area</w:t>
      </w:r>
      <w:r>
        <w:t xml:space="preserve">s and community services </w:t>
      </w:r>
      <w:r w:rsidRPr="00FB43E8">
        <w:t xml:space="preserve">that </w:t>
      </w:r>
      <w:r>
        <w:t xml:space="preserve">fall within the three different population overlap percentages. While </w:t>
      </w:r>
      <w:r w:rsidR="0074028E">
        <w:t>we are</w:t>
      </w:r>
      <w:r>
        <w:t xml:space="preserve"> not proposing to determine a specific overlap threshold, this table gives examples of possible assessment outcomes against a range of population overlap reference points. </w:t>
      </w:r>
    </w:p>
    <w:p w14:paraId="79E7FA61" w14:textId="77777777" w:rsidR="00F9541D" w:rsidRDefault="00F9541D" w:rsidP="00F9541D">
      <w:pPr>
        <w:pStyle w:val="Tableheading"/>
        <w:numPr>
          <w:ilvl w:val="0"/>
          <w:numId w:val="20"/>
        </w:numPr>
      </w:pPr>
      <w:bookmarkStart w:id="36" w:name="_Toc23422465"/>
      <w:r>
        <w:t>Licence area population overlap—results</w:t>
      </w:r>
      <w:bookmarkEnd w:id="36"/>
    </w:p>
    <w:tbl>
      <w:tblPr>
        <w:tblStyle w:val="GridTable4"/>
        <w:tblW w:w="9016" w:type="dxa"/>
        <w:tblLayout w:type="fixed"/>
        <w:tblCellMar>
          <w:top w:w="57" w:type="dxa"/>
          <w:bottom w:w="57" w:type="dxa"/>
        </w:tblCellMar>
        <w:tblLook w:val="04A0" w:firstRow="1" w:lastRow="0" w:firstColumn="1" w:lastColumn="0" w:noHBand="0" w:noVBand="1"/>
      </w:tblPr>
      <w:tblGrid>
        <w:gridCol w:w="2254"/>
        <w:gridCol w:w="2254"/>
        <w:gridCol w:w="2254"/>
        <w:gridCol w:w="2254"/>
      </w:tblGrid>
      <w:tr w:rsidR="00F9541D" w:rsidRPr="00CD3F33" w14:paraId="792EC438" w14:textId="77777777" w:rsidTr="00187CE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shd w:val="clear" w:color="auto" w:fill="404040" w:themeFill="text1" w:themeFillTint="BF"/>
          </w:tcPr>
          <w:p w14:paraId="537D45B6" w14:textId="77777777" w:rsidR="00F9541D" w:rsidRPr="00187CEA" w:rsidRDefault="00F9541D" w:rsidP="00483920">
            <w:pPr>
              <w:pStyle w:val="Tableheaderrow"/>
              <w:rPr>
                <w:b/>
                <w:bCs w:val="0"/>
              </w:rPr>
            </w:pPr>
            <w:r w:rsidRPr="001E57F6">
              <w:t>Population overlap</w:t>
            </w:r>
          </w:p>
        </w:tc>
        <w:tc>
          <w:tcPr>
            <w:tcW w:w="0" w:type="dxa"/>
            <w:shd w:val="clear" w:color="auto" w:fill="404040" w:themeFill="text1" w:themeFillTint="BF"/>
          </w:tcPr>
          <w:p w14:paraId="07E8354E" w14:textId="77777777" w:rsidR="00F9541D" w:rsidRPr="0038296C" w:rsidRDefault="00F9541D" w:rsidP="00483920">
            <w:pPr>
              <w:pStyle w:val="Tableheaderrow"/>
              <w:cnfStyle w:val="100000000000" w:firstRow="1" w:lastRow="0" w:firstColumn="0" w:lastColumn="0" w:oddVBand="0" w:evenVBand="0" w:oddHBand="0" w:evenHBand="0" w:firstRowFirstColumn="0" w:firstRowLastColumn="0" w:lastRowFirstColumn="0" w:lastRowLastColumn="0"/>
              <w:rPr>
                <w:b/>
                <w:bCs w:val="0"/>
              </w:rPr>
            </w:pPr>
            <w:r w:rsidRPr="001E57F6">
              <w:t>Is the overlap greater or equal to 25 per cent?</w:t>
            </w:r>
          </w:p>
        </w:tc>
        <w:tc>
          <w:tcPr>
            <w:tcW w:w="0" w:type="dxa"/>
            <w:shd w:val="clear" w:color="auto" w:fill="404040" w:themeFill="text1" w:themeFillTint="BF"/>
          </w:tcPr>
          <w:p w14:paraId="7251B12C" w14:textId="77777777" w:rsidR="00F9541D" w:rsidRPr="0038296C" w:rsidRDefault="00F9541D" w:rsidP="00483920">
            <w:pPr>
              <w:pStyle w:val="Tableheaderrow"/>
              <w:cnfStyle w:val="100000000000" w:firstRow="1" w:lastRow="0" w:firstColumn="0" w:lastColumn="0" w:oddVBand="0" w:evenVBand="0" w:oddHBand="0" w:evenHBand="0" w:firstRowFirstColumn="0" w:firstRowLastColumn="0" w:lastRowFirstColumn="0" w:lastRowLastColumn="0"/>
              <w:rPr>
                <w:b/>
                <w:bCs w:val="0"/>
              </w:rPr>
            </w:pPr>
            <w:r w:rsidRPr="001E57F6">
              <w:t>Is the overlap greater or equal to 50 per cent?</w:t>
            </w:r>
          </w:p>
        </w:tc>
        <w:tc>
          <w:tcPr>
            <w:tcW w:w="0" w:type="dxa"/>
            <w:shd w:val="clear" w:color="auto" w:fill="404040" w:themeFill="text1" w:themeFillTint="BF"/>
          </w:tcPr>
          <w:p w14:paraId="4306DBE5" w14:textId="77777777" w:rsidR="00F9541D" w:rsidRPr="0038296C" w:rsidRDefault="00F9541D" w:rsidP="00483920">
            <w:pPr>
              <w:pStyle w:val="Tableheaderrow"/>
              <w:cnfStyle w:val="100000000000" w:firstRow="1" w:lastRow="0" w:firstColumn="0" w:lastColumn="0" w:oddVBand="0" w:evenVBand="0" w:oddHBand="0" w:evenHBand="0" w:firstRowFirstColumn="0" w:firstRowLastColumn="0" w:lastRowFirstColumn="0" w:lastRowLastColumn="0"/>
              <w:rPr>
                <w:b/>
                <w:bCs w:val="0"/>
              </w:rPr>
            </w:pPr>
            <w:r w:rsidRPr="001E57F6">
              <w:t>Is the overlap greater or equal to 75 per cent?</w:t>
            </w:r>
          </w:p>
        </w:tc>
      </w:tr>
      <w:tr w:rsidR="00F9541D" w:rsidRPr="00CD3F33" w14:paraId="1DB0186C" w14:textId="77777777" w:rsidTr="00187CE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122A84FE" w14:textId="77777777" w:rsidR="00F9541D" w:rsidRPr="00CD3F33" w:rsidRDefault="00F9541D" w:rsidP="00483920">
            <w:pPr>
              <w:pStyle w:val="TableBody"/>
              <w:rPr>
                <w:rFonts w:cs="Arial"/>
                <w:szCs w:val="20"/>
              </w:rPr>
            </w:pPr>
            <w:r>
              <w:t>Commercial licence area population overlap</w:t>
            </w:r>
            <w:r w:rsidRPr="00CD3F33" w:rsidDel="000D36EF">
              <w:rPr>
                <w:rFonts w:cs="Arial"/>
                <w:szCs w:val="20"/>
              </w:rPr>
              <w:t xml:space="preserve"> </w:t>
            </w:r>
          </w:p>
        </w:tc>
        <w:tc>
          <w:tcPr>
            <w:tcW w:w="0" w:type="dxa"/>
          </w:tcPr>
          <w:p w14:paraId="043CC670" w14:textId="77777777" w:rsidR="00F9541D" w:rsidRDefault="00F9541D" w:rsidP="00483920">
            <w:pPr>
              <w:pStyle w:val="TableBody"/>
              <w:cnfStyle w:val="000000100000" w:firstRow="0" w:lastRow="0" w:firstColumn="0" w:lastColumn="0" w:oddVBand="0" w:evenVBand="0" w:oddHBand="1" w:evenHBand="0" w:firstRowFirstColumn="0" w:firstRowLastColumn="0" w:lastRowFirstColumn="0" w:lastRowLastColumn="0"/>
            </w:pPr>
            <w:r>
              <w:t>82 licence areas</w:t>
            </w:r>
          </w:p>
          <w:p w14:paraId="2A957913" w14:textId="77777777" w:rsidR="00F9541D" w:rsidRPr="00CD3F33" w:rsidRDefault="00F9541D" w:rsidP="00483920">
            <w:pPr>
              <w:pStyle w:val="TableBody"/>
              <w:cnfStyle w:val="000000100000" w:firstRow="0" w:lastRow="0" w:firstColumn="0" w:lastColumn="0" w:oddVBand="0" w:evenVBand="0" w:oddHBand="1" w:evenHBand="0" w:firstRowFirstColumn="0" w:firstRowLastColumn="0" w:lastRowFirstColumn="0" w:lastRowLastColumn="0"/>
            </w:pPr>
            <w:r>
              <w:t>98 services</w:t>
            </w:r>
          </w:p>
        </w:tc>
        <w:tc>
          <w:tcPr>
            <w:tcW w:w="0" w:type="dxa"/>
          </w:tcPr>
          <w:p w14:paraId="4352A532" w14:textId="77777777" w:rsidR="00F9541D" w:rsidRDefault="00F9541D" w:rsidP="00483920">
            <w:pPr>
              <w:pStyle w:val="TableBody"/>
              <w:cnfStyle w:val="000000100000" w:firstRow="0" w:lastRow="0" w:firstColumn="0" w:lastColumn="0" w:oddVBand="0" w:evenVBand="0" w:oddHBand="1" w:evenHBand="0" w:firstRowFirstColumn="0" w:firstRowLastColumn="0" w:lastRowFirstColumn="0" w:lastRowLastColumn="0"/>
            </w:pPr>
            <w:r>
              <w:t>49 licence areas</w:t>
            </w:r>
          </w:p>
          <w:p w14:paraId="54983A17" w14:textId="77777777" w:rsidR="00F9541D" w:rsidRPr="00CD3F33" w:rsidRDefault="00F9541D" w:rsidP="00483920">
            <w:pPr>
              <w:pStyle w:val="TableBody"/>
              <w:cnfStyle w:val="000000100000" w:firstRow="0" w:lastRow="0" w:firstColumn="0" w:lastColumn="0" w:oddVBand="0" w:evenVBand="0" w:oddHBand="1" w:evenHBand="0" w:firstRowFirstColumn="0" w:firstRowLastColumn="0" w:lastRowFirstColumn="0" w:lastRowLastColumn="0"/>
            </w:pPr>
            <w:r>
              <w:t>63 services</w:t>
            </w:r>
          </w:p>
        </w:tc>
        <w:tc>
          <w:tcPr>
            <w:tcW w:w="0" w:type="dxa"/>
          </w:tcPr>
          <w:p w14:paraId="6EF976C5" w14:textId="77777777" w:rsidR="00F9541D" w:rsidRDefault="00F9541D" w:rsidP="00483920">
            <w:pPr>
              <w:pStyle w:val="TableBody"/>
              <w:cnfStyle w:val="000000100000" w:firstRow="0" w:lastRow="0" w:firstColumn="0" w:lastColumn="0" w:oddVBand="0" w:evenVBand="0" w:oddHBand="1" w:evenHBand="0" w:firstRowFirstColumn="0" w:firstRowLastColumn="0" w:lastRowFirstColumn="0" w:lastRowLastColumn="0"/>
            </w:pPr>
            <w:r>
              <w:t>30 licence areas</w:t>
            </w:r>
          </w:p>
          <w:p w14:paraId="734E4B6A" w14:textId="77777777" w:rsidR="00F9541D" w:rsidRPr="00CD3F33" w:rsidRDefault="00F9541D" w:rsidP="00483920">
            <w:pPr>
              <w:pStyle w:val="TableBody"/>
              <w:cnfStyle w:val="000000100000" w:firstRow="0" w:lastRow="0" w:firstColumn="0" w:lastColumn="0" w:oddVBand="0" w:evenVBand="0" w:oddHBand="1" w:evenHBand="0" w:firstRowFirstColumn="0" w:firstRowLastColumn="0" w:lastRowFirstColumn="0" w:lastRowLastColumn="0"/>
            </w:pPr>
            <w:r>
              <w:t>39 services</w:t>
            </w:r>
          </w:p>
        </w:tc>
      </w:tr>
      <w:tr w:rsidR="00F9541D" w:rsidRPr="00CD3F33" w14:paraId="7D38BD3E" w14:textId="77777777" w:rsidTr="00187CEA">
        <w:tc>
          <w:tcPr>
            <w:cnfStyle w:val="001000000000" w:firstRow="0" w:lastRow="0" w:firstColumn="1" w:lastColumn="0" w:oddVBand="0" w:evenVBand="0" w:oddHBand="0" w:evenHBand="0" w:firstRowFirstColumn="0" w:firstRowLastColumn="0" w:lastRowFirstColumn="0" w:lastRowLastColumn="0"/>
            <w:tcW w:w="0" w:type="dxa"/>
          </w:tcPr>
          <w:p w14:paraId="07A5A4E7" w14:textId="77777777" w:rsidR="00F9541D" w:rsidRPr="00CD3F33" w:rsidRDefault="00F9541D" w:rsidP="00483920">
            <w:pPr>
              <w:pStyle w:val="TableBody"/>
              <w:rPr>
                <w:rFonts w:cs="Arial"/>
                <w:szCs w:val="20"/>
              </w:rPr>
            </w:pPr>
            <w:r>
              <w:t>Community licence area population overlap</w:t>
            </w:r>
          </w:p>
        </w:tc>
        <w:tc>
          <w:tcPr>
            <w:tcW w:w="0" w:type="dxa"/>
          </w:tcPr>
          <w:p w14:paraId="78B3F833" w14:textId="77777777" w:rsidR="00F9541D" w:rsidRDefault="00F9541D" w:rsidP="00483920">
            <w:pPr>
              <w:pStyle w:val="TableBody"/>
              <w:cnfStyle w:val="000000000000" w:firstRow="0" w:lastRow="0" w:firstColumn="0" w:lastColumn="0" w:oddVBand="0" w:evenVBand="0" w:oddHBand="0" w:evenHBand="0" w:firstRowFirstColumn="0" w:firstRowLastColumn="0" w:lastRowFirstColumn="0" w:lastRowLastColumn="0"/>
            </w:pPr>
            <w:r>
              <w:t>139 licence areas</w:t>
            </w:r>
          </w:p>
          <w:p w14:paraId="2B45A4E7" w14:textId="77777777" w:rsidR="00F9541D" w:rsidRPr="00CD3F33" w:rsidRDefault="00F9541D" w:rsidP="00483920">
            <w:pPr>
              <w:pStyle w:val="TableBody"/>
              <w:cnfStyle w:val="000000000000" w:firstRow="0" w:lastRow="0" w:firstColumn="0" w:lastColumn="0" w:oddVBand="0" w:evenVBand="0" w:oddHBand="0" w:evenHBand="0" w:firstRowFirstColumn="0" w:firstRowLastColumn="0" w:lastRowFirstColumn="0" w:lastRowLastColumn="0"/>
            </w:pPr>
            <w:r>
              <w:t>155 services</w:t>
            </w:r>
          </w:p>
        </w:tc>
        <w:tc>
          <w:tcPr>
            <w:tcW w:w="0" w:type="dxa"/>
          </w:tcPr>
          <w:p w14:paraId="29D40CCF" w14:textId="77777777" w:rsidR="00F9541D" w:rsidRDefault="00F9541D" w:rsidP="00483920">
            <w:pPr>
              <w:pStyle w:val="TableBody"/>
              <w:cnfStyle w:val="000000000000" w:firstRow="0" w:lastRow="0" w:firstColumn="0" w:lastColumn="0" w:oddVBand="0" w:evenVBand="0" w:oddHBand="0" w:evenHBand="0" w:firstRowFirstColumn="0" w:firstRowLastColumn="0" w:lastRowFirstColumn="0" w:lastRowLastColumn="0"/>
            </w:pPr>
            <w:r>
              <w:t>131 licence areas</w:t>
            </w:r>
          </w:p>
          <w:p w14:paraId="46FC2156" w14:textId="77777777" w:rsidR="00F9541D" w:rsidRPr="00CD3F33" w:rsidRDefault="00F9541D" w:rsidP="00483920">
            <w:pPr>
              <w:pStyle w:val="TableBody"/>
              <w:cnfStyle w:val="000000000000" w:firstRow="0" w:lastRow="0" w:firstColumn="0" w:lastColumn="0" w:oddVBand="0" w:evenVBand="0" w:oddHBand="0" w:evenHBand="0" w:firstRowFirstColumn="0" w:firstRowLastColumn="0" w:lastRowFirstColumn="0" w:lastRowLastColumn="0"/>
            </w:pPr>
            <w:r>
              <w:t>147 services</w:t>
            </w:r>
          </w:p>
        </w:tc>
        <w:tc>
          <w:tcPr>
            <w:tcW w:w="0" w:type="dxa"/>
          </w:tcPr>
          <w:p w14:paraId="5197CCAA" w14:textId="77777777" w:rsidR="00F9541D" w:rsidRDefault="00F9541D" w:rsidP="00483920">
            <w:pPr>
              <w:pStyle w:val="TableBody"/>
              <w:cnfStyle w:val="000000000000" w:firstRow="0" w:lastRow="0" w:firstColumn="0" w:lastColumn="0" w:oddVBand="0" w:evenVBand="0" w:oddHBand="0" w:evenHBand="0" w:firstRowFirstColumn="0" w:firstRowLastColumn="0" w:lastRowFirstColumn="0" w:lastRowLastColumn="0"/>
            </w:pPr>
            <w:r>
              <w:t>123 licence areas</w:t>
            </w:r>
          </w:p>
          <w:p w14:paraId="4793693A" w14:textId="77777777" w:rsidR="00F9541D" w:rsidRPr="00CD3F33" w:rsidRDefault="00F9541D" w:rsidP="00483920">
            <w:pPr>
              <w:pStyle w:val="TableBody"/>
              <w:cnfStyle w:val="000000000000" w:firstRow="0" w:lastRow="0" w:firstColumn="0" w:lastColumn="0" w:oddVBand="0" w:evenVBand="0" w:oddHBand="0" w:evenHBand="0" w:firstRowFirstColumn="0" w:firstRowLastColumn="0" w:lastRowFirstColumn="0" w:lastRowLastColumn="0"/>
            </w:pPr>
            <w:r>
              <w:t>139 services</w:t>
            </w:r>
          </w:p>
        </w:tc>
      </w:tr>
    </w:tbl>
    <w:p w14:paraId="04C0F84D" w14:textId="30FDDAF4" w:rsidR="00F9541D" w:rsidRDefault="004C78CA" w:rsidP="00F9541D">
      <w:pPr>
        <w:pStyle w:val="Tableorfigurenote"/>
      </w:pPr>
      <w:r>
        <w:t>N</w:t>
      </w:r>
      <w:r w:rsidR="00F9541D">
        <w:t>ote: The results in this table are presented solely for the purpose of illustrating the assessment of population overlap between licence areas. They are not representative of the total number of community licence areas or community services that may be deemed under the proposed deeming principles.</w:t>
      </w:r>
    </w:p>
    <w:p w14:paraId="7A02505A" w14:textId="559E740F" w:rsidR="00F9541D" w:rsidRDefault="00F9541D" w:rsidP="0038296C">
      <w:pPr>
        <w:pStyle w:val="Heading2"/>
        <w:keepLines/>
      </w:pPr>
      <w:bookmarkStart w:id="37" w:name="_Toc23422467"/>
      <w:bookmarkStart w:id="38" w:name="_Toc43968701"/>
      <w:bookmarkStart w:id="39" w:name="_Toc44322812"/>
      <w:bookmarkEnd w:id="34"/>
      <w:r>
        <w:lastRenderedPageBreak/>
        <w:t>Principle three</w:t>
      </w:r>
      <w:r w:rsidR="003D00E4">
        <w:t>: r</w:t>
      </w:r>
      <w:r w:rsidRPr="005279A8">
        <w:t>elevance of community interest to the community of the commercial licence area</w:t>
      </w:r>
      <w:bookmarkEnd w:id="37"/>
      <w:bookmarkEnd w:id="38"/>
      <w:bookmarkEnd w:id="39"/>
    </w:p>
    <w:p w14:paraId="45D1773E" w14:textId="77777777" w:rsidR="00F9541D" w:rsidRDefault="00F9541D" w:rsidP="0038296C">
      <w:pPr>
        <w:pStyle w:val="Paragraph"/>
        <w:keepNext/>
        <w:keepLines/>
        <w:rPr>
          <w:snapToGrid w:val="0"/>
        </w:rPr>
      </w:pPr>
      <w:bookmarkStart w:id="40" w:name="_Hlk17360095"/>
      <w:bookmarkStart w:id="41" w:name="_Hlk11665842"/>
      <w:r>
        <w:rPr>
          <w:snapToGrid w:val="0"/>
        </w:rPr>
        <w:t xml:space="preserve">The third principle proposed is </w:t>
      </w:r>
      <w:r>
        <w:t>the relevance of the community interest represented by the community radio broadcasting licensees to the community of the commercial licence area.</w:t>
      </w:r>
    </w:p>
    <w:p w14:paraId="0FD86AC1" w14:textId="77777777" w:rsidR="00F9541D" w:rsidRDefault="00F9541D" w:rsidP="0038296C">
      <w:pPr>
        <w:pStyle w:val="Paragraph"/>
        <w:keepNext/>
        <w:keepLines/>
        <w:rPr>
          <w:b/>
        </w:rPr>
      </w:pPr>
      <w:r>
        <w:t>If a community radio licence area is deemed, an affected community radio broadcasting licensee may be able to serve a different, perhaps larger audience, in digital mode in addition to that which it is authorised to provide under its analog service.</w:t>
      </w:r>
    </w:p>
    <w:p w14:paraId="7C8430CC" w14:textId="31058D16" w:rsidR="00F9541D" w:rsidRDefault="0074028E" w:rsidP="00483920">
      <w:pPr>
        <w:pStyle w:val="Paragraph"/>
      </w:pPr>
      <w:r>
        <w:t>We</w:t>
      </w:r>
      <w:r w:rsidR="00F9541D">
        <w:t xml:space="preserve"> may take account of any information </w:t>
      </w:r>
      <w:r>
        <w:t>we</w:t>
      </w:r>
      <w:r w:rsidR="00F9541D">
        <w:t xml:space="preserve"> consider relevant in exercising its deeming power under subsection 8</w:t>
      </w:r>
      <w:proofErr w:type="gramStart"/>
      <w:r w:rsidR="00F9541D">
        <w:t>AD(</w:t>
      </w:r>
      <w:proofErr w:type="gramEnd"/>
      <w:r w:rsidR="00F9541D">
        <w:t>3) of the BSA. Even though it is the licence area that is deemed</w:t>
      </w:r>
      <w:r>
        <w:t>,</w:t>
      </w:r>
      <w:r w:rsidR="00F9541D">
        <w:t xml:space="preserve"> rather than the service (or services), </w:t>
      </w:r>
      <w:r>
        <w:t xml:space="preserve">we </w:t>
      </w:r>
      <w:r w:rsidR="00F9541D">
        <w:t xml:space="preserve">may have regard to the community interests represented by the community radio broadcasting licensees that would be affected, and their relevance to the community of the commercial licence area. </w:t>
      </w:r>
    </w:p>
    <w:p w14:paraId="7650F545" w14:textId="3D0265BA" w:rsidR="00F9541D" w:rsidRDefault="00F9541D" w:rsidP="00483920">
      <w:pPr>
        <w:pStyle w:val="Paragraph"/>
      </w:pPr>
      <w:r>
        <w:t xml:space="preserve">There may be cases where there are multiple community radio broadcasting services in a single licence area that is being considered for deeming, in which case </w:t>
      </w:r>
      <w:r w:rsidR="0074028E">
        <w:t>we</w:t>
      </w:r>
      <w:r>
        <w:t xml:space="preserve"> may consider the mix of community interests of all relevant services before making a deeming decision. A deeming decision applies to all licences in a licence area in the same way. </w:t>
      </w:r>
    </w:p>
    <w:bookmarkEnd w:id="40"/>
    <w:bookmarkEnd w:id="41"/>
    <w:p w14:paraId="1ADE5F51" w14:textId="07ED510F" w:rsidR="00F9541D" w:rsidRDefault="00F9541D" w:rsidP="00483920">
      <w:pPr>
        <w:pStyle w:val="Paragraphbeforelist"/>
      </w:pPr>
      <w:r>
        <w:t>A community interest of a licence may include</w:t>
      </w:r>
      <w:r w:rsidR="00FA0CA9">
        <w:t>:</w:t>
      </w:r>
    </w:p>
    <w:p w14:paraId="5FFB54A8" w14:textId="77777777" w:rsidR="00F9541D" w:rsidRDefault="00F9541D" w:rsidP="00483920">
      <w:pPr>
        <w:pStyle w:val="Bulletlevel1"/>
      </w:pPr>
      <w:r>
        <w:t>general geographic area served—towns, communities, local areas</w:t>
      </w:r>
    </w:p>
    <w:p w14:paraId="47EB8DA4" w14:textId="77777777" w:rsidR="00F9541D" w:rsidRDefault="00F9541D" w:rsidP="00483920">
      <w:pPr>
        <w:pStyle w:val="Bulletlevel1"/>
      </w:pPr>
      <w:r>
        <w:t>print handicapped</w:t>
      </w:r>
    </w:p>
    <w:p w14:paraId="32A5B9E6" w14:textId="77777777" w:rsidR="00F9541D" w:rsidRDefault="00F9541D" w:rsidP="00483920">
      <w:pPr>
        <w:pStyle w:val="Bulletlevel1"/>
      </w:pPr>
      <w:r>
        <w:t>religious</w:t>
      </w:r>
    </w:p>
    <w:p w14:paraId="1AD986EC" w14:textId="364B506A" w:rsidR="00F9541D" w:rsidRDefault="00F9541D" w:rsidP="00483920">
      <w:pPr>
        <w:pStyle w:val="Bulletlevel1"/>
      </w:pPr>
      <w:r>
        <w:t>Indigenous/Torres Strait Islander</w:t>
      </w:r>
    </w:p>
    <w:p w14:paraId="2619C176" w14:textId="77777777" w:rsidR="00F9541D" w:rsidRDefault="00F9541D" w:rsidP="00483920">
      <w:pPr>
        <w:pStyle w:val="Bulletlevel1"/>
      </w:pPr>
      <w:r>
        <w:t>ethnic</w:t>
      </w:r>
    </w:p>
    <w:p w14:paraId="451F8869" w14:textId="77777777" w:rsidR="00F9541D" w:rsidRDefault="00F9541D" w:rsidP="00483920">
      <w:pPr>
        <w:pStyle w:val="Bulletlevel1"/>
      </w:pPr>
      <w:r>
        <w:t>senior citizens/youth</w:t>
      </w:r>
    </w:p>
    <w:p w14:paraId="65C0F4FD" w14:textId="77777777" w:rsidR="00F9541D" w:rsidRDefault="00F9541D" w:rsidP="00483920">
      <w:pPr>
        <w:pStyle w:val="Bulletlevel1"/>
      </w:pPr>
      <w:r>
        <w:t>educational/sport</w:t>
      </w:r>
    </w:p>
    <w:p w14:paraId="36838DBD" w14:textId="77777777" w:rsidR="00F9541D" w:rsidRDefault="00F9541D" w:rsidP="00483920">
      <w:pPr>
        <w:pStyle w:val="Bulletlevel1"/>
      </w:pPr>
      <w:r>
        <w:t>category of music</w:t>
      </w:r>
    </w:p>
    <w:p w14:paraId="344D7931" w14:textId="490C47F2" w:rsidR="00F9541D" w:rsidRPr="00CE296A" w:rsidRDefault="00F9541D" w:rsidP="00483920">
      <w:pPr>
        <w:pStyle w:val="Bulletlevel1last"/>
        <w:rPr>
          <w:szCs w:val="20"/>
        </w:rPr>
      </w:pPr>
      <w:r>
        <w:t>LGBTI.</w:t>
      </w:r>
    </w:p>
    <w:p w14:paraId="1B2F1928" w14:textId="330714C7" w:rsidR="00F9541D" w:rsidRPr="00F739DA" w:rsidRDefault="00F9541D" w:rsidP="00483920">
      <w:pPr>
        <w:pStyle w:val="Paragraph"/>
      </w:pPr>
      <w:r>
        <w:t>In considering deeming</w:t>
      </w:r>
      <w:r w:rsidR="0074028E">
        <w:t>, we</w:t>
      </w:r>
      <w:r w:rsidRPr="00E2255F">
        <w:t xml:space="preserve"> </w:t>
      </w:r>
      <w:r>
        <w:t xml:space="preserve">will be mindful that, </w:t>
      </w:r>
      <w:r w:rsidRPr="00E2255F">
        <w:t xml:space="preserve">following deeming, </w:t>
      </w:r>
      <w:r>
        <w:t>a community radio broadcasting licensee will have to consider how best to comply with its licence conditions, including the conditions in subclause 9(2) of Schedule 2 to the BSA</w:t>
      </w:r>
      <w:r w:rsidRPr="00E2255F">
        <w:t>.</w:t>
      </w:r>
      <w:r>
        <w:t xml:space="preserve"> </w:t>
      </w:r>
    </w:p>
    <w:p w14:paraId="0FC660B0" w14:textId="77777777" w:rsidR="006C1631" w:rsidRDefault="006C1631" w:rsidP="006C1631">
      <w:pPr>
        <w:pStyle w:val="Heading1"/>
      </w:pPr>
      <w:bookmarkStart w:id="42" w:name="_Toc44322813"/>
      <w:r>
        <w:lastRenderedPageBreak/>
        <w:t>Invitation to comment</w:t>
      </w:r>
      <w:bookmarkEnd w:id="42"/>
    </w:p>
    <w:p w14:paraId="487805FF" w14:textId="77777777" w:rsidR="006C1631" w:rsidRDefault="006C1631" w:rsidP="006C1631">
      <w:pPr>
        <w:pStyle w:val="Heading2"/>
      </w:pPr>
      <w:bookmarkStart w:id="43" w:name="_Toc433122131"/>
      <w:bookmarkStart w:id="44" w:name="_Toc348105637"/>
      <w:bookmarkStart w:id="45" w:name="_Toc300909556"/>
      <w:bookmarkStart w:id="46" w:name="_Toc298924673"/>
      <w:bookmarkStart w:id="47" w:name="_Toc348105638"/>
      <w:bookmarkStart w:id="48" w:name="_Toc300909557"/>
      <w:bookmarkStart w:id="49" w:name="_Toc298924674"/>
      <w:bookmarkStart w:id="50" w:name="_Toc274296357"/>
      <w:bookmarkStart w:id="51" w:name="_Toc44322814"/>
      <w:r>
        <w:t>Making a submission</w:t>
      </w:r>
      <w:bookmarkEnd w:id="43"/>
      <w:bookmarkEnd w:id="44"/>
      <w:bookmarkEnd w:id="45"/>
      <w:bookmarkEnd w:id="46"/>
      <w:bookmarkEnd w:id="51"/>
    </w:p>
    <w:p w14:paraId="3F8ADB1B" w14:textId="77777777" w:rsidR="006C1631" w:rsidRDefault="006C1631" w:rsidP="006C1631">
      <w:r>
        <w:t xml:space="preserve">The ACMA invites comments on the issues set out in this discussion paper. </w:t>
      </w:r>
    </w:p>
    <w:p w14:paraId="4D0481FC" w14:textId="77777777" w:rsidR="0070133D" w:rsidRDefault="006B3062" w:rsidP="0070133D">
      <w:pPr>
        <w:pStyle w:val="Bulletlevel1"/>
      </w:pPr>
      <w:hyperlink r:id="rId26"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40FB7EF5" w14:textId="77777777" w:rsidR="006C1631" w:rsidRDefault="006C1631" w:rsidP="0070133D">
      <w:pPr>
        <w:pStyle w:val="Bulletlevel1"/>
      </w:pPr>
      <w:r>
        <w:t xml:space="preserve">Submissions by post can be sent to: </w:t>
      </w:r>
    </w:p>
    <w:p w14:paraId="0B4251C0" w14:textId="77777777" w:rsidR="006C1631" w:rsidRPr="00483920" w:rsidRDefault="006C1631" w:rsidP="006C1631">
      <w:pPr>
        <w:tabs>
          <w:tab w:val="num" w:pos="295"/>
        </w:tabs>
        <w:spacing w:after="0"/>
        <w:ind w:left="295"/>
        <w:rPr>
          <w:szCs w:val="20"/>
        </w:rPr>
      </w:pPr>
      <w:r w:rsidRPr="00483920">
        <w:rPr>
          <w:szCs w:val="20"/>
        </w:rPr>
        <w:t>The Manager</w:t>
      </w:r>
    </w:p>
    <w:p w14:paraId="0A46F6F0" w14:textId="1AF8DD24" w:rsidR="006C1631" w:rsidRPr="00483920" w:rsidRDefault="00F9541D" w:rsidP="006C1631">
      <w:pPr>
        <w:spacing w:after="0"/>
        <w:ind w:left="295"/>
        <w:rPr>
          <w:szCs w:val="20"/>
        </w:rPr>
      </w:pPr>
      <w:r w:rsidRPr="00483920">
        <w:rPr>
          <w:szCs w:val="20"/>
        </w:rPr>
        <w:t xml:space="preserve">Broadcasting Carriage Policy Section </w:t>
      </w:r>
    </w:p>
    <w:p w14:paraId="5F7C13E7" w14:textId="77777777" w:rsidR="006C1631" w:rsidRPr="00483920" w:rsidRDefault="006C1631" w:rsidP="006C1631">
      <w:pPr>
        <w:spacing w:after="0"/>
        <w:ind w:left="295"/>
        <w:rPr>
          <w:szCs w:val="20"/>
        </w:rPr>
      </w:pPr>
      <w:r w:rsidRPr="00483920">
        <w:rPr>
          <w:szCs w:val="20"/>
        </w:rPr>
        <w:t>Australian Communications and Media Authority</w:t>
      </w:r>
    </w:p>
    <w:p w14:paraId="36146008" w14:textId="77777777" w:rsidR="006C1631" w:rsidRPr="00483920" w:rsidRDefault="006C1631" w:rsidP="006C1631">
      <w:pPr>
        <w:spacing w:after="0"/>
        <w:ind w:left="295"/>
        <w:rPr>
          <w:szCs w:val="20"/>
        </w:rPr>
      </w:pPr>
      <w:r w:rsidRPr="00483920">
        <w:rPr>
          <w:szCs w:val="20"/>
        </w:rPr>
        <w:t>PO Box 78</w:t>
      </w:r>
    </w:p>
    <w:p w14:paraId="46B4E7F3" w14:textId="77777777" w:rsidR="006C1631" w:rsidRDefault="006C1631" w:rsidP="006C1631">
      <w:pPr>
        <w:ind w:left="295"/>
        <w:rPr>
          <w:szCs w:val="20"/>
        </w:rPr>
      </w:pPr>
      <w:r w:rsidRPr="00483920">
        <w:rPr>
          <w:szCs w:val="20"/>
        </w:rPr>
        <w:t>Belconnen ACT 2616</w:t>
      </w:r>
    </w:p>
    <w:p w14:paraId="25333556" w14:textId="10DE6F04" w:rsidR="006C1631" w:rsidRDefault="006C1631" w:rsidP="006C1631">
      <w:r>
        <w:t xml:space="preserve">The closing date for submissions is COB, </w:t>
      </w:r>
      <w:r w:rsidR="00F9541D">
        <w:t>Friday 28 August 2020</w:t>
      </w:r>
    </w:p>
    <w:p w14:paraId="3891F8D6" w14:textId="2BDAB8B8" w:rsidR="006C1631" w:rsidRDefault="006C1631" w:rsidP="006C1631">
      <w:pPr>
        <w:rPr>
          <w:szCs w:val="20"/>
        </w:rPr>
      </w:pPr>
      <w:r>
        <w:t xml:space="preserve">Consultation enquiries can be emailed </w:t>
      </w:r>
      <w:r w:rsidRPr="00E56FA5">
        <w:rPr>
          <w:szCs w:val="20"/>
        </w:rPr>
        <w:t xml:space="preserve">to </w:t>
      </w:r>
      <w:hyperlink r:id="rId27" w:history="1">
        <w:r w:rsidR="00F9541D" w:rsidRPr="00483920">
          <w:rPr>
            <w:rStyle w:val="Hyperlink"/>
            <w:szCs w:val="20"/>
          </w:rPr>
          <w:t>BCP@acma.gov.au</w:t>
        </w:r>
      </w:hyperlink>
      <w:r w:rsidRPr="00E56FA5">
        <w:rPr>
          <w:szCs w:val="20"/>
        </w:rPr>
        <w:t>.</w:t>
      </w:r>
    </w:p>
    <w:p w14:paraId="5304065A" w14:textId="77777777" w:rsidR="006C1631" w:rsidRDefault="006C1631" w:rsidP="005B2F0D">
      <w:pPr>
        <w:pStyle w:val="Heading4"/>
      </w:pPr>
      <w:bookmarkStart w:id="52" w:name="_Toc348105639"/>
      <w:bookmarkStart w:id="53" w:name="_Toc300909558"/>
      <w:bookmarkEnd w:id="47"/>
      <w:bookmarkEnd w:id="48"/>
      <w:r>
        <w:t xml:space="preserve">Publication of </w:t>
      </w:r>
      <w:r w:rsidRPr="005B2F0D">
        <w:t>submissions</w:t>
      </w:r>
      <w:bookmarkEnd w:id="49"/>
      <w:bookmarkEnd w:id="50"/>
      <w:bookmarkEnd w:id="52"/>
      <w:bookmarkEnd w:id="53"/>
    </w:p>
    <w:p w14:paraId="5C749804" w14:textId="77777777" w:rsidR="006C1631" w:rsidRDefault="006C1631" w:rsidP="006C1631">
      <w:bookmarkStart w:id="54" w:name="_Toc348105640"/>
      <w:bookmarkStart w:id="55" w:name="_Toc300909559"/>
      <w:bookmarkStart w:id="56"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7FF8ABD0" w14:textId="77777777" w:rsidR="006C1631" w:rsidRDefault="006C1631" w:rsidP="006C1631">
      <w:r>
        <w:t>Confidential information will not be published or otherwise released unless required or authorised by law.</w:t>
      </w:r>
    </w:p>
    <w:p w14:paraId="01E44D04" w14:textId="77777777" w:rsidR="006C1631" w:rsidRDefault="006C1631" w:rsidP="005B2F0D">
      <w:pPr>
        <w:pStyle w:val="Heading4"/>
      </w:pPr>
      <w:r>
        <w:t>Privacy</w:t>
      </w:r>
    </w:p>
    <w:p w14:paraId="2E6B4F12" w14:textId="77777777" w:rsidR="006C1631" w:rsidRDefault="00E21056" w:rsidP="005B2F0D">
      <w:pPr>
        <w:pStyle w:val="Paragraph"/>
      </w:pPr>
      <w:r>
        <w:t>View</w:t>
      </w:r>
      <w:r w:rsidR="006C1631">
        <w:t xml:space="preserve"> information about </w:t>
      </w:r>
      <w:r>
        <w:t xml:space="preserve">our policy on the </w:t>
      </w:r>
      <w:hyperlink r:id="rId28"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54"/>
    <w:bookmarkEnd w:id="55"/>
    <w:bookmarkEnd w:id="56"/>
    <w:p w14:paraId="65C53D5B" w14:textId="77777777" w:rsidR="00A4193E" w:rsidRPr="0041233F" w:rsidRDefault="006C1631" w:rsidP="005B2F0D">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29" w:history="1">
        <w:r w:rsidR="00E21056" w:rsidRPr="00E21056">
          <w:rPr>
            <w:rStyle w:val="Hyperlink"/>
          </w:rPr>
          <w:t>privacy policy</w:t>
        </w:r>
      </w:hyperlink>
      <w:r>
        <w:t>.</w:t>
      </w:r>
      <w:r w:rsidR="00A4193E">
        <w:t xml:space="preserve"> </w:t>
      </w:r>
    </w:p>
    <w:sectPr w:rsidR="00A4193E" w:rsidRPr="0041233F" w:rsidSect="00C77380">
      <w:headerReference w:type="even" r:id="rId30"/>
      <w:headerReference w:type="default" r:id="rId31"/>
      <w:footerReference w:type="even" r:id="rId32"/>
      <w:footerReference w:type="default" r:id="rId3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961A26" w14:textId="77777777" w:rsidR="00F9541D" w:rsidRDefault="00F9541D">
      <w:r>
        <w:separator/>
      </w:r>
    </w:p>
  </w:endnote>
  <w:endnote w:type="continuationSeparator" w:id="0">
    <w:p w14:paraId="66A0DA6F" w14:textId="77777777" w:rsidR="00F9541D" w:rsidRDefault="00F95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altName w:val="Times New Roman Bold"/>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8D080" w14:textId="77777777" w:rsidR="005E250B" w:rsidRDefault="47548C57" w:rsidP="005E250B">
    <w:pPr>
      <w:pStyle w:val="Footer"/>
      <w:jc w:val="right"/>
    </w:pPr>
    <w:r>
      <w:rPr>
        <w:noProof/>
      </w:rPr>
      <w:drawing>
        <wp:inline distT="0" distB="0" distL="0" distR="0" wp14:anchorId="7F96CD45" wp14:editId="4327FA27">
          <wp:extent cx="1066800" cy="277368"/>
          <wp:effectExtent l="0" t="0" r="0" b="0"/>
          <wp:docPr id="1896820390"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6CE3C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848D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8E7EE3"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7A6C33F"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C3F909"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4335A4B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599C7"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C394B05"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318F5"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CD12D0B"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AC108"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99C2C98"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6881EE" w14:textId="77777777" w:rsidR="00F9541D" w:rsidRDefault="00F9541D">
      <w:r>
        <w:separator/>
      </w:r>
    </w:p>
  </w:footnote>
  <w:footnote w:type="continuationSeparator" w:id="0">
    <w:p w14:paraId="357D2BF9" w14:textId="77777777" w:rsidR="00F9541D" w:rsidRDefault="00F9541D">
      <w:r>
        <w:continuationSeparator/>
      </w:r>
    </w:p>
  </w:footnote>
  <w:footnote w:id="1">
    <w:p w14:paraId="4BD10F5C" w14:textId="77777777" w:rsidR="00F9541D" w:rsidRDefault="00F9541D" w:rsidP="001E57F6">
      <w:pPr>
        <w:pStyle w:val="FootnoteText"/>
        <w:tabs>
          <w:tab w:val="left" w:pos="142"/>
        </w:tabs>
        <w:ind w:left="142" w:hanging="142"/>
      </w:pPr>
      <w:r>
        <w:rPr>
          <w:rStyle w:val="FootnoteReference"/>
        </w:rPr>
        <w:footnoteRef/>
      </w:r>
      <w:r>
        <w:t xml:space="preserve"> Section 44A of the </w:t>
      </w:r>
      <w:r>
        <w:rPr>
          <w:iCs/>
        </w:rPr>
        <w:t>RA</w:t>
      </w:r>
      <w:r>
        <w:t xml:space="preserve"> requires digital radio to be planned for ‘designated BSA radio </w:t>
      </w:r>
      <w:proofErr w:type="gramStart"/>
      <w:r>
        <w:t>areas’</w:t>
      </w:r>
      <w:proofErr w:type="gramEnd"/>
      <w:r>
        <w:t>. Section 5 of the RA defines a designated BSA licence area as the BSA licence area of a commercial radio broadcasting licence or the BSA licence area of a community radio broadcasting licence where that BSA licence area is the same as the BSA licence area of a commercial radio broadcasting licence.</w:t>
      </w:r>
    </w:p>
  </w:footnote>
  <w:footnote w:id="2">
    <w:p w14:paraId="2E470900" w14:textId="77777777" w:rsidR="00F9541D" w:rsidRDefault="00F9541D" w:rsidP="001E57F6">
      <w:pPr>
        <w:pStyle w:val="FootnoteText"/>
      </w:pPr>
      <w:r>
        <w:rPr>
          <w:rStyle w:val="FootnoteReference"/>
        </w:rPr>
        <w:footnoteRef/>
      </w:r>
      <w:r>
        <w:t xml:space="preserve"> Defined in section 8AA of the BSA.</w:t>
      </w:r>
    </w:p>
  </w:footnote>
  <w:footnote w:id="3">
    <w:p w14:paraId="763110E6" w14:textId="77777777" w:rsidR="00F9541D" w:rsidRDefault="00F9541D" w:rsidP="00F9541D">
      <w:pPr>
        <w:pStyle w:val="FootnoteText"/>
      </w:pPr>
      <w:r>
        <w:rPr>
          <w:rStyle w:val="FootnoteReference"/>
        </w:rPr>
        <w:footnoteRef/>
      </w:r>
      <w:r>
        <w:t xml:space="preserve"> Wide-coverage areas are community licence areas that are the same as, or largely equivalent to, the overlapping commercial licence area. In the case of Darwin RA2 and Darwin RA3 the technical specifications for the community broadcasting licences in these areas were the same as the specifications for the commercial and community radio broadcasting licences in the Darwin RA1 licence area. </w:t>
      </w:r>
    </w:p>
  </w:footnote>
  <w:footnote w:id="4">
    <w:p w14:paraId="536247D5" w14:textId="153149E9" w:rsidR="00F9541D" w:rsidRDefault="00F9541D" w:rsidP="00F9541D">
      <w:pPr>
        <w:pStyle w:val="FootnoteText"/>
      </w:pPr>
      <w:r>
        <w:rPr>
          <w:rStyle w:val="FootnoteReference"/>
        </w:rPr>
        <w:footnoteRef/>
      </w:r>
      <w:r>
        <w:t xml:space="preserve"> Paragraphs 3(a) and 3(b) of the RA.</w:t>
      </w:r>
    </w:p>
  </w:footnote>
  <w:footnote w:id="5">
    <w:p w14:paraId="7C6A8F04" w14:textId="77777777" w:rsidR="00F9541D" w:rsidRDefault="00F9541D" w:rsidP="00F9541D">
      <w:pPr>
        <w:pStyle w:val="FootnoteText"/>
      </w:pPr>
      <w:r>
        <w:rPr>
          <w:rStyle w:val="FootnoteReference"/>
        </w:rPr>
        <w:footnoteRef/>
      </w:r>
      <w:r>
        <w:t xml:space="preserve"> Paragraph 3(1)(a) of the BSA.</w:t>
      </w:r>
    </w:p>
  </w:footnote>
  <w:footnote w:id="6">
    <w:p w14:paraId="4D058C6C" w14:textId="77777777" w:rsidR="00F9541D" w:rsidRDefault="00F9541D" w:rsidP="00F9541D">
      <w:pPr>
        <w:pStyle w:val="FootnoteText"/>
      </w:pPr>
      <w:r>
        <w:rPr>
          <w:rStyle w:val="FootnoteReference"/>
        </w:rPr>
        <w:footnoteRef/>
      </w:r>
      <w:r>
        <w:t xml:space="preserve"> See section 17 of the </w:t>
      </w:r>
      <w:r w:rsidRPr="006F35F1">
        <w:rPr>
          <w:rFonts w:cs="Arial"/>
          <w:i/>
          <w:iCs/>
        </w:rPr>
        <w:t>Legislation Act 2003</w:t>
      </w:r>
      <w:r w:rsidRPr="0013495A">
        <w:rPr>
          <w:i/>
          <w:iCs/>
        </w:rPr>
        <w:t>.</w:t>
      </w:r>
    </w:p>
  </w:footnote>
  <w:footnote w:id="7">
    <w:p w14:paraId="68E8F029" w14:textId="77777777" w:rsidR="00F9541D" w:rsidRDefault="00F9541D" w:rsidP="001E57F6">
      <w:pPr>
        <w:pStyle w:val="FootnoteText"/>
        <w:ind w:left="142" w:hanging="142"/>
      </w:pPr>
      <w:r>
        <w:rPr>
          <w:rStyle w:val="FootnoteReference"/>
        </w:rPr>
        <w:footnoteRef/>
      </w:r>
      <w:r>
        <w:t xml:space="preserve"> Section 118NR of the RA. Designated community radio broadcasting licensees can only seek use their standard access entitlements to the multiplex through the digital community radio broadcasting representative company.</w:t>
      </w:r>
    </w:p>
  </w:footnote>
  <w:footnote w:id="8">
    <w:p w14:paraId="4B52486F" w14:textId="047F935D" w:rsidR="00F9541D" w:rsidRDefault="00F9541D" w:rsidP="00F9541D">
      <w:pPr>
        <w:pStyle w:val="FootnoteText"/>
      </w:pPr>
      <w:r>
        <w:rPr>
          <w:rStyle w:val="FootnoteReference"/>
        </w:rPr>
        <w:footnoteRef/>
      </w:r>
      <w:r>
        <w:t xml:space="preserve"> This is a gross bit rate that includes error correction</w:t>
      </w:r>
      <w:r w:rsidR="00FA0CA9">
        <w:t>.</w:t>
      </w:r>
    </w:p>
  </w:footnote>
  <w:footnote w:id="9">
    <w:p w14:paraId="2EB1A79C" w14:textId="77777777" w:rsidR="00F9541D" w:rsidRDefault="00F9541D" w:rsidP="00F9541D">
      <w:pPr>
        <w:pStyle w:val="FootnoteText"/>
      </w:pPr>
      <w:r>
        <w:rPr>
          <w:rStyle w:val="FootnoteReference"/>
        </w:rPr>
        <w:footnoteRef/>
      </w:r>
      <w:r>
        <w:t xml:space="preserve"> At present, </w:t>
      </w:r>
      <w:r w:rsidRPr="00BF2753">
        <w:t>seven</w:t>
      </w:r>
      <w:r>
        <w:t xml:space="preserve"> community radio broadcasting licensees are authorised to provide services using the Perth multiplex, and six are authorised to provide services using the Adelaide multiplex.</w:t>
      </w:r>
    </w:p>
  </w:footnote>
  <w:footnote w:id="10">
    <w:p w14:paraId="7077EAFA" w14:textId="77777777" w:rsidR="00F9541D" w:rsidRDefault="00F9541D" w:rsidP="00F9541D">
      <w:pPr>
        <w:pStyle w:val="FootnoteText"/>
        <w:ind w:left="199" w:hanging="199"/>
      </w:pPr>
      <w:r>
        <w:rPr>
          <w:rStyle w:val="FootnoteReference"/>
        </w:rPr>
        <w:footnoteRef/>
      </w:r>
      <w:r>
        <w:t xml:space="preserve"> In this paper, the term overlap includes a situation where a licence area is entirely within another licence area, in which case the overlap would be 100 per cent.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A416EC" w14:textId="77777777" w:rsidR="00C053A1" w:rsidRPr="00A5474E" w:rsidRDefault="47548C57" w:rsidP="00A5474E">
    <w:pPr>
      <w:pStyle w:val="Header"/>
    </w:pPr>
    <w:r>
      <w:rPr>
        <w:noProof/>
      </w:rPr>
      <w:drawing>
        <wp:inline distT="0" distB="0" distL="0" distR="0" wp14:anchorId="50982C09" wp14:editId="43E7FB59">
          <wp:extent cx="6210298" cy="571134"/>
          <wp:effectExtent l="0" t="0" r="0" b="0"/>
          <wp:docPr id="426195359"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914E8D"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7822F0"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21358"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5BA8987" w14:textId="77777777" w:rsidTr="003B0421">
      <w:trPr>
        <w:trHeight w:hRule="exact" w:val="988"/>
      </w:trPr>
      <w:tc>
        <w:tcPr>
          <w:tcW w:w="7678" w:type="dxa"/>
          <w:shd w:val="clear" w:color="auto" w:fill="auto"/>
        </w:tcPr>
        <w:p w14:paraId="4195AA7E" w14:textId="77777777" w:rsidR="00971914" w:rsidRDefault="00971914" w:rsidP="00971914">
          <w:pPr>
            <w:pStyle w:val="Header"/>
          </w:pPr>
        </w:p>
      </w:tc>
    </w:tr>
    <w:tr w:rsidR="00971914" w14:paraId="6ADCDAC2" w14:textId="77777777" w:rsidTr="003B0421">
      <w:tc>
        <w:tcPr>
          <w:tcW w:w="7678" w:type="dxa"/>
          <w:shd w:val="clear" w:color="auto" w:fill="auto"/>
        </w:tcPr>
        <w:p w14:paraId="003ACD26" w14:textId="77777777" w:rsidR="00971914" w:rsidRDefault="00971914" w:rsidP="00971914">
          <w:pPr>
            <w:pStyle w:val="GridTable31"/>
          </w:pPr>
          <w:r>
            <w:t xml:space="preserve">Contents </w:t>
          </w:r>
          <w:r w:rsidRPr="00915B1C">
            <w:rPr>
              <w:b w:val="0"/>
              <w:spacing w:val="0"/>
              <w:sz w:val="28"/>
              <w:szCs w:val="28"/>
            </w:rPr>
            <w:t>(Continued)</w:t>
          </w:r>
        </w:p>
      </w:tc>
    </w:tr>
    <w:tr w:rsidR="00971914" w14:paraId="4E24D901" w14:textId="77777777" w:rsidTr="003B0421">
      <w:trPr>
        <w:trHeight w:val="1220"/>
      </w:trPr>
      <w:tc>
        <w:tcPr>
          <w:tcW w:w="7678" w:type="dxa"/>
          <w:shd w:val="clear" w:color="auto" w:fill="auto"/>
        </w:tcPr>
        <w:p w14:paraId="35C127E9" w14:textId="77777777" w:rsidR="00971914" w:rsidRDefault="00971914" w:rsidP="00971914"/>
      </w:tc>
    </w:tr>
  </w:tbl>
  <w:p w14:paraId="76A5E083"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1DD341A" w14:textId="77777777" w:rsidTr="003B0421">
      <w:trPr>
        <w:trHeight w:hRule="exact" w:val="988"/>
      </w:trPr>
      <w:tc>
        <w:tcPr>
          <w:tcW w:w="7678" w:type="dxa"/>
          <w:shd w:val="clear" w:color="auto" w:fill="auto"/>
        </w:tcPr>
        <w:p w14:paraId="0DC4CC45" w14:textId="77777777" w:rsidR="00971914" w:rsidRDefault="00971914" w:rsidP="00971914">
          <w:pPr>
            <w:pStyle w:val="Header"/>
          </w:pPr>
        </w:p>
      </w:tc>
    </w:tr>
    <w:tr w:rsidR="00971914" w14:paraId="526A4D38" w14:textId="77777777" w:rsidTr="003B0421">
      <w:tc>
        <w:tcPr>
          <w:tcW w:w="7678" w:type="dxa"/>
          <w:shd w:val="clear" w:color="auto" w:fill="auto"/>
        </w:tcPr>
        <w:p w14:paraId="2E24BCC3" w14:textId="77777777" w:rsidR="00971914" w:rsidRDefault="00971914" w:rsidP="00971914">
          <w:pPr>
            <w:pStyle w:val="GridTable31"/>
          </w:pPr>
          <w:r>
            <w:t xml:space="preserve">Contents </w:t>
          </w:r>
          <w:r w:rsidRPr="00915B1C">
            <w:rPr>
              <w:b w:val="0"/>
              <w:spacing w:val="0"/>
              <w:sz w:val="28"/>
              <w:szCs w:val="28"/>
            </w:rPr>
            <w:t>(Continued)</w:t>
          </w:r>
        </w:p>
      </w:tc>
    </w:tr>
    <w:tr w:rsidR="00971914" w14:paraId="3EFAF8F8" w14:textId="77777777" w:rsidTr="003B0421">
      <w:trPr>
        <w:trHeight w:val="1220"/>
      </w:trPr>
      <w:tc>
        <w:tcPr>
          <w:tcW w:w="7678" w:type="dxa"/>
          <w:shd w:val="clear" w:color="auto" w:fill="auto"/>
        </w:tcPr>
        <w:p w14:paraId="53214904" w14:textId="77777777" w:rsidR="00971914" w:rsidRDefault="00971914" w:rsidP="00971914"/>
      </w:tc>
    </w:tr>
  </w:tbl>
  <w:p w14:paraId="3D2E05C1"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B6424"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6362A"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D027FF2"/>
    <w:multiLevelType w:val="hybridMultilevel"/>
    <w:tmpl w:val="7646EEE0"/>
    <w:lvl w:ilvl="0" w:tplc="0C09000F">
      <w:start w:val="1"/>
      <w:numFmt w:val="decimal"/>
      <w:lvlText w:val="%1."/>
      <w:lvlJc w:val="lef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7" w15:restartNumberingAfterBreak="0">
    <w:nsid w:val="205347D8"/>
    <w:multiLevelType w:val="hybridMultilevel"/>
    <w:tmpl w:val="FDEE218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7FF1B9A"/>
    <w:multiLevelType w:val="hybridMultilevel"/>
    <w:tmpl w:val="CCEABCB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F011320"/>
    <w:multiLevelType w:val="hybridMultilevel"/>
    <w:tmpl w:val="E048A5B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9"/>
  </w:num>
  <w:num w:numId="6">
    <w:abstractNumId w:val="14"/>
  </w:num>
  <w:num w:numId="7">
    <w:abstractNumId w:val="11"/>
  </w:num>
  <w:num w:numId="8">
    <w:abstractNumId w:val="13"/>
  </w:num>
  <w:num w:numId="9">
    <w:abstractNumId w:val="15"/>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0"/>
  </w:num>
  <w:num w:numId="17">
    <w:abstractNumId w:val="12"/>
  </w:num>
  <w:num w:numId="18">
    <w:abstractNumId w:val="8"/>
  </w:num>
  <w:num w:numId="19">
    <w:abstractNumId w:val="16"/>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num>
  <w:num w:numId="23">
    <w:abstractNumId w:val="7"/>
  </w:num>
  <w:num w:numId="24">
    <w:abstractNumId w:val="2"/>
    <w:lvlOverride w:ilvl="0">
      <w:startOverride w:val="1"/>
    </w:lvlOverride>
  </w:num>
  <w:num w:numId="25">
    <w:abstractNumId w:val="2"/>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843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41D"/>
    <w:rsid w:val="000104A4"/>
    <w:rsid w:val="00010667"/>
    <w:rsid w:val="000129D5"/>
    <w:rsid w:val="00015AE7"/>
    <w:rsid w:val="00016E21"/>
    <w:rsid w:val="0001719C"/>
    <w:rsid w:val="00020D63"/>
    <w:rsid w:val="0002224E"/>
    <w:rsid w:val="000245E5"/>
    <w:rsid w:val="00026F91"/>
    <w:rsid w:val="00032621"/>
    <w:rsid w:val="0004764C"/>
    <w:rsid w:val="0005011A"/>
    <w:rsid w:val="0005045A"/>
    <w:rsid w:val="00051C1E"/>
    <w:rsid w:val="000539F9"/>
    <w:rsid w:val="00054C27"/>
    <w:rsid w:val="00055EC3"/>
    <w:rsid w:val="000563CE"/>
    <w:rsid w:val="000563E1"/>
    <w:rsid w:val="000659B6"/>
    <w:rsid w:val="0006686F"/>
    <w:rsid w:val="0006722A"/>
    <w:rsid w:val="000732CF"/>
    <w:rsid w:val="00075B96"/>
    <w:rsid w:val="000762CE"/>
    <w:rsid w:val="0008196A"/>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C75F7"/>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056F"/>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87CEA"/>
    <w:rsid w:val="0019050A"/>
    <w:rsid w:val="001910D4"/>
    <w:rsid w:val="001976E3"/>
    <w:rsid w:val="001A44EC"/>
    <w:rsid w:val="001B4567"/>
    <w:rsid w:val="001B58AA"/>
    <w:rsid w:val="001B7E48"/>
    <w:rsid w:val="001C17CE"/>
    <w:rsid w:val="001C36CA"/>
    <w:rsid w:val="001C44D1"/>
    <w:rsid w:val="001C6AEE"/>
    <w:rsid w:val="001C7630"/>
    <w:rsid w:val="001D6D15"/>
    <w:rsid w:val="001E1360"/>
    <w:rsid w:val="001E57F6"/>
    <w:rsid w:val="001F50F7"/>
    <w:rsid w:val="001F7558"/>
    <w:rsid w:val="00201EE2"/>
    <w:rsid w:val="00205B57"/>
    <w:rsid w:val="0021426C"/>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148"/>
    <w:rsid w:val="00273CEB"/>
    <w:rsid w:val="00281C89"/>
    <w:rsid w:val="0028282F"/>
    <w:rsid w:val="0029593B"/>
    <w:rsid w:val="00297FC5"/>
    <w:rsid w:val="002A0417"/>
    <w:rsid w:val="002A16D8"/>
    <w:rsid w:val="002A1BC8"/>
    <w:rsid w:val="002A3EF2"/>
    <w:rsid w:val="002B0DED"/>
    <w:rsid w:val="002B19A2"/>
    <w:rsid w:val="002B381A"/>
    <w:rsid w:val="002B4FCC"/>
    <w:rsid w:val="002B653A"/>
    <w:rsid w:val="002B7408"/>
    <w:rsid w:val="002B7CFD"/>
    <w:rsid w:val="002C0530"/>
    <w:rsid w:val="002C210F"/>
    <w:rsid w:val="002D3600"/>
    <w:rsid w:val="002D4816"/>
    <w:rsid w:val="002E29B9"/>
    <w:rsid w:val="002E4DDC"/>
    <w:rsid w:val="002F507F"/>
    <w:rsid w:val="00302480"/>
    <w:rsid w:val="00302758"/>
    <w:rsid w:val="00303175"/>
    <w:rsid w:val="003154C1"/>
    <w:rsid w:val="003165E6"/>
    <w:rsid w:val="003215B5"/>
    <w:rsid w:val="003221CF"/>
    <w:rsid w:val="003233ED"/>
    <w:rsid w:val="00324D9F"/>
    <w:rsid w:val="00327948"/>
    <w:rsid w:val="0033000F"/>
    <w:rsid w:val="00332011"/>
    <w:rsid w:val="00332518"/>
    <w:rsid w:val="00332925"/>
    <w:rsid w:val="00332E3F"/>
    <w:rsid w:val="003332ED"/>
    <w:rsid w:val="003368DC"/>
    <w:rsid w:val="00345927"/>
    <w:rsid w:val="00350584"/>
    <w:rsid w:val="00351857"/>
    <w:rsid w:val="003545E8"/>
    <w:rsid w:val="003610E1"/>
    <w:rsid w:val="003671BE"/>
    <w:rsid w:val="00372485"/>
    <w:rsid w:val="00373200"/>
    <w:rsid w:val="00375EF5"/>
    <w:rsid w:val="003767A5"/>
    <w:rsid w:val="00381D15"/>
    <w:rsid w:val="0038296C"/>
    <w:rsid w:val="00385254"/>
    <w:rsid w:val="003933E8"/>
    <w:rsid w:val="00394031"/>
    <w:rsid w:val="00396DC2"/>
    <w:rsid w:val="003A04DB"/>
    <w:rsid w:val="003A5F5B"/>
    <w:rsid w:val="003A789A"/>
    <w:rsid w:val="003B0591"/>
    <w:rsid w:val="003B12EC"/>
    <w:rsid w:val="003B6F86"/>
    <w:rsid w:val="003C03B8"/>
    <w:rsid w:val="003C77E0"/>
    <w:rsid w:val="003D00E4"/>
    <w:rsid w:val="003D0524"/>
    <w:rsid w:val="003D17D7"/>
    <w:rsid w:val="003D2678"/>
    <w:rsid w:val="003D71A3"/>
    <w:rsid w:val="003E2B8A"/>
    <w:rsid w:val="003F10EE"/>
    <w:rsid w:val="003F16F6"/>
    <w:rsid w:val="003F4DC7"/>
    <w:rsid w:val="003F5235"/>
    <w:rsid w:val="004027E4"/>
    <w:rsid w:val="0041071D"/>
    <w:rsid w:val="00412B0F"/>
    <w:rsid w:val="00414AFC"/>
    <w:rsid w:val="004151A7"/>
    <w:rsid w:val="00415310"/>
    <w:rsid w:val="00421709"/>
    <w:rsid w:val="00423763"/>
    <w:rsid w:val="0042762F"/>
    <w:rsid w:val="00427DC7"/>
    <w:rsid w:val="00430760"/>
    <w:rsid w:val="00431613"/>
    <w:rsid w:val="00431792"/>
    <w:rsid w:val="00432538"/>
    <w:rsid w:val="0043297A"/>
    <w:rsid w:val="00432EB2"/>
    <w:rsid w:val="0043714F"/>
    <w:rsid w:val="004438B5"/>
    <w:rsid w:val="00447037"/>
    <w:rsid w:val="0045124D"/>
    <w:rsid w:val="00452365"/>
    <w:rsid w:val="00454596"/>
    <w:rsid w:val="0045605D"/>
    <w:rsid w:val="0046135B"/>
    <w:rsid w:val="00461D47"/>
    <w:rsid w:val="004645BD"/>
    <w:rsid w:val="004661D3"/>
    <w:rsid w:val="004718CC"/>
    <w:rsid w:val="00481695"/>
    <w:rsid w:val="00483920"/>
    <w:rsid w:val="00495A96"/>
    <w:rsid w:val="00495BB3"/>
    <w:rsid w:val="004A56BB"/>
    <w:rsid w:val="004A70D6"/>
    <w:rsid w:val="004B1751"/>
    <w:rsid w:val="004C0253"/>
    <w:rsid w:val="004C78CA"/>
    <w:rsid w:val="004D56FF"/>
    <w:rsid w:val="004E39D3"/>
    <w:rsid w:val="004E508A"/>
    <w:rsid w:val="004E616D"/>
    <w:rsid w:val="004F1256"/>
    <w:rsid w:val="004F1BDE"/>
    <w:rsid w:val="004F2CEE"/>
    <w:rsid w:val="004F556E"/>
    <w:rsid w:val="004F591C"/>
    <w:rsid w:val="004F7F44"/>
    <w:rsid w:val="005037B4"/>
    <w:rsid w:val="005079BF"/>
    <w:rsid w:val="005125C8"/>
    <w:rsid w:val="0051269A"/>
    <w:rsid w:val="005219E7"/>
    <w:rsid w:val="00525AE5"/>
    <w:rsid w:val="00531B9A"/>
    <w:rsid w:val="00531D15"/>
    <w:rsid w:val="00537604"/>
    <w:rsid w:val="00542377"/>
    <w:rsid w:val="0054361C"/>
    <w:rsid w:val="00545ABD"/>
    <w:rsid w:val="005476EB"/>
    <w:rsid w:val="00551782"/>
    <w:rsid w:val="00563EF1"/>
    <w:rsid w:val="00566AB4"/>
    <w:rsid w:val="00573812"/>
    <w:rsid w:val="00575AC5"/>
    <w:rsid w:val="0057605D"/>
    <w:rsid w:val="00581347"/>
    <w:rsid w:val="00581AC9"/>
    <w:rsid w:val="005849F8"/>
    <w:rsid w:val="005938DF"/>
    <w:rsid w:val="00594E9C"/>
    <w:rsid w:val="005A099B"/>
    <w:rsid w:val="005A2D9C"/>
    <w:rsid w:val="005A55FE"/>
    <w:rsid w:val="005A6A11"/>
    <w:rsid w:val="005B2F0D"/>
    <w:rsid w:val="005C34EF"/>
    <w:rsid w:val="005D2502"/>
    <w:rsid w:val="005D3218"/>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4CCA"/>
    <w:rsid w:val="006A6DA2"/>
    <w:rsid w:val="006A7AB2"/>
    <w:rsid w:val="006B3062"/>
    <w:rsid w:val="006B4B46"/>
    <w:rsid w:val="006B52DE"/>
    <w:rsid w:val="006B5717"/>
    <w:rsid w:val="006B582F"/>
    <w:rsid w:val="006B5EB2"/>
    <w:rsid w:val="006B75AE"/>
    <w:rsid w:val="006C0CEB"/>
    <w:rsid w:val="006C1631"/>
    <w:rsid w:val="006C3B1E"/>
    <w:rsid w:val="006C47FD"/>
    <w:rsid w:val="006C5C19"/>
    <w:rsid w:val="006C70A0"/>
    <w:rsid w:val="006D27CB"/>
    <w:rsid w:val="006D2F08"/>
    <w:rsid w:val="006D576C"/>
    <w:rsid w:val="006D5865"/>
    <w:rsid w:val="006E4B1B"/>
    <w:rsid w:val="006E5445"/>
    <w:rsid w:val="006E7D93"/>
    <w:rsid w:val="006F05A1"/>
    <w:rsid w:val="0070133D"/>
    <w:rsid w:val="007029A3"/>
    <w:rsid w:val="00706E4E"/>
    <w:rsid w:val="0070791C"/>
    <w:rsid w:val="0071383C"/>
    <w:rsid w:val="007141A7"/>
    <w:rsid w:val="00715722"/>
    <w:rsid w:val="00715BAF"/>
    <w:rsid w:val="00721032"/>
    <w:rsid w:val="00721B55"/>
    <w:rsid w:val="00726CE4"/>
    <w:rsid w:val="00734143"/>
    <w:rsid w:val="00737E47"/>
    <w:rsid w:val="0074028E"/>
    <w:rsid w:val="00740EAC"/>
    <w:rsid w:val="00744956"/>
    <w:rsid w:val="00745A5C"/>
    <w:rsid w:val="0074605F"/>
    <w:rsid w:val="00747E94"/>
    <w:rsid w:val="00754C83"/>
    <w:rsid w:val="00761E5C"/>
    <w:rsid w:val="00765DF8"/>
    <w:rsid w:val="00766749"/>
    <w:rsid w:val="00767C1B"/>
    <w:rsid w:val="00770B3F"/>
    <w:rsid w:val="007714A9"/>
    <w:rsid w:val="00774F88"/>
    <w:rsid w:val="00774FDB"/>
    <w:rsid w:val="00777BA2"/>
    <w:rsid w:val="00781408"/>
    <w:rsid w:val="00784F7F"/>
    <w:rsid w:val="007878BD"/>
    <w:rsid w:val="00796F25"/>
    <w:rsid w:val="007A2E98"/>
    <w:rsid w:val="007A3BA3"/>
    <w:rsid w:val="007A5D36"/>
    <w:rsid w:val="007A6CC0"/>
    <w:rsid w:val="007A7FEC"/>
    <w:rsid w:val="007B1499"/>
    <w:rsid w:val="007B1BBF"/>
    <w:rsid w:val="007B2960"/>
    <w:rsid w:val="007B355D"/>
    <w:rsid w:val="007B7980"/>
    <w:rsid w:val="007C0DEF"/>
    <w:rsid w:val="007C54E8"/>
    <w:rsid w:val="007C5D5A"/>
    <w:rsid w:val="007C607F"/>
    <w:rsid w:val="007C79DD"/>
    <w:rsid w:val="007D1A97"/>
    <w:rsid w:val="007D2CD6"/>
    <w:rsid w:val="007D3063"/>
    <w:rsid w:val="007D3CEB"/>
    <w:rsid w:val="007E7683"/>
    <w:rsid w:val="007F49FA"/>
    <w:rsid w:val="007F54C4"/>
    <w:rsid w:val="007F6E9A"/>
    <w:rsid w:val="00800CCD"/>
    <w:rsid w:val="008044D4"/>
    <w:rsid w:val="00810AB4"/>
    <w:rsid w:val="00817B56"/>
    <w:rsid w:val="00821A88"/>
    <w:rsid w:val="0082322E"/>
    <w:rsid w:val="0082495D"/>
    <w:rsid w:val="00831AC3"/>
    <w:rsid w:val="00836FCE"/>
    <w:rsid w:val="008408FF"/>
    <w:rsid w:val="0085192C"/>
    <w:rsid w:val="00851F3F"/>
    <w:rsid w:val="00856EDC"/>
    <w:rsid w:val="008623B5"/>
    <w:rsid w:val="00870ABA"/>
    <w:rsid w:val="008710E1"/>
    <w:rsid w:val="008716E5"/>
    <w:rsid w:val="00872DED"/>
    <w:rsid w:val="00875D38"/>
    <w:rsid w:val="008815FD"/>
    <w:rsid w:val="00881CA9"/>
    <w:rsid w:val="00883628"/>
    <w:rsid w:val="008852B2"/>
    <w:rsid w:val="00885544"/>
    <w:rsid w:val="0088634E"/>
    <w:rsid w:val="00893AB8"/>
    <w:rsid w:val="008960D1"/>
    <w:rsid w:val="00896DF1"/>
    <w:rsid w:val="008A04C8"/>
    <w:rsid w:val="008A6913"/>
    <w:rsid w:val="008B0D6A"/>
    <w:rsid w:val="008B70F3"/>
    <w:rsid w:val="008B71C4"/>
    <w:rsid w:val="008B76DF"/>
    <w:rsid w:val="008C10F4"/>
    <w:rsid w:val="008C65F7"/>
    <w:rsid w:val="008E0428"/>
    <w:rsid w:val="008E4767"/>
    <w:rsid w:val="008E5EE8"/>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36E95"/>
    <w:rsid w:val="0094078F"/>
    <w:rsid w:val="00940FA3"/>
    <w:rsid w:val="00941FB0"/>
    <w:rsid w:val="009426D4"/>
    <w:rsid w:val="00947F25"/>
    <w:rsid w:val="00950159"/>
    <w:rsid w:val="0095490B"/>
    <w:rsid w:val="00954EB8"/>
    <w:rsid w:val="00960A33"/>
    <w:rsid w:val="00971914"/>
    <w:rsid w:val="00974363"/>
    <w:rsid w:val="009746D6"/>
    <w:rsid w:val="0097729A"/>
    <w:rsid w:val="00981898"/>
    <w:rsid w:val="0099577C"/>
    <w:rsid w:val="009A021C"/>
    <w:rsid w:val="009A25CC"/>
    <w:rsid w:val="009B24A5"/>
    <w:rsid w:val="009B2601"/>
    <w:rsid w:val="009B4E9E"/>
    <w:rsid w:val="009C1690"/>
    <w:rsid w:val="009C6881"/>
    <w:rsid w:val="009C7759"/>
    <w:rsid w:val="009D043D"/>
    <w:rsid w:val="009D07C8"/>
    <w:rsid w:val="009D4C85"/>
    <w:rsid w:val="009D6C71"/>
    <w:rsid w:val="009E0631"/>
    <w:rsid w:val="009E16D0"/>
    <w:rsid w:val="009E2051"/>
    <w:rsid w:val="009E38FD"/>
    <w:rsid w:val="009F13D6"/>
    <w:rsid w:val="009F4897"/>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2661"/>
    <w:rsid w:val="00A967FD"/>
    <w:rsid w:val="00AA2D78"/>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02C0"/>
    <w:rsid w:val="00B4288C"/>
    <w:rsid w:val="00B43262"/>
    <w:rsid w:val="00B44100"/>
    <w:rsid w:val="00B46CBA"/>
    <w:rsid w:val="00B46F94"/>
    <w:rsid w:val="00B519CD"/>
    <w:rsid w:val="00B6003C"/>
    <w:rsid w:val="00B61F03"/>
    <w:rsid w:val="00B626E4"/>
    <w:rsid w:val="00B72F4A"/>
    <w:rsid w:val="00B76937"/>
    <w:rsid w:val="00B83C27"/>
    <w:rsid w:val="00B84BC3"/>
    <w:rsid w:val="00B84BDD"/>
    <w:rsid w:val="00B92812"/>
    <w:rsid w:val="00BA72CF"/>
    <w:rsid w:val="00BB45A1"/>
    <w:rsid w:val="00BB6335"/>
    <w:rsid w:val="00BB7686"/>
    <w:rsid w:val="00BB7802"/>
    <w:rsid w:val="00BC23F9"/>
    <w:rsid w:val="00BC3421"/>
    <w:rsid w:val="00BC732C"/>
    <w:rsid w:val="00BD4421"/>
    <w:rsid w:val="00BE2580"/>
    <w:rsid w:val="00BE266D"/>
    <w:rsid w:val="00BE3938"/>
    <w:rsid w:val="00BE4C11"/>
    <w:rsid w:val="00BE71C0"/>
    <w:rsid w:val="00BF2993"/>
    <w:rsid w:val="00BF610C"/>
    <w:rsid w:val="00C0060B"/>
    <w:rsid w:val="00C01A6C"/>
    <w:rsid w:val="00C0277D"/>
    <w:rsid w:val="00C02F26"/>
    <w:rsid w:val="00C053A1"/>
    <w:rsid w:val="00C1118C"/>
    <w:rsid w:val="00C16198"/>
    <w:rsid w:val="00C2083D"/>
    <w:rsid w:val="00C24A53"/>
    <w:rsid w:val="00C34A05"/>
    <w:rsid w:val="00C35CCE"/>
    <w:rsid w:val="00C4032F"/>
    <w:rsid w:val="00C41F21"/>
    <w:rsid w:val="00C44047"/>
    <w:rsid w:val="00C45155"/>
    <w:rsid w:val="00C5498F"/>
    <w:rsid w:val="00C55235"/>
    <w:rsid w:val="00C60A93"/>
    <w:rsid w:val="00C64CD0"/>
    <w:rsid w:val="00C65F61"/>
    <w:rsid w:val="00C6684F"/>
    <w:rsid w:val="00C70E70"/>
    <w:rsid w:val="00C75F8D"/>
    <w:rsid w:val="00C77380"/>
    <w:rsid w:val="00C80AEE"/>
    <w:rsid w:val="00C8208E"/>
    <w:rsid w:val="00C87E8A"/>
    <w:rsid w:val="00C913D6"/>
    <w:rsid w:val="00C97736"/>
    <w:rsid w:val="00CA345A"/>
    <w:rsid w:val="00CB1E82"/>
    <w:rsid w:val="00CB4BA8"/>
    <w:rsid w:val="00CB52D7"/>
    <w:rsid w:val="00CC3CB7"/>
    <w:rsid w:val="00CC6732"/>
    <w:rsid w:val="00CD0AEE"/>
    <w:rsid w:val="00CD1DBB"/>
    <w:rsid w:val="00CD6ACF"/>
    <w:rsid w:val="00CE296A"/>
    <w:rsid w:val="00CE3C96"/>
    <w:rsid w:val="00CE51A8"/>
    <w:rsid w:val="00CF06B7"/>
    <w:rsid w:val="00CF0BFE"/>
    <w:rsid w:val="00CF369B"/>
    <w:rsid w:val="00D00E28"/>
    <w:rsid w:val="00D0269E"/>
    <w:rsid w:val="00D05D6C"/>
    <w:rsid w:val="00D1496C"/>
    <w:rsid w:val="00D15810"/>
    <w:rsid w:val="00D16D4E"/>
    <w:rsid w:val="00D16FE3"/>
    <w:rsid w:val="00D27F41"/>
    <w:rsid w:val="00D36441"/>
    <w:rsid w:val="00D36A46"/>
    <w:rsid w:val="00D4064E"/>
    <w:rsid w:val="00D44E9B"/>
    <w:rsid w:val="00D47AEB"/>
    <w:rsid w:val="00D50DB9"/>
    <w:rsid w:val="00D51302"/>
    <w:rsid w:val="00D52C43"/>
    <w:rsid w:val="00D61243"/>
    <w:rsid w:val="00D6507F"/>
    <w:rsid w:val="00D730BC"/>
    <w:rsid w:val="00D73912"/>
    <w:rsid w:val="00D85226"/>
    <w:rsid w:val="00D87B94"/>
    <w:rsid w:val="00D92D49"/>
    <w:rsid w:val="00D92EC1"/>
    <w:rsid w:val="00D96DEA"/>
    <w:rsid w:val="00DA4E41"/>
    <w:rsid w:val="00DB117A"/>
    <w:rsid w:val="00DB5173"/>
    <w:rsid w:val="00DB7873"/>
    <w:rsid w:val="00DC187B"/>
    <w:rsid w:val="00DC5891"/>
    <w:rsid w:val="00DD1A43"/>
    <w:rsid w:val="00DD73C2"/>
    <w:rsid w:val="00DE319B"/>
    <w:rsid w:val="00DE5A8B"/>
    <w:rsid w:val="00DF34FE"/>
    <w:rsid w:val="00DF56AA"/>
    <w:rsid w:val="00DF56AF"/>
    <w:rsid w:val="00DF78E7"/>
    <w:rsid w:val="00E110E0"/>
    <w:rsid w:val="00E15371"/>
    <w:rsid w:val="00E21056"/>
    <w:rsid w:val="00E24104"/>
    <w:rsid w:val="00E302D0"/>
    <w:rsid w:val="00E35707"/>
    <w:rsid w:val="00E36AA1"/>
    <w:rsid w:val="00E41ECB"/>
    <w:rsid w:val="00E42676"/>
    <w:rsid w:val="00E54FDB"/>
    <w:rsid w:val="00E5617D"/>
    <w:rsid w:val="00E563D7"/>
    <w:rsid w:val="00E56FA5"/>
    <w:rsid w:val="00E663F4"/>
    <w:rsid w:val="00E666F2"/>
    <w:rsid w:val="00E66DD4"/>
    <w:rsid w:val="00E71872"/>
    <w:rsid w:val="00E748CC"/>
    <w:rsid w:val="00E75415"/>
    <w:rsid w:val="00E775B1"/>
    <w:rsid w:val="00E810A7"/>
    <w:rsid w:val="00E8152A"/>
    <w:rsid w:val="00E82FFB"/>
    <w:rsid w:val="00E93629"/>
    <w:rsid w:val="00E93B5C"/>
    <w:rsid w:val="00E94CEC"/>
    <w:rsid w:val="00EA04EF"/>
    <w:rsid w:val="00EA6C79"/>
    <w:rsid w:val="00EA6F19"/>
    <w:rsid w:val="00EB7090"/>
    <w:rsid w:val="00EC1BBE"/>
    <w:rsid w:val="00EC2B68"/>
    <w:rsid w:val="00EC3AEF"/>
    <w:rsid w:val="00EC5CD7"/>
    <w:rsid w:val="00EE5FB3"/>
    <w:rsid w:val="00EE7F79"/>
    <w:rsid w:val="00EF17E4"/>
    <w:rsid w:val="00EF715A"/>
    <w:rsid w:val="00F060E0"/>
    <w:rsid w:val="00F06E14"/>
    <w:rsid w:val="00F07876"/>
    <w:rsid w:val="00F14800"/>
    <w:rsid w:val="00F179D4"/>
    <w:rsid w:val="00F2242B"/>
    <w:rsid w:val="00F22A23"/>
    <w:rsid w:val="00F33C56"/>
    <w:rsid w:val="00F347C7"/>
    <w:rsid w:val="00F34848"/>
    <w:rsid w:val="00F42D46"/>
    <w:rsid w:val="00F4496C"/>
    <w:rsid w:val="00F44F3A"/>
    <w:rsid w:val="00F47A34"/>
    <w:rsid w:val="00F51F10"/>
    <w:rsid w:val="00F529A5"/>
    <w:rsid w:val="00F5310D"/>
    <w:rsid w:val="00F60F00"/>
    <w:rsid w:val="00F614C0"/>
    <w:rsid w:val="00F6769B"/>
    <w:rsid w:val="00F7424F"/>
    <w:rsid w:val="00F83848"/>
    <w:rsid w:val="00F9541D"/>
    <w:rsid w:val="00F975E9"/>
    <w:rsid w:val="00F97A7E"/>
    <w:rsid w:val="00FA0CA9"/>
    <w:rsid w:val="00FA0DE2"/>
    <w:rsid w:val="00FA1B7D"/>
    <w:rsid w:val="00FC07B9"/>
    <w:rsid w:val="00FC4108"/>
    <w:rsid w:val="00FC4E21"/>
    <w:rsid w:val="00FC5F6D"/>
    <w:rsid w:val="00FD0107"/>
    <w:rsid w:val="00FD1E3C"/>
    <w:rsid w:val="00FD2C2F"/>
    <w:rsid w:val="00FD3B31"/>
    <w:rsid w:val="00FE1823"/>
    <w:rsid w:val="00FE487A"/>
    <w:rsid w:val="00FF0569"/>
    <w:rsid w:val="00FF206E"/>
    <w:rsid w:val="00FF3C69"/>
    <w:rsid w:val="00FF6E0A"/>
    <w:rsid w:val="1CD3D78E"/>
    <w:rsid w:val="47548C57"/>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colormru v:ext="edit" colors="red,#4d4d4f"/>
    </o:shapedefaults>
    <o:shapelayout v:ext="edit">
      <o:idmap v:ext="edit" data="1"/>
    </o:shapelayout>
  </w:shapeDefaults>
  <w:decimalSymbol w:val="."/>
  <w:listSeparator w:val=","/>
  <w14:docId w14:val="60A43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
    <w:basedOn w:val="DefaultParagraphFont"/>
    <w:uiPriority w:val="99"/>
    <w:rsid w:val="00566AB4"/>
    <w:rPr>
      <w:rFonts w:ascii="Arial" w:hAnsi="Arial"/>
      <w:vertAlign w:val="superscript"/>
    </w:rPr>
  </w:style>
  <w:style w:type="paragraph" w:styleId="FootnoteText">
    <w:name w:val="footnote text"/>
    <w:aliases w:val="Footnote text,ACMA Footnote Text,Footnote Text Char Char,ACMA Footnote Text Char Char,ACMA Footnote Text Char1,ABA Footnote Text"/>
    <w:basedOn w:val="Normal"/>
    <w:link w:val="FootnoteTextChar"/>
    <w:uiPriority w:val="99"/>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customStyle="1" w:styleId="ACMASpaceaftertable">
    <w:name w:val="ACMA_Space after table"/>
    <w:basedOn w:val="Normal"/>
    <w:qFormat/>
    <w:rsid w:val="00F9541D"/>
    <w:rPr>
      <w:rFonts w:cs="Arial"/>
    </w:rPr>
  </w:style>
  <w:style w:type="character" w:customStyle="1" w:styleId="FootnoteTextChar">
    <w:name w:val="Footnote Text Char"/>
    <w:aliases w:val="Footnote text Char,ACMA Footnote Text Char,Footnote Text Char Char Char,ACMA Footnote Text Char Char Char,ACMA Footnote Text Char1 Char,ABA Footnote Text Char"/>
    <w:basedOn w:val="DefaultParagraphFont"/>
    <w:link w:val="FootnoteText"/>
    <w:uiPriority w:val="99"/>
    <w:rsid w:val="00F9541D"/>
    <w:rPr>
      <w:rFonts w:ascii="Arial" w:hAnsi="Arial"/>
      <w:sz w:val="16"/>
      <w:szCs w:val="16"/>
    </w:rPr>
  </w:style>
  <w:style w:type="paragraph" w:customStyle="1" w:styleId="ACMANumberedList">
    <w:name w:val="ACMA Numbered List"/>
    <w:rsid w:val="00F9541D"/>
    <w:pPr>
      <w:numPr>
        <w:numId w:val="18"/>
      </w:numPr>
      <w:spacing w:before="20" w:after="20"/>
    </w:pPr>
    <w:rPr>
      <w:szCs w:val="20"/>
      <w:lang w:eastAsia="en-US"/>
    </w:rPr>
  </w:style>
  <w:style w:type="table" w:styleId="GridTable4">
    <w:name w:val="Grid Table 4"/>
    <w:basedOn w:val="TableNormal"/>
    <w:uiPriority w:val="49"/>
    <w:rsid w:val="00F9541D"/>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Revision">
    <w:name w:val="Revision"/>
    <w:hidden/>
    <w:semiHidden/>
    <w:rsid w:val="004C78CA"/>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have-your-say"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privacy-polic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Latest/F2017L01573"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ublication-submissions"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mailto:BCP@acma.gov.au" TargetMode="External"/><Relationship Id="rId30" Type="http://schemas.openxmlformats.org/officeDocument/2006/relationships/header" Target="header7.xm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281C22-1AB5-44A9-A8C1-5B9AC68120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3143</Words>
  <Characters>17919</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21020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2020-06-29T01:34:00Z</dcterms:created>
  <dcterms:modified xsi:type="dcterms:W3CDTF">2020-06-29T01:34:00Z</dcterms:modified>
  <cp:category/>
</cp:coreProperties>
</file>