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4D3443" w14:textId="58AD1F6B" w:rsidR="00F06E14" w:rsidRPr="00A51D1A" w:rsidRDefault="00830E78" w:rsidP="00A51D1A">
      <w:pPr>
        <w:pStyle w:val="ACMAReportTitle"/>
      </w:pPr>
      <w:r>
        <w:t xml:space="preserve">Review of </w:t>
      </w:r>
      <w:r w:rsidR="00A601F5">
        <w:t xml:space="preserve">radiocommunications </w:t>
      </w:r>
      <w:r>
        <w:t>prohibitions and exemptions framewo</w:t>
      </w:r>
      <w:r w:rsidR="007F758E">
        <w:t>r</w:t>
      </w:r>
      <w:r>
        <w:t>k</w:t>
      </w:r>
    </w:p>
    <w:p w14:paraId="2FDAD1B2" w14:textId="1BDB78E8" w:rsidR="00F06E14" w:rsidRDefault="00205A3A" w:rsidP="00F06E14">
      <w:pPr>
        <w:pStyle w:val="ACMAReportSubTitle"/>
      </w:pPr>
      <w:r>
        <w:t xml:space="preserve">Consultation </w:t>
      </w:r>
      <w:r w:rsidR="00830E78">
        <w:t>paper</w:t>
      </w:r>
      <w:r w:rsidR="006043C7">
        <w:t xml:space="preserve"> </w:t>
      </w:r>
    </w:p>
    <w:p w14:paraId="298DACEC" w14:textId="6AC37F31" w:rsidR="00C97736" w:rsidRPr="000D76E0" w:rsidRDefault="002135B7" w:rsidP="003F1BED">
      <w:pPr>
        <w:pStyle w:val="ACMAReportDate"/>
        <w:spacing w:after="720"/>
        <w:rPr>
          <w:rFonts w:cs="Arial"/>
          <w:caps w:val="0"/>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r>
        <w:t>May</w:t>
      </w:r>
      <w:r w:rsidR="00F503D4">
        <w:t xml:space="preserve"> 2020</w:t>
      </w:r>
    </w:p>
    <w:p w14:paraId="3B2FA663" w14:textId="77777777" w:rsidR="0005011A" w:rsidRPr="00F44F3A" w:rsidRDefault="0005011A" w:rsidP="00FC07B9">
      <w:pPr>
        <w:pStyle w:val="ACMACorporateAddressHeader"/>
      </w:pPr>
      <w:r w:rsidRPr="00F44F3A">
        <w:lastRenderedPageBreak/>
        <w:t>Canberra</w:t>
      </w:r>
    </w:p>
    <w:p w14:paraId="2E0EF6D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F20458A" w14:textId="77777777" w:rsidR="0005011A" w:rsidRPr="00FC07B9" w:rsidRDefault="0005011A" w:rsidP="00FC07B9">
      <w:pPr>
        <w:pStyle w:val="ACMACorporateAddresses"/>
      </w:pPr>
      <w:r w:rsidRPr="00FC07B9">
        <w:t>PO Box 78</w:t>
      </w:r>
      <w:r w:rsidRPr="00FC07B9">
        <w:br/>
        <w:t>Belconnen ACT 2616</w:t>
      </w:r>
    </w:p>
    <w:p w14:paraId="641871C8"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8D1FDC5" w14:textId="77777777" w:rsidR="0005011A" w:rsidRPr="00F44F3A" w:rsidRDefault="0005011A" w:rsidP="00FC07B9">
      <w:pPr>
        <w:pStyle w:val="ACMACorporateAddressHeader"/>
      </w:pPr>
      <w:r w:rsidRPr="00F44F3A">
        <w:t>Melbourne</w:t>
      </w:r>
    </w:p>
    <w:p w14:paraId="4B012890"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67DE66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6FD630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1CBBF74" w14:textId="77777777" w:rsidR="0005011A" w:rsidRPr="00F44F3A" w:rsidRDefault="0005011A" w:rsidP="00FC07B9">
      <w:pPr>
        <w:pStyle w:val="ACMACorporateAddressHeader"/>
      </w:pPr>
      <w:r w:rsidRPr="00F44F3A">
        <w:t>Sydney</w:t>
      </w:r>
    </w:p>
    <w:p w14:paraId="607CB7C7"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BA34A0D"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25C98C2"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55D219F" w14:textId="77777777" w:rsidR="00140318" w:rsidRPr="006D46E5" w:rsidRDefault="00140318" w:rsidP="00FC07B9">
      <w:pPr>
        <w:pStyle w:val="ACMACopyrightHeader"/>
      </w:pPr>
      <w:r w:rsidRPr="00140318">
        <w:t>Copyright notice</w:t>
      </w:r>
    </w:p>
    <w:p w14:paraId="00DF8DC2" w14:textId="77777777" w:rsidR="00140318" w:rsidRPr="006D46E5" w:rsidRDefault="00623FF9" w:rsidP="00623FF9">
      <w:pPr>
        <w:pStyle w:val="ACMACClogo"/>
      </w:pPr>
      <w:r>
        <w:rPr>
          <w:noProof/>
        </w:rPr>
        <w:drawing>
          <wp:inline distT="0" distB="0" distL="0" distR="0" wp14:anchorId="6FB1937F" wp14:editId="255B6422">
            <wp:extent cx="838200" cy="295275"/>
            <wp:effectExtent l="0" t="0" r="0" b="0"/>
            <wp:docPr id="473264598"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1B4DF969" w14:textId="77777777" w:rsidR="00AA2DE5" w:rsidRDefault="00272F06" w:rsidP="00AA2DE5">
      <w:pPr>
        <w:pStyle w:val="ACMACorporateAddresses"/>
        <w:rPr>
          <w:rStyle w:val="Hyperlink"/>
        </w:rPr>
      </w:pPr>
      <w:hyperlink r:id="rId13" w:history="1">
        <w:r w:rsidR="00AA2DE5">
          <w:rPr>
            <w:rStyle w:val="Hyperlink"/>
          </w:rPr>
          <w:t>https://creativecommons.org/licenses/by/4.0/</w:t>
        </w:r>
      </w:hyperlink>
    </w:p>
    <w:p w14:paraId="1965F1E3"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6FD4E0B" w14:textId="689AEE9B" w:rsidR="00AA2DE5" w:rsidRDefault="00AA2DE5" w:rsidP="00AA2DE5">
      <w:pPr>
        <w:pStyle w:val="ACMACorporateAddresses"/>
      </w:pPr>
      <w:r>
        <w:t>We request attribution as © Commonwealth of Australia (Australian Communications and Media Authority) 20</w:t>
      </w:r>
      <w:r w:rsidR="002B4FE8">
        <w:t>20</w:t>
      </w:r>
      <w:r>
        <w:t>.</w:t>
      </w:r>
    </w:p>
    <w:p w14:paraId="6EA7E382" w14:textId="77777777" w:rsidR="00AA2DE5" w:rsidRDefault="00AA2DE5" w:rsidP="00AA2DE5">
      <w:pPr>
        <w:pStyle w:val="ACMACorporateAddresses"/>
      </w:pPr>
      <w:r>
        <w:t>All other rights are reserved.</w:t>
      </w:r>
    </w:p>
    <w:p w14:paraId="39CFDCDA"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6585CF3" w14:textId="77777777" w:rsidR="00AA2DE5" w:rsidRDefault="00AA2DE5" w:rsidP="00AA2DE5">
      <w:pPr>
        <w:pStyle w:val="ACMACorporateAddresses"/>
      </w:pPr>
      <w:r>
        <w:t>Written enquiries may be sent to:</w:t>
      </w:r>
    </w:p>
    <w:p w14:paraId="36F2DA9A"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1DB91765" w14:textId="77777777" w:rsidR="00D16FE3" w:rsidRDefault="00D16FE3" w:rsidP="00D16FE3">
      <w:pPr>
        <w:pStyle w:val="ACMACorporateAddresses"/>
        <w:rPr>
          <w:rStyle w:val="Hyperlink"/>
        </w:rPr>
      </w:pPr>
    </w:p>
    <w:p w14:paraId="60C3422D"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58FC52E9" w14:textId="6DDECA8B" w:rsidR="006A7F85"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6A7F85">
        <w:t>Executive summary</w:t>
      </w:r>
      <w:r w:rsidR="006A7F85">
        <w:tab/>
      </w:r>
      <w:r w:rsidR="006A7F85">
        <w:fldChar w:fldCharType="begin"/>
      </w:r>
      <w:r w:rsidR="006A7F85">
        <w:instrText xml:space="preserve"> PAGEREF _Toc39570961 \h </w:instrText>
      </w:r>
      <w:r w:rsidR="006A7F85">
        <w:fldChar w:fldCharType="separate"/>
      </w:r>
      <w:r w:rsidR="006A7F85">
        <w:t>1</w:t>
      </w:r>
      <w:r w:rsidR="006A7F85">
        <w:fldChar w:fldCharType="end"/>
      </w:r>
    </w:p>
    <w:p w14:paraId="630593BA" w14:textId="12E61D92" w:rsidR="006A7F85" w:rsidRDefault="006A7F85">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_Toc39570962 \h </w:instrText>
      </w:r>
      <w:r>
        <w:fldChar w:fldCharType="separate"/>
      </w:r>
      <w:r>
        <w:t>3</w:t>
      </w:r>
      <w:r>
        <w:fldChar w:fldCharType="end"/>
      </w:r>
    </w:p>
    <w:p w14:paraId="680133AA" w14:textId="14120CE6" w:rsidR="006A7F85" w:rsidRDefault="006A7F85">
      <w:pPr>
        <w:pStyle w:val="TOC1"/>
        <w:rPr>
          <w:rFonts w:asciiTheme="minorHAnsi" w:eastAsiaTheme="minorEastAsia" w:hAnsiTheme="minorHAnsi" w:cstheme="minorBidi"/>
          <w:b w:val="0"/>
          <w:spacing w:val="0"/>
          <w:sz w:val="22"/>
          <w:szCs w:val="22"/>
        </w:rPr>
      </w:pPr>
      <w:r>
        <w:t>Context for review</w:t>
      </w:r>
      <w:r>
        <w:tab/>
      </w:r>
      <w:r>
        <w:fldChar w:fldCharType="begin"/>
      </w:r>
      <w:r>
        <w:instrText xml:space="preserve"> PAGEREF _Toc39570963 \h </w:instrText>
      </w:r>
      <w:r>
        <w:fldChar w:fldCharType="separate"/>
      </w:r>
      <w:r>
        <w:t>4</w:t>
      </w:r>
      <w:r>
        <w:fldChar w:fldCharType="end"/>
      </w:r>
    </w:p>
    <w:p w14:paraId="1127EC95" w14:textId="232F5BE1" w:rsidR="006A7F85" w:rsidRDefault="006A7F85">
      <w:pPr>
        <w:pStyle w:val="TOC2"/>
        <w:rPr>
          <w:rFonts w:asciiTheme="minorHAnsi" w:eastAsiaTheme="minorEastAsia" w:hAnsiTheme="minorHAnsi" w:cstheme="minorBidi"/>
          <w:spacing w:val="0"/>
          <w:sz w:val="22"/>
          <w:szCs w:val="22"/>
        </w:rPr>
      </w:pPr>
      <w:r>
        <w:t>Regulatory context</w:t>
      </w:r>
      <w:r>
        <w:tab/>
      </w:r>
      <w:r>
        <w:fldChar w:fldCharType="begin"/>
      </w:r>
      <w:r>
        <w:instrText xml:space="preserve"> PAGEREF _Toc39570964 \h </w:instrText>
      </w:r>
      <w:r>
        <w:fldChar w:fldCharType="separate"/>
      </w:r>
      <w:r>
        <w:t>4</w:t>
      </w:r>
      <w:r>
        <w:fldChar w:fldCharType="end"/>
      </w:r>
    </w:p>
    <w:p w14:paraId="43ABD237" w14:textId="642068B0" w:rsidR="006A7F85" w:rsidRDefault="006A7F85">
      <w:pPr>
        <w:pStyle w:val="TOC2"/>
        <w:rPr>
          <w:rFonts w:asciiTheme="minorHAnsi" w:eastAsiaTheme="minorEastAsia" w:hAnsiTheme="minorHAnsi" w:cstheme="minorBidi"/>
          <w:spacing w:val="0"/>
          <w:sz w:val="22"/>
          <w:szCs w:val="22"/>
        </w:rPr>
      </w:pPr>
      <w:r>
        <w:t>Impetus for review</w:t>
      </w:r>
      <w:r>
        <w:tab/>
      </w:r>
      <w:r>
        <w:fldChar w:fldCharType="begin"/>
      </w:r>
      <w:r>
        <w:instrText xml:space="preserve"> PAGEREF _Toc39570965 \h </w:instrText>
      </w:r>
      <w:r>
        <w:fldChar w:fldCharType="separate"/>
      </w:r>
      <w:r>
        <w:t>5</w:t>
      </w:r>
      <w:r>
        <w:fldChar w:fldCharType="end"/>
      </w:r>
    </w:p>
    <w:p w14:paraId="31AC69C3" w14:textId="3E2421A8" w:rsidR="006A7F85" w:rsidRDefault="006A7F85">
      <w:pPr>
        <w:pStyle w:val="TOC3"/>
        <w:rPr>
          <w:rFonts w:asciiTheme="minorHAnsi" w:eastAsiaTheme="minorEastAsia" w:hAnsiTheme="minorHAnsi" w:cstheme="minorBidi"/>
        </w:rPr>
      </w:pPr>
      <w:r>
        <w:t>Changes in technology and industry environment</w:t>
      </w:r>
      <w:r>
        <w:tab/>
      </w:r>
      <w:r>
        <w:fldChar w:fldCharType="begin"/>
      </w:r>
      <w:r>
        <w:instrText xml:space="preserve"> PAGEREF _Toc39570966 \h </w:instrText>
      </w:r>
      <w:r>
        <w:fldChar w:fldCharType="separate"/>
      </w:r>
      <w:r>
        <w:t>5</w:t>
      </w:r>
      <w:r>
        <w:fldChar w:fldCharType="end"/>
      </w:r>
    </w:p>
    <w:p w14:paraId="3E623941" w14:textId="66E95F44" w:rsidR="006A7F85" w:rsidRDefault="006A7F85">
      <w:pPr>
        <w:pStyle w:val="TOC3"/>
        <w:rPr>
          <w:rFonts w:asciiTheme="minorHAnsi" w:eastAsiaTheme="minorEastAsia" w:hAnsiTheme="minorHAnsi" w:cstheme="minorBidi"/>
        </w:rPr>
      </w:pPr>
      <w:r>
        <w:t>Overinclusivity and underinclusivity</w:t>
      </w:r>
      <w:r>
        <w:tab/>
      </w:r>
      <w:r>
        <w:fldChar w:fldCharType="begin"/>
      </w:r>
      <w:r>
        <w:instrText xml:space="preserve"> PAGEREF _Toc39570967 \h </w:instrText>
      </w:r>
      <w:r>
        <w:fldChar w:fldCharType="separate"/>
      </w:r>
      <w:r>
        <w:t>5</w:t>
      </w:r>
      <w:r>
        <w:fldChar w:fldCharType="end"/>
      </w:r>
    </w:p>
    <w:p w14:paraId="593B3D2A" w14:textId="7D774386" w:rsidR="006A7F85" w:rsidRDefault="006A7F85">
      <w:pPr>
        <w:pStyle w:val="TOC3"/>
        <w:rPr>
          <w:rFonts w:asciiTheme="minorHAnsi" w:eastAsiaTheme="minorEastAsia" w:hAnsiTheme="minorHAnsi" w:cstheme="minorBidi"/>
        </w:rPr>
      </w:pPr>
      <w:r>
        <w:t>Sunsetting instruments</w:t>
      </w:r>
      <w:r>
        <w:tab/>
      </w:r>
      <w:r>
        <w:fldChar w:fldCharType="begin"/>
      </w:r>
      <w:r>
        <w:instrText xml:space="preserve"> PAGEREF _Toc39570968 \h </w:instrText>
      </w:r>
      <w:r>
        <w:fldChar w:fldCharType="separate"/>
      </w:r>
      <w:r>
        <w:t>6</w:t>
      </w:r>
      <w:r>
        <w:fldChar w:fldCharType="end"/>
      </w:r>
    </w:p>
    <w:p w14:paraId="50A66A32" w14:textId="7046A9B8" w:rsidR="006A7F85" w:rsidRDefault="006A7F85">
      <w:pPr>
        <w:pStyle w:val="TOC1"/>
        <w:rPr>
          <w:rFonts w:asciiTheme="minorHAnsi" w:eastAsiaTheme="minorEastAsia" w:hAnsiTheme="minorHAnsi" w:cstheme="minorBidi"/>
          <w:b w:val="0"/>
          <w:spacing w:val="0"/>
          <w:sz w:val="22"/>
          <w:szCs w:val="22"/>
        </w:rPr>
      </w:pPr>
      <w:r>
        <w:t>Prohibition regime</w:t>
      </w:r>
      <w:r>
        <w:tab/>
      </w:r>
      <w:r>
        <w:fldChar w:fldCharType="begin"/>
      </w:r>
      <w:r>
        <w:instrText xml:space="preserve"> PAGEREF _Toc39570969 \h </w:instrText>
      </w:r>
      <w:r>
        <w:fldChar w:fldCharType="separate"/>
      </w:r>
      <w:r>
        <w:t>8</w:t>
      </w:r>
      <w:r>
        <w:fldChar w:fldCharType="end"/>
      </w:r>
    </w:p>
    <w:p w14:paraId="1B44D642" w14:textId="7AA095CA" w:rsidR="006A7F85" w:rsidRDefault="006A7F85">
      <w:pPr>
        <w:pStyle w:val="TOC2"/>
        <w:rPr>
          <w:rFonts w:asciiTheme="minorHAnsi" w:eastAsiaTheme="minorEastAsia" w:hAnsiTheme="minorHAnsi" w:cstheme="minorBidi"/>
          <w:spacing w:val="0"/>
          <w:sz w:val="22"/>
          <w:szCs w:val="22"/>
        </w:rPr>
      </w:pPr>
      <w:r>
        <w:t>Legislative framework</w:t>
      </w:r>
      <w:r>
        <w:tab/>
      </w:r>
      <w:r>
        <w:fldChar w:fldCharType="begin"/>
      </w:r>
      <w:r>
        <w:instrText xml:space="preserve"> PAGEREF _Toc39570970 \h </w:instrText>
      </w:r>
      <w:r>
        <w:fldChar w:fldCharType="separate"/>
      </w:r>
      <w:r>
        <w:t>8</w:t>
      </w:r>
      <w:r>
        <w:fldChar w:fldCharType="end"/>
      </w:r>
    </w:p>
    <w:p w14:paraId="3ADC7081" w14:textId="1CFFCC74" w:rsidR="006A7F85" w:rsidRDefault="006A7F85">
      <w:pPr>
        <w:pStyle w:val="TOC2"/>
        <w:rPr>
          <w:rFonts w:asciiTheme="minorHAnsi" w:eastAsiaTheme="minorEastAsia" w:hAnsiTheme="minorHAnsi" w:cstheme="minorBidi"/>
          <w:spacing w:val="0"/>
          <w:sz w:val="22"/>
          <w:szCs w:val="22"/>
        </w:rPr>
      </w:pPr>
      <w:r>
        <w:t>Issues</w:t>
      </w:r>
      <w:r>
        <w:tab/>
      </w:r>
      <w:r>
        <w:tab/>
      </w:r>
      <w:r>
        <w:fldChar w:fldCharType="begin"/>
      </w:r>
      <w:r>
        <w:instrText xml:space="preserve"> PAGEREF _Toc39570971 \h </w:instrText>
      </w:r>
      <w:r>
        <w:fldChar w:fldCharType="separate"/>
      </w:r>
      <w:r>
        <w:t>8</w:t>
      </w:r>
      <w:r>
        <w:fldChar w:fldCharType="end"/>
      </w:r>
    </w:p>
    <w:p w14:paraId="35D4C620" w14:textId="3F26A061" w:rsidR="006A7F85" w:rsidRDefault="006A7F85">
      <w:pPr>
        <w:pStyle w:val="TOC3"/>
        <w:rPr>
          <w:rFonts w:asciiTheme="minorHAnsi" w:eastAsiaTheme="minorEastAsia" w:hAnsiTheme="minorHAnsi" w:cstheme="minorBidi"/>
        </w:rPr>
      </w:pPr>
      <w:r>
        <w:t>Black letter law</w:t>
      </w:r>
      <w:r>
        <w:tab/>
      </w:r>
      <w:r>
        <w:fldChar w:fldCharType="begin"/>
      </w:r>
      <w:r>
        <w:instrText xml:space="preserve"> PAGEREF _Toc39570972 \h </w:instrText>
      </w:r>
      <w:r>
        <w:fldChar w:fldCharType="separate"/>
      </w:r>
      <w:r>
        <w:t>8</w:t>
      </w:r>
      <w:r>
        <w:fldChar w:fldCharType="end"/>
      </w:r>
    </w:p>
    <w:p w14:paraId="3EC19B7B" w14:textId="14824BDD" w:rsidR="006A7F85" w:rsidRDefault="006A7F85">
      <w:pPr>
        <w:pStyle w:val="TOC3"/>
        <w:rPr>
          <w:rFonts w:asciiTheme="minorHAnsi" w:eastAsiaTheme="minorEastAsia" w:hAnsiTheme="minorHAnsi" w:cstheme="minorBidi"/>
        </w:rPr>
      </w:pPr>
      <w:r>
        <w:t>Underinclusivity</w:t>
      </w:r>
      <w:r>
        <w:tab/>
      </w:r>
      <w:r>
        <w:fldChar w:fldCharType="begin"/>
      </w:r>
      <w:r>
        <w:instrText xml:space="preserve"> PAGEREF _Toc39570973 \h </w:instrText>
      </w:r>
      <w:r>
        <w:fldChar w:fldCharType="separate"/>
      </w:r>
      <w:r>
        <w:t>9</w:t>
      </w:r>
      <w:r>
        <w:fldChar w:fldCharType="end"/>
      </w:r>
    </w:p>
    <w:p w14:paraId="2476A011" w14:textId="36B24B3B" w:rsidR="006A7F85" w:rsidRDefault="006A7F85">
      <w:pPr>
        <w:pStyle w:val="TOC3"/>
        <w:rPr>
          <w:rFonts w:asciiTheme="minorHAnsi" w:eastAsiaTheme="minorEastAsia" w:hAnsiTheme="minorHAnsi" w:cstheme="minorBidi"/>
        </w:rPr>
      </w:pPr>
      <w:r>
        <w:t>Overinclusivity</w:t>
      </w:r>
      <w:r>
        <w:tab/>
      </w:r>
      <w:r>
        <w:fldChar w:fldCharType="begin"/>
      </w:r>
      <w:r>
        <w:instrText xml:space="preserve"> PAGEREF _Toc39570974 \h </w:instrText>
      </w:r>
      <w:r>
        <w:fldChar w:fldCharType="separate"/>
      </w:r>
      <w:r>
        <w:t>10</w:t>
      </w:r>
      <w:r>
        <w:fldChar w:fldCharType="end"/>
      </w:r>
    </w:p>
    <w:p w14:paraId="75E7729B" w14:textId="1D69DC1D" w:rsidR="006A7F85" w:rsidRDefault="006A7F85">
      <w:pPr>
        <w:pStyle w:val="TOC3"/>
        <w:rPr>
          <w:rFonts w:asciiTheme="minorHAnsi" w:eastAsiaTheme="minorEastAsia" w:hAnsiTheme="minorHAnsi" w:cstheme="minorBidi"/>
        </w:rPr>
      </w:pPr>
      <w:r>
        <w:t>Facilitating meritorious or low-risk devices and applications</w:t>
      </w:r>
      <w:r>
        <w:tab/>
      </w:r>
      <w:r>
        <w:fldChar w:fldCharType="begin"/>
      </w:r>
      <w:r>
        <w:instrText xml:space="preserve"> PAGEREF _Toc39570975 \h </w:instrText>
      </w:r>
      <w:r>
        <w:fldChar w:fldCharType="separate"/>
      </w:r>
      <w:r>
        <w:t>12</w:t>
      </w:r>
      <w:r>
        <w:fldChar w:fldCharType="end"/>
      </w:r>
    </w:p>
    <w:p w14:paraId="4B249A9F" w14:textId="1AE48408" w:rsidR="006A7F85" w:rsidRDefault="006A7F85">
      <w:pPr>
        <w:pStyle w:val="TOC2"/>
        <w:rPr>
          <w:rFonts w:asciiTheme="minorHAnsi" w:eastAsiaTheme="minorEastAsia" w:hAnsiTheme="minorHAnsi" w:cstheme="minorBidi"/>
          <w:spacing w:val="0"/>
          <w:sz w:val="22"/>
          <w:szCs w:val="22"/>
        </w:rPr>
      </w:pPr>
      <w:r>
        <w:t>Looking ahead</w:t>
      </w:r>
      <w:r>
        <w:tab/>
      </w:r>
      <w:r>
        <w:fldChar w:fldCharType="begin"/>
      </w:r>
      <w:r>
        <w:instrText xml:space="preserve"> PAGEREF _Toc39570976 \h </w:instrText>
      </w:r>
      <w:r>
        <w:fldChar w:fldCharType="separate"/>
      </w:r>
      <w:r>
        <w:t>12</w:t>
      </w:r>
      <w:r>
        <w:fldChar w:fldCharType="end"/>
      </w:r>
    </w:p>
    <w:p w14:paraId="564C9868" w14:textId="2A21A70A" w:rsidR="006A7F85" w:rsidRDefault="006A7F85">
      <w:pPr>
        <w:pStyle w:val="TOC1"/>
        <w:rPr>
          <w:rFonts w:asciiTheme="minorHAnsi" w:eastAsiaTheme="minorEastAsia" w:hAnsiTheme="minorHAnsi" w:cstheme="minorBidi"/>
          <w:b w:val="0"/>
          <w:spacing w:val="0"/>
          <w:sz w:val="22"/>
          <w:szCs w:val="22"/>
        </w:rPr>
      </w:pPr>
      <w:r>
        <w:t>Exemption regime</w:t>
      </w:r>
      <w:r>
        <w:tab/>
      </w:r>
      <w:r>
        <w:fldChar w:fldCharType="begin"/>
      </w:r>
      <w:r>
        <w:instrText xml:space="preserve"> PAGEREF _Toc39570977 \h </w:instrText>
      </w:r>
      <w:r>
        <w:fldChar w:fldCharType="separate"/>
      </w:r>
      <w:r>
        <w:t>13</w:t>
      </w:r>
      <w:r>
        <w:fldChar w:fldCharType="end"/>
      </w:r>
    </w:p>
    <w:p w14:paraId="537FB508" w14:textId="739695D5" w:rsidR="006A7F85" w:rsidRDefault="006A7F85">
      <w:pPr>
        <w:pStyle w:val="TOC2"/>
        <w:rPr>
          <w:rFonts w:asciiTheme="minorHAnsi" w:eastAsiaTheme="minorEastAsia" w:hAnsiTheme="minorHAnsi" w:cstheme="minorBidi"/>
          <w:spacing w:val="0"/>
          <w:sz w:val="22"/>
          <w:szCs w:val="22"/>
        </w:rPr>
      </w:pPr>
      <w:r>
        <w:t>Legislative framework</w:t>
      </w:r>
      <w:r>
        <w:tab/>
      </w:r>
      <w:r>
        <w:fldChar w:fldCharType="begin"/>
      </w:r>
      <w:r>
        <w:instrText xml:space="preserve"> PAGEREF _Toc39570978 \h </w:instrText>
      </w:r>
      <w:r>
        <w:fldChar w:fldCharType="separate"/>
      </w:r>
      <w:r>
        <w:t>13</w:t>
      </w:r>
      <w:r>
        <w:fldChar w:fldCharType="end"/>
      </w:r>
    </w:p>
    <w:p w14:paraId="6550D948" w14:textId="1D925E77" w:rsidR="006A7F85" w:rsidRDefault="006A7F85">
      <w:pPr>
        <w:pStyle w:val="TOC2"/>
        <w:rPr>
          <w:rFonts w:asciiTheme="minorHAnsi" w:eastAsiaTheme="minorEastAsia" w:hAnsiTheme="minorHAnsi" w:cstheme="minorBidi"/>
          <w:spacing w:val="0"/>
          <w:sz w:val="22"/>
          <w:szCs w:val="22"/>
        </w:rPr>
      </w:pPr>
      <w:r>
        <w:t>Consideration and consultation</w:t>
      </w:r>
      <w:r>
        <w:tab/>
      </w:r>
      <w:r>
        <w:fldChar w:fldCharType="begin"/>
      </w:r>
      <w:r>
        <w:instrText xml:space="preserve"> PAGEREF _Toc39570979 \h </w:instrText>
      </w:r>
      <w:r>
        <w:fldChar w:fldCharType="separate"/>
      </w:r>
      <w:r>
        <w:t>14</w:t>
      </w:r>
      <w:r>
        <w:fldChar w:fldCharType="end"/>
      </w:r>
    </w:p>
    <w:p w14:paraId="69AC9624" w14:textId="4E909DBA" w:rsidR="006A7F85" w:rsidRDefault="006A7F85">
      <w:pPr>
        <w:pStyle w:val="TOC2"/>
        <w:rPr>
          <w:rFonts w:asciiTheme="minorHAnsi" w:eastAsiaTheme="minorEastAsia" w:hAnsiTheme="minorHAnsi" w:cstheme="minorBidi"/>
          <w:spacing w:val="0"/>
          <w:sz w:val="22"/>
          <w:szCs w:val="22"/>
        </w:rPr>
      </w:pPr>
      <w:r>
        <w:t>Issues</w:t>
      </w:r>
      <w:r>
        <w:tab/>
      </w:r>
      <w:r>
        <w:tab/>
      </w:r>
      <w:r>
        <w:fldChar w:fldCharType="begin"/>
      </w:r>
      <w:r>
        <w:instrText xml:space="preserve"> PAGEREF _Toc39570980 \h </w:instrText>
      </w:r>
      <w:r>
        <w:fldChar w:fldCharType="separate"/>
      </w:r>
      <w:r>
        <w:t>14</w:t>
      </w:r>
      <w:r>
        <w:fldChar w:fldCharType="end"/>
      </w:r>
    </w:p>
    <w:p w14:paraId="1D08CE01" w14:textId="06EF20C2" w:rsidR="006A7F85" w:rsidRDefault="006A7F85">
      <w:pPr>
        <w:pStyle w:val="TOC3"/>
        <w:rPr>
          <w:rFonts w:asciiTheme="minorHAnsi" w:eastAsiaTheme="minorEastAsia" w:hAnsiTheme="minorHAnsi" w:cstheme="minorBidi"/>
        </w:rPr>
      </w:pPr>
      <w:r>
        <w:t>Transparency, process and policy considerations</w:t>
      </w:r>
      <w:r>
        <w:tab/>
      </w:r>
      <w:r>
        <w:fldChar w:fldCharType="begin"/>
      </w:r>
      <w:r>
        <w:instrText xml:space="preserve"> PAGEREF _Toc39570981 \h </w:instrText>
      </w:r>
      <w:r>
        <w:fldChar w:fldCharType="separate"/>
      </w:r>
      <w:r>
        <w:t>14</w:t>
      </w:r>
      <w:r>
        <w:fldChar w:fldCharType="end"/>
      </w:r>
    </w:p>
    <w:p w14:paraId="75D3B78E" w14:textId="1A821BBF" w:rsidR="006A7F85" w:rsidRDefault="006A7F85">
      <w:pPr>
        <w:pStyle w:val="TOC3"/>
        <w:rPr>
          <w:rFonts w:asciiTheme="minorHAnsi" w:eastAsiaTheme="minorEastAsia" w:hAnsiTheme="minorHAnsi" w:cstheme="minorBidi"/>
        </w:rPr>
      </w:pPr>
      <w:r>
        <w:t>Scope of exemption determinations</w:t>
      </w:r>
      <w:r>
        <w:tab/>
      </w:r>
      <w:r>
        <w:fldChar w:fldCharType="begin"/>
      </w:r>
      <w:r>
        <w:instrText xml:space="preserve"> PAGEREF _Toc39570982 \h </w:instrText>
      </w:r>
      <w:r>
        <w:fldChar w:fldCharType="separate"/>
      </w:r>
      <w:r>
        <w:t>15</w:t>
      </w:r>
      <w:r>
        <w:fldChar w:fldCharType="end"/>
      </w:r>
    </w:p>
    <w:p w14:paraId="5635AF75" w14:textId="241496D6" w:rsidR="006A7F85" w:rsidRDefault="006A7F85">
      <w:pPr>
        <w:pStyle w:val="TOC3"/>
        <w:rPr>
          <w:rFonts w:asciiTheme="minorHAnsi" w:eastAsiaTheme="minorEastAsia" w:hAnsiTheme="minorHAnsi" w:cstheme="minorBidi"/>
        </w:rPr>
      </w:pPr>
      <w:r>
        <w:t>Scope of exemption regime</w:t>
      </w:r>
      <w:r>
        <w:tab/>
      </w:r>
      <w:r>
        <w:fldChar w:fldCharType="begin"/>
      </w:r>
      <w:r>
        <w:instrText xml:space="preserve"> PAGEREF _Toc39570983 \h </w:instrText>
      </w:r>
      <w:r>
        <w:fldChar w:fldCharType="separate"/>
      </w:r>
      <w:r>
        <w:t>15</w:t>
      </w:r>
      <w:r>
        <w:fldChar w:fldCharType="end"/>
      </w:r>
    </w:p>
    <w:p w14:paraId="6498F27E" w14:textId="2FDB0301" w:rsidR="006A7F85" w:rsidRDefault="006A7F85">
      <w:pPr>
        <w:pStyle w:val="TOC2"/>
        <w:rPr>
          <w:rFonts w:asciiTheme="minorHAnsi" w:eastAsiaTheme="minorEastAsia" w:hAnsiTheme="minorHAnsi" w:cstheme="minorBidi"/>
          <w:spacing w:val="0"/>
          <w:sz w:val="22"/>
          <w:szCs w:val="22"/>
        </w:rPr>
      </w:pPr>
      <w:r>
        <w:t>Looking ahead</w:t>
      </w:r>
      <w:r>
        <w:tab/>
      </w:r>
      <w:r>
        <w:fldChar w:fldCharType="begin"/>
      </w:r>
      <w:r>
        <w:instrText xml:space="preserve"> PAGEREF _Toc39570984 \h </w:instrText>
      </w:r>
      <w:r>
        <w:fldChar w:fldCharType="separate"/>
      </w:r>
      <w:r>
        <w:t>15</w:t>
      </w:r>
      <w:r>
        <w:fldChar w:fldCharType="end"/>
      </w:r>
    </w:p>
    <w:p w14:paraId="5A9BC78E" w14:textId="5A55D758" w:rsidR="006A7F85" w:rsidRDefault="006A7F85">
      <w:pPr>
        <w:pStyle w:val="TOC1"/>
        <w:rPr>
          <w:rFonts w:asciiTheme="minorHAnsi" w:eastAsiaTheme="minorEastAsia" w:hAnsiTheme="minorHAnsi" w:cstheme="minorBidi"/>
          <w:b w:val="0"/>
          <w:spacing w:val="0"/>
          <w:sz w:val="22"/>
          <w:szCs w:val="22"/>
        </w:rPr>
      </w:pPr>
      <w:r w:rsidRPr="00836CC7">
        <w:rPr>
          <w:color w:val="313131"/>
        </w:rPr>
        <w:t>Next steps</w:t>
      </w:r>
      <w:r>
        <w:tab/>
      </w:r>
      <w:r>
        <w:fldChar w:fldCharType="begin"/>
      </w:r>
      <w:r>
        <w:instrText xml:space="preserve"> PAGEREF _Toc39570985 \h </w:instrText>
      </w:r>
      <w:r>
        <w:fldChar w:fldCharType="separate"/>
      </w:r>
      <w:r>
        <w:t>17</w:t>
      </w:r>
      <w:r>
        <w:fldChar w:fldCharType="end"/>
      </w:r>
    </w:p>
    <w:p w14:paraId="25436F20" w14:textId="13FBFABD" w:rsidR="006A7F85" w:rsidRDefault="006A7F85">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_Toc39570986 \h </w:instrText>
      </w:r>
      <w:r>
        <w:fldChar w:fldCharType="separate"/>
      </w:r>
      <w:r>
        <w:t>18</w:t>
      </w:r>
      <w:r>
        <w:fldChar w:fldCharType="end"/>
      </w:r>
    </w:p>
    <w:p w14:paraId="270ADE9E" w14:textId="6B5DB7F2" w:rsidR="006A7F85" w:rsidRDefault="006A7F85">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_Toc39570987 \h </w:instrText>
      </w:r>
      <w:r>
        <w:fldChar w:fldCharType="separate"/>
      </w:r>
      <w:r>
        <w:t>18</w:t>
      </w:r>
      <w:r>
        <w:fldChar w:fldCharType="end"/>
      </w:r>
    </w:p>
    <w:p w14:paraId="6FA24A95" w14:textId="670B0B85" w:rsidR="000A4A51" w:rsidRPr="000D76E0" w:rsidRDefault="007A6CC0">
      <w:pPr>
        <w:rPr>
          <w:rFonts w:cs="Arial"/>
        </w:rPr>
      </w:pPr>
      <w:r>
        <w:rPr>
          <w:rFonts w:cs="Arial"/>
          <w:b/>
          <w:noProof/>
          <w:spacing w:val="-14"/>
          <w:sz w:val="28"/>
        </w:rPr>
        <w:fldChar w:fldCharType="end"/>
      </w:r>
    </w:p>
    <w:p w14:paraId="40143176" w14:textId="77777777" w:rsidR="004D56FF" w:rsidRPr="000D76E0" w:rsidRDefault="004D56FF">
      <w:pPr>
        <w:rPr>
          <w:rFonts w:cs="Arial"/>
        </w:rPr>
        <w:sectPr w:rsidR="004D56FF" w:rsidRPr="000D76E0"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p>
    <w:p w14:paraId="61BA551B" w14:textId="77777777" w:rsidR="009D6C71" w:rsidRPr="009174F3" w:rsidRDefault="009D6C71" w:rsidP="009174F3">
      <w:pPr>
        <w:pStyle w:val="ACMAExecSummaryHeading"/>
      </w:pPr>
      <w:bookmarkStart w:id="0" w:name="_Toc39570961"/>
      <w:r w:rsidRPr="009174F3">
        <w:lastRenderedPageBreak/>
        <w:t>Executive summary</w:t>
      </w:r>
      <w:bookmarkEnd w:id="0"/>
      <w:r w:rsidR="007E7683" w:rsidRPr="009174F3">
        <w:t xml:space="preserve"> </w:t>
      </w:r>
    </w:p>
    <w:p w14:paraId="64B7583C" w14:textId="1E041B6B" w:rsidR="001B2311" w:rsidRDefault="00830E78" w:rsidP="00830E78">
      <w:pPr>
        <w:rPr>
          <w:rFonts w:cs="Arial"/>
        </w:rPr>
      </w:pPr>
      <w:r w:rsidRPr="00830E78">
        <w:rPr>
          <w:rFonts w:cs="Arial"/>
        </w:rPr>
        <w:t xml:space="preserve">In the </w:t>
      </w:r>
      <w:hyperlink r:id="rId26" w:history="1">
        <w:r w:rsidR="009455E2">
          <w:rPr>
            <w:rStyle w:val="Hyperlink"/>
            <w:rFonts w:cs="Arial"/>
            <w:i/>
            <w:iCs/>
          </w:rPr>
          <w:t>Five-year spectrum outlook 2019</w:t>
        </w:r>
        <w:r w:rsidR="00EF0677">
          <w:rPr>
            <w:rStyle w:val="Hyperlink"/>
            <w:rFonts w:cs="Arial"/>
            <w:i/>
            <w:iCs/>
          </w:rPr>
          <w:t>–</w:t>
        </w:r>
        <w:r w:rsidR="009455E2">
          <w:rPr>
            <w:rStyle w:val="Hyperlink"/>
            <w:rFonts w:cs="Arial"/>
            <w:i/>
            <w:iCs/>
          </w:rPr>
          <w:t>23</w:t>
        </w:r>
      </w:hyperlink>
      <w:r w:rsidRPr="00830E78">
        <w:rPr>
          <w:rFonts w:cs="Arial"/>
        </w:rPr>
        <w:t xml:space="preserve">, </w:t>
      </w:r>
      <w:r w:rsidR="001A2EEE">
        <w:rPr>
          <w:rFonts w:cs="Arial"/>
        </w:rPr>
        <w:t xml:space="preserve">we </w:t>
      </w:r>
      <w:r w:rsidR="00015397">
        <w:rPr>
          <w:rFonts w:cs="Arial"/>
        </w:rPr>
        <w:t>committed to</w:t>
      </w:r>
      <w:r w:rsidRPr="00830E78">
        <w:rPr>
          <w:rFonts w:cs="Arial"/>
        </w:rPr>
        <w:t xml:space="preserve"> a review of prohibition declarations and exemption determinations.</w:t>
      </w:r>
      <w:r w:rsidR="00817991">
        <w:rPr>
          <w:rFonts w:cs="Arial"/>
        </w:rPr>
        <w:t xml:space="preserve"> </w:t>
      </w:r>
      <w:r w:rsidRPr="00830E78">
        <w:rPr>
          <w:rFonts w:cs="Arial"/>
        </w:rPr>
        <w:t xml:space="preserve">This paper is </w:t>
      </w:r>
      <w:r w:rsidR="00C14CE0">
        <w:rPr>
          <w:rFonts w:cs="Arial"/>
        </w:rPr>
        <w:t xml:space="preserve">the </w:t>
      </w:r>
      <w:r w:rsidRPr="00830E78">
        <w:rPr>
          <w:rFonts w:cs="Arial"/>
        </w:rPr>
        <w:t>first part of that review.</w:t>
      </w:r>
      <w:r w:rsidR="00817991">
        <w:rPr>
          <w:rFonts w:cs="Arial"/>
        </w:rPr>
        <w:t xml:space="preserve"> </w:t>
      </w:r>
      <w:r w:rsidR="001F70F7">
        <w:rPr>
          <w:rFonts w:cs="Arial"/>
        </w:rPr>
        <w:t xml:space="preserve">The </w:t>
      </w:r>
      <w:r w:rsidRPr="00830E78">
        <w:rPr>
          <w:rFonts w:cs="Arial"/>
        </w:rPr>
        <w:t xml:space="preserve">prohibition and exemption </w:t>
      </w:r>
      <w:r w:rsidR="00D36606">
        <w:rPr>
          <w:rFonts w:cs="Arial"/>
        </w:rPr>
        <w:t xml:space="preserve">framework </w:t>
      </w:r>
      <w:r w:rsidR="004A082F">
        <w:rPr>
          <w:rFonts w:cs="Arial"/>
        </w:rPr>
        <w:t>comprises</w:t>
      </w:r>
      <w:r w:rsidR="00F93F32">
        <w:rPr>
          <w:rFonts w:cs="Arial"/>
        </w:rPr>
        <w:t xml:space="preserve"> provisions under </w:t>
      </w:r>
      <w:r w:rsidRPr="00830E78">
        <w:rPr>
          <w:rFonts w:cs="Arial"/>
        </w:rPr>
        <w:t xml:space="preserve">the </w:t>
      </w:r>
      <w:r w:rsidRPr="00CB6C17">
        <w:rPr>
          <w:rFonts w:cs="Arial"/>
          <w:i/>
          <w:iCs/>
        </w:rPr>
        <w:t>Radiocommunications Act 1992</w:t>
      </w:r>
      <w:r w:rsidRPr="00830E78">
        <w:rPr>
          <w:rFonts w:cs="Arial"/>
        </w:rPr>
        <w:t xml:space="preserve"> (the Act)</w:t>
      </w:r>
      <w:r w:rsidR="006479B5">
        <w:rPr>
          <w:rFonts w:cs="Arial"/>
        </w:rPr>
        <w:t xml:space="preserve">, </w:t>
      </w:r>
      <w:r w:rsidR="00AF3013">
        <w:rPr>
          <w:rFonts w:cs="Arial"/>
        </w:rPr>
        <w:t xml:space="preserve">administered </w:t>
      </w:r>
      <w:r w:rsidR="00567E50">
        <w:rPr>
          <w:rFonts w:cs="Arial"/>
        </w:rPr>
        <w:t>by the</w:t>
      </w:r>
      <w:r w:rsidRPr="00830E78">
        <w:rPr>
          <w:rFonts w:cs="Arial"/>
        </w:rPr>
        <w:t xml:space="preserve"> </w:t>
      </w:r>
      <w:r w:rsidR="00567E50">
        <w:rPr>
          <w:rFonts w:cs="Arial"/>
        </w:rPr>
        <w:t>Department of Infrastructure, Transport, Regional Development and Communications (the Department</w:t>
      </w:r>
      <w:r w:rsidR="00D635EF">
        <w:rPr>
          <w:rFonts w:cs="Arial"/>
        </w:rPr>
        <w:t xml:space="preserve">), and </w:t>
      </w:r>
      <w:r w:rsidR="0076550C">
        <w:rPr>
          <w:rFonts w:cs="Arial"/>
        </w:rPr>
        <w:t>legislative instruments</w:t>
      </w:r>
      <w:r w:rsidR="003E0119">
        <w:rPr>
          <w:rFonts w:cs="Arial"/>
        </w:rPr>
        <w:t xml:space="preserve"> and </w:t>
      </w:r>
      <w:r w:rsidR="00A36F4D">
        <w:rPr>
          <w:rFonts w:cs="Arial"/>
        </w:rPr>
        <w:t>statutory decisions made by the ACMA under the Act.</w:t>
      </w:r>
    </w:p>
    <w:p w14:paraId="65B0C6BB" w14:textId="35676739" w:rsidR="008A0957" w:rsidRDefault="006479B5" w:rsidP="00DE49BF">
      <w:pPr>
        <w:rPr>
          <w:rFonts w:cs="Arial"/>
        </w:rPr>
      </w:pPr>
      <w:r>
        <w:rPr>
          <w:rFonts w:cs="Arial"/>
        </w:rPr>
        <w:t>T</w:t>
      </w:r>
      <w:r w:rsidR="00830E78" w:rsidRPr="00830E78">
        <w:rPr>
          <w:rFonts w:cs="Arial"/>
        </w:rPr>
        <w:t xml:space="preserve">he exemption </w:t>
      </w:r>
      <w:r w:rsidR="00C56AEC">
        <w:rPr>
          <w:rFonts w:cs="Arial"/>
        </w:rPr>
        <w:t>regime</w:t>
      </w:r>
      <w:r w:rsidR="00F215D5">
        <w:rPr>
          <w:rFonts w:cs="Arial"/>
        </w:rPr>
        <w:t xml:space="preserve"> </w:t>
      </w:r>
      <w:r w:rsidR="009D6315">
        <w:rPr>
          <w:rFonts w:cs="Arial"/>
        </w:rPr>
        <w:t xml:space="preserve">comprises two types of exemption from the Act. The first type </w:t>
      </w:r>
      <w:r w:rsidR="007A0C6A">
        <w:rPr>
          <w:rFonts w:cs="Arial"/>
        </w:rPr>
        <w:t xml:space="preserve">are </w:t>
      </w:r>
      <w:r w:rsidR="001829BD">
        <w:rPr>
          <w:rFonts w:cs="Arial"/>
        </w:rPr>
        <w:t xml:space="preserve">statutory </w:t>
      </w:r>
      <w:r w:rsidR="00B87E8B">
        <w:rPr>
          <w:rFonts w:cs="Arial"/>
        </w:rPr>
        <w:t xml:space="preserve">exemptions, </w:t>
      </w:r>
      <w:r w:rsidR="005F4CB1">
        <w:rPr>
          <w:rFonts w:cs="Arial"/>
        </w:rPr>
        <w:t>where</w:t>
      </w:r>
      <w:r w:rsidR="00590559">
        <w:rPr>
          <w:rFonts w:cs="Arial"/>
        </w:rPr>
        <w:t xml:space="preserve"> </w:t>
      </w:r>
      <w:r w:rsidR="00F215D5">
        <w:rPr>
          <w:rFonts w:cs="Arial"/>
        </w:rPr>
        <w:t xml:space="preserve">the Act </w:t>
      </w:r>
      <w:r w:rsidR="00FB4710">
        <w:rPr>
          <w:rFonts w:cs="Arial"/>
        </w:rPr>
        <w:t xml:space="preserve">does not apply to </w:t>
      </w:r>
      <w:r w:rsidR="00AD31D7">
        <w:rPr>
          <w:rFonts w:cs="Arial"/>
        </w:rPr>
        <w:t xml:space="preserve">a range of </w:t>
      </w:r>
      <w:r w:rsidR="00EF0677">
        <w:rPr>
          <w:rFonts w:cs="Arial"/>
        </w:rPr>
        <w:t>people</w:t>
      </w:r>
      <w:r w:rsidR="00AD31D7">
        <w:rPr>
          <w:rFonts w:cs="Arial"/>
        </w:rPr>
        <w:t>, such as members of the Defence Force</w:t>
      </w:r>
      <w:r w:rsidR="00FB4710">
        <w:rPr>
          <w:rFonts w:cs="Arial"/>
        </w:rPr>
        <w:t>, in certain circumstances</w:t>
      </w:r>
      <w:r w:rsidR="00B87E8B">
        <w:rPr>
          <w:rFonts w:cs="Arial"/>
        </w:rPr>
        <w:t xml:space="preserve">. The second type </w:t>
      </w:r>
      <w:r w:rsidR="007A0C6A">
        <w:rPr>
          <w:rFonts w:cs="Arial"/>
        </w:rPr>
        <w:t xml:space="preserve">are </w:t>
      </w:r>
      <w:r w:rsidR="00B87E8B">
        <w:rPr>
          <w:rFonts w:cs="Arial"/>
        </w:rPr>
        <w:t xml:space="preserve">exemptions made by the ACMA, </w:t>
      </w:r>
      <w:r w:rsidR="005E176A">
        <w:rPr>
          <w:rFonts w:cs="Arial"/>
        </w:rPr>
        <w:t>which</w:t>
      </w:r>
      <w:r w:rsidR="00B87E8B">
        <w:rPr>
          <w:rFonts w:cs="Arial"/>
        </w:rPr>
        <w:t xml:space="preserve"> involve </w:t>
      </w:r>
      <w:r w:rsidR="00FB4710">
        <w:rPr>
          <w:rFonts w:cs="Arial"/>
        </w:rPr>
        <w:t xml:space="preserve">the ACMA </w:t>
      </w:r>
      <w:r w:rsidR="00A2426E">
        <w:rPr>
          <w:rFonts w:cs="Arial"/>
        </w:rPr>
        <w:t>exercis</w:t>
      </w:r>
      <w:r w:rsidR="00B87E8B">
        <w:rPr>
          <w:rFonts w:cs="Arial"/>
        </w:rPr>
        <w:t>ing</w:t>
      </w:r>
      <w:r w:rsidR="00A2426E">
        <w:rPr>
          <w:rFonts w:cs="Arial"/>
        </w:rPr>
        <w:t xml:space="preserve"> its statutory </w:t>
      </w:r>
      <w:r w:rsidR="00A46931">
        <w:rPr>
          <w:rFonts w:cs="Arial"/>
        </w:rPr>
        <w:t>a</w:t>
      </w:r>
      <w:r w:rsidR="00A2426E">
        <w:rPr>
          <w:rFonts w:cs="Arial"/>
        </w:rPr>
        <w:t xml:space="preserve">uthority </w:t>
      </w:r>
      <w:r w:rsidR="001B237F">
        <w:rPr>
          <w:rFonts w:cs="Arial"/>
        </w:rPr>
        <w:t>to determine</w:t>
      </w:r>
      <w:r w:rsidR="001829BD">
        <w:rPr>
          <w:rFonts w:cs="Arial"/>
        </w:rPr>
        <w:t>, by legislative instrument,</w:t>
      </w:r>
      <w:r w:rsidR="001B237F">
        <w:rPr>
          <w:rFonts w:cs="Arial"/>
        </w:rPr>
        <w:t xml:space="preserve"> </w:t>
      </w:r>
      <w:r w:rsidR="003C0E79">
        <w:rPr>
          <w:rFonts w:cs="Arial"/>
        </w:rPr>
        <w:t xml:space="preserve">that </w:t>
      </w:r>
      <w:r w:rsidR="003C0E79" w:rsidRPr="005F4CB1">
        <w:rPr>
          <w:rFonts w:cs="Arial"/>
        </w:rPr>
        <w:t>Parts</w:t>
      </w:r>
      <w:r w:rsidR="003C0E79">
        <w:rPr>
          <w:rFonts w:cs="Arial"/>
        </w:rPr>
        <w:t xml:space="preserve"> of the Act do not apply to </w:t>
      </w:r>
      <w:r w:rsidR="0047558C">
        <w:rPr>
          <w:rFonts w:cs="Arial"/>
        </w:rPr>
        <w:t>a</w:t>
      </w:r>
      <w:r w:rsidR="009467C2">
        <w:rPr>
          <w:rFonts w:cs="Arial"/>
        </w:rPr>
        <w:t xml:space="preserve"> narrow class of </w:t>
      </w:r>
      <w:r w:rsidR="00EF0677">
        <w:rPr>
          <w:rFonts w:cs="Arial"/>
        </w:rPr>
        <w:t xml:space="preserve">people </w:t>
      </w:r>
      <w:r w:rsidR="00C028AC">
        <w:rPr>
          <w:rFonts w:cs="Arial"/>
        </w:rPr>
        <w:t>in specified circumstances.</w:t>
      </w:r>
      <w:r w:rsidR="00FB0E83">
        <w:rPr>
          <w:rFonts w:cs="Arial"/>
        </w:rPr>
        <w:t xml:space="preserve"> </w:t>
      </w:r>
    </w:p>
    <w:p w14:paraId="4BAB5965" w14:textId="7F88DDB5" w:rsidR="00DE49BF" w:rsidRDefault="00821B92" w:rsidP="00DE49BF">
      <w:pPr>
        <w:rPr>
          <w:rFonts w:cs="Arial"/>
        </w:rPr>
      </w:pPr>
      <w:r>
        <w:rPr>
          <w:rFonts w:cs="Arial"/>
        </w:rPr>
        <w:t xml:space="preserve">The prohibition regime involves </w:t>
      </w:r>
      <w:r w:rsidR="00C028AC">
        <w:rPr>
          <w:rFonts w:cs="Arial"/>
        </w:rPr>
        <w:t xml:space="preserve">the ACMA </w:t>
      </w:r>
      <w:r w:rsidR="008A0957">
        <w:rPr>
          <w:rFonts w:cs="Arial"/>
        </w:rPr>
        <w:t xml:space="preserve">exercising its power under the Act </w:t>
      </w:r>
      <w:r w:rsidR="00C028AC">
        <w:rPr>
          <w:rFonts w:cs="Arial"/>
        </w:rPr>
        <w:t xml:space="preserve">to </w:t>
      </w:r>
      <w:r w:rsidR="002A7762">
        <w:rPr>
          <w:rFonts w:cs="Arial"/>
        </w:rPr>
        <w:t>prohibit</w:t>
      </w:r>
      <w:r w:rsidR="00325363">
        <w:rPr>
          <w:rFonts w:cs="Arial"/>
        </w:rPr>
        <w:t xml:space="preserve"> </w:t>
      </w:r>
      <w:r w:rsidR="00176A6E">
        <w:rPr>
          <w:rFonts w:cs="Arial"/>
        </w:rPr>
        <w:t xml:space="preserve">specified </w:t>
      </w:r>
      <w:r w:rsidR="002A7762">
        <w:rPr>
          <w:rFonts w:cs="Arial"/>
        </w:rPr>
        <w:t>devices</w:t>
      </w:r>
      <w:r w:rsidR="00176A6E">
        <w:rPr>
          <w:rFonts w:cs="Arial"/>
        </w:rPr>
        <w:t>—that is,</w:t>
      </w:r>
      <w:r w:rsidR="00830E78" w:rsidRPr="00830E78">
        <w:rPr>
          <w:rFonts w:cs="Arial"/>
        </w:rPr>
        <w:t xml:space="preserve"> to ban and make </w:t>
      </w:r>
      <w:r w:rsidR="00F87845">
        <w:rPr>
          <w:rFonts w:cs="Arial"/>
        </w:rPr>
        <w:t xml:space="preserve">it illegal </w:t>
      </w:r>
      <w:r w:rsidR="00E84458">
        <w:rPr>
          <w:rFonts w:cs="Arial"/>
        </w:rPr>
        <w:t>to possess, supply or operate</w:t>
      </w:r>
      <w:r w:rsidR="00F87845">
        <w:rPr>
          <w:rFonts w:cs="Arial"/>
        </w:rPr>
        <w:t xml:space="preserve"> </w:t>
      </w:r>
      <w:r w:rsidR="00CB77B1">
        <w:rPr>
          <w:rFonts w:cs="Arial"/>
        </w:rPr>
        <w:t xml:space="preserve">those </w:t>
      </w:r>
      <w:r w:rsidR="00F87845">
        <w:rPr>
          <w:rFonts w:cs="Arial"/>
        </w:rPr>
        <w:t>devices</w:t>
      </w:r>
      <w:r w:rsidR="00830E78" w:rsidRPr="00830E78">
        <w:rPr>
          <w:rFonts w:cs="Arial"/>
        </w:rPr>
        <w:t xml:space="preserve">. </w:t>
      </w:r>
    </w:p>
    <w:p w14:paraId="5BFC64F9" w14:textId="351D6613" w:rsidR="00EA03DB" w:rsidRPr="00DE49BF" w:rsidRDefault="00F632AF" w:rsidP="00830E78">
      <w:r>
        <w:rPr>
          <w:rFonts w:cs="Arial"/>
        </w:rPr>
        <w:t xml:space="preserve">In practice, </w:t>
      </w:r>
      <w:r w:rsidR="00FF02DC">
        <w:rPr>
          <w:rFonts w:cs="Arial"/>
        </w:rPr>
        <w:t xml:space="preserve">the prohibition regime protects consumers, </w:t>
      </w:r>
      <w:r w:rsidR="00AF5EA9">
        <w:rPr>
          <w:rFonts w:cs="Arial"/>
        </w:rPr>
        <w:t>businesses</w:t>
      </w:r>
      <w:r w:rsidR="001755ED">
        <w:rPr>
          <w:rFonts w:cs="Arial"/>
        </w:rPr>
        <w:t>,</w:t>
      </w:r>
      <w:r w:rsidR="00AF5EA9">
        <w:rPr>
          <w:rFonts w:cs="Arial"/>
        </w:rPr>
        <w:t xml:space="preserve"> </w:t>
      </w:r>
      <w:r w:rsidR="00552BB9">
        <w:rPr>
          <w:rFonts w:cs="Arial"/>
        </w:rPr>
        <w:t xml:space="preserve">and </w:t>
      </w:r>
      <w:r w:rsidR="002611DA">
        <w:rPr>
          <w:rFonts w:cs="Arial"/>
        </w:rPr>
        <w:t xml:space="preserve">network and service providers </w:t>
      </w:r>
      <w:r w:rsidR="00AF5EA9">
        <w:rPr>
          <w:rFonts w:cs="Arial"/>
        </w:rPr>
        <w:t xml:space="preserve">from the </w:t>
      </w:r>
      <w:r w:rsidR="0093328B" w:rsidRPr="00A76E90">
        <w:rPr>
          <w:rFonts w:cs="Arial"/>
        </w:rPr>
        <w:t xml:space="preserve">potentially </w:t>
      </w:r>
      <w:r w:rsidR="00AF5EA9" w:rsidRPr="00A76E90">
        <w:rPr>
          <w:rFonts w:cs="Arial"/>
        </w:rPr>
        <w:t xml:space="preserve">adverse effects </w:t>
      </w:r>
      <w:r w:rsidR="00FD6DD9" w:rsidRPr="00A76E90">
        <w:rPr>
          <w:rFonts w:cs="Arial"/>
        </w:rPr>
        <w:t xml:space="preserve">of devices </w:t>
      </w:r>
      <w:r w:rsidR="00AF5EA9" w:rsidRPr="00A76E90">
        <w:rPr>
          <w:rFonts w:cs="Arial"/>
        </w:rPr>
        <w:t xml:space="preserve">designed or likely to cause interference to </w:t>
      </w:r>
      <w:r w:rsidR="001755ED" w:rsidRPr="00A76E90">
        <w:rPr>
          <w:rFonts w:cs="Arial"/>
        </w:rPr>
        <w:t>radio</w:t>
      </w:r>
      <w:r w:rsidR="00AF5EA9" w:rsidRPr="00A76E90">
        <w:rPr>
          <w:rFonts w:cs="Arial"/>
        </w:rPr>
        <w:t>communications</w:t>
      </w:r>
      <w:r w:rsidR="00E63A48" w:rsidRPr="00A76E90">
        <w:rPr>
          <w:rFonts w:cs="Arial"/>
        </w:rPr>
        <w:t>;</w:t>
      </w:r>
      <w:r w:rsidR="006B2193" w:rsidRPr="00A76E90">
        <w:rPr>
          <w:rFonts w:cs="Arial"/>
        </w:rPr>
        <w:t xml:space="preserve"> </w:t>
      </w:r>
      <w:r w:rsidRPr="00A76E90">
        <w:rPr>
          <w:rFonts w:cs="Arial"/>
        </w:rPr>
        <w:t xml:space="preserve">the exemption regime facilitates </w:t>
      </w:r>
      <w:r w:rsidR="00FF02DC" w:rsidRPr="00A76E90">
        <w:rPr>
          <w:rFonts w:cs="Arial"/>
        </w:rPr>
        <w:t>a range of safety, security</w:t>
      </w:r>
      <w:r w:rsidR="005D3568" w:rsidRPr="00A76E90">
        <w:rPr>
          <w:rFonts w:cs="Arial"/>
        </w:rPr>
        <w:t>, law enforcement</w:t>
      </w:r>
      <w:r w:rsidR="00FF02DC" w:rsidRPr="00A76E90">
        <w:rPr>
          <w:rFonts w:cs="Arial"/>
        </w:rPr>
        <w:t xml:space="preserve"> and </w:t>
      </w:r>
      <w:r w:rsidR="0008758B" w:rsidRPr="00A76E90">
        <w:rPr>
          <w:rFonts w:cs="Arial"/>
        </w:rPr>
        <w:t>def</w:t>
      </w:r>
      <w:r w:rsidR="007E5209" w:rsidRPr="00A76E90">
        <w:rPr>
          <w:rFonts w:cs="Arial"/>
        </w:rPr>
        <w:t xml:space="preserve">ence </w:t>
      </w:r>
      <w:r w:rsidR="00FF02DC" w:rsidRPr="00A76E90">
        <w:rPr>
          <w:rFonts w:cs="Arial"/>
        </w:rPr>
        <w:t>outcomes that can only be achieved us</w:t>
      </w:r>
      <w:r w:rsidR="001755ED" w:rsidRPr="00A76E90">
        <w:rPr>
          <w:rFonts w:cs="Arial"/>
        </w:rPr>
        <w:t>ing</w:t>
      </w:r>
      <w:r w:rsidR="00FF02DC" w:rsidRPr="00A76E90">
        <w:rPr>
          <w:rFonts w:cs="Arial"/>
        </w:rPr>
        <w:t xml:space="preserve"> </w:t>
      </w:r>
      <w:r w:rsidR="00A76E90" w:rsidRPr="005F4CB1">
        <w:rPr>
          <w:rFonts w:cs="Arial"/>
        </w:rPr>
        <w:t xml:space="preserve">devices that would </w:t>
      </w:r>
      <w:r w:rsidR="00FF02DC" w:rsidRPr="00A76E90">
        <w:rPr>
          <w:rFonts w:cs="Arial"/>
        </w:rPr>
        <w:t xml:space="preserve">otherwise </w:t>
      </w:r>
      <w:r w:rsidR="00A76E90" w:rsidRPr="005F4CB1">
        <w:rPr>
          <w:rFonts w:cs="Arial"/>
        </w:rPr>
        <w:t xml:space="preserve">be </w:t>
      </w:r>
      <w:r w:rsidR="00FF02DC" w:rsidRPr="00A76E90">
        <w:rPr>
          <w:rFonts w:cs="Arial"/>
        </w:rPr>
        <w:t>prohibited.</w:t>
      </w:r>
      <w:r w:rsidR="00FF02DC">
        <w:rPr>
          <w:rFonts w:cs="Arial"/>
        </w:rPr>
        <w:t xml:space="preserve"> </w:t>
      </w:r>
    </w:p>
    <w:p w14:paraId="60DDC4BE" w14:textId="43E7D8D2" w:rsidR="00256464" w:rsidRDefault="00256464" w:rsidP="00256464">
      <w:pPr>
        <w:rPr>
          <w:rFonts w:cs="Arial"/>
        </w:rPr>
      </w:pPr>
      <w:r>
        <w:rPr>
          <w:rFonts w:cs="Arial"/>
        </w:rPr>
        <w:t xml:space="preserve">We </w:t>
      </w:r>
      <w:r w:rsidRPr="00830E78">
        <w:rPr>
          <w:rFonts w:cs="Arial"/>
        </w:rPr>
        <w:t>are approaching the prohibition and exemption regimes as a single framework</w:t>
      </w:r>
      <w:r>
        <w:rPr>
          <w:rFonts w:cs="Arial"/>
        </w:rPr>
        <w:t xml:space="preserve"> because, i</w:t>
      </w:r>
      <w:r w:rsidRPr="00830E78">
        <w:rPr>
          <w:rFonts w:cs="Arial"/>
        </w:rPr>
        <w:t>n practice</w:t>
      </w:r>
      <w:r>
        <w:rPr>
          <w:rFonts w:cs="Arial"/>
        </w:rPr>
        <w:t>,</w:t>
      </w:r>
      <w:r w:rsidRPr="00830E78">
        <w:rPr>
          <w:rFonts w:cs="Arial"/>
        </w:rPr>
        <w:t xml:space="preserve"> the regimes </w:t>
      </w:r>
      <w:r>
        <w:rPr>
          <w:rFonts w:cs="Arial"/>
        </w:rPr>
        <w:t>interact and inform one another.</w:t>
      </w:r>
      <w:r w:rsidRPr="00830E78" w:rsidDel="004C11C8">
        <w:rPr>
          <w:rFonts w:cs="Arial"/>
        </w:rPr>
        <w:t xml:space="preserve"> </w:t>
      </w:r>
      <w:r>
        <w:rPr>
          <w:rFonts w:cs="Arial"/>
        </w:rPr>
        <w:t>T</w:t>
      </w:r>
      <w:r w:rsidRPr="00830E78">
        <w:rPr>
          <w:rFonts w:cs="Arial"/>
        </w:rPr>
        <w:t xml:space="preserve">he effectiveness of the prohibition and exemption framework is, like other regulatory </w:t>
      </w:r>
      <w:r w:rsidR="00646635">
        <w:rPr>
          <w:rFonts w:cs="Arial"/>
        </w:rPr>
        <w:t>frameworks</w:t>
      </w:r>
      <w:r w:rsidRPr="00830E78">
        <w:rPr>
          <w:rFonts w:cs="Arial"/>
        </w:rPr>
        <w:t xml:space="preserve">, </w:t>
      </w:r>
      <w:r w:rsidR="00A76E90">
        <w:rPr>
          <w:rFonts w:cs="Arial"/>
        </w:rPr>
        <w:t>influenced by</w:t>
      </w:r>
      <w:r w:rsidRPr="00830E78">
        <w:rPr>
          <w:rFonts w:cs="Arial"/>
        </w:rPr>
        <w:t xml:space="preserve"> the environment </w:t>
      </w:r>
      <w:r w:rsidRPr="00A76E90">
        <w:rPr>
          <w:rFonts w:cs="Arial"/>
        </w:rPr>
        <w:t>with</w:t>
      </w:r>
      <w:r w:rsidR="00A76E90">
        <w:rPr>
          <w:rFonts w:cs="Arial"/>
        </w:rPr>
        <w:t>in</w:t>
      </w:r>
      <w:r w:rsidRPr="00A76E90">
        <w:rPr>
          <w:rFonts w:cs="Arial"/>
        </w:rPr>
        <w:t xml:space="preserve"> which</w:t>
      </w:r>
      <w:r w:rsidRPr="00830E78">
        <w:rPr>
          <w:rFonts w:cs="Arial"/>
        </w:rPr>
        <w:t xml:space="preserve"> it interacts. That environment is increasingly characterised by rapid technological change.</w:t>
      </w:r>
    </w:p>
    <w:p w14:paraId="36095F84" w14:textId="59CDBCAF" w:rsidR="00830E78" w:rsidRDefault="00B62551" w:rsidP="00830E78">
      <w:pPr>
        <w:rPr>
          <w:rFonts w:cs="Arial"/>
        </w:rPr>
      </w:pPr>
      <w:r>
        <w:rPr>
          <w:rFonts w:cs="Arial"/>
        </w:rPr>
        <w:t xml:space="preserve">We are </w:t>
      </w:r>
      <w:r w:rsidR="00830E78" w:rsidRPr="00830E78">
        <w:rPr>
          <w:rFonts w:cs="Arial"/>
        </w:rPr>
        <w:t xml:space="preserve">exploring new ways of addressing current and future challenges associated with </w:t>
      </w:r>
      <w:r w:rsidR="00E5462D">
        <w:rPr>
          <w:rFonts w:cs="Arial"/>
        </w:rPr>
        <w:t xml:space="preserve">new and changing capabilities of </w:t>
      </w:r>
      <w:r w:rsidR="0017230F">
        <w:rPr>
          <w:rFonts w:cs="Arial"/>
        </w:rPr>
        <w:t xml:space="preserve">radiocommunications devices and </w:t>
      </w:r>
      <w:r w:rsidR="00EA5268">
        <w:rPr>
          <w:rFonts w:cs="Arial"/>
        </w:rPr>
        <w:t xml:space="preserve">the operation of those devices by a wide range of </w:t>
      </w:r>
      <w:r w:rsidR="00256464">
        <w:rPr>
          <w:rFonts w:cs="Arial"/>
        </w:rPr>
        <w:t>public, private and commercial users.</w:t>
      </w:r>
    </w:p>
    <w:p w14:paraId="00140BE6" w14:textId="7C9D758C" w:rsidR="00DE49BF" w:rsidRDefault="00610001" w:rsidP="00610001">
      <w:r>
        <w:t xml:space="preserve">Additionally, a number of instruments under the prohibition and exemption framework will sunset and be automatically repealed </w:t>
      </w:r>
      <w:r w:rsidR="0087307D">
        <w:t>in</w:t>
      </w:r>
      <w:r>
        <w:t xml:space="preserve"> 2023, including one of the two prohibition declarations.</w:t>
      </w:r>
      <w:r w:rsidR="008F175B">
        <w:t xml:space="preserve"> Other instruments under the framework will sunset in 202</w:t>
      </w:r>
      <w:r w:rsidR="006F61F6">
        <w:t>5</w:t>
      </w:r>
      <w:r w:rsidR="008F175B">
        <w:t>.</w:t>
      </w:r>
      <w:r>
        <w:t xml:space="preserve"> By</w:t>
      </w:r>
      <w:r w:rsidR="00F15E6E">
        <w:t xml:space="preserve"> that time</w:t>
      </w:r>
      <w:r>
        <w:t xml:space="preserve">, these instruments will have been in force for over a decade—a substantial </w:t>
      </w:r>
      <w:r w:rsidR="00EF0677">
        <w:t>period</w:t>
      </w:r>
      <w:r>
        <w:t xml:space="preserve"> in a fast-</w:t>
      </w:r>
      <w:r w:rsidR="00AE7488">
        <w:t>p</w:t>
      </w:r>
      <w:r>
        <w:t xml:space="preserve">aced and dynamic </w:t>
      </w:r>
      <w:r w:rsidR="00487A31">
        <w:t xml:space="preserve">technology and industry </w:t>
      </w:r>
      <w:r>
        <w:t xml:space="preserve">context. </w:t>
      </w:r>
      <w:r w:rsidR="00666239">
        <w:t>In our view, it is useful to con</w:t>
      </w:r>
      <w:r w:rsidR="00F34058">
        <w:t xml:space="preserve">sider </w:t>
      </w:r>
      <w:r>
        <w:t xml:space="preserve">the scope and operation of these sunsetting instruments within the </w:t>
      </w:r>
      <w:r w:rsidR="006F2B4C">
        <w:t xml:space="preserve">broader </w:t>
      </w:r>
      <w:r>
        <w:t>review of the prohibition and exemption framework.</w:t>
      </w:r>
    </w:p>
    <w:p w14:paraId="109134E0" w14:textId="1B5A6530" w:rsidR="00830E78" w:rsidRPr="00830E78" w:rsidRDefault="00942DEC" w:rsidP="00830E78">
      <w:pPr>
        <w:rPr>
          <w:rFonts w:cs="Arial"/>
        </w:rPr>
      </w:pPr>
      <w:r>
        <w:rPr>
          <w:rFonts w:cs="Arial"/>
        </w:rPr>
        <w:t xml:space="preserve">It is </w:t>
      </w:r>
      <w:r w:rsidR="00830E78" w:rsidRPr="00830E78">
        <w:rPr>
          <w:rFonts w:cs="Arial"/>
        </w:rPr>
        <w:t>timely to ask stakeholders about emerging technologies</w:t>
      </w:r>
      <w:r w:rsidR="00A54E38">
        <w:rPr>
          <w:rFonts w:cs="Arial"/>
        </w:rPr>
        <w:t>, changing policy and operational requirements,</w:t>
      </w:r>
      <w:r w:rsidR="00830E78" w:rsidRPr="00830E78">
        <w:rPr>
          <w:rFonts w:cs="Arial"/>
        </w:rPr>
        <w:t xml:space="preserve"> and the impacts that the framework has on their activities—be they business, consumer, or related to </w:t>
      </w:r>
      <w:r w:rsidR="00C14CE0">
        <w:rPr>
          <w:rFonts w:cs="Arial"/>
        </w:rPr>
        <w:t xml:space="preserve">government </w:t>
      </w:r>
      <w:r w:rsidR="00830E78" w:rsidRPr="00830E78">
        <w:rPr>
          <w:rFonts w:cs="Arial"/>
        </w:rPr>
        <w:t>operations.</w:t>
      </w:r>
      <w:r w:rsidR="00B62551">
        <w:rPr>
          <w:rFonts w:cs="Arial"/>
        </w:rPr>
        <w:t xml:space="preserve"> </w:t>
      </w:r>
    </w:p>
    <w:p w14:paraId="1B755A85" w14:textId="77777777" w:rsidR="00497352" w:rsidRDefault="009455E2" w:rsidP="00A80AE9">
      <w:pPr>
        <w:rPr>
          <w:rFonts w:cs="Arial"/>
        </w:rPr>
      </w:pPr>
      <w:r>
        <w:rPr>
          <w:rFonts w:cs="Arial"/>
        </w:rPr>
        <w:t xml:space="preserve">This paper identifies high-level issues relevant to the </w:t>
      </w:r>
      <w:r w:rsidR="006F2B4C">
        <w:rPr>
          <w:rFonts w:cs="Arial"/>
        </w:rPr>
        <w:t xml:space="preserve">scope and </w:t>
      </w:r>
      <w:r>
        <w:rPr>
          <w:rFonts w:cs="Arial"/>
        </w:rPr>
        <w:t xml:space="preserve">operation of </w:t>
      </w:r>
      <w:r w:rsidR="008C5A25">
        <w:rPr>
          <w:rFonts w:cs="Arial"/>
        </w:rPr>
        <w:t>the prohibition and exemption framework</w:t>
      </w:r>
      <w:r>
        <w:rPr>
          <w:rFonts w:cs="Arial"/>
        </w:rPr>
        <w:t>.</w:t>
      </w:r>
      <w:r w:rsidR="004D0E25">
        <w:rPr>
          <w:rFonts w:cs="Arial"/>
        </w:rPr>
        <w:t xml:space="preserve"> </w:t>
      </w:r>
      <w:r w:rsidR="00A80AE9" w:rsidRPr="00830E78">
        <w:rPr>
          <w:rFonts w:cs="Arial"/>
        </w:rPr>
        <w:t xml:space="preserve">We are inviting submissions that will help us </w:t>
      </w:r>
      <w:r w:rsidR="00A80AE9" w:rsidRPr="00830E78">
        <w:rPr>
          <w:rFonts w:cs="Arial"/>
        </w:rPr>
        <w:lastRenderedPageBreak/>
        <w:t xml:space="preserve">build an evidence base, understand the </w:t>
      </w:r>
      <w:r w:rsidR="00D94B15">
        <w:rPr>
          <w:rFonts w:cs="Arial"/>
        </w:rPr>
        <w:t xml:space="preserve">technology and industry developments and risks, </w:t>
      </w:r>
      <w:r w:rsidR="00A80AE9" w:rsidRPr="00830E78">
        <w:rPr>
          <w:rFonts w:cs="Arial"/>
        </w:rPr>
        <w:t>and inform our next steps.</w:t>
      </w:r>
      <w:r w:rsidR="00497352">
        <w:rPr>
          <w:rFonts w:cs="Arial"/>
        </w:rPr>
        <w:t xml:space="preserve"> </w:t>
      </w:r>
    </w:p>
    <w:p w14:paraId="70F749BD" w14:textId="3F166F6F" w:rsidR="00A80AE9" w:rsidRPr="00830E78" w:rsidRDefault="009C0D02" w:rsidP="009C0D02">
      <w:pPr>
        <w:rPr>
          <w:rFonts w:cs="Arial"/>
        </w:rPr>
      </w:pPr>
      <w:r w:rsidRPr="0036675D">
        <w:t xml:space="preserve">Any </w:t>
      </w:r>
      <w:r>
        <w:t xml:space="preserve">changes </w:t>
      </w:r>
      <w:r w:rsidRPr="0036675D">
        <w:t>to the framework w</w:t>
      </w:r>
      <w:r>
        <w:t>ould</w:t>
      </w:r>
      <w:r w:rsidRPr="0036675D">
        <w:t xml:space="preserve"> need to be carefully </w:t>
      </w:r>
      <w:r>
        <w:t>considered, and we will discuss submissions and policy proposals with the Department.</w:t>
      </w:r>
    </w:p>
    <w:p w14:paraId="061C43F1" w14:textId="6A227987" w:rsidR="00D94B15" w:rsidRDefault="00830E78" w:rsidP="00830E78">
      <w:pPr>
        <w:rPr>
          <w:rFonts w:cs="Arial"/>
        </w:rPr>
      </w:pPr>
      <w:r w:rsidRPr="00830E78">
        <w:rPr>
          <w:rFonts w:cs="Arial"/>
        </w:rPr>
        <w:t xml:space="preserve">In the interim, we </w:t>
      </w:r>
      <w:r w:rsidR="00AA1611">
        <w:rPr>
          <w:rFonts w:cs="Arial"/>
        </w:rPr>
        <w:t xml:space="preserve">intend to use existing regulation to </w:t>
      </w:r>
      <w:r w:rsidR="00FA575B">
        <w:rPr>
          <w:rFonts w:cs="Arial"/>
        </w:rPr>
        <w:t xml:space="preserve">respond to </w:t>
      </w:r>
      <w:r w:rsidR="009455E2">
        <w:rPr>
          <w:rFonts w:cs="Arial"/>
        </w:rPr>
        <w:t xml:space="preserve">the </w:t>
      </w:r>
      <w:r w:rsidR="00FA575B">
        <w:rPr>
          <w:rFonts w:cs="Arial"/>
        </w:rPr>
        <w:t>current needs of stakeholders</w:t>
      </w:r>
      <w:r w:rsidRPr="00830E78">
        <w:rPr>
          <w:rFonts w:cs="Arial"/>
        </w:rPr>
        <w:t xml:space="preserve">. </w:t>
      </w:r>
    </w:p>
    <w:p w14:paraId="016C47AD" w14:textId="7354ADA9" w:rsidR="001E4DEA" w:rsidRDefault="00830E78" w:rsidP="00830E78">
      <w:pPr>
        <w:rPr>
          <w:rFonts w:cs="Arial"/>
        </w:rPr>
      </w:pPr>
      <w:r w:rsidRPr="00830E78">
        <w:rPr>
          <w:rFonts w:cs="Arial"/>
        </w:rPr>
        <w:t xml:space="preserve">In releasing this issues paper, we have simultaneously </w:t>
      </w:r>
      <w:r w:rsidR="00C14CE0">
        <w:rPr>
          <w:rFonts w:cs="Arial"/>
        </w:rPr>
        <w:t xml:space="preserve">initiated </w:t>
      </w:r>
      <w:r w:rsidRPr="00830E78">
        <w:rPr>
          <w:rFonts w:cs="Arial"/>
        </w:rPr>
        <w:t xml:space="preserve">public consultation on </w:t>
      </w:r>
      <w:r w:rsidR="004B4504">
        <w:rPr>
          <w:rFonts w:cs="Arial"/>
        </w:rPr>
        <w:t>two immediate uses of existing regulatory arrangements</w:t>
      </w:r>
      <w:r w:rsidR="00562074">
        <w:rPr>
          <w:rFonts w:cs="Arial"/>
        </w:rPr>
        <w:t>,</w:t>
      </w:r>
      <w:r w:rsidR="00BB327B">
        <w:rPr>
          <w:rFonts w:cs="Arial"/>
        </w:rPr>
        <w:t xml:space="preserve"> and </w:t>
      </w:r>
      <w:r w:rsidR="001E4DEA">
        <w:rPr>
          <w:rFonts w:cs="Arial"/>
        </w:rPr>
        <w:t>are seeking views on proposals to:</w:t>
      </w:r>
    </w:p>
    <w:p w14:paraId="03AE3D5F" w14:textId="619B375E" w:rsidR="001E4DEA" w:rsidRDefault="00830E78" w:rsidP="00562074">
      <w:pPr>
        <w:pStyle w:val="ListBullet"/>
      </w:pPr>
      <w:r w:rsidRPr="00830E78">
        <w:t>facilitate trial</w:t>
      </w:r>
      <w:r w:rsidR="00C14CE0">
        <w:t>s</w:t>
      </w:r>
      <w:r w:rsidRPr="00830E78">
        <w:t xml:space="preserve"> of </w:t>
      </w:r>
      <w:r w:rsidR="008E0BA3">
        <w:t>radionavigation-satellite service (</w:t>
      </w:r>
      <w:r w:rsidRPr="00830E78">
        <w:t>RNSS</w:t>
      </w:r>
      <w:r w:rsidR="008E0BA3">
        <w:t>)</w:t>
      </w:r>
      <w:r w:rsidRPr="00830E78">
        <w:t xml:space="preserve"> repeaters</w:t>
      </w:r>
      <w:r w:rsidR="00D41556">
        <w:t xml:space="preserve"> to provide</w:t>
      </w:r>
      <w:r w:rsidR="005B5CDC">
        <w:t xml:space="preserve"> Global Positioning System</w:t>
      </w:r>
      <w:r w:rsidR="00D41556">
        <w:t xml:space="preserve"> </w:t>
      </w:r>
      <w:r w:rsidR="005B5CDC">
        <w:t>(</w:t>
      </w:r>
      <w:r w:rsidR="00D41556">
        <w:t>GPS</w:t>
      </w:r>
      <w:r w:rsidR="005B5CDC">
        <w:t>)</w:t>
      </w:r>
      <w:r w:rsidR="00D41556">
        <w:t xml:space="preserve"> coverage in tunnels across the road network, </w:t>
      </w:r>
      <w:r w:rsidRPr="00830E78">
        <w:t xml:space="preserve">which involves a proposal to amend the </w:t>
      </w:r>
      <w:hyperlink r:id="rId27" w:history="1">
        <w:r w:rsidRPr="00592CCB">
          <w:rPr>
            <w:rStyle w:val="Hyperlink"/>
            <w:rFonts w:cs="Arial"/>
          </w:rPr>
          <w:t>Radioco</w:t>
        </w:r>
        <w:r w:rsidRPr="00592CCB">
          <w:rPr>
            <w:rStyle w:val="Hyperlink"/>
            <w:rFonts w:cs="Arial"/>
          </w:rPr>
          <w:t>m</w:t>
        </w:r>
        <w:r w:rsidRPr="00592CCB">
          <w:rPr>
            <w:rStyle w:val="Hyperlink"/>
            <w:rFonts w:cs="Arial"/>
          </w:rPr>
          <w:t>munications (Prohibited Device) (RNSS Jamming Devices</w:t>
        </w:r>
        <w:r w:rsidR="00395FBB">
          <w:rPr>
            <w:rStyle w:val="Hyperlink"/>
            <w:rFonts w:cs="Arial"/>
          </w:rPr>
          <w:t>)</w:t>
        </w:r>
        <w:r w:rsidRPr="00592CCB">
          <w:rPr>
            <w:rStyle w:val="Hyperlink"/>
            <w:rFonts w:cs="Arial"/>
          </w:rPr>
          <w:t xml:space="preserve"> Declaration 2014</w:t>
        </w:r>
      </w:hyperlink>
    </w:p>
    <w:p w14:paraId="1D57CAFA" w14:textId="6F88EF63" w:rsidR="00830E78" w:rsidRPr="00830E78" w:rsidRDefault="001E4DEA" w:rsidP="00562074">
      <w:pPr>
        <w:pStyle w:val="ListBulletLast"/>
      </w:pPr>
      <w:r>
        <w:t xml:space="preserve">make an exemption determination </w:t>
      </w:r>
      <w:r w:rsidR="00023E8C">
        <w:t>in favour of Australian police so they can use drone jamming devices to deal with drone security and safety threats.</w:t>
      </w:r>
    </w:p>
    <w:p w14:paraId="4C128C98" w14:textId="00D8779F" w:rsidR="00715722" w:rsidRDefault="00715722" w:rsidP="00715722">
      <w:pPr>
        <w:pStyle w:val="Heading1"/>
      </w:pPr>
      <w:bookmarkStart w:id="1" w:name="_Toc433122125"/>
      <w:bookmarkStart w:id="2" w:name="_Toc39570962"/>
      <w:r w:rsidRPr="00607A40">
        <w:lastRenderedPageBreak/>
        <w:t>Issues for</w:t>
      </w:r>
      <w:r>
        <w:t xml:space="preserve"> comment</w:t>
      </w:r>
      <w:bookmarkEnd w:id="1"/>
      <w:bookmarkEnd w:id="2"/>
    </w:p>
    <w:p w14:paraId="76E18B69" w14:textId="74C7B12D" w:rsidR="00502531" w:rsidRDefault="00715722" w:rsidP="00715722">
      <w:pPr>
        <w:spacing w:after="80"/>
        <w:rPr>
          <w:rFonts w:cs="Arial"/>
        </w:rPr>
      </w:pPr>
      <w:r w:rsidRPr="00190673">
        <w:rPr>
          <w:rFonts w:cs="Arial"/>
        </w:rPr>
        <w:t xml:space="preserve">The ACMA invites comments on the issues set out in this </w:t>
      </w:r>
      <w:r w:rsidR="00D378DE">
        <w:rPr>
          <w:rFonts w:cs="Arial"/>
        </w:rPr>
        <w:t xml:space="preserve">consultation </w:t>
      </w:r>
      <w:r w:rsidRPr="00190673">
        <w:rPr>
          <w:rFonts w:cs="Arial"/>
        </w:rPr>
        <w:t>paper:</w:t>
      </w:r>
    </w:p>
    <w:p w14:paraId="3DD05281" w14:textId="661411F4" w:rsidR="000243DF" w:rsidRDefault="002837C5" w:rsidP="00502531">
      <w:pPr>
        <w:pStyle w:val="ListNumber"/>
        <w:numPr>
          <w:ilvl w:val="0"/>
          <w:numId w:val="12"/>
        </w:numPr>
        <w:rPr>
          <w:rFonts w:cs="Arial"/>
          <w:iCs/>
        </w:rPr>
      </w:pPr>
      <w:r w:rsidRPr="00F2610E">
        <w:rPr>
          <w:rFonts w:cs="Arial"/>
        </w:rPr>
        <w:t>What changes in technology, and developments in the communications and broader environment, are likely to put pressure on the prohibition and exemption framework?</w:t>
      </w:r>
      <w:r w:rsidR="00D73C0C">
        <w:rPr>
          <w:rFonts w:cs="Arial"/>
          <w:iCs/>
        </w:rPr>
        <w:t xml:space="preserve"> </w:t>
      </w:r>
    </w:p>
    <w:p w14:paraId="57C999E2" w14:textId="7DAD6CE4" w:rsidR="00502531" w:rsidRPr="00502531" w:rsidRDefault="00502531" w:rsidP="00502531">
      <w:pPr>
        <w:pStyle w:val="ListNumber"/>
        <w:numPr>
          <w:ilvl w:val="0"/>
          <w:numId w:val="12"/>
        </w:numPr>
        <w:rPr>
          <w:rFonts w:cs="Arial"/>
          <w:iCs/>
        </w:rPr>
      </w:pPr>
      <w:r w:rsidRPr="00502531">
        <w:rPr>
          <w:rFonts w:cs="Arial"/>
          <w:iCs/>
        </w:rPr>
        <w:t>In what ways i</w:t>
      </w:r>
      <w:r w:rsidR="00984C4B">
        <w:rPr>
          <w:rFonts w:cs="Arial"/>
          <w:iCs/>
        </w:rPr>
        <w:t>s</w:t>
      </w:r>
      <w:r w:rsidRPr="00502531">
        <w:rPr>
          <w:rFonts w:cs="Arial"/>
          <w:iCs/>
        </w:rPr>
        <w:t xml:space="preserve"> the prohibition regime not performing optimally?</w:t>
      </w:r>
    </w:p>
    <w:p w14:paraId="57716A1D" w14:textId="5BBC7162" w:rsidR="00502531" w:rsidRPr="00502531" w:rsidRDefault="00502531" w:rsidP="00502531">
      <w:pPr>
        <w:pStyle w:val="ListNumber"/>
        <w:numPr>
          <w:ilvl w:val="0"/>
          <w:numId w:val="12"/>
        </w:numPr>
        <w:rPr>
          <w:rFonts w:cs="Arial"/>
          <w:iCs/>
        </w:rPr>
      </w:pPr>
      <w:r w:rsidRPr="00502531">
        <w:rPr>
          <w:rFonts w:cs="Arial"/>
          <w:iCs/>
        </w:rPr>
        <w:t xml:space="preserve">Are there devices currently </w:t>
      </w:r>
      <w:r w:rsidRPr="00232934">
        <w:rPr>
          <w:rFonts w:cs="Arial"/>
          <w:iCs/>
        </w:rPr>
        <w:t>not</w:t>
      </w:r>
      <w:r w:rsidRPr="00502531">
        <w:rPr>
          <w:rFonts w:cs="Arial"/>
          <w:iCs/>
        </w:rPr>
        <w:t xml:space="preserve"> prohibited that should be?</w:t>
      </w:r>
    </w:p>
    <w:p w14:paraId="05D13C5A" w14:textId="6756B229" w:rsidR="008D2405" w:rsidRPr="00502531" w:rsidRDefault="008D2405" w:rsidP="008D2405">
      <w:pPr>
        <w:pStyle w:val="ListNumber"/>
        <w:numPr>
          <w:ilvl w:val="0"/>
          <w:numId w:val="12"/>
        </w:numPr>
        <w:rPr>
          <w:rFonts w:cs="Arial"/>
          <w:iCs/>
        </w:rPr>
      </w:pPr>
      <w:r w:rsidRPr="00502531">
        <w:rPr>
          <w:rFonts w:cs="Arial"/>
          <w:iCs/>
        </w:rPr>
        <w:t xml:space="preserve">Are there devices currently prohibited that should not be? </w:t>
      </w:r>
    </w:p>
    <w:p w14:paraId="6B15132E" w14:textId="22D4426E" w:rsidR="00B44FC7" w:rsidRPr="006D4354" w:rsidRDefault="00B44FC7" w:rsidP="00502531">
      <w:pPr>
        <w:pStyle w:val="ListNumber"/>
        <w:numPr>
          <w:ilvl w:val="0"/>
          <w:numId w:val="12"/>
        </w:numPr>
        <w:rPr>
          <w:rFonts w:cs="Arial"/>
          <w:iCs/>
        </w:rPr>
      </w:pPr>
      <w:r w:rsidRPr="00F2610E">
        <w:t>What additional measures could the ACMA take to provide transparency and predictability in relation to exemption determinations</w:t>
      </w:r>
      <w:r w:rsidR="006D4354" w:rsidRPr="00F2610E">
        <w:t>?</w:t>
      </w:r>
    </w:p>
    <w:p w14:paraId="797D48B1" w14:textId="6E9C1000" w:rsidR="00502531" w:rsidRDefault="00771AE2" w:rsidP="00502531">
      <w:pPr>
        <w:pStyle w:val="ListNumber"/>
        <w:numPr>
          <w:ilvl w:val="0"/>
          <w:numId w:val="12"/>
        </w:numPr>
        <w:rPr>
          <w:rFonts w:cs="Arial"/>
          <w:iCs/>
        </w:rPr>
      </w:pPr>
      <w:r w:rsidRPr="00771AE2">
        <w:rPr>
          <w:rFonts w:cs="Arial"/>
          <w:iCs/>
        </w:rPr>
        <w:t>How could the ACMA consider facilitating use of meritorious, low risk, and outlier devices and applications in lieu of exemption determinations</w:t>
      </w:r>
      <w:r w:rsidR="00502531" w:rsidRPr="00502531">
        <w:rPr>
          <w:rFonts w:cs="Arial"/>
          <w:iCs/>
        </w:rPr>
        <w:t>?</w:t>
      </w:r>
    </w:p>
    <w:p w14:paraId="250FB58D" w14:textId="027B9DA9" w:rsidR="002B1279" w:rsidRDefault="002B1279" w:rsidP="00502531">
      <w:pPr>
        <w:pStyle w:val="ListNumber"/>
        <w:numPr>
          <w:ilvl w:val="0"/>
          <w:numId w:val="12"/>
        </w:numPr>
        <w:rPr>
          <w:rFonts w:cs="Arial"/>
          <w:iCs/>
        </w:rPr>
      </w:pPr>
      <w:r>
        <w:rPr>
          <w:rFonts w:cs="Arial"/>
          <w:iCs/>
        </w:rPr>
        <w:t>Is the range of activities that may be exempted from Parts of the Act fit for purpose?</w:t>
      </w:r>
    </w:p>
    <w:p w14:paraId="59118542" w14:textId="2A9E3C70" w:rsidR="00B963CC" w:rsidRPr="00502531" w:rsidRDefault="00B963CC" w:rsidP="00502531">
      <w:pPr>
        <w:pStyle w:val="ListNumber"/>
        <w:numPr>
          <w:ilvl w:val="0"/>
          <w:numId w:val="12"/>
        </w:numPr>
        <w:rPr>
          <w:rFonts w:cs="Arial"/>
          <w:iCs/>
        </w:rPr>
      </w:pPr>
      <w:r>
        <w:rPr>
          <w:rFonts w:cs="Arial"/>
          <w:iCs/>
        </w:rPr>
        <w:t xml:space="preserve">Is the range of </w:t>
      </w:r>
      <w:r w:rsidR="00A76E90">
        <w:rPr>
          <w:rFonts w:cs="Arial"/>
          <w:iCs/>
        </w:rPr>
        <w:t xml:space="preserve">people </w:t>
      </w:r>
      <w:r>
        <w:rPr>
          <w:rFonts w:cs="Arial"/>
          <w:iCs/>
        </w:rPr>
        <w:t>to whom the exemption regime may apply fit for purpose?</w:t>
      </w:r>
    </w:p>
    <w:p w14:paraId="36C9184D" w14:textId="77777777" w:rsidR="00830E78" w:rsidRDefault="00830E78" w:rsidP="00830E78">
      <w:pPr>
        <w:rPr>
          <w:b/>
          <w:bCs/>
          <w:highlight w:val="green"/>
        </w:rPr>
      </w:pPr>
    </w:p>
    <w:p w14:paraId="5BB6154B" w14:textId="77777777" w:rsidR="00830E78" w:rsidRPr="00830E78" w:rsidRDefault="00830E78" w:rsidP="00830E78">
      <w:pPr>
        <w:rPr>
          <w:rFonts w:cs="Arial"/>
        </w:rPr>
      </w:pPr>
    </w:p>
    <w:p w14:paraId="735BB77C" w14:textId="77777777" w:rsidR="00830E78" w:rsidRPr="00830E78" w:rsidRDefault="00830E78" w:rsidP="00830E78">
      <w:pPr>
        <w:rPr>
          <w:rFonts w:cs="Arial"/>
        </w:rPr>
      </w:pPr>
    </w:p>
    <w:p w14:paraId="209AF6B3" w14:textId="77777777" w:rsidR="00830E78" w:rsidRPr="00830E78" w:rsidRDefault="00830E78" w:rsidP="00830E78">
      <w:pPr>
        <w:rPr>
          <w:rFonts w:cs="Arial"/>
        </w:rPr>
      </w:pPr>
    </w:p>
    <w:p w14:paraId="73F7052B" w14:textId="77777777" w:rsidR="00830E78" w:rsidRPr="00830E78" w:rsidRDefault="00830E78" w:rsidP="00830E78">
      <w:pPr>
        <w:rPr>
          <w:rFonts w:cs="Arial"/>
        </w:rPr>
      </w:pPr>
    </w:p>
    <w:p w14:paraId="668E4226" w14:textId="77777777" w:rsidR="00830E78" w:rsidRPr="00830E78" w:rsidRDefault="00830E78" w:rsidP="00830E78">
      <w:pPr>
        <w:rPr>
          <w:rFonts w:cs="Arial"/>
        </w:rPr>
      </w:pPr>
    </w:p>
    <w:p w14:paraId="7A8C8BA2" w14:textId="77777777" w:rsidR="00830E78" w:rsidRPr="00830E78" w:rsidRDefault="00830E78" w:rsidP="00830E78">
      <w:pPr>
        <w:rPr>
          <w:rFonts w:cs="Arial"/>
        </w:rPr>
      </w:pPr>
    </w:p>
    <w:p w14:paraId="7CD5D244" w14:textId="77777777" w:rsidR="00830E78" w:rsidRPr="00830E78" w:rsidRDefault="00830E78" w:rsidP="00830E78">
      <w:pPr>
        <w:rPr>
          <w:rFonts w:cs="Arial"/>
        </w:rPr>
      </w:pPr>
    </w:p>
    <w:p w14:paraId="31F063D4" w14:textId="77777777" w:rsidR="00830E78" w:rsidRPr="00830E78" w:rsidRDefault="00830E78" w:rsidP="00830E78">
      <w:pPr>
        <w:rPr>
          <w:rFonts w:cs="Arial"/>
        </w:rPr>
      </w:pPr>
    </w:p>
    <w:p w14:paraId="24C5CE94" w14:textId="1A36952F" w:rsidR="00830E78" w:rsidRPr="00830E78" w:rsidRDefault="00864F48" w:rsidP="00830E78">
      <w:pPr>
        <w:pStyle w:val="Heading1"/>
      </w:pPr>
      <w:bookmarkStart w:id="3" w:name="_Toc39570963"/>
      <w:r>
        <w:lastRenderedPageBreak/>
        <w:t>Context for review</w:t>
      </w:r>
      <w:bookmarkEnd w:id="3"/>
    </w:p>
    <w:p w14:paraId="4CFDD28C" w14:textId="35E81168" w:rsidR="002541EB" w:rsidRDefault="002541EB" w:rsidP="002541EB">
      <w:pPr>
        <w:pStyle w:val="Heading2"/>
      </w:pPr>
      <w:bookmarkStart w:id="4" w:name="_Toc39570964"/>
      <w:r>
        <w:t>Regulatory context</w:t>
      </w:r>
      <w:bookmarkEnd w:id="4"/>
    </w:p>
    <w:p w14:paraId="54F853C0" w14:textId="444B75D7" w:rsidR="0017092E" w:rsidRDefault="00830E78" w:rsidP="0017092E">
      <w:pPr>
        <w:rPr>
          <w:rFonts w:cs="Arial"/>
        </w:rPr>
      </w:pPr>
      <w:r w:rsidRPr="00830E78">
        <w:rPr>
          <w:rFonts w:cs="Arial"/>
        </w:rPr>
        <w:t xml:space="preserve">The Act </w:t>
      </w:r>
      <w:r w:rsidR="008B7926">
        <w:rPr>
          <w:rFonts w:cs="Arial"/>
        </w:rPr>
        <w:t>covers</w:t>
      </w:r>
      <w:r w:rsidR="00625600">
        <w:rPr>
          <w:rFonts w:cs="Arial"/>
        </w:rPr>
        <w:t xml:space="preserve"> the management of the radiofrequency spectrum. It </w:t>
      </w:r>
      <w:r w:rsidRPr="00830E78">
        <w:rPr>
          <w:rFonts w:cs="Arial"/>
        </w:rPr>
        <w:t xml:space="preserve">broadly </w:t>
      </w:r>
      <w:r w:rsidR="00570E9D">
        <w:rPr>
          <w:rFonts w:cs="Arial"/>
        </w:rPr>
        <w:t xml:space="preserve">requires </w:t>
      </w:r>
      <w:r w:rsidRPr="00830E78">
        <w:rPr>
          <w:rFonts w:cs="Arial"/>
        </w:rPr>
        <w:t xml:space="preserve">that radiocommunications devices must be licensed, </w:t>
      </w:r>
      <w:r w:rsidR="00F0259F">
        <w:rPr>
          <w:rFonts w:cs="Arial"/>
        </w:rPr>
        <w:t xml:space="preserve">that such devices and other equipment </w:t>
      </w:r>
      <w:r w:rsidR="008B00AE">
        <w:rPr>
          <w:rFonts w:cs="Arial"/>
        </w:rPr>
        <w:t xml:space="preserve">must </w:t>
      </w:r>
      <w:r w:rsidRPr="00830E78">
        <w:rPr>
          <w:rFonts w:cs="Arial"/>
        </w:rPr>
        <w:t xml:space="preserve">comply with technical regulation, and </w:t>
      </w:r>
      <w:r w:rsidR="00F0259F">
        <w:rPr>
          <w:rFonts w:cs="Arial"/>
        </w:rPr>
        <w:t xml:space="preserve">that </w:t>
      </w:r>
      <w:r w:rsidR="00370784">
        <w:rPr>
          <w:rFonts w:cs="Arial"/>
        </w:rPr>
        <w:t xml:space="preserve">these devices and equipment </w:t>
      </w:r>
      <w:r w:rsidR="008B00AE">
        <w:rPr>
          <w:rFonts w:cs="Arial"/>
        </w:rPr>
        <w:t xml:space="preserve">must </w:t>
      </w:r>
      <w:r w:rsidRPr="00830E78">
        <w:rPr>
          <w:rFonts w:cs="Arial"/>
        </w:rPr>
        <w:t>not cause interference (</w:t>
      </w:r>
      <w:r w:rsidRPr="008B7926">
        <w:rPr>
          <w:rFonts w:cs="Arial"/>
        </w:rPr>
        <w:t>Parts</w:t>
      </w:r>
      <w:r w:rsidRPr="00830E78">
        <w:rPr>
          <w:rFonts w:cs="Arial"/>
        </w:rPr>
        <w:t xml:space="preserve"> 3.1, 4.1 and 4.2 of the Act, respectively). </w:t>
      </w:r>
      <w:r w:rsidR="0017092E" w:rsidRPr="00830E78">
        <w:rPr>
          <w:rFonts w:cs="Arial"/>
        </w:rPr>
        <w:t xml:space="preserve">The Act </w:t>
      </w:r>
      <w:r w:rsidR="007F2F8A">
        <w:rPr>
          <w:rFonts w:cs="Arial"/>
        </w:rPr>
        <w:t xml:space="preserve">acknowledges </w:t>
      </w:r>
      <w:r w:rsidR="00D90AF5">
        <w:rPr>
          <w:rFonts w:cs="Arial"/>
        </w:rPr>
        <w:t>that</w:t>
      </w:r>
      <w:r w:rsidR="00D90AF5" w:rsidRPr="00830E78">
        <w:rPr>
          <w:rFonts w:cs="Arial"/>
        </w:rPr>
        <w:t xml:space="preserve"> </w:t>
      </w:r>
      <w:r w:rsidR="00A76E90">
        <w:rPr>
          <w:rFonts w:cs="Arial"/>
        </w:rPr>
        <w:t>lifting</w:t>
      </w:r>
      <w:r w:rsidR="00D90AF5" w:rsidRPr="00830E78">
        <w:rPr>
          <w:rFonts w:cs="Arial"/>
        </w:rPr>
        <w:t xml:space="preserve"> these </w:t>
      </w:r>
      <w:r w:rsidR="002B5F06">
        <w:rPr>
          <w:rFonts w:cs="Arial"/>
        </w:rPr>
        <w:t xml:space="preserve">requirements </w:t>
      </w:r>
      <w:r w:rsidR="00D90AF5" w:rsidRPr="00830E78">
        <w:rPr>
          <w:rFonts w:cs="Arial"/>
        </w:rPr>
        <w:t xml:space="preserve">may be justified </w:t>
      </w:r>
      <w:r w:rsidR="00DC4DCB">
        <w:rPr>
          <w:rFonts w:cs="Arial"/>
        </w:rPr>
        <w:t xml:space="preserve">in </w:t>
      </w:r>
      <w:r w:rsidR="006D0D36">
        <w:rPr>
          <w:rFonts w:cs="Arial"/>
        </w:rPr>
        <w:t>some</w:t>
      </w:r>
      <w:r w:rsidR="006D0D36" w:rsidRPr="00830E78">
        <w:rPr>
          <w:rFonts w:cs="Arial"/>
        </w:rPr>
        <w:t xml:space="preserve"> </w:t>
      </w:r>
      <w:r w:rsidR="0017092E" w:rsidRPr="00830E78">
        <w:rPr>
          <w:rFonts w:cs="Arial"/>
        </w:rPr>
        <w:t>scenarios</w:t>
      </w:r>
      <w:r w:rsidR="00D90AF5">
        <w:rPr>
          <w:rFonts w:cs="Arial"/>
        </w:rPr>
        <w:t>. It does so</w:t>
      </w:r>
      <w:r w:rsidR="0017092E">
        <w:rPr>
          <w:rFonts w:cs="Arial"/>
        </w:rPr>
        <w:t xml:space="preserve"> by providing both legislative exemptions</w:t>
      </w:r>
      <w:r w:rsidR="00A25714">
        <w:rPr>
          <w:rFonts w:cs="Arial"/>
        </w:rPr>
        <w:t xml:space="preserve"> (sections 24, 25 and 26</w:t>
      </w:r>
      <w:r w:rsidR="000461F5">
        <w:rPr>
          <w:rFonts w:cs="Arial"/>
        </w:rPr>
        <w:t xml:space="preserve"> of the Act</w:t>
      </w:r>
      <w:r w:rsidR="00A25714">
        <w:rPr>
          <w:rFonts w:cs="Arial"/>
        </w:rPr>
        <w:t>)</w:t>
      </w:r>
      <w:r w:rsidR="0017092E">
        <w:rPr>
          <w:rFonts w:cs="Arial"/>
        </w:rPr>
        <w:t>,</w:t>
      </w:r>
      <w:r w:rsidR="000A2D2E">
        <w:rPr>
          <w:rStyle w:val="FootnoteReference"/>
          <w:rFonts w:cs="Arial"/>
        </w:rPr>
        <w:footnoteReference w:id="2"/>
      </w:r>
      <w:r w:rsidR="0017092E">
        <w:rPr>
          <w:rFonts w:cs="Arial"/>
        </w:rPr>
        <w:t xml:space="preserve"> and </w:t>
      </w:r>
      <w:r w:rsidR="00C55CB7">
        <w:rPr>
          <w:rFonts w:cs="Arial"/>
        </w:rPr>
        <w:t xml:space="preserve">by empowering the ACMA to exercise its statutory authority </w:t>
      </w:r>
      <w:r w:rsidR="00E015B2">
        <w:rPr>
          <w:rFonts w:cs="Arial"/>
        </w:rPr>
        <w:t>to make exemption determinations</w:t>
      </w:r>
      <w:r w:rsidR="000461F5">
        <w:rPr>
          <w:rFonts w:cs="Arial"/>
        </w:rPr>
        <w:t xml:space="preserve"> under section 27 of the Act</w:t>
      </w:r>
      <w:r w:rsidR="00E015B2">
        <w:rPr>
          <w:rFonts w:cs="Arial"/>
        </w:rPr>
        <w:t>.</w:t>
      </w:r>
    </w:p>
    <w:p w14:paraId="56D83D8D" w14:textId="33E08DE5" w:rsidR="000461F5" w:rsidRDefault="003C0A57" w:rsidP="00830E78">
      <w:pPr>
        <w:rPr>
          <w:rFonts w:cs="Arial"/>
        </w:rPr>
      </w:pPr>
      <w:r>
        <w:rPr>
          <w:rFonts w:cs="Arial"/>
        </w:rPr>
        <w:t>S</w:t>
      </w:r>
      <w:r w:rsidR="00750729">
        <w:rPr>
          <w:rFonts w:cs="Arial"/>
        </w:rPr>
        <w:t xml:space="preserve">ections </w:t>
      </w:r>
      <w:r w:rsidR="002476C6">
        <w:rPr>
          <w:rFonts w:cs="Arial"/>
        </w:rPr>
        <w:t>24</w:t>
      </w:r>
      <w:r w:rsidR="00750729">
        <w:rPr>
          <w:rFonts w:cs="Arial"/>
        </w:rPr>
        <w:t>,</w:t>
      </w:r>
      <w:r w:rsidR="002476C6">
        <w:rPr>
          <w:rFonts w:cs="Arial"/>
        </w:rPr>
        <w:t xml:space="preserve"> 25 </w:t>
      </w:r>
      <w:r w:rsidR="00750729">
        <w:rPr>
          <w:rFonts w:cs="Arial"/>
        </w:rPr>
        <w:t xml:space="preserve">and </w:t>
      </w:r>
      <w:r w:rsidR="002476C6">
        <w:rPr>
          <w:rFonts w:cs="Arial"/>
        </w:rPr>
        <w:t>26</w:t>
      </w:r>
      <w:r w:rsidR="00750729">
        <w:rPr>
          <w:rFonts w:cs="Arial"/>
        </w:rPr>
        <w:t xml:space="preserve"> </w:t>
      </w:r>
      <w:r w:rsidR="008B7926">
        <w:rPr>
          <w:rFonts w:cs="Arial"/>
        </w:rPr>
        <w:t xml:space="preserve">mean </w:t>
      </w:r>
      <w:r w:rsidR="000D4292">
        <w:rPr>
          <w:rFonts w:cs="Arial"/>
        </w:rPr>
        <w:t xml:space="preserve">that </w:t>
      </w:r>
      <w:r w:rsidR="00141150">
        <w:rPr>
          <w:rFonts w:cs="Arial"/>
        </w:rPr>
        <w:t>the Act or specified par</w:t>
      </w:r>
      <w:r w:rsidR="001054E0">
        <w:rPr>
          <w:rFonts w:cs="Arial"/>
        </w:rPr>
        <w:t>ts of the Act (</w:t>
      </w:r>
      <w:r w:rsidR="000D4292">
        <w:rPr>
          <w:rFonts w:cs="Arial"/>
        </w:rPr>
        <w:t>Parts 3.1, 4.1 and 4.2</w:t>
      </w:r>
      <w:r w:rsidR="001054E0">
        <w:rPr>
          <w:rFonts w:cs="Arial"/>
        </w:rPr>
        <w:t>)</w:t>
      </w:r>
      <w:r w:rsidR="000D4292">
        <w:rPr>
          <w:rFonts w:cs="Arial"/>
        </w:rPr>
        <w:t>, do not apply</w:t>
      </w:r>
      <w:r w:rsidR="002858B1">
        <w:rPr>
          <w:rFonts w:cs="Arial"/>
        </w:rPr>
        <w:t xml:space="preserve"> generally, or in certain circumstance</w:t>
      </w:r>
      <w:r w:rsidR="00AC639C">
        <w:rPr>
          <w:rFonts w:cs="Arial"/>
        </w:rPr>
        <w:t>s</w:t>
      </w:r>
      <w:r w:rsidR="002858B1">
        <w:rPr>
          <w:rFonts w:cs="Arial"/>
        </w:rPr>
        <w:t>,</w:t>
      </w:r>
      <w:r w:rsidR="000D4292">
        <w:rPr>
          <w:rFonts w:cs="Arial"/>
        </w:rPr>
        <w:t xml:space="preserve"> to </w:t>
      </w:r>
      <w:r w:rsidR="006F04D4">
        <w:rPr>
          <w:rFonts w:cs="Arial"/>
        </w:rPr>
        <w:t xml:space="preserve">the </w:t>
      </w:r>
      <w:r w:rsidR="006E3411">
        <w:rPr>
          <w:rFonts w:cs="Arial"/>
        </w:rPr>
        <w:t>Defence Force, the Department of Def</w:t>
      </w:r>
      <w:r w:rsidR="001B42FF">
        <w:rPr>
          <w:rFonts w:cs="Arial"/>
        </w:rPr>
        <w:t>enc</w:t>
      </w:r>
      <w:r w:rsidR="006E3411">
        <w:rPr>
          <w:rFonts w:cs="Arial"/>
        </w:rPr>
        <w:t>e</w:t>
      </w:r>
      <w:r w:rsidR="00A822C0">
        <w:rPr>
          <w:rFonts w:cs="Arial"/>
        </w:rPr>
        <w:t xml:space="preserve"> and certain other agencies</w:t>
      </w:r>
      <w:r w:rsidR="00F12E45">
        <w:rPr>
          <w:rFonts w:cs="Arial"/>
        </w:rPr>
        <w:t xml:space="preserve">, such as the Australian </w:t>
      </w:r>
      <w:r w:rsidR="00724401">
        <w:rPr>
          <w:rFonts w:cs="Arial"/>
        </w:rPr>
        <w:t>Security Intelligence Organisation.</w:t>
      </w:r>
      <w:r w:rsidR="00562074">
        <w:rPr>
          <w:rFonts w:cs="Arial"/>
        </w:rPr>
        <w:t xml:space="preserve"> </w:t>
      </w:r>
      <w:r>
        <w:rPr>
          <w:rFonts w:cs="Arial"/>
        </w:rPr>
        <w:t>U</w:t>
      </w:r>
      <w:r w:rsidR="00830E78" w:rsidRPr="00830E78">
        <w:rPr>
          <w:rFonts w:cs="Arial"/>
        </w:rPr>
        <w:t>nder subsection 27(2) of the Act, the ACMA may</w:t>
      </w:r>
      <w:r w:rsidR="0023416F">
        <w:rPr>
          <w:rFonts w:cs="Arial"/>
        </w:rPr>
        <w:t>, by legislative instrument,</w:t>
      </w:r>
      <w:r w:rsidR="00830E78" w:rsidRPr="00830E78">
        <w:rPr>
          <w:rFonts w:cs="Arial"/>
        </w:rPr>
        <w:t xml:space="preserve"> determine exemptions </w:t>
      </w:r>
      <w:r w:rsidR="005F4CB1">
        <w:rPr>
          <w:rFonts w:cs="Arial"/>
        </w:rPr>
        <w:t>for people</w:t>
      </w:r>
      <w:r w:rsidR="00830E78" w:rsidRPr="00830E78">
        <w:rPr>
          <w:rFonts w:cs="Arial"/>
        </w:rPr>
        <w:t xml:space="preserve"> broadly performing functions related to national defence and security, law enforcement and emergency services. </w:t>
      </w:r>
    </w:p>
    <w:p w14:paraId="187DB82A" w14:textId="476F7848" w:rsidR="00A70C6F" w:rsidRDefault="008A3FBB" w:rsidP="00830E78">
      <w:pPr>
        <w:rPr>
          <w:rFonts w:cs="Arial"/>
        </w:rPr>
      </w:pPr>
      <w:r>
        <w:rPr>
          <w:rFonts w:cs="Arial"/>
        </w:rPr>
        <w:t xml:space="preserve">The Act also </w:t>
      </w:r>
      <w:r w:rsidR="008B7926">
        <w:rPr>
          <w:rFonts w:cs="Arial"/>
        </w:rPr>
        <w:t>acknowledges</w:t>
      </w:r>
      <w:r>
        <w:rPr>
          <w:rFonts w:cs="Arial"/>
        </w:rPr>
        <w:t xml:space="preserve"> that there may be devices designed</w:t>
      </w:r>
      <w:r w:rsidR="009D2754">
        <w:rPr>
          <w:rFonts w:cs="Arial"/>
        </w:rPr>
        <w:t>,</w:t>
      </w:r>
      <w:r>
        <w:rPr>
          <w:rFonts w:cs="Arial"/>
        </w:rPr>
        <w:t xml:space="preserve"> or likely to </w:t>
      </w:r>
      <w:r w:rsidR="009D2754">
        <w:rPr>
          <w:rFonts w:cs="Arial"/>
        </w:rPr>
        <w:t xml:space="preserve">cause, interference to radiocommunications, </w:t>
      </w:r>
      <w:r w:rsidR="001E72A9">
        <w:rPr>
          <w:rFonts w:cs="Arial"/>
        </w:rPr>
        <w:t xml:space="preserve">or </w:t>
      </w:r>
      <w:r w:rsidR="00FE6D20">
        <w:rPr>
          <w:rFonts w:cs="Arial"/>
        </w:rPr>
        <w:t xml:space="preserve">likely to have an adverse effect on the health or safety of </w:t>
      </w:r>
      <w:r w:rsidR="00A43505">
        <w:rPr>
          <w:rFonts w:cs="Arial"/>
        </w:rPr>
        <w:t>persons</w:t>
      </w:r>
      <w:r w:rsidR="00FC6236">
        <w:rPr>
          <w:rFonts w:cs="Arial"/>
        </w:rPr>
        <w:t>.</w:t>
      </w:r>
      <w:r w:rsidR="00155895" w:rsidRPr="005135C0">
        <w:rPr>
          <w:rFonts w:cs="Arial"/>
          <w:vertAlign w:val="superscript"/>
        </w:rPr>
        <w:footnoteReference w:id="3"/>
      </w:r>
      <w:r w:rsidR="00FC6236">
        <w:rPr>
          <w:rFonts w:cs="Arial"/>
        </w:rPr>
        <w:t xml:space="preserve"> </w:t>
      </w:r>
      <w:r w:rsidR="001D2D60">
        <w:rPr>
          <w:rFonts w:cs="Arial"/>
        </w:rPr>
        <w:t>Section 190 of t</w:t>
      </w:r>
      <w:r w:rsidR="00FC6236">
        <w:rPr>
          <w:rFonts w:cs="Arial"/>
        </w:rPr>
        <w:t>he Act empowers the ACMA to make prohibition declarations that make it an offence to operate or</w:t>
      </w:r>
      <w:r w:rsidR="00F86361">
        <w:rPr>
          <w:rFonts w:cs="Arial"/>
        </w:rPr>
        <w:t xml:space="preserve"> supply, or possess for the purpose of operating or supply, </w:t>
      </w:r>
      <w:r w:rsidR="001834AD">
        <w:rPr>
          <w:rFonts w:cs="Arial"/>
        </w:rPr>
        <w:t>specified prohibited devices.</w:t>
      </w:r>
      <w:r w:rsidR="00FC6236">
        <w:rPr>
          <w:rFonts w:cs="Arial"/>
        </w:rPr>
        <w:t xml:space="preserve"> </w:t>
      </w:r>
      <w:r w:rsidR="001834AD">
        <w:rPr>
          <w:rFonts w:cs="Arial"/>
        </w:rPr>
        <w:t>The ACMA</w:t>
      </w:r>
      <w:r w:rsidR="008D541A">
        <w:rPr>
          <w:rFonts w:cs="Arial"/>
        </w:rPr>
        <w:t xml:space="preserve"> has</w:t>
      </w:r>
      <w:r w:rsidR="001834AD">
        <w:rPr>
          <w:rFonts w:cs="Arial"/>
        </w:rPr>
        <w:t xml:space="preserve"> </w:t>
      </w:r>
      <w:r w:rsidR="00B55FA6">
        <w:rPr>
          <w:rFonts w:cs="Arial"/>
        </w:rPr>
        <w:t>made two such prohibition declarations:</w:t>
      </w:r>
      <w:r w:rsidR="001834AD">
        <w:rPr>
          <w:rFonts w:cs="Arial"/>
        </w:rPr>
        <w:t xml:space="preserve"> the </w:t>
      </w:r>
      <w:hyperlink r:id="rId28" w:history="1">
        <w:r w:rsidR="001834AD" w:rsidRPr="002541EB">
          <w:rPr>
            <w:rStyle w:val="Hyperlink"/>
            <w:rFonts w:cs="Arial"/>
          </w:rPr>
          <w:t>Radiocommunications (Prohibition of PMTS Jamming Devices) Declaration 2011</w:t>
        </w:r>
      </w:hyperlink>
      <w:r w:rsidR="001834AD" w:rsidRPr="00830E78">
        <w:rPr>
          <w:rFonts w:cs="Arial"/>
        </w:rPr>
        <w:t xml:space="preserve"> (PMTS Jamming Device Prohibition</w:t>
      </w:r>
      <w:r w:rsidR="001834AD">
        <w:rPr>
          <w:rFonts w:cs="Arial"/>
        </w:rPr>
        <w:t xml:space="preserve">) and the </w:t>
      </w:r>
      <w:r w:rsidR="00F624D0" w:rsidRPr="003E6121">
        <w:t>Radiocommunications (Prohibited Device)(RNSS Jamming Devices) Declaration 2014</w:t>
      </w:r>
      <w:r w:rsidR="001834AD" w:rsidRPr="00830E78">
        <w:rPr>
          <w:rFonts w:cs="Arial"/>
        </w:rPr>
        <w:t xml:space="preserve"> (RNSS Jamming Device Prohibition)</w:t>
      </w:r>
      <w:r w:rsidR="001834AD">
        <w:rPr>
          <w:rFonts w:cs="Arial"/>
        </w:rPr>
        <w:t xml:space="preserve">. </w:t>
      </w:r>
      <w:r w:rsidR="001834AD" w:rsidRPr="00830E78">
        <w:rPr>
          <w:rFonts w:cs="Arial"/>
        </w:rPr>
        <w:t xml:space="preserve">These devices are also </w:t>
      </w:r>
      <w:r w:rsidR="009536E3">
        <w:rPr>
          <w:rFonts w:cs="Arial"/>
        </w:rPr>
        <w:t xml:space="preserve">currently </w:t>
      </w:r>
      <w:hyperlink r:id="rId29" w:history="1">
        <w:r w:rsidR="001834AD" w:rsidRPr="00592CCB">
          <w:rPr>
            <w:rStyle w:val="Hyperlink"/>
            <w:rFonts w:cs="Arial"/>
          </w:rPr>
          <w:t>prohibited imports under customs regulations</w:t>
        </w:r>
      </w:hyperlink>
      <w:r w:rsidR="001834AD" w:rsidRPr="00830E78">
        <w:rPr>
          <w:rFonts w:cs="Arial"/>
        </w:rPr>
        <w:t>.</w:t>
      </w:r>
    </w:p>
    <w:p w14:paraId="5392CDB8" w14:textId="3A19F6CD" w:rsidR="00830E78" w:rsidRDefault="008E0BA3" w:rsidP="00830E78">
      <w:pPr>
        <w:rPr>
          <w:rFonts w:cs="Arial"/>
        </w:rPr>
      </w:pPr>
      <w:r>
        <w:rPr>
          <w:rFonts w:cs="Arial"/>
        </w:rPr>
        <w:t>In practice,</w:t>
      </w:r>
      <w:r w:rsidR="00830E78" w:rsidRPr="00830E78">
        <w:rPr>
          <w:rFonts w:cs="Arial"/>
        </w:rPr>
        <w:t xml:space="preserve"> exemption</w:t>
      </w:r>
      <w:r>
        <w:rPr>
          <w:rFonts w:cs="Arial"/>
        </w:rPr>
        <w:t xml:space="preserve"> determinations</w:t>
      </w:r>
      <w:r w:rsidR="00830E78" w:rsidRPr="00830E78">
        <w:rPr>
          <w:rFonts w:cs="Arial"/>
        </w:rPr>
        <w:t xml:space="preserve"> facilitate use of devices prohibited by the ACMA under subsection 190 of the Act—public mobile telecommunications service (PMTS) jamming devices (</w:t>
      </w:r>
      <w:r w:rsidR="00A81AFF">
        <w:rPr>
          <w:rFonts w:cs="Arial"/>
        </w:rPr>
        <w:t>that is,</w:t>
      </w:r>
      <w:r w:rsidR="00830E78" w:rsidRPr="00830E78">
        <w:rPr>
          <w:rFonts w:cs="Arial"/>
        </w:rPr>
        <w:t xml:space="preserve"> mobile phone jammers) and radionavigation-satellite service (RNSS) jamming devices (</w:t>
      </w:r>
      <w:r w:rsidR="00A81AFF">
        <w:rPr>
          <w:rFonts w:cs="Arial"/>
        </w:rPr>
        <w:t>that is,</w:t>
      </w:r>
      <w:r w:rsidR="00830E78" w:rsidRPr="00830E78">
        <w:rPr>
          <w:rFonts w:cs="Arial"/>
        </w:rPr>
        <w:t xml:space="preserve"> GPS jammers). </w:t>
      </w:r>
    </w:p>
    <w:p w14:paraId="2C5264BA" w14:textId="109760B7" w:rsidR="00B9756E" w:rsidRPr="000A30C7" w:rsidRDefault="00C14CE0" w:rsidP="00F2610E">
      <w:r>
        <w:rPr>
          <w:rFonts w:cs="Arial"/>
        </w:rPr>
        <w:t xml:space="preserve">We </w:t>
      </w:r>
      <w:r w:rsidR="00826E96" w:rsidRPr="00830E78">
        <w:rPr>
          <w:rFonts w:cs="Arial"/>
        </w:rPr>
        <w:t>are approaching the prohibition and exemption regimes as a single framework</w:t>
      </w:r>
      <w:r w:rsidR="00A23207">
        <w:rPr>
          <w:rFonts w:cs="Arial"/>
        </w:rPr>
        <w:t xml:space="preserve"> because i</w:t>
      </w:r>
      <w:r w:rsidR="00826E96" w:rsidRPr="00830E78">
        <w:rPr>
          <w:rFonts w:cs="Arial"/>
        </w:rPr>
        <w:t>n practice</w:t>
      </w:r>
      <w:r w:rsidR="00A81AFF">
        <w:rPr>
          <w:rFonts w:cs="Arial"/>
        </w:rPr>
        <w:t>,</w:t>
      </w:r>
      <w:r w:rsidR="00826E96" w:rsidRPr="00830E78">
        <w:rPr>
          <w:rFonts w:cs="Arial"/>
        </w:rPr>
        <w:t xml:space="preserve"> the two regimes work together</w:t>
      </w:r>
      <w:r w:rsidR="00A23207">
        <w:rPr>
          <w:rFonts w:cs="Arial"/>
        </w:rPr>
        <w:t>. This can be viewed by reference to the</w:t>
      </w:r>
      <w:r w:rsidR="009C438F" w:rsidRPr="00A81AFF">
        <w:rPr>
          <w:rFonts w:cs="Arial"/>
        </w:rPr>
        <w:t xml:space="preserve"> </w:t>
      </w:r>
      <w:hyperlink r:id="rId30" w:history="1">
        <w:r w:rsidR="009C438F" w:rsidRPr="005742E3">
          <w:rPr>
            <w:rStyle w:val="Hyperlink"/>
            <w:iCs/>
          </w:rPr>
          <w:t>Radiocommunications (Prohibited Devices) (Use of Electronic Counter Measures for Bomb Disposal Activities) Exemption Determination 2010</w:t>
        </w:r>
      </w:hyperlink>
      <w:r w:rsidR="00A23207">
        <w:rPr>
          <w:rFonts w:cs="Arial"/>
        </w:rPr>
        <w:t xml:space="preserve"> </w:t>
      </w:r>
      <w:r w:rsidR="009C438F">
        <w:rPr>
          <w:rFonts w:cs="Arial"/>
        </w:rPr>
        <w:t>(</w:t>
      </w:r>
      <w:r w:rsidR="00A56D22">
        <w:rPr>
          <w:rFonts w:cs="Arial"/>
        </w:rPr>
        <w:t xml:space="preserve">the </w:t>
      </w:r>
      <w:r w:rsidR="009C438F">
        <w:rPr>
          <w:rFonts w:cs="Arial"/>
        </w:rPr>
        <w:t xml:space="preserve">ECM </w:t>
      </w:r>
      <w:r w:rsidR="00D51460">
        <w:rPr>
          <w:rFonts w:cs="Arial"/>
        </w:rPr>
        <w:t>E</w:t>
      </w:r>
      <w:r w:rsidR="00A23207">
        <w:rPr>
          <w:rFonts w:cs="Arial"/>
        </w:rPr>
        <w:t>xemption</w:t>
      </w:r>
      <w:r w:rsidR="009C438F">
        <w:rPr>
          <w:rFonts w:cs="Arial"/>
        </w:rPr>
        <w:t>)</w:t>
      </w:r>
      <w:r w:rsidR="00A23207">
        <w:rPr>
          <w:rFonts w:cs="Arial"/>
        </w:rPr>
        <w:t>. T</w:t>
      </w:r>
      <w:r w:rsidR="00826E96" w:rsidRPr="00830E78">
        <w:rPr>
          <w:rFonts w:cs="Arial"/>
        </w:rPr>
        <w:t xml:space="preserve">he </w:t>
      </w:r>
      <w:r w:rsidR="00AE084A">
        <w:rPr>
          <w:rFonts w:cs="Arial"/>
        </w:rPr>
        <w:t xml:space="preserve">two </w:t>
      </w:r>
      <w:r w:rsidR="00826E96" w:rsidRPr="00830E78">
        <w:rPr>
          <w:rFonts w:cs="Arial"/>
        </w:rPr>
        <w:t>prohibition</w:t>
      </w:r>
      <w:r w:rsidR="00685EDC">
        <w:rPr>
          <w:rFonts w:cs="Arial"/>
        </w:rPr>
        <w:t xml:space="preserve"> declaration</w:t>
      </w:r>
      <w:r w:rsidR="0033014B">
        <w:rPr>
          <w:rFonts w:cs="Arial"/>
        </w:rPr>
        <w:t>s</w:t>
      </w:r>
      <w:r w:rsidR="00826E96" w:rsidRPr="00830E78">
        <w:rPr>
          <w:rFonts w:cs="Arial"/>
        </w:rPr>
        <w:t xml:space="preserve"> work to </w:t>
      </w:r>
      <w:r w:rsidR="00925F90">
        <w:rPr>
          <w:rFonts w:cs="Arial"/>
        </w:rPr>
        <w:t xml:space="preserve">prevent the entry of </w:t>
      </w:r>
      <w:r w:rsidR="00BC17D2">
        <w:rPr>
          <w:rFonts w:cs="Arial"/>
        </w:rPr>
        <w:t xml:space="preserve">mobile phone and GPS </w:t>
      </w:r>
      <w:r w:rsidR="00826E96" w:rsidRPr="00830E78">
        <w:rPr>
          <w:rFonts w:cs="Arial"/>
        </w:rPr>
        <w:t xml:space="preserve">jamming devices </w:t>
      </w:r>
      <w:r w:rsidR="00925F90">
        <w:rPr>
          <w:rFonts w:cs="Arial"/>
        </w:rPr>
        <w:t xml:space="preserve">into </w:t>
      </w:r>
      <w:r w:rsidR="00826E96" w:rsidRPr="00830E78">
        <w:rPr>
          <w:rFonts w:cs="Arial"/>
        </w:rPr>
        <w:t>Australian supply chains</w:t>
      </w:r>
      <w:r>
        <w:rPr>
          <w:rFonts w:cs="Arial"/>
        </w:rPr>
        <w:t>;</w:t>
      </w:r>
      <w:r w:rsidR="00826E96" w:rsidRPr="00830E78">
        <w:rPr>
          <w:rFonts w:cs="Arial"/>
        </w:rPr>
        <w:t xml:space="preserve"> the </w:t>
      </w:r>
      <w:r w:rsidR="00AE084A">
        <w:rPr>
          <w:rFonts w:cs="Arial"/>
        </w:rPr>
        <w:t xml:space="preserve">ECM </w:t>
      </w:r>
      <w:r w:rsidR="00826E96" w:rsidRPr="00830E78">
        <w:rPr>
          <w:rFonts w:cs="Arial"/>
        </w:rPr>
        <w:t xml:space="preserve">exemption has the practical effect of authorising </w:t>
      </w:r>
      <w:r w:rsidR="00925F90">
        <w:rPr>
          <w:rFonts w:cs="Arial"/>
        </w:rPr>
        <w:t xml:space="preserve">importation and </w:t>
      </w:r>
      <w:r w:rsidR="00826E96" w:rsidRPr="00830E78">
        <w:rPr>
          <w:rFonts w:cs="Arial"/>
        </w:rPr>
        <w:t xml:space="preserve">use of </w:t>
      </w:r>
      <w:r w:rsidR="00BC17D2">
        <w:rPr>
          <w:rFonts w:cs="Arial"/>
        </w:rPr>
        <w:t xml:space="preserve">ECM devices—which may </w:t>
      </w:r>
      <w:r w:rsidR="00BC17D2">
        <w:rPr>
          <w:rFonts w:cs="Arial"/>
        </w:rPr>
        <w:lastRenderedPageBreak/>
        <w:t>be mobile phone or GPS jamming devices—</w:t>
      </w:r>
      <w:r w:rsidR="00587D42">
        <w:rPr>
          <w:rFonts w:cs="Arial"/>
        </w:rPr>
        <w:t xml:space="preserve">to facilitate </w:t>
      </w:r>
      <w:r w:rsidR="00826E96" w:rsidRPr="00830E78">
        <w:rPr>
          <w:rFonts w:cs="Arial"/>
        </w:rPr>
        <w:t xml:space="preserve">bomb disposal </w:t>
      </w:r>
      <w:r w:rsidR="00587D42">
        <w:rPr>
          <w:rFonts w:cs="Arial"/>
        </w:rPr>
        <w:t>operations by police</w:t>
      </w:r>
      <w:r w:rsidR="00826E96" w:rsidRPr="00830E78">
        <w:rPr>
          <w:rFonts w:cs="Arial"/>
        </w:rPr>
        <w:t>.</w:t>
      </w:r>
    </w:p>
    <w:p w14:paraId="2DAE4464" w14:textId="734800C4" w:rsidR="00F96416" w:rsidRDefault="00F96416" w:rsidP="00F96416">
      <w:pPr>
        <w:pStyle w:val="Heading2"/>
      </w:pPr>
      <w:bookmarkStart w:id="5" w:name="_Toc39570965"/>
      <w:r>
        <w:t>Impetus for review</w:t>
      </w:r>
      <w:bookmarkEnd w:id="5"/>
    </w:p>
    <w:p w14:paraId="7EDD37CE" w14:textId="3B567988" w:rsidR="006D2BBB" w:rsidRPr="00F2610E" w:rsidRDefault="006D2BBB" w:rsidP="005A25CF">
      <w:pPr>
        <w:pStyle w:val="Heading3"/>
      </w:pPr>
      <w:bookmarkStart w:id="6" w:name="_Toc39570966"/>
      <w:r w:rsidRPr="00F2610E">
        <w:t xml:space="preserve">Changes in technology </w:t>
      </w:r>
      <w:r w:rsidR="00B9756E" w:rsidRPr="00F2610E">
        <w:t>and industry</w:t>
      </w:r>
      <w:r w:rsidR="00772022">
        <w:t xml:space="preserve"> environment</w:t>
      </w:r>
      <w:bookmarkEnd w:id="6"/>
    </w:p>
    <w:p w14:paraId="11827A36" w14:textId="013BC1DC" w:rsidR="00F96416" w:rsidRDefault="00F96416" w:rsidP="00F96416">
      <w:pPr>
        <w:rPr>
          <w:rFonts w:cs="Arial"/>
        </w:rPr>
      </w:pPr>
      <w:r>
        <w:rPr>
          <w:rFonts w:cs="Arial"/>
        </w:rPr>
        <w:t>Given the dynamic technology and industry environment that the ACMA regulates, it is notable</w:t>
      </w:r>
      <w:r w:rsidRPr="00830E78">
        <w:rPr>
          <w:rFonts w:cs="Arial"/>
        </w:rPr>
        <w:t xml:space="preserve"> that the two prohibition declarations have remained relatively static for some time. The PMTS Jamming Device Prohibition was made in 2011</w:t>
      </w:r>
      <w:r>
        <w:rPr>
          <w:rFonts w:cs="Arial"/>
        </w:rPr>
        <w:t xml:space="preserve">. It </w:t>
      </w:r>
      <w:r w:rsidRPr="00830E78">
        <w:rPr>
          <w:rFonts w:cs="Arial"/>
        </w:rPr>
        <w:t>repeal</w:t>
      </w:r>
      <w:r>
        <w:rPr>
          <w:rFonts w:cs="Arial"/>
        </w:rPr>
        <w:t>ed</w:t>
      </w:r>
      <w:r w:rsidRPr="00830E78">
        <w:rPr>
          <w:rFonts w:cs="Arial"/>
        </w:rPr>
        <w:t xml:space="preserve"> the </w:t>
      </w:r>
      <w:r>
        <w:rPr>
          <w:rFonts w:cs="Arial"/>
        </w:rPr>
        <w:t>‘</w:t>
      </w:r>
      <w:r w:rsidRPr="00830E78">
        <w:rPr>
          <w:rFonts w:cs="Arial"/>
        </w:rPr>
        <w:t>Mobile Phone Jammer Prohibition</w:t>
      </w:r>
      <w:r>
        <w:rPr>
          <w:rFonts w:cs="Arial"/>
        </w:rPr>
        <w:t>’</w:t>
      </w:r>
      <w:r w:rsidRPr="00830E78">
        <w:rPr>
          <w:rFonts w:cs="Arial"/>
        </w:rPr>
        <w:t>,</w:t>
      </w:r>
      <w:r w:rsidRPr="00495A5D">
        <w:rPr>
          <w:rFonts w:cs="Arial"/>
          <w:vertAlign w:val="superscript"/>
        </w:rPr>
        <w:footnoteReference w:id="4"/>
      </w:r>
      <w:r w:rsidRPr="00830E78">
        <w:rPr>
          <w:rFonts w:cs="Arial"/>
        </w:rPr>
        <w:t xml:space="preserve"> </w:t>
      </w:r>
      <w:r>
        <w:rPr>
          <w:rFonts w:cs="Arial"/>
        </w:rPr>
        <w:t xml:space="preserve">and </w:t>
      </w:r>
      <w:r w:rsidRPr="00830E78">
        <w:rPr>
          <w:rFonts w:cs="Arial"/>
        </w:rPr>
        <w:t>significantly broaden</w:t>
      </w:r>
      <w:r>
        <w:rPr>
          <w:rFonts w:cs="Arial"/>
        </w:rPr>
        <w:t xml:space="preserve">ed </w:t>
      </w:r>
      <w:r w:rsidRPr="00830E78">
        <w:rPr>
          <w:rFonts w:cs="Arial"/>
        </w:rPr>
        <w:t xml:space="preserve">the range of devices </w:t>
      </w:r>
      <w:r w:rsidR="00A81AFF">
        <w:rPr>
          <w:rFonts w:cs="Arial"/>
        </w:rPr>
        <w:t>covered</w:t>
      </w:r>
      <w:r w:rsidR="00A81AFF" w:rsidRPr="00830E78">
        <w:rPr>
          <w:rFonts w:cs="Arial"/>
        </w:rPr>
        <w:t xml:space="preserve"> </w:t>
      </w:r>
      <w:r w:rsidRPr="00830E78">
        <w:rPr>
          <w:rFonts w:cs="Arial"/>
        </w:rPr>
        <w:t>by the prohibition by not restricting application of the instrument to devices operating on specified frequency bands. When it rep</w:t>
      </w:r>
      <w:r w:rsidR="00F93490">
        <w:rPr>
          <w:rFonts w:cs="Arial"/>
        </w:rPr>
        <w:t>lac</w:t>
      </w:r>
      <w:r w:rsidRPr="00830E78">
        <w:rPr>
          <w:rFonts w:cs="Arial"/>
        </w:rPr>
        <w:t xml:space="preserve">ed its 2004 precursor instrument, the RNSS Jamming Device Prohibition did not undergo any substantive change. </w:t>
      </w:r>
    </w:p>
    <w:p w14:paraId="559720D7" w14:textId="4DE35A61" w:rsidR="00F96416" w:rsidRPr="00A91A13" w:rsidRDefault="00F96416" w:rsidP="00F96416">
      <w:pPr>
        <w:rPr>
          <w:rFonts w:cs="Arial"/>
        </w:rPr>
      </w:pPr>
      <w:r>
        <w:rPr>
          <w:rFonts w:cs="Arial"/>
        </w:rPr>
        <w:t>The scope of the relevant exemption and prohibition provisions in the Act has been unchanged since the Act</w:t>
      </w:r>
      <w:r w:rsidR="00A81AFF">
        <w:rPr>
          <w:rFonts w:cs="Arial"/>
        </w:rPr>
        <w:t xml:space="preserve"> began</w:t>
      </w:r>
      <w:r>
        <w:rPr>
          <w:rFonts w:cs="Arial"/>
        </w:rPr>
        <w:t xml:space="preserve"> in 1992 and </w:t>
      </w:r>
      <w:r w:rsidR="00F93490">
        <w:rPr>
          <w:rFonts w:cs="Arial"/>
        </w:rPr>
        <w:t>is</w:t>
      </w:r>
      <w:r>
        <w:rPr>
          <w:rFonts w:cs="Arial"/>
        </w:rPr>
        <w:t xml:space="preserve"> relatively unchanged from the </w:t>
      </w:r>
      <w:r>
        <w:rPr>
          <w:rFonts w:cs="Arial"/>
          <w:i/>
          <w:iCs/>
        </w:rPr>
        <w:t>Radiocommunications Act 1983</w:t>
      </w:r>
      <w:r>
        <w:rPr>
          <w:rFonts w:cs="Arial"/>
        </w:rPr>
        <w:t>.</w:t>
      </w:r>
    </w:p>
    <w:p w14:paraId="21D3ACED" w14:textId="6B6F4C13" w:rsidR="00F96416" w:rsidRPr="00830E78" w:rsidRDefault="00F96416" w:rsidP="00F96416">
      <w:pPr>
        <w:rPr>
          <w:rFonts w:cs="Arial"/>
        </w:rPr>
      </w:pPr>
      <w:r>
        <w:rPr>
          <w:rFonts w:cs="Arial"/>
        </w:rPr>
        <w:t xml:space="preserve">Given </w:t>
      </w:r>
      <w:r w:rsidR="003E4276">
        <w:rPr>
          <w:rFonts w:cs="Arial"/>
        </w:rPr>
        <w:t xml:space="preserve">the </w:t>
      </w:r>
      <w:r>
        <w:rPr>
          <w:rFonts w:cs="Arial"/>
        </w:rPr>
        <w:t xml:space="preserve">changes and advancements made across the communications and other sectors </w:t>
      </w:r>
      <w:r w:rsidR="00A81AFF">
        <w:rPr>
          <w:rFonts w:cs="Arial"/>
        </w:rPr>
        <w:t>since</w:t>
      </w:r>
      <w:r>
        <w:rPr>
          <w:rFonts w:cs="Arial"/>
        </w:rPr>
        <w:t>, we</w:t>
      </w:r>
      <w:r w:rsidRPr="00830E78">
        <w:rPr>
          <w:rFonts w:cs="Arial"/>
        </w:rPr>
        <w:t xml:space="preserve"> consider it useful to ask whether the range of devices to which prohibition declarations apply remain appropriate.</w:t>
      </w:r>
      <w:r>
        <w:rPr>
          <w:rFonts w:cs="Arial"/>
        </w:rPr>
        <w:t xml:space="preserve"> </w:t>
      </w:r>
      <w:r w:rsidR="00A81AFF">
        <w:rPr>
          <w:rFonts w:cs="Arial"/>
        </w:rPr>
        <w:t>Most of</w:t>
      </w:r>
      <w:r>
        <w:rPr>
          <w:rFonts w:cs="Arial"/>
        </w:rPr>
        <w:t xml:space="preserve"> the instruments under the framework will sunset over the next few years, and we consider that a thematic review of these instruments should </w:t>
      </w:r>
      <w:r w:rsidR="003E4276">
        <w:rPr>
          <w:rFonts w:cs="Arial"/>
        </w:rPr>
        <w:t>take place</w:t>
      </w:r>
      <w:r>
        <w:rPr>
          <w:rFonts w:cs="Arial"/>
        </w:rPr>
        <w:t xml:space="preserve"> within a broader review of the framework in which they operate.</w:t>
      </w:r>
    </w:p>
    <w:p w14:paraId="1C0F4152" w14:textId="19A8DEFF" w:rsidR="00E66CE4" w:rsidRDefault="00F96416" w:rsidP="00F96416">
      <w:pPr>
        <w:rPr>
          <w:rFonts w:cs="Arial"/>
        </w:rPr>
      </w:pPr>
      <w:r>
        <w:rPr>
          <w:rFonts w:cs="Arial"/>
        </w:rPr>
        <w:t>S</w:t>
      </w:r>
      <w:r w:rsidRPr="00830E78">
        <w:rPr>
          <w:rFonts w:cs="Arial"/>
        </w:rPr>
        <w:t xml:space="preserve">takeholders are approaching </w:t>
      </w:r>
      <w:r>
        <w:rPr>
          <w:rFonts w:cs="Arial"/>
        </w:rPr>
        <w:t xml:space="preserve">us </w:t>
      </w:r>
      <w:r w:rsidR="003F06D6">
        <w:rPr>
          <w:rFonts w:cs="Arial"/>
        </w:rPr>
        <w:t xml:space="preserve">about </w:t>
      </w:r>
      <w:r>
        <w:rPr>
          <w:rFonts w:cs="Arial"/>
        </w:rPr>
        <w:t xml:space="preserve">exemptions </w:t>
      </w:r>
      <w:r w:rsidRPr="00830E78">
        <w:rPr>
          <w:rFonts w:cs="Arial"/>
        </w:rPr>
        <w:t xml:space="preserve">more frequently, and </w:t>
      </w:r>
      <w:r w:rsidR="003F06D6">
        <w:rPr>
          <w:rFonts w:cs="Arial"/>
        </w:rPr>
        <w:t>for</w:t>
      </w:r>
      <w:r w:rsidRPr="00830E78">
        <w:rPr>
          <w:rFonts w:cs="Arial"/>
        </w:rPr>
        <w:t xml:space="preserve"> a wider range of activities.</w:t>
      </w:r>
      <w:r w:rsidR="0071670C">
        <w:rPr>
          <w:rFonts w:cs="Arial"/>
        </w:rPr>
        <w:t xml:space="preserve"> Some of these approaches involve devices that </w:t>
      </w:r>
      <w:r w:rsidR="0046520A">
        <w:rPr>
          <w:rFonts w:cs="Arial"/>
        </w:rPr>
        <w:t xml:space="preserve">may </w:t>
      </w:r>
      <w:r w:rsidR="0071670C">
        <w:rPr>
          <w:rFonts w:cs="Arial"/>
        </w:rPr>
        <w:t xml:space="preserve">not </w:t>
      </w:r>
      <w:r w:rsidR="0046520A">
        <w:rPr>
          <w:rFonts w:cs="Arial"/>
        </w:rPr>
        <w:t xml:space="preserve">be </w:t>
      </w:r>
      <w:r w:rsidR="0071670C">
        <w:rPr>
          <w:rFonts w:cs="Arial"/>
        </w:rPr>
        <w:t>expressly contemplated by either of the two prohibition declaration</w:t>
      </w:r>
      <w:r w:rsidR="00772022">
        <w:rPr>
          <w:rFonts w:cs="Arial"/>
        </w:rPr>
        <w:t>s</w:t>
      </w:r>
      <w:r w:rsidR="0071670C">
        <w:rPr>
          <w:rFonts w:cs="Arial"/>
        </w:rPr>
        <w:t>,</w:t>
      </w:r>
      <w:r w:rsidR="00054A14">
        <w:rPr>
          <w:rFonts w:cs="Arial"/>
        </w:rPr>
        <w:t xml:space="preserve"> or </w:t>
      </w:r>
      <w:r w:rsidR="00772022">
        <w:rPr>
          <w:rFonts w:cs="Arial"/>
        </w:rPr>
        <w:t xml:space="preserve">involve </w:t>
      </w:r>
      <w:r w:rsidR="003F06D6">
        <w:rPr>
          <w:rFonts w:cs="Arial"/>
        </w:rPr>
        <w:t xml:space="preserve">a beneficial </w:t>
      </w:r>
      <w:r w:rsidR="00054A14">
        <w:rPr>
          <w:rFonts w:cs="Arial"/>
        </w:rPr>
        <w:t xml:space="preserve">use of </w:t>
      </w:r>
      <w:r w:rsidR="0018042C">
        <w:rPr>
          <w:rFonts w:cs="Arial"/>
        </w:rPr>
        <w:t>prohibited devices.</w:t>
      </w:r>
      <w:r w:rsidRPr="00830E78">
        <w:rPr>
          <w:rFonts w:cs="Arial"/>
        </w:rPr>
        <w:t xml:space="preserve"> </w:t>
      </w:r>
    </w:p>
    <w:p w14:paraId="509DCB40" w14:textId="5B0F76DB" w:rsidR="00F96416" w:rsidRDefault="00F96416" w:rsidP="00F96416">
      <w:pPr>
        <w:rPr>
          <w:rFonts w:cs="Arial"/>
        </w:rPr>
      </w:pPr>
      <w:r w:rsidRPr="00830E78">
        <w:rPr>
          <w:rFonts w:cs="Arial"/>
        </w:rPr>
        <w:t>Stakeholders have also noted that the number and frequency of exemption determinations is growing.</w:t>
      </w:r>
      <w:r w:rsidRPr="00495A5D">
        <w:rPr>
          <w:rFonts w:cs="Arial"/>
          <w:vertAlign w:val="superscript"/>
        </w:rPr>
        <w:footnoteReference w:id="5"/>
      </w:r>
      <w:r w:rsidRPr="00830E78">
        <w:rPr>
          <w:rFonts w:cs="Arial"/>
        </w:rPr>
        <w:t xml:space="preserve"> </w:t>
      </w:r>
      <w:r>
        <w:rPr>
          <w:rFonts w:cs="Arial"/>
        </w:rPr>
        <w:t>While t</w:t>
      </w:r>
      <w:r w:rsidRPr="00830E78">
        <w:rPr>
          <w:rFonts w:cs="Arial"/>
        </w:rPr>
        <w:t xml:space="preserve">here </w:t>
      </w:r>
      <w:r>
        <w:rPr>
          <w:rFonts w:cs="Arial"/>
        </w:rPr>
        <w:t>is</w:t>
      </w:r>
      <w:r w:rsidRPr="00830E78">
        <w:rPr>
          <w:rFonts w:cs="Arial"/>
        </w:rPr>
        <w:t xml:space="preserve"> a wide range of factors </w:t>
      </w:r>
      <w:r>
        <w:rPr>
          <w:rFonts w:cs="Arial"/>
        </w:rPr>
        <w:t xml:space="preserve">contributing to </w:t>
      </w:r>
      <w:r w:rsidRPr="00830E78">
        <w:rPr>
          <w:rFonts w:cs="Arial"/>
        </w:rPr>
        <w:t xml:space="preserve">this, </w:t>
      </w:r>
      <w:r>
        <w:rPr>
          <w:rFonts w:cs="Arial"/>
        </w:rPr>
        <w:t xml:space="preserve">one </w:t>
      </w:r>
      <w:r w:rsidRPr="00830E78">
        <w:rPr>
          <w:rFonts w:cs="Arial"/>
        </w:rPr>
        <w:t xml:space="preserve">outcome has been a perception held by some stakeholders that </w:t>
      </w:r>
      <w:r>
        <w:rPr>
          <w:rFonts w:cs="Arial"/>
        </w:rPr>
        <w:t>the exemption framework, as well as the ACMA’s approach to it, could be improved</w:t>
      </w:r>
      <w:r w:rsidRPr="00830E78">
        <w:rPr>
          <w:rFonts w:cs="Arial"/>
        </w:rPr>
        <w:t>.</w:t>
      </w:r>
      <w:r w:rsidRPr="00495A5D">
        <w:rPr>
          <w:rFonts w:cs="Arial"/>
          <w:vertAlign w:val="superscript"/>
        </w:rPr>
        <w:footnoteReference w:id="6"/>
      </w:r>
      <w:r w:rsidRPr="00830E78">
        <w:rPr>
          <w:rFonts w:cs="Arial"/>
        </w:rPr>
        <w:t xml:space="preserve"> </w:t>
      </w:r>
    </w:p>
    <w:p w14:paraId="7A4B081F" w14:textId="59712434" w:rsidR="003E1E6B" w:rsidRPr="000A30C7" w:rsidRDefault="00F96416" w:rsidP="00826E96">
      <w:pPr>
        <w:rPr>
          <w:rFonts w:cs="Arial"/>
        </w:rPr>
      </w:pPr>
      <w:r>
        <w:rPr>
          <w:rFonts w:cs="Arial"/>
        </w:rPr>
        <w:t>These observations have prompted us to seek views from stakeholders on ways in which</w:t>
      </w:r>
      <w:r w:rsidRPr="00830E78">
        <w:rPr>
          <w:rFonts w:cs="Arial"/>
        </w:rPr>
        <w:t xml:space="preserve"> the prohibition and exemption </w:t>
      </w:r>
      <w:r>
        <w:rPr>
          <w:rFonts w:cs="Arial"/>
        </w:rPr>
        <w:t xml:space="preserve">framework </w:t>
      </w:r>
      <w:r w:rsidRPr="00830E78">
        <w:rPr>
          <w:rFonts w:cs="Arial"/>
        </w:rPr>
        <w:t xml:space="preserve">could be more optimally </w:t>
      </w:r>
      <w:r>
        <w:rPr>
          <w:rFonts w:cs="Arial"/>
        </w:rPr>
        <w:t xml:space="preserve">configured </w:t>
      </w:r>
      <w:r w:rsidRPr="00830E78">
        <w:rPr>
          <w:rFonts w:cs="Arial"/>
        </w:rPr>
        <w:t xml:space="preserve">to </w:t>
      </w:r>
      <w:r w:rsidRPr="000A30C7">
        <w:rPr>
          <w:rFonts w:cs="Arial"/>
        </w:rPr>
        <w:t>deliver broader and more targeted benefits.</w:t>
      </w:r>
    </w:p>
    <w:p w14:paraId="24535421" w14:textId="311FE268" w:rsidR="003C4630" w:rsidRPr="000A30C7" w:rsidRDefault="003C4630" w:rsidP="00340BC5">
      <w:pPr>
        <w:pStyle w:val="Heading3"/>
      </w:pPr>
      <w:bookmarkStart w:id="7" w:name="_Toc39570967"/>
      <w:r w:rsidRPr="000A30C7">
        <w:t>Overinclusivity and underinclusivity</w:t>
      </w:r>
      <w:bookmarkEnd w:id="7"/>
    </w:p>
    <w:p w14:paraId="6A10BEAB" w14:textId="7D4FE332" w:rsidR="00F2610E" w:rsidRDefault="003C4630" w:rsidP="00E325A7">
      <w:r w:rsidRPr="000A30C7">
        <w:rPr>
          <w:rFonts w:cs="Arial"/>
        </w:rPr>
        <w:t>Changes in</w:t>
      </w:r>
      <w:r w:rsidR="008B473F">
        <w:rPr>
          <w:rFonts w:cs="Arial"/>
        </w:rPr>
        <w:t xml:space="preserve"> the</w:t>
      </w:r>
      <w:r w:rsidRPr="000A30C7">
        <w:rPr>
          <w:rFonts w:cs="Arial"/>
        </w:rPr>
        <w:t xml:space="preserve"> technology and industry environment can mean that, over time, aspects of regulatory frameworks can potentially become overinclusive or underinclusive.  </w:t>
      </w:r>
    </w:p>
    <w:p w14:paraId="49563F49" w14:textId="77777777" w:rsidR="003C4630" w:rsidRPr="000A30C7" w:rsidRDefault="003C4630" w:rsidP="003C4630">
      <w:pPr>
        <w:pStyle w:val="BodySubHeader"/>
        <w:rPr>
          <w:rFonts w:cs="Arial"/>
        </w:rPr>
      </w:pPr>
      <w:r w:rsidRPr="000A30C7">
        <w:rPr>
          <w:rFonts w:cs="Arial"/>
        </w:rPr>
        <w:t>Overinclusivity</w:t>
      </w:r>
    </w:p>
    <w:p w14:paraId="0CC6AA97" w14:textId="1044DA24" w:rsidR="003C4630" w:rsidRPr="000A30C7" w:rsidRDefault="003C4630" w:rsidP="003C4630">
      <w:pPr>
        <w:rPr>
          <w:rFonts w:cs="Arial"/>
        </w:rPr>
      </w:pPr>
      <w:r w:rsidRPr="000A30C7">
        <w:rPr>
          <w:rFonts w:cs="Arial"/>
          <w:i/>
          <w:iCs/>
        </w:rPr>
        <w:t>Overinclusivity</w:t>
      </w:r>
      <w:r w:rsidRPr="000A30C7">
        <w:rPr>
          <w:rFonts w:cs="Arial"/>
        </w:rPr>
        <w:t xml:space="preserve"> is a source of regulatory inefficiency where, over time, the scope of legislation or regulation expands to encompass activities that were not initially </w:t>
      </w:r>
      <w:r w:rsidRPr="000A30C7">
        <w:rPr>
          <w:rFonts w:cs="Arial"/>
        </w:rPr>
        <w:lastRenderedPageBreak/>
        <w:t>contemplated or intended.</w:t>
      </w:r>
      <w:r w:rsidRPr="000A30C7">
        <w:rPr>
          <w:rFonts w:cs="Arial"/>
          <w:vertAlign w:val="superscript"/>
        </w:rPr>
        <w:footnoteReference w:id="7"/>
      </w:r>
      <w:r w:rsidRPr="000A30C7">
        <w:rPr>
          <w:rFonts w:cs="Arial"/>
        </w:rPr>
        <w:t xml:space="preserve"> Overinclusivity may be brought about by changes in technology, the market or in government policy. </w:t>
      </w:r>
    </w:p>
    <w:p w14:paraId="3C8B18E1" w14:textId="11997232" w:rsidR="003C4630" w:rsidRPr="000A30C7" w:rsidRDefault="003C4630" w:rsidP="003C4630">
      <w:pPr>
        <w:rPr>
          <w:rFonts w:cs="Arial"/>
        </w:rPr>
      </w:pPr>
      <w:r w:rsidRPr="000A30C7">
        <w:rPr>
          <w:rFonts w:cs="Arial"/>
        </w:rPr>
        <w:t xml:space="preserve">Regulations that are overly inclusive can become difficult and costly for regulated entities to interpret and </w:t>
      </w:r>
      <w:r w:rsidR="003E4276" w:rsidRPr="000A30C7">
        <w:rPr>
          <w:rFonts w:cs="Arial"/>
        </w:rPr>
        <w:t>apply</w:t>
      </w:r>
      <w:r w:rsidR="0048299E">
        <w:rPr>
          <w:rFonts w:cs="Arial"/>
        </w:rPr>
        <w:t>,</w:t>
      </w:r>
      <w:r w:rsidR="003E4276" w:rsidRPr="000A30C7">
        <w:rPr>
          <w:rFonts w:cs="Arial"/>
        </w:rPr>
        <w:t xml:space="preserve"> and</w:t>
      </w:r>
      <w:r w:rsidRPr="000A30C7">
        <w:rPr>
          <w:rFonts w:cs="Arial"/>
        </w:rPr>
        <w:t xml:space="preserve"> can potentially stifle the development and deployment of innovative technologies, or prevent achieving other commercial and public purpose outcomes. </w:t>
      </w:r>
    </w:p>
    <w:p w14:paraId="3F464827" w14:textId="46BEB0C5" w:rsidR="003C4630" w:rsidRPr="000A30C7" w:rsidRDefault="003C4630" w:rsidP="003C4630">
      <w:pPr>
        <w:rPr>
          <w:rFonts w:cs="Arial"/>
        </w:rPr>
      </w:pPr>
      <w:r w:rsidRPr="000A30C7">
        <w:rPr>
          <w:rFonts w:cs="Arial"/>
        </w:rPr>
        <w:t>In the prohibition and exemption framework context, for example, overinclusivity can hamper the delivery of valuable services (such as the deployment of RNSS repeaters)</w:t>
      </w:r>
      <w:r w:rsidR="000B160F" w:rsidRPr="000A30C7">
        <w:rPr>
          <w:rFonts w:cs="Arial"/>
        </w:rPr>
        <w:t xml:space="preserve"> or the use of beneficial devices (</w:t>
      </w:r>
      <w:r w:rsidR="0048299E">
        <w:rPr>
          <w:rFonts w:cs="Arial"/>
        </w:rPr>
        <w:t>such as</w:t>
      </w:r>
      <w:r w:rsidR="000B160F" w:rsidRPr="000A30C7">
        <w:rPr>
          <w:rFonts w:cs="Arial"/>
        </w:rPr>
        <w:t xml:space="preserve"> pseudolites—see below).</w:t>
      </w:r>
    </w:p>
    <w:p w14:paraId="064AE6E6" w14:textId="77777777" w:rsidR="003C4630" w:rsidRPr="000A30C7" w:rsidRDefault="003C4630" w:rsidP="003C4630">
      <w:pPr>
        <w:pStyle w:val="BodySubHeader"/>
        <w:rPr>
          <w:rFonts w:cs="Arial"/>
        </w:rPr>
      </w:pPr>
      <w:r w:rsidRPr="000A30C7">
        <w:rPr>
          <w:rFonts w:cs="Arial"/>
        </w:rPr>
        <w:t>Underinclusivity</w:t>
      </w:r>
    </w:p>
    <w:p w14:paraId="0288BA29" w14:textId="77777777" w:rsidR="003C4630" w:rsidRPr="000A30C7" w:rsidRDefault="003C4630" w:rsidP="003C4630">
      <w:pPr>
        <w:rPr>
          <w:rFonts w:cs="Arial"/>
        </w:rPr>
      </w:pPr>
      <w:r w:rsidRPr="000A30C7">
        <w:rPr>
          <w:rFonts w:cs="Arial"/>
          <w:i/>
          <w:iCs/>
        </w:rPr>
        <w:t>Underinclusivity</w:t>
      </w:r>
      <w:r w:rsidRPr="000A30C7">
        <w:rPr>
          <w:rFonts w:cs="Arial"/>
        </w:rPr>
        <w:t xml:space="preserve"> involves regulations that, over time, may no longer comprehensively identify and capture the range of intended behaviours and activities. Underinclusive regulations can result in certain harms not being effectively identified and treated.</w:t>
      </w:r>
    </w:p>
    <w:p w14:paraId="525A57A3" w14:textId="1A01872D" w:rsidR="003C4630" w:rsidRDefault="003C4630" w:rsidP="003C4630">
      <w:r w:rsidRPr="000A30C7">
        <w:rPr>
          <w:rFonts w:cs="Arial"/>
        </w:rPr>
        <w:t xml:space="preserve">There may be transaction, decision and error costs associated with under- and overinclusivity for regulators and for regulated entities alike. </w:t>
      </w:r>
      <w:r w:rsidRPr="000A30C7">
        <w:t>Error costs can be understood as the social losses from both ‘false negatives’ (failure to restrict undesirable activities) and ‘false positives’ (incidentally restricting desirable activities). Decision costs can be understood as costs incurred by regulators and regulated entities in developing, interpreting, and complying with rules that, while intended to be nuanced and to reduce errors, can become overly complex in the process.</w:t>
      </w:r>
      <w:r w:rsidRPr="000A30C7">
        <w:rPr>
          <w:rFonts w:cs="Arial"/>
          <w:vertAlign w:val="superscript"/>
        </w:rPr>
        <w:footnoteReference w:id="8"/>
      </w:r>
    </w:p>
    <w:p w14:paraId="47AB7900" w14:textId="05B32E2E" w:rsidR="00FE1801" w:rsidRDefault="00D81F60" w:rsidP="003C4630">
      <w:pPr>
        <w:rPr>
          <w:rFonts w:cs="Arial"/>
        </w:rPr>
      </w:pPr>
      <w:r>
        <w:rPr>
          <w:rFonts w:cs="Arial"/>
        </w:rPr>
        <w:t xml:space="preserve">In the discussion below, we have identified a </w:t>
      </w:r>
      <w:r w:rsidR="000364D2">
        <w:rPr>
          <w:rFonts w:cs="Arial"/>
        </w:rPr>
        <w:t xml:space="preserve">range of devices </w:t>
      </w:r>
      <w:r w:rsidR="001024C6">
        <w:rPr>
          <w:rFonts w:cs="Arial"/>
        </w:rPr>
        <w:t>(</w:t>
      </w:r>
      <w:r w:rsidR="0048299E">
        <w:rPr>
          <w:rFonts w:cs="Arial"/>
        </w:rPr>
        <w:t>for example,</w:t>
      </w:r>
      <w:r w:rsidR="001024C6">
        <w:rPr>
          <w:rFonts w:cs="Arial"/>
        </w:rPr>
        <w:t xml:space="preserve"> </w:t>
      </w:r>
      <w:r w:rsidR="0048299E">
        <w:rPr>
          <w:rFonts w:cs="Arial"/>
        </w:rPr>
        <w:t>w</w:t>
      </w:r>
      <w:r w:rsidR="001024C6">
        <w:rPr>
          <w:rFonts w:cs="Arial"/>
        </w:rPr>
        <w:t>i-</w:t>
      </w:r>
      <w:r w:rsidR="0048299E">
        <w:rPr>
          <w:rFonts w:cs="Arial"/>
        </w:rPr>
        <w:t>f</w:t>
      </w:r>
      <w:r w:rsidR="001024C6">
        <w:rPr>
          <w:rFonts w:cs="Arial"/>
        </w:rPr>
        <w:t xml:space="preserve">i jamming devices) </w:t>
      </w:r>
      <w:r w:rsidR="000364D2">
        <w:rPr>
          <w:rFonts w:cs="Arial"/>
        </w:rPr>
        <w:t xml:space="preserve">that are not </w:t>
      </w:r>
      <w:r w:rsidR="002C4B60">
        <w:rPr>
          <w:rFonts w:cs="Arial"/>
        </w:rPr>
        <w:t xml:space="preserve">expressly prohibited by </w:t>
      </w:r>
      <w:r w:rsidR="000364D2">
        <w:rPr>
          <w:rFonts w:cs="Arial"/>
        </w:rPr>
        <w:t xml:space="preserve">the existing </w:t>
      </w:r>
      <w:r w:rsidR="009E0E49">
        <w:rPr>
          <w:rFonts w:cs="Arial"/>
        </w:rPr>
        <w:t>prohibition declarations</w:t>
      </w:r>
      <w:r w:rsidR="000C7E76">
        <w:rPr>
          <w:rFonts w:cs="Arial"/>
        </w:rPr>
        <w:t xml:space="preserve">, and </w:t>
      </w:r>
      <w:r w:rsidR="0024541F">
        <w:rPr>
          <w:rFonts w:cs="Arial"/>
        </w:rPr>
        <w:t xml:space="preserve">set out </w:t>
      </w:r>
      <w:r w:rsidR="00EE24E9">
        <w:rPr>
          <w:rFonts w:cs="Arial"/>
        </w:rPr>
        <w:t>some of the issues surrounding the regulatory status of these devices.</w:t>
      </w:r>
    </w:p>
    <w:tbl>
      <w:tblPr>
        <w:tblStyle w:val="TableGrid"/>
        <w:tblpPr w:leftFromText="180" w:rightFromText="180" w:vertAnchor="text" w:horzAnchor="margin" w:tblpY="132"/>
        <w:tblW w:w="0" w:type="auto"/>
        <w:tblLook w:val="04A0" w:firstRow="1" w:lastRow="0" w:firstColumn="1" w:lastColumn="0" w:noHBand="0" w:noVBand="1"/>
      </w:tblPr>
      <w:tblGrid>
        <w:gridCol w:w="7661"/>
      </w:tblGrid>
      <w:tr w:rsidR="003C4630" w14:paraId="2C45C579" w14:textId="77777777" w:rsidTr="00F2610E">
        <w:tc>
          <w:tcPr>
            <w:tcW w:w="7661" w:type="dxa"/>
            <w:shd w:val="clear" w:color="auto" w:fill="F2F2F2" w:themeFill="background1" w:themeFillShade="F2"/>
          </w:tcPr>
          <w:p w14:paraId="7B357FAE" w14:textId="77777777" w:rsidR="005F4CB1" w:rsidRDefault="005F4CB1" w:rsidP="00387686">
            <w:pPr>
              <w:spacing w:after="80"/>
              <w:rPr>
                <w:rFonts w:cs="Arial"/>
                <w:b/>
                <w:bCs/>
              </w:rPr>
            </w:pPr>
            <w:bookmarkStart w:id="8" w:name="_Hlk14768666"/>
            <w:r>
              <w:rPr>
                <w:rFonts w:cs="Arial"/>
                <w:b/>
                <w:bCs/>
              </w:rPr>
              <w:t>Issue for comment</w:t>
            </w:r>
          </w:p>
          <w:p w14:paraId="2907D366" w14:textId="364B20C9" w:rsidR="003C4630" w:rsidRPr="005C5AC5" w:rsidRDefault="003C4630" w:rsidP="002D48FE">
            <w:pPr>
              <w:numPr>
                <w:ilvl w:val="0"/>
                <w:numId w:val="16"/>
              </w:numPr>
              <w:spacing w:after="60"/>
              <w:rPr>
                <w:rFonts w:cs="Arial"/>
                <w:b/>
                <w:bCs/>
              </w:rPr>
            </w:pPr>
            <w:r w:rsidRPr="005C5AC5">
              <w:rPr>
                <w:rFonts w:cs="Arial"/>
                <w:b/>
                <w:bCs/>
              </w:rPr>
              <w:t xml:space="preserve">What </w:t>
            </w:r>
            <w:r w:rsidR="00D964A8">
              <w:rPr>
                <w:rFonts w:cs="Arial"/>
                <w:b/>
                <w:bCs/>
              </w:rPr>
              <w:t xml:space="preserve">changes in technology, and </w:t>
            </w:r>
            <w:r w:rsidRPr="005C5AC5">
              <w:rPr>
                <w:rFonts w:cs="Arial"/>
                <w:b/>
                <w:bCs/>
              </w:rPr>
              <w:t>developments in the communications and broader environment</w:t>
            </w:r>
            <w:r w:rsidR="00D964A8">
              <w:rPr>
                <w:rFonts w:cs="Arial"/>
                <w:b/>
                <w:bCs/>
              </w:rPr>
              <w:t>,</w:t>
            </w:r>
            <w:r w:rsidRPr="005C5AC5">
              <w:rPr>
                <w:rFonts w:cs="Arial"/>
                <w:b/>
                <w:bCs/>
              </w:rPr>
              <w:t xml:space="preserve"> are likely to put pressure on the prohibition and exemption framework?</w:t>
            </w:r>
            <w:bookmarkEnd w:id="8"/>
          </w:p>
        </w:tc>
      </w:tr>
    </w:tbl>
    <w:p w14:paraId="012C40C5" w14:textId="1362B3FA" w:rsidR="00C40A4E" w:rsidRPr="00C21CCC" w:rsidRDefault="00C40A4E" w:rsidP="00387686">
      <w:pPr>
        <w:pStyle w:val="Heading3"/>
        <w:spacing w:before="240"/>
      </w:pPr>
      <w:bookmarkStart w:id="9" w:name="_Toc39570968"/>
      <w:r w:rsidRPr="00F2610E">
        <w:t>Sunsetting instruments</w:t>
      </w:r>
      <w:bookmarkEnd w:id="9"/>
    </w:p>
    <w:p w14:paraId="6D29592A" w14:textId="0E7F5927" w:rsidR="001F0005" w:rsidRDefault="00F72BC9" w:rsidP="00C40A4E">
      <w:pPr>
        <w:rPr>
          <w:rFonts w:cs="Arial"/>
        </w:rPr>
      </w:pPr>
      <w:r w:rsidRPr="00830E78">
        <w:rPr>
          <w:rFonts w:cs="Arial"/>
        </w:rPr>
        <w:t>As legislative instruments</w:t>
      </w:r>
      <w:r w:rsidR="00BA3FAC">
        <w:rPr>
          <w:rFonts w:cs="Arial"/>
        </w:rPr>
        <w:t xml:space="preserve"> subject to the </w:t>
      </w:r>
      <w:r w:rsidR="00BA3FAC">
        <w:rPr>
          <w:rFonts w:cs="Arial"/>
          <w:i/>
          <w:iCs/>
        </w:rPr>
        <w:t>Legislation Act 2003</w:t>
      </w:r>
      <w:r w:rsidR="00BA3FAC">
        <w:rPr>
          <w:rFonts w:cs="Arial"/>
        </w:rPr>
        <w:t>,</w:t>
      </w:r>
      <w:r w:rsidRPr="00830E78">
        <w:rPr>
          <w:rFonts w:cs="Arial"/>
        </w:rPr>
        <w:t xml:space="preserve"> </w:t>
      </w:r>
      <w:r>
        <w:rPr>
          <w:rFonts w:cs="Arial"/>
        </w:rPr>
        <w:t xml:space="preserve">prohibition declarations and </w:t>
      </w:r>
      <w:r w:rsidR="00BA3FAC">
        <w:rPr>
          <w:rFonts w:cs="Arial"/>
        </w:rPr>
        <w:t xml:space="preserve">exemption </w:t>
      </w:r>
      <w:r w:rsidRPr="00830E78">
        <w:rPr>
          <w:rFonts w:cs="Arial"/>
        </w:rPr>
        <w:t>determinations are automatically repealed (sunsetted) 10 years after being registered</w:t>
      </w:r>
      <w:r w:rsidR="002B2869">
        <w:rPr>
          <w:rFonts w:cs="Arial"/>
        </w:rPr>
        <w:t xml:space="preserve"> (although some instruments are in force for a shorter, specified period)</w:t>
      </w:r>
      <w:r w:rsidR="00E27A72">
        <w:rPr>
          <w:rFonts w:cs="Arial"/>
        </w:rPr>
        <w:t xml:space="preserve"> on the Federal Register of Legislation</w:t>
      </w:r>
      <w:r w:rsidRPr="00830E78">
        <w:rPr>
          <w:rFonts w:cs="Arial"/>
        </w:rPr>
        <w:t>.</w:t>
      </w:r>
      <w:r w:rsidR="00C00E6C">
        <w:rPr>
          <w:rFonts w:cs="Arial"/>
        </w:rPr>
        <w:t xml:space="preserve"> </w:t>
      </w:r>
    </w:p>
    <w:p w14:paraId="6AEE3788" w14:textId="6A9E25BD" w:rsidR="001F0005" w:rsidRDefault="0048299E" w:rsidP="00835C34">
      <w:r>
        <w:t>Most</w:t>
      </w:r>
      <w:r w:rsidR="00080456">
        <w:t xml:space="preserve"> i</w:t>
      </w:r>
      <w:r w:rsidR="001F0005">
        <w:t xml:space="preserve">nstruments </w:t>
      </w:r>
      <w:r w:rsidR="00995602">
        <w:t xml:space="preserve">made by the ACMA </w:t>
      </w:r>
      <w:r w:rsidR="00F73585">
        <w:t>th</w:t>
      </w:r>
      <w:r w:rsidR="006649E9">
        <w:t>at</w:t>
      </w:r>
      <w:r w:rsidR="00F73585">
        <w:t xml:space="preserve"> comprise</w:t>
      </w:r>
      <w:r w:rsidR="001F0005">
        <w:t xml:space="preserve"> the prohibition and exemption framework </w:t>
      </w:r>
      <w:r>
        <w:t>for</w:t>
      </w:r>
      <w:r w:rsidR="00672C7A">
        <w:t xml:space="preserve"> PMTS jamming </w:t>
      </w:r>
      <w:r w:rsidR="00241783">
        <w:t xml:space="preserve">devices </w:t>
      </w:r>
      <w:r w:rsidR="004409C8">
        <w:t xml:space="preserve">were due to </w:t>
      </w:r>
      <w:r w:rsidR="001F0005">
        <w:t>sunset in 2020 or 2021</w:t>
      </w:r>
      <w:r w:rsidR="00B5482F">
        <w:t xml:space="preserve">. </w:t>
      </w:r>
      <w:r w:rsidR="00073F31">
        <w:rPr>
          <w:rFonts w:cs="Arial"/>
        </w:rPr>
        <w:t xml:space="preserve">However, </w:t>
      </w:r>
      <w:r>
        <w:rPr>
          <w:rFonts w:cs="Arial"/>
        </w:rPr>
        <w:t xml:space="preserve">under </w:t>
      </w:r>
      <w:r w:rsidR="00073F31">
        <w:rPr>
          <w:rFonts w:cs="Arial"/>
        </w:rPr>
        <w:t xml:space="preserve">section 51A of the </w:t>
      </w:r>
      <w:r w:rsidR="00073F31" w:rsidRPr="00D0220E">
        <w:rPr>
          <w:rFonts w:cs="Arial"/>
        </w:rPr>
        <w:t>Legislation Act</w:t>
      </w:r>
      <w:r>
        <w:rPr>
          <w:rFonts w:cs="Arial"/>
        </w:rPr>
        <w:t>,</w:t>
      </w:r>
      <w:r w:rsidR="00073F31">
        <w:rPr>
          <w:rFonts w:cs="Arial"/>
          <w:i/>
          <w:iCs/>
        </w:rPr>
        <w:t xml:space="preserve"> </w:t>
      </w:r>
      <w:r w:rsidR="00073F31">
        <w:rPr>
          <w:rFonts w:cs="Arial"/>
        </w:rPr>
        <w:t>the Attorney-General may align sunsetting of instruments</w:t>
      </w:r>
      <w:r w:rsidR="00073F31" w:rsidRPr="00BA3FAC">
        <w:rPr>
          <w:rFonts w:cs="Arial"/>
        </w:rPr>
        <w:t xml:space="preserve"> to facilitate </w:t>
      </w:r>
      <w:r>
        <w:rPr>
          <w:rFonts w:cs="Arial"/>
        </w:rPr>
        <w:t>an</w:t>
      </w:r>
      <w:r w:rsidRPr="00BA3FAC">
        <w:rPr>
          <w:rFonts w:cs="Arial"/>
        </w:rPr>
        <w:t xml:space="preserve"> </w:t>
      </w:r>
      <w:r w:rsidR="00073F31" w:rsidRPr="00BA3FAC">
        <w:rPr>
          <w:rFonts w:cs="Arial"/>
        </w:rPr>
        <w:t>efficient and effective thematic review into the fitness-for-purpose of instruments relevant to a particular industry, enabling Act or theme.</w:t>
      </w:r>
      <w:r w:rsidR="00073F31">
        <w:rPr>
          <w:rStyle w:val="FootnoteReference"/>
          <w:rFonts w:cs="Arial"/>
        </w:rPr>
        <w:footnoteReference w:id="9"/>
      </w:r>
      <w:r w:rsidR="00073F31">
        <w:rPr>
          <w:rFonts w:cs="Arial"/>
        </w:rPr>
        <w:t xml:space="preserve"> </w:t>
      </w:r>
      <w:r w:rsidR="00073F31">
        <w:t xml:space="preserve">Instead of expiring in 2020 and 2021, the </w:t>
      </w:r>
      <w:hyperlink r:id="rId31" w:history="1">
        <w:r w:rsidR="00073F31" w:rsidRPr="001F0005">
          <w:rPr>
            <w:rStyle w:val="Hyperlink"/>
          </w:rPr>
          <w:t xml:space="preserve">Legislation (Radiocommunications </w:t>
        </w:r>
        <w:r w:rsidR="00073F31" w:rsidRPr="001F0005">
          <w:rPr>
            <w:rStyle w:val="Hyperlink"/>
          </w:rPr>
          <w:lastRenderedPageBreak/>
          <w:t>Instruments) Sunset</w:t>
        </w:r>
        <w:r w:rsidR="00073F31" w:rsidRPr="001F0005">
          <w:rPr>
            <w:rStyle w:val="Hyperlink"/>
            <w:rFonts w:ascii="Cambria Math" w:hAnsi="Cambria Math" w:cs="Cambria Math"/>
          </w:rPr>
          <w:t>‑</w:t>
        </w:r>
        <w:r w:rsidR="00073F31" w:rsidRPr="001F0005">
          <w:rPr>
            <w:rStyle w:val="Hyperlink"/>
          </w:rPr>
          <w:t>altering Declaration 2018</w:t>
        </w:r>
      </w:hyperlink>
      <w:r w:rsidR="00073F31">
        <w:t>, made under subsection 51A(1) of the</w:t>
      </w:r>
      <w:r w:rsidR="00073F31">
        <w:rPr>
          <w:i/>
          <w:iCs/>
        </w:rPr>
        <w:t xml:space="preserve"> </w:t>
      </w:r>
      <w:r w:rsidR="00073F31" w:rsidRPr="00AD2271">
        <w:t>Legislation Act</w:t>
      </w:r>
      <w:r w:rsidR="00073F31" w:rsidRPr="000C010B">
        <w:t>,</w:t>
      </w:r>
      <w:r w:rsidR="00073F31">
        <w:t xml:space="preserve"> </w:t>
      </w:r>
      <w:r w:rsidR="008B7926">
        <w:t xml:space="preserve">enables </w:t>
      </w:r>
      <w:r w:rsidR="00073F31">
        <w:t>the</w:t>
      </w:r>
      <w:r w:rsidR="007F3E0E">
        <w:t xml:space="preserve"> following </w:t>
      </w:r>
      <w:r w:rsidR="00073F31">
        <w:t xml:space="preserve">instruments </w:t>
      </w:r>
      <w:r w:rsidR="008B7926">
        <w:t xml:space="preserve">to </w:t>
      </w:r>
      <w:r w:rsidR="00073F31">
        <w:t>expire on 1 April 2023</w:t>
      </w:r>
      <w:r w:rsidR="001F0005">
        <w:t>:</w:t>
      </w:r>
    </w:p>
    <w:p w14:paraId="4FD54A1A" w14:textId="77777777" w:rsidR="001F0005" w:rsidRDefault="001F0005" w:rsidP="002E7DFC">
      <w:pPr>
        <w:pStyle w:val="ListBullet"/>
      </w:pPr>
      <w:r>
        <w:t>One prohibition declaration:</w:t>
      </w:r>
    </w:p>
    <w:p w14:paraId="44889E4A" w14:textId="053E05E1" w:rsidR="001F0005" w:rsidRDefault="001F0005" w:rsidP="002E7DFC">
      <w:pPr>
        <w:pStyle w:val="ListBullet2"/>
      </w:pPr>
      <w:r>
        <w:t>PMTS Jamming Device</w:t>
      </w:r>
      <w:r w:rsidR="00234EAF">
        <w:t xml:space="preserve"> Prohibition</w:t>
      </w:r>
      <w:r w:rsidR="003A569B">
        <w:t>.</w:t>
      </w:r>
      <w:r>
        <w:t xml:space="preserve"> </w:t>
      </w:r>
    </w:p>
    <w:p w14:paraId="482D445D" w14:textId="77777777" w:rsidR="001F0005" w:rsidRDefault="001F0005" w:rsidP="002E7DFC">
      <w:pPr>
        <w:pStyle w:val="ListBullet"/>
      </w:pPr>
      <w:r>
        <w:t>Three exemption determinations (one of which is supported by an advisory guideline, made under section 262 of the Act):</w:t>
      </w:r>
    </w:p>
    <w:p w14:paraId="78801004" w14:textId="37744462" w:rsidR="00ED3276" w:rsidRDefault="00234EAF" w:rsidP="002E7DFC">
      <w:pPr>
        <w:pStyle w:val="ListBullet2"/>
      </w:pPr>
      <w:r>
        <w:t>ECM Exemption</w:t>
      </w:r>
      <w:r w:rsidR="003A569B">
        <w:t xml:space="preserve">, </w:t>
      </w:r>
      <w:r w:rsidR="00ED3276">
        <w:t>supported by</w:t>
      </w:r>
      <w:r>
        <w:t xml:space="preserve"> the</w:t>
      </w:r>
      <w:r w:rsidR="00ED3276">
        <w:t xml:space="preserve"> </w:t>
      </w:r>
      <w:hyperlink r:id="rId32" w:history="1">
        <w:r w:rsidR="00ED3276" w:rsidRPr="001F0005">
          <w:rPr>
            <w:rStyle w:val="Hyperlink"/>
          </w:rPr>
          <w:t>Radiocommunications Advisory Guidelines (Use of Electronic Counter Measures for Bomb Disposal Activities) 2010</w:t>
        </w:r>
      </w:hyperlink>
      <w:r w:rsidR="00ED3276">
        <w:t xml:space="preserve"> </w:t>
      </w:r>
    </w:p>
    <w:p w14:paraId="4217E1EA" w14:textId="206F737D" w:rsidR="001F0005" w:rsidRDefault="00272F06" w:rsidP="002E7DFC">
      <w:pPr>
        <w:pStyle w:val="ListBullet2"/>
      </w:pPr>
      <w:hyperlink r:id="rId33" w:history="1">
        <w:r w:rsidR="001F0005" w:rsidRPr="001F0005">
          <w:rPr>
            <w:rStyle w:val="Hyperlink"/>
          </w:rPr>
          <w:t>Radiocommunications (PMTS Jamming Devices – Visiting Forces and Suppliers) Exemption Determination 2011</w:t>
        </w:r>
      </w:hyperlink>
      <w:r w:rsidR="001F0005">
        <w:t xml:space="preserve"> </w:t>
      </w:r>
    </w:p>
    <w:p w14:paraId="7EEE6D53" w14:textId="2103AC86" w:rsidR="001F0005" w:rsidRDefault="00272F06" w:rsidP="002E7DFC">
      <w:pPr>
        <w:pStyle w:val="ListBullet2"/>
        <w:spacing w:after="240"/>
      </w:pPr>
      <w:hyperlink r:id="rId34" w:history="1">
        <w:r w:rsidR="001F0005" w:rsidRPr="001F0005">
          <w:rPr>
            <w:rStyle w:val="Hyperlink"/>
          </w:rPr>
          <w:t>Radiocommunications (Public Mobile Telecommunications Services Surveillance Device) Exemption Determination 2011</w:t>
        </w:r>
      </w:hyperlink>
      <w:r w:rsidR="001F0005">
        <w:t xml:space="preserve">. </w:t>
      </w:r>
    </w:p>
    <w:p w14:paraId="4D92FF82" w14:textId="36C61E42" w:rsidR="004D5DC0" w:rsidRPr="003F1BED" w:rsidRDefault="002962C8" w:rsidP="00C40A4E">
      <w:pPr>
        <w:rPr>
          <w:rFonts w:cs="Arial"/>
          <w:i/>
          <w:iCs/>
        </w:rPr>
      </w:pPr>
      <w:r>
        <w:rPr>
          <w:rFonts w:cs="Arial"/>
        </w:rPr>
        <w:t>Instruments relating to RNSS jamming device</w:t>
      </w:r>
      <w:r w:rsidR="00003EA5">
        <w:rPr>
          <w:rFonts w:cs="Arial"/>
        </w:rPr>
        <w:t>s</w:t>
      </w:r>
      <w:r>
        <w:rPr>
          <w:rFonts w:cs="Arial"/>
        </w:rPr>
        <w:t>—</w:t>
      </w:r>
      <w:r w:rsidR="00787ECC">
        <w:rPr>
          <w:rFonts w:cs="Arial"/>
        </w:rPr>
        <w:t xml:space="preserve">the </w:t>
      </w:r>
      <w:r w:rsidR="00C16D85" w:rsidRPr="003F1BED">
        <w:rPr>
          <w:rFonts w:cs="Arial"/>
        </w:rPr>
        <w:t>RNSS Jamming Device</w:t>
      </w:r>
      <w:r w:rsidR="00870A15">
        <w:rPr>
          <w:rFonts w:cs="Arial"/>
        </w:rPr>
        <w:t xml:space="preserve"> Prohibition</w:t>
      </w:r>
      <w:r w:rsidR="002D5B1B" w:rsidRPr="00362A12">
        <w:rPr>
          <w:rFonts w:cs="Arial"/>
        </w:rPr>
        <w:t xml:space="preserve"> and the </w:t>
      </w:r>
      <w:hyperlink r:id="rId35" w:history="1">
        <w:r w:rsidR="002D5B1B" w:rsidRPr="003F1BED">
          <w:rPr>
            <w:rStyle w:val="Hyperlink"/>
          </w:rPr>
          <w:t>Radiocommunications (</w:t>
        </w:r>
        <w:r w:rsidR="00672C7A" w:rsidRPr="003F1BED">
          <w:rPr>
            <w:rStyle w:val="Hyperlink"/>
          </w:rPr>
          <w:t>Prohibited Device) (RNSS Jamming Devices) Exemption Determination</w:t>
        </w:r>
      </w:hyperlink>
      <w:r w:rsidR="00C80AB0">
        <w:rPr>
          <w:rStyle w:val="Hyperlink"/>
        </w:rPr>
        <w:t xml:space="preserve"> 2014</w:t>
      </w:r>
      <w:r w:rsidR="0048299E" w:rsidRPr="002E7DFC">
        <w:rPr>
          <w:rFonts w:cs="Arial"/>
        </w:rPr>
        <w:t>—</w:t>
      </w:r>
      <w:r w:rsidR="00203B5E">
        <w:rPr>
          <w:rFonts w:cs="Arial"/>
        </w:rPr>
        <w:t>will expire in 2025.</w:t>
      </w:r>
    </w:p>
    <w:p w14:paraId="09D55383" w14:textId="185F9FDE" w:rsidR="007F758E" w:rsidRPr="00830E78" w:rsidRDefault="007F758E" w:rsidP="007F758E">
      <w:pPr>
        <w:pStyle w:val="Heading1"/>
      </w:pPr>
      <w:bookmarkStart w:id="10" w:name="_Toc39570969"/>
      <w:r w:rsidRPr="00830E78">
        <w:lastRenderedPageBreak/>
        <w:t xml:space="preserve">Prohibition </w:t>
      </w:r>
      <w:r w:rsidR="00485025">
        <w:t>regime</w:t>
      </w:r>
      <w:bookmarkEnd w:id="10"/>
    </w:p>
    <w:p w14:paraId="57F1819C" w14:textId="77777777" w:rsidR="007F758E" w:rsidRPr="00830E78" w:rsidRDefault="007F758E" w:rsidP="007F758E">
      <w:pPr>
        <w:pStyle w:val="Heading2"/>
      </w:pPr>
      <w:bookmarkStart w:id="11" w:name="_Toc39570970"/>
      <w:r w:rsidRPr="00830E78">
        <w:t>Legislative framework</w:t>
      </w:r>
      <w:bookmarkEnd w:id="11"/>
    </w:p>
    <w:p w14:paraId="71111F21" w14:textId="3AB7C7FE" w:rsidR="007F758E" w:rsidRPr="00830E78" w:rsidRDefault="007F758E" w:rsidP="007F758E">
      <w:pPr>
        <w:rPr>
          <w:rFonts w:cs="Arial"/>
        </w:rPr>
      </w:pPr>
      <w:r w:rsidRPr="00830E78">
        <w:rPr>
          <w:rFonts w:cs="Arial"/>
        </w:rPr>
        <w:t xml:space="preserve">The Act </w:t>
      </w:r>
      <w:r w:rsidR="008B7926">
        <w:rPr>
          <w:rFonts w:cs="Arial"/>
        </w:rPr>
        <w:t>enables</w:t>
      </w:r>
      <w:r w:rsidRPr="00830E78">
        <w:rPr>
          <w:rFonts w:cs="Arial"/>
        </w:rPr>
        <w:t xml:space="preserve"> the ACMA </w:t>
      </w:r>
      <w:r w:rsidR="007F160B">
        <w:rPr>
          <w:rFonts w:cs="Arial"/>
        </w:rPr>
        <w:t>to</w:t>
      </w:r>
      <w:r w:rsidR="007F160B" w:rsidRPr="00830E78">
        <w:rPr>
          <w:rFonts w:cs="Arial"/>
        </w:rPr>
        <w:t xml:space="preserve"> </w:t>
      </w:r>
      <w:r w:rsidRPr="00830E78">
        <w:rPr>
          <w:rFonts w:cs="Arial"/>
        </w:rPr>
        <w:t>regulate devices to manage risks associated with interference to radiocommunications</w:t>
      </w:r>
      <w:r w:rsidR="00983083">
        <w:rPr>
          <w:rFonts w:cs="Arial"/>
        </w:rPr>
        <w:t xml:space="preserve">, </w:t>
      </w:r>
      <w:r w:rsidRPr="00830E78">
        <w:rPr>
          <w:rFonts w:cs="Arial"/>
        </w:rPr>
        <w:t xml:space="preserve">human exposure to emissions and, overall, optimise use of spectrum. Operation of all radiocommunications devices is subject to the requirement that radiocommunications </w:t>
      </w:r>
      <w:r w:rsidR="00E51486">
        <w:rPr>
          <w:rFonts w:cs="Arial"/>
        </w:rPr>
        <w:t xml:space="preserve">devices </w:t>
      </w:r>
      <w:r w:rsidRPr="00830E78">
        <w:rPr>
          <w:rFonts w:cs="Arial"/>
        </w:rPr>
        <w:t>must be licensed (</w:t>
      </w:r>
      <w:r w:rsidR="00B13EB7">
        <w:rPr>
          <w:rFonts w:cs="Arial"/>
        </w:rPr>
        <w:t>sub</w:t>
      </w:r>
      <w:r w:rsidRPr="00830E78">
        <w:rPr>
          <w:rFonts w:cs="Arial"/>
        </w:rPr>
        <w:t>section 46</w:t>
      </w:r>
      <w:r w:rsidR="00B13EB7">
        <w:rPr>
          <w:rFonts w:cs="Arial"/>
        </w:rPr>
        <w:t>(1)</w:t>
      </w:r>
      <w:r w:rsidRPr="00830E78">
        <w:rPr>
          <w:rFonts w:cs="Arial"/>
        </w:rPr>
        <w:t xml:space="preserve"> of the Act). S</w:t>
      </w:r>
      <w:r w:rsidR="00B13EB7">
        <w:rPr>
          <w:rFonts w:cs="Arial"/>
        </w:rPr>
        <w:t>ubs</w:t>
      </w:r>
      <w:r w:rsidRPr="00830E78">
        <w:rPr>
          <w:rFonts w:cs="Arial"/>
        </w:rPr>
        <w:t>ection 47</w:t>
      </w:r>
      <w:r w:rsidR="00B13EB7">
        <w:rPr>
          <w:rFonts w:cs="Arial"/>
        </w:rPr>
        <w:t>(1)</w:t>
      </w:r>
      <w:r w:rsidRPr="00830E78">
        <w:rPr>
          <w:rFonts w:cs="Arial"/>
        </w:rPr>
        <w:t xml:space="preserve"> of the Act also makes it an offence to possess an unlicensed radiocommunications </w:t>
      </w:r>
      <w:r w:rsidR="00C14CE0">
        <w:rPr>
          <w:rFonts w:cs="Arial"/>
        </w:rPr>
        <w:t xml:space="preserve">devices </w:t>
      </w:r>
      <w:r w:rsidRPr="00830E78">
        <w:rPr>
          <w:rFonts w:cs="Arial"/>
        </w:rPr>
        <w:t xml:space="preserve">for the purpose of operating the device. Radiocommunications devices, and other </w:t>
      </w:r>
      <w:r w:rsidR="008F697F">
        <w:rPr>
          <w:rFonts w:cs="Arial"/>
        </w:rPr>
        <w:t xml:space="preserve">pieces of </w:t>
      </w:r>
      <w:r w:rsidRPr="00830E78">
        <w:rPr>
          <w:rFonts w:cs="Arial"/>
        </w:rPr>
        <w:t>electronic equipment that are not radiocommunications devices, are subject to</w:t>
      </w:r>
      <w:r w:rsidR="008C7683">
        <w:rPr>
          <w:rFonts w:cs="Arial"/>
        </w:rPr>
        <w:t xml:space="preserve"> a</w:t>
      </w:r>
      <w:r w:rsidRPr="00830E78">
        <w:rPr>
          <w:rFonts w:cs="Arial"/>
        </w:rPr>
        <w:t xml:space="preserve"> range of regulatory provisions that may require compliance with standards and labelling notices</w:t>
      </w:r>
      <w:r w:rsidR="00642ECD">
        <w:rPr>
          <w:rFonts w:cs="Arial"/>
        </w:rPr>
        <w:t xml:space="preserve"> (Part 4.1 of the Act)</w:t>
      </w:r>
      <w:r w:rsidRPr="00830E78">
        <w:rPr>
          <w:rFonts w:cs="Arial"/>
        </w:rPr>
        <w:t>.</w:t>
      </w:r>
    </w:p>
    <w:p w14:paraId="1EBAE8DC" w14:textId="49AA7F2F" w:rsidR="00C84138" w:rsidRDefault="007F758E" w:rsidP="007F758E">
      <w:pPr>
        <w:rPr>
          <w:rFonts w:cs="Arial"/>
        </w:rPr>
      </w:pPr>
      <w:r w:rsidRPr="00830E78">
        <w:rPr>
          <w:rFonts w:cs="Arial"/>
        </w:rPr>
        <w:t>Under subsection 190(1) of the Act, the ACMA may declare that operation or supply, or possession for the purpose of operation or supply, of a specified device is prohibited. Under subsection 190(2), the device must be a device that is designed to have an adverse effect on radiocommunications; or would be likely substantially to interfere with radiocommunications or disrupt or disturb radiocommunications in any other way; or is a radiocommunications transmitter, or a radiocommunications receiver, that would be reasonably likely to have an adverse effect on the health or safety of persons</w:t>
      </w:r>
      <w:r w:rsidR="00734A1E">
        <w:rPr>
          <w:rFonts w:cs="Arial"/>
        </w:rPr>
        <w:t>.</w:t>
      </w:r>
      <w:r w:rsidRPr="00C84138">
        <w:rPr>
          <w:rFonts w:cs="Arial"/>
          <w:vertAlign w:val="superscript"/>
        </w:rPr>
        <w:footnoteReference w:id="10"/>
      </w:r>
      <w:r w:rsidR="00983083">
        <w:rPr>
          <w:rFonts w:cs="Arial"/>
        </w:rPr>
        <w:t xml:space="preserve"> </w:t>
      </w:r>
      <w:r w:rsidR="00D12466">
        <w:rPr>
          <w:rFonts w:cs="Arial"/>
        </w:rPr>
        <w:t>Under subsection 190(1) t</w:t>
      </w:r>
      <w:r w:rsidRPr="00830E78">
        <w:rPr>
          <w:rFonts w:cs="Arial"/>
        </w:rPr>
        <w:t xml:space="preserve">he ACMA has made </w:t>
      </w:r>
      <w:r w:rsidR="00D12466">
        <w:rPr>
          <w:rFonts w:cs="Arial"/>
        </w:rPr>
        <w:t>the</w:t>
      </w:r>
      <w:r w:rsidRPr="00830E78">
        <w:rPr>
          <w:rFonts w:cs="Arial"/>
        </w:rPr>
        <w:t xml:space="preserve"> RNSS Jamming Device Prohibition and </w:t>
      </w:r>
      <w:r w:rsidR="00647A71">
        <w:rPr>
          <w:rFonts w:cs="Arial"/>
        </w:rPr>
        <w:t xml:space="preserve">the </w:t>
      </w:r>
      <w:r w:rsidRPr="00830E78">
        <w:rPr>
          <w:rFonts w:cs="Arial"/>
        </w:rPr>
        <w:t>PMTS Jamming Device Prohibition.</w:t>
      </w:r>
    </w:p>
    <w:p w14:paraId="5B2E67FE" w14:textId="78457844" w:rsidR="00C84138" w:rsidRDefault="007F758E" w:rsidP="007F758E">
      <w:pPr>
        <w:rPr>
          <w:rFonts w:cs="Arial"/>
        </w:rPr>
      </w:pPr>
      <w:r w:rsidRPr="00830E78">
        <w:rPr>
          <w:rFonts w:cs="Arial"/>
        </w:rPr>
        <w:t xml:space="preserve">The RNSS is a system of satellites which, together with supporting infrastructure, provide accurate positioning, velocity and timing data. The most well-known RNSS system is the GPS. </w:t>
      </w:r>
      <w:r w:rsidR="00983083">
        <w:rPr>
          <w:rFonts w:cs="Arial"/>
        </w:rPr>
        <w:t>A</w:t>
      </w:r>
      <w:r w:rsidRPr="00830E78">
        <w:rPr>
          <w:rFonts w:cs="Arial"/>
        </w:rPr>
        <w:t xml:space="preserve">n RNSS </w:t>
      </w:r>
      <w:r w:rsidR="00647A71">
        <w:rPr>
          <w:rFonts w:cs="Arial"/>
        </w:rPr>
        <w:t>j</w:t>
      </w:r>
      <w:r w:rsidRPr="00830E78">
        <w:rPr>
          <w:rFonts w:cs="Arial"/>
        </w:rPr>
        <w:t xml:space="preserve">amming </w:t>
      </w:r>
      <w:r w:rsidR="00647A71">
        <w:rPr>
          <w:rFonts w:cs="Arial"/>
        </w:rPr>
        <w:t>d</w:t>
      </w:r>
      <w:r w:rsidRPr="00830E78">
        <w:rPr>
          <w:rFonts w:cs="Arial"/>
        </w:rPr>
        <w:t xml:space="preserve">evice is </w:t>
      </w:r>
      <w:r w:rsidR="00AC0821">
        <w:rPr>
          <w:rFonts w:cs="Arial"/>
        </w:rPr>
        <w:t xml:space="preserve">one that is </w:t>
      </w:r>
      <w:r w:rsidRPr="00830E78">
        <w:rPr>
          <w:rFonts w:cs="Arial"/>
        </w:rPr>
        <w:t xml:space="preserve">designed to have an adverse effect on radiocommunications, </w:t>
      </w:r>
      <w:r w:rsidR="00541324">
        <w:rPr>
          <w:rFonts w:cs="Arial"/>
        </w:rPr>
        <w:t>and</w:t>
      </w:r>
      <w:r w:rsidRPr="00830E78">
        <w:rPr>
          <w:rFonts w:cs="Arial"/>
        </w:rPr>
        <w:t xml:space="preserve"> would be likely to substantially interfere with, disrupt or disturb radiocommunications</w:t>
      </w:r>
      <w:r w:rsidR="00616564">
        <w:rPr>
          <w:rFonts w:cs="Arial"/>
        </w:rPr>
        <w:t>,</w:t>
      </w:r>
      <w:r w:rsidRPr="00830E78">
        <w:rPr>
          <w:rFonts w:cs="Arial"/>
        </w:rPr>
        <w:t xml:space="preserve"> transmitted on RNSS frequencies.</w:t>
      </w:r>
    </w:p>
    <w:p w14:paraId="69FFE09F" w14:textId="7E8832C0" w:rsidR="00417303" w:rsidRDefault="007F758E" w:rsidP="007F758E">
      <w:pPr>
        <w:rPr>
          <w:rFonts w:cs="Arial"/>
        </w:rPr>
      </w:pPr>
      <w:r w:rsidRPr="00830E78">
        <w:rPr>
          <w:rFonts w:cs="Arial"/>
        </w:rPr>
        <w:t>A PMTS jamming device is commonly known as a mobile phone jammer. A PMTS jamming device is</w:t>
      </w:r>
      <w:r w:rsidR="00AC0821">
        <w:rPr>
          <w:rFonts w:cs="Arial"/>
        </w:rPr>
        <w:t xml:space="preserve"> one that is</w:t>
      </w:r>
      <w:r w:rsidRPr="00830E78">
        <w:rPr>
          <w:rFonts w:cs="Arial"/>
        </w:rPr>
        <w:t xml:space="preserve"> designed to have an adverse effect on radiocommunications</w:t>
      </w:r>
      <w:r w:rsidR="00C24718">
        <w:rPr>
          <w:rFonts w:cs="Arial"/>
        </w:rPr>
        <w:t xml:space="preserve">, </w:t>
      </w:r>
      <w:r w:rsidRPr="00830E78">
        <w:rPr>
          <w:rFonts w:cs="Arial"/>
        </w:rPr>
        <w:t>or would be likely substantially to interfere with, disrupt or disturb radiocommunications</w:t>
      </w:r>
      <w:r w:rsidR="00C24718">
        <w:rPr>
          <w:rFonts w:cs="Arial"/>
        </w:rPr>
        <w:t xml:space="preserve">, </w:t>
      </w:r>
      <w:r w:rsidRPr="00830E78">
        <w:rPr>
          <w:rFonts w:cs="Arial"/>
        </w:rPr>
        <w:t xml:space="preserve">and operates within one or more frequency bands used for the supply of a </w:t>
      </w:r>
      <w:r w:rsidR="00664543">
        <w:rPr>
          <w:rFonts w:cs="Arial"/>
        </w:rPr>
        <w:t>PMTS</w:t>
      </w:r>
      <w:r w:rsidRPr="00830E78">
        <w:rPr>
          <w:rFonts w:cs="Arial"/>
        </w:rPr>
        <w:t>.</w:t>
      </w:r>
    </w:p>
    <w:p w14:paraId="10A93685" w14:textId="548413FE" w:rsidR="007F758E" w:rsidRPr="00830E78" w:rsidRDefault="007F758E" w:rsidP="007F758E">
      <w:pPr>
        <w:rPr>
          <w:rFonts w:cs="Arial"/>
        </w:rPr>
      </w:pPr>
      <w:r w:rsidRPr="00830E78">
        <w:rPr>
          <w:rFonts w:cs="Arial"/>
        </w:rPr>
        <w:t xml:space="preserve">Pursuant to </w:t>
      </w:r>
      <w:r w:rsidR="00374C5F">
        <w:rPr>
          <w:rFonts w:cs="Arial"/>
        </w:rPr>
        <w:t>sub</w:t>
      </w:r>
      <w:r w:rsidRPr="00830E78">
        <w:rPr>
          <w:rFonts w:cs="Arial"/>
        </w:rPr>
        <w:t>section 191</w:t>
      </w:r>
      <w:r w:rsidR="00374C5F">
        <w:rPr>
          <w:rFonts w:cs="Arial"/>
        </w:rPr>
        <w:t>(1)</w:t>
      </w:r>
      <w:r w:rsidRPr="00830E78">
        <w:rPr>
          <w:rFonts w:cs="Arial"/>
        </w:rPr>
        <w:t xml:space="preserve"> of the Act, the RNSS and PMTS Jamming Device Prohibitions set out the reasons why the ACMA has prohibited the</w:t>
      </w:r>
      <w:r w:rsidR="00647A71">
        <w:rPr>
          <w:rFonts w:cs="Arial"/>
        </w:rPr>
        <w:t>se</w:t>
      </w:r>
      <w:r w:rsidRPr="00830E78">
        <w:rPr>
          <w:rFonts w:cs="Arial"/>
        </w:rPr>
        <w:t xml:space="preserve"> device</w:t>
      </w:r>
      <w:r w:rsidR="00647A71">
        <w:rPr>
          <w:rFonts w:cs="Arial"/>
        </w:rPr>
        <w:t>s</w:t>
      </w:r>
      <w:r w:rsidRPr="00830E78">
        <w:rPr>
          <w:rFonts w:cs="Arial"/>
        </w:rPr>
        <w:t>.</w:t>
      </w:r>
    </w:p>
    <w:p w14:paraId="469D3EE5" w14:textId="702E2B8D" w:rsidR="007F758E" w:rsidRDefault="007F758E" w:rsidP="007F758E">
      <w:pPr>
        <w:rPr>
          <w:rFonts w:cs="Arial"/>
        </w:rPr>
      </w:pPr>
      <w:r w:rsidRPr="00830E78">
        <w:rPr>
          <w:rFonts w:cs="Arial"/>
        </w:rPr>
        <w:t xml:space="preserve">Under subregulation 4(2) of the </w:t>
      </w:r>
      <w:hyperlink r:id="rId36" w:history="1">
        <w:r w:rsidRPr="00C42789">
          <w:rPr>
            <w:rStyle w:val="Hyperlink"/>
            <w:rFonts w:cs="Arial"/>
          </w:rPr>
          <w:t>Customs (Prohibited Imports) Regulations 1956</w:t>
        </w:r>
      </w:hyperlink>
      <w:r w:rsidRPr="00830E78">
        <w:rPr>
          <w:rFonts w:cs="Arial"/>
        </w:rPr>
        <w:t xml:space="preserve">, the importation of specified items is prohibited. </w:t>
      </w:r>
      <w:r w:rsidR="00FC1F58">
        <w:rPr>
          <w:rFonts w:cs="Arial"/>
        </w:rPr>
        <w:t>The s</w:t>
      </w:r>
      <w:r w:rsidRPr="00830E78">
        <w:rPr>
          <w:rFonts w:cs="Arial"/>
        </w:rPr>
        <w:t xml:space="preserve">pecified items </w:t>
      </w:r>
      <w:r w:rsidR="00E026A5">
        <w:rPr>
          <w:rFonts w:cs="Arial"/>
        </w:rPr>
        <w:t xml:space="preserve">(item 11 of </w:t>
      </w:r>
      <w:r w:rsidR="00345B8B">
        <w:rPr>
          <w:rFonts w:cs="Arial"/>
        </w:rPr>
        <w:t>S</w:t>
      </w:r>
      <w:r w:rsidR="00E026A5">
        <w:rPr>
          <w:rFonts w:cs="Arial"/>
        </w:rPr>
        <w:t xml:space="preserve">chedule </w:t>
      </w:r>
      <w:r w:rsidR="00345B8B">
        <w:rPr>
          <w:rFonts w:cs="Arial"/>
        </w:rPr>
        <w:t xml:space="preserve">3 to the Regulations) </w:t>
      </w:r>
      <w:r w:rsidRPr="00830E78">
        <w:rPr>
          <w:rFonts w:cs="Arial"/>
        </w:rPr>
        <w:t xml:space="preserve">include devices </w:t>
      </w:r>
      <w:r w:rsidRPr="001F6C93">
        <w:rPr>
          <w:rFonts w:cs="Arial"/>
        </w:rPr>
        <w:t>prohibited by section 190 of the Act</w:t>
      </w:r>
      <w:r w:rsidR="00734A1E">
        <w:rPr>
          <w:rFonts w:cs="Arial"/>
        </w:rPr>
        <w:t xml:space="preserve">, and </w:t>
      </w:r>
      <w:r>
        <w:rPr>
          <w:rFonts w:cs="Arial"/>
        </w:rPr>
        <w:t>the</w:t>
      </w:r>
      <w:r w:rsidR="00734A1E">
        <w:rPr>
          <w:rFonts w:cs="Arial"/>
        </w:rPr>
        <w:t>se</w:t>
      </w:r>
      <w:r w:rsidRPr="0098558E">
        <w:rPr>
          <w:rFonts w:cs="Arial"/>
        </w:rPr>
        <w:t xml:space="preserve"> devices must not be imported unless they are imported by a person whose acts or omissions relating to the devices are exempt from section 189 of the Act under a determination made under subsection 27(2) of th</w:t>
      </w:r>
      <w:r w:rsidR="00647A71">
        <w:rPr>
          <w:rFonts w:cs="Arial"/>
        </w:rPr>
        <w:t>e</w:t>
      </w:r>
      <w:r w:rsidRPr="0098558E">
        <w:rPr>
          <w:rFonts w:cs="Arial"/>
        </w:rPr>
        <w:t xml:space="preserve"> Act</w:t>
      </w:r>
      <w:r>
        <w:rPr>
          <w:rFonts w:cs="Arial"/>
        </w:rPr>
        <w:t>.</w:t>
      </w:r>
    </w:p>
    <w:p w14:paraId="1982A1F9" w14:textId="1484F155" w:rsidR="007F758E" w:rsidRPr="00830E78" w:rsidRDefault="007F758E" w:rsidP="000C010B">
      <w:pPr>
        <w:pStyle w:val="Heading2"/>
      </w:pPr>
      <w:bookmarkStart w:id="12" w:name="_Toc39570971"/>
      <w:r w:rsidRPr="000C010B">
        <w:t>Issues</w:t>
      </w:r>
      <w:bookmarkEnd w:id="12"/>
    </w:p>
    <w:p w14:paraId="570E788B" w14:textId="77777777" w:rsidR="002A07A5" w:rsidRPr="005135C0" w:rsidRDefault="002A07A5" w:rsidP="00D30568">
      <w:pPr>
        <w:pStyle w:val="Heading3"/>
      </w:pPr>
      <w:bookmarkStart w:id="13" w:name="_Toc39570972"/>
      <w:r w:rsidRPr="005135C0">
        <w:t>Black letter law</w:t>
      </w:r>
      <w:bookmarkEnd w:id="13"/>
    </w:p>
    <w:p w14:paraId="339EAAB2" w14:textId="7B72511C" w:rsidR="003D1184" w:rsidRDefault="046C090E" w:rsidP="002A07A5">
      <w:pPr>
        <w:rPr>
          <w:rFonts w:cs="Arial"/>
        </w:rPr>
      </w:pPr>
      <w:r w:rsidRPr="046C090E">
        <w:rPr>
          <w:rFonts w:cs="Arial"/>
        </w:rPr>
        <w:t>The use of prohibition declarations is a black letter law approach. Black letter law approaches broadly involve the use of legislation, regulation and other construc</w:t>
      </w:r>
      <w:r w:rsidR="00983083">
        <w:rPr>
          <w:rFonts w:cs="Arial"/>
        </w:rPr>
        <w:t>t</w:t>
      </w:r>
      <w:r w:rsidRPr="046C090E">
        <w:rPr>
          <w:rFonts w:cs="Arial"/>
        </w:rPr>
        <w:t xml:space="preserve">s that have a legal force and are imposed and enforced by governments or regulators. Black </w:t>
      </w:r>
      <w:r w:rsidRPr="046C090E">
        <w:rPr>
          <w:rFonts w:cs="Arial"/>
        </w:rPr>
        <w:lastRenderedPageBreak/>
        <w:t xml:space="preserve">letter law is typically justified where industry cannot control a risk itself, there is a strong need to protect the public or industry from certain harms, and where compliance action requires a robust legal foundation. </w:t>
      </w:r>
    </w:p>
    <w:p w14:paraId="61334AAE" w14:textId="6221206D" w:rsidR="002A07A5" w:rsidRDefault="046C090E" w:rsidP="002A07A5">
      <w:pPr>
        <w:rPr>
          <w:rFonts w:cs="Arial"/>
        </w:rPr>
      </w:pPr>
      <w:r w:rsidRPr="046C090E">
        <w:rPr>
          <w:rFonts w:cs="Arial"/>
        </w:rPr>
        <w:t>On the one hand, black letter law can provide clear rules and expectations, with effective and significant sanctions commensurate to potential harm. On the other, black letter law can be inflexible, and provides little discretion in an environment that is subject to rapid and significant change.</w:t>
      </w:r>
    </w:p>
    <w:p w14:paraId="0B1A5F06" w14:textId="55AA699B" w:rsidR="00882615" w:rsidRDefault="046C090E" w:rsidP="00882615">
      <w:pPr>
        <w:rPr>
          <w:rFonts w:cs="Arial"/>
        </w:rPr>
      </w:pPr>
      <w:r w:rsidRPr="046C090E">
        <w:rPr>
          <w:rFonts w:cs="Arial"/>
        </w:rPr>
        <w:t>The approach provided for under the Act is device</w:t>
      </w:r>
      <w:r w:rsidR="00983083">
        <w:rPr>
          <w:rFonts w:cs="Arial"/>
        </w:rPr>
        <w:t>-</w:t>
      </w:r>
      <w:r w:rsidRPr="046C090E">
        <w:rPr>
          <w:rFonts w:cs="Arial"/>
        </w:rPr>
        <w:t>specific—</w:t>
      </w:r>
      <w:r w:rsidR="00983083">
        <w:rPr>
          <w:rFonts w:cs="Arial"/>
        </w:rPr>
        <w:t>this means</w:t>
      </w:r>
      <w:r w:rsidRPr="046C090E">
        <w:rPr>
          <w:rFonts w:cs="Arial"/>
        </w:rPr>
        <w:t xml:space="preserve"> the ACMA cannot make a prohibition declaration that applies to a prohibited device only in certain contexts, but not others. </w:t>
      </w:r>
    </w:p>
    <w:p w14:paraId="07C4DB6B" w14:textId="32B4B137" w:rsidR="002A07A5" w:rsidRPr="005135C0" w:rsidRDefault="046C090E" w:rsidP="002A07A5">
      <w:pPr>
        <w:rPr>
          <w:rFonts w:cs="Arial"/>
        </w:rPr>
      </w:pPr>
      <w:r w:rsidRPr="046C090E">
        <w:rPr>
          <w:rFonts w:cs="Arial"/>
        </w:rPr>
        <w:t xml:space="preserve">For example, the ACMA cannot make a prohibition declaration that </w:t>
      </w:r>
      <w:r w:rsidR="00983083" w:rsidRPr="046C090E">
        <w:rPr>
          <w:rFonts w:cs="Arial"/>
        </w:rPr>
        <w:t>does not</w:t>
      </w:r>
      <w:r w:rsidRPr="046C090E">
        <w:rPr>
          <w:rFonts w:cs="Arial"/>
        </w:rPr>
        <w:t xml:space="preserve"> apply to PMTS or RNSS jamming devices </w:t>
      </w:r>
      <w:r w:rsidR="00983083">
        <w:rPr>
          <w:rFonts w:cs="Arial"/>
        </w:rPr>
        <w:t>that</w:t>
      </w:r>
      <w:r w:rsidR="00983083" w:rsidRPr="046C090E">
        <w:rPr>
          <w:rFonts w:cs="Arial"/>
        </w:rPr>
        <w:t xml:space="preserve"> </w:t>
      </w:r>
      <w:r w:rsidRPr="046C090E">
        <w:rPr>
          <w:rFonts w:cs="Arial"/>
        </w:rPr>
        <w:t xml:space="preserve">are possessed or operated in a manufacturing process. This is because prohibition declarations apply to the possession, operation and supply of PMTS and RNSS jamming devices in </w:t>
      </w:r>
      <w:r w:rsidRPr="00212013">
        <w:rPr>
          <w:rFonts w:cs="Arial"/>
          <w:i/>
          <w:iCs/>
        </w:rPr>
        <w:t>all</w:t>
      </w:r>
      <w:r w:rsidRPr="046C090E">
        <w:rPr>
          <w:rFonts w:cs="Arial"/>
        </w:rPr>
        <w:t xml:space="preserve"> circumstances, regardless of context.</w:t>
      </w:r>
    </w:p>
    <w:p w14:paraId="78F4813A" w14:textId="119CE41C" w:rsidR="002A07A5" w:rsidRPr="00F2610E" w:rsidRDefault="002A07A5" w:rsidP="00F2610E">
      <w:pPr>
        <w:rPr>
          <w:rFonts w:cs="Arial"/>
          <w:highlight w:val="yellow"/>
        </w:rPr>
      </w:pPr>
      <w:r w:rsidRPr="005135C0">
        <w:rPr>
          <w:rFonts w:cs="Arial"/>
        </w:rPr>
        <w:t xml:space="preserve">Nonetheless, the prohibition </w:t>
      </w:r>
      <w:r w:rsidR="00300D2D">
        <w:rPr>
          <w:rFonts w:cs="Arial"/>
        </w:rPr>
        <w:t xml:space="preserve">regime </w:t>
      </w:r>
      <w:r w:rsidRPr="005135C0">
        <w:rPr>
          <w:rFonts w:cs="Arial"/>
        </w:rPr>
        <w:t xml:space="preserve">can be </w:t>
      </w:r>
      <w:r w:rsidRPr="007F160B">
        <w:rPr>
          <w:rFonts w:cs="Arial"/>
        </w:rPr>
        <w:t>subject to demands</w:t>
      </w:r>
      <w:r w:rsidRPr="005135C0">
        <w:rPr>
          <w:rFonts w:cs="Arial"/>
        </w:rPr>
        <w:t xml:space="preserve"> more commonly associated with </w:t>
      </w:r>
      <w:r w:rsidR="000C010B">
        <w:rPr>
          <w:rFonts w:cs="Arial"/>
        </w:rPr>
        <w:t>‘</w:t>
      </w:r>
      <w:r w:rsidRPr="005135C0">
        <w:rPr>
          <w:rFonts w:cs="Arial"/>
        </w:rPr>
        <w:t>day</w:t>
      </w:r>
      <w:r w:rsidR="000C010B">
        <w:rPr>
          <w:rFonts w:cs="Arial"/>
        </w:rPr>
        <w:t>-</w:t>
      </w:r>
      <w:r w:rsidRPr="005135C0">
        <w:rPr>
          <w:rFonts w:cs="Arial"/>
        </w:rPr>
        <w:t>to</w:t>
      </w:r>
      <w:r w:rsidR="000C010B">
        <w:rPr>
          <w:rFonts w:cs="Arial"/>
        </w:rPr>
        <w:t>-</w:t>
      </w:r>
      <w:r w:rsidRPr="005135C0">
        <w:rPr>
          <w:rFonts w:cs="Arial"/>
        </w:rPr>
        <w:t>day</w:t>
      </w:r>
      <w:r w:rsidR="000C010B">
        <w:rPr>
          <w:rFonts w:cs="Arial"/>
        </w:rPr>
        <w:t>’</w:t>
      </w:r>
      <w:r w:rsidRPr="005135C0">
        <w:rPr>
          <w:rFonts w:cs="Arial"/>
        </w:rPr>
        <w:t xml:space="preserve"> spectrum management activities—that is, the need for a more responsive framework that provides the right balance between </w:t>
      </w:r>
      <w:r w:rsidR="00CF5447">
        <w:rPr>
          <w:rFonts w:cs="Arial"/>
        </w:rPr>
        <w:t>managing the risks associated with the use of jamming devices, against the flexibility to facilitate new, or low risk, technologies and applications</w:t>
      </w:r>
      <w:r w:rsidRPr="005135C0">
        <w:rPr>
          <w:rFonts w:cs="Arial"/>
        </w:rPr>
        <w:t>.</w:t>
      </w:r>
    </w:p>
    <w:p w14:paraId="438C8B93" w14:textId="5D253F26" w:rsidR="007F758E" w:rsidRPr="00830E78" w:rsidRDefault="00256F94" w:rsidP="00A56AF4">
      <w:pPr>
        <w:pStyle w:val="Heading3"/>
      </w:pPr>
      <w:bookmarkStart w:id="14" w:name="_Toc39570973"/>
      <w:r>
        <w:t>U</w:t>
      </w:r>
      <w:r w:rsidR="007F758E" w:rsidRPr="00830E78">
        <w:t>nderinclusiv</w:t>
      </w:r>
      <w:r>
        <w:t>ity</w:t>
      </w:r>
      <w:bookmarkEnd w:id="14"/>
    </w:p>
    <w:p w14:paraId="22B5F801" w14:textId="1C9AA8EC" w:rsidR="007F758E" w:rsidRDefault="00A362CC" w:rsidP="007F758E">
      <w:pPr>
        <w:rPr>
          <w:rFonts w:cs="Arial"/>
        </w:rPr>
      </w:pPr>
      <w:r>
        <w:rPr>
          <w:rFonts w:cs="Arial"/>
        </w:rPr>
        <w:t>T</w:t>
      </w:r>
      <w:r w:rsidR="007F758E" w:rsidRPr="00911515">
        <w:rPr>
          <w:rFonts w:cs="Arial"/>
        </w:rPr>
        <w:t xml:space="preserve">he prohibition framework (encompassing the customs regulations) works to prevent specifically prohibited devices from </w:t>
      </w:r>
      <w:r w:rsidR="009A2F96" w:rsidRPr="00911515">
        <w:rPr>
          <w:rFonts w:cs="Arial"/>
        </w:rPr>
        <w:t>entering</w:t>
      </w:r>
      <w:r w:rsidR="007F758E" w:rsidRPr="00911515">
        <w:rPr>
          <w:rFonts w:cs="Arial"/>
        </w:rPr>
        <w:t xml:space="preserve"> Australian supply chains</w:t>
      </w:r>
      <w:r w:rsidR="000C010B">
        <w:rPr>
          <w:rFonts w:cs="Arial"/>
        </w:rPr>
        <w:t>—</w:t>
      </w:r>
      <w:r w:rsidR="007F758E" w:rsidRPr="00911515">
        <w:rPr>
          <w:rFonts w:cs="Arial"/>
        </w:rPr>
        <w:t xml:space="preserve"> possession for the purpose of </w:t>
      </w:r>
      <w:r w:rsidR="00FE6C8A">
        <w:rPr>
          <w:rFonts w:cs="Arial"/>
        </w:rPr>
        <w:t xml:space="preserve">operation or </w:t>
      </w:r>
      <w:r w:rsidR="007F758E" w:rsidRPr="00911515">
        <w:rPr>
          <w:rFonts w:cs="Arial"/>
        </w:rPr>
        <w:t>supply of the prohibited device</w:t>
      </w:r>
      <w:r w:rsidR="000C010B">
        <w:rPr>
          <w:rFonts w:cs="Arial"/>
        </w:rPr>
        <w:t xml:space="preserve"> is prohibited</w:t>
      </w:r>
      <w:r w:rsidR="007F758E" w:rsidRPr="00911515">
        <w:rPr>
          <w:rFonts w:cs="Arial"/>
        </w:rPr>
        <w:t>.</w:t>
      </w:r>
      <w:r w:rsidR="0061529F">
        <w:rPr>
          <w:rStyle w:val="FootnoteReference"/>
          <w:rFonts w:cs="Arial"/>
        </w:rPr>
        <w:footnoteReference w:id="11"/>
      </w:r>
      <w:r w:rsidR="007F758E" w:rsidRPr="00911515">
        <w:rPr>
          <w:rFonts w:cs="Arial"/>
        </w:rPr>
        <w:t xml:space="preserve"> </w:t>
      </w:r>
    </w:p>
    <w:p w14:paraId="24404628" w14:textId="77FF0375" w:rsidR="006D2F16" w:rsidRDefault="006D2F16" w:rsidP="007F758E">
      <w:pPr>
        <w:rPr>
          <w:rFonts w:cs="Arial"/>
        </w:rPr>
      </w:pPr>
      <w:r>
        <w:rPr>
          <w:rFonts w:cs="Arial"/>
        </w:rPr>
        <w:t xml:space="preserve">As part of this issues paper, we are interested in views on where the prohibition regime may be underinclusive. </w:t>
      </w:r>
    </w:p>
    <w:p w14:paraId="26EA36AC" w14:textId="1575BE50" w:rsidR="00FA7FE1" w:rsidRPr="00701F8D" w:rsidRDefault="0061529F" w:rsidP="00283061">
      <w:pPr>
        <w:pStyle w:val="BodySubHeader"/>
        <w:rPr>
          <w:rFonts w:cs="Arial"/>
        </w:rPr>
      </w:pPr>
      <w:r>
        <w:rPr>
          <w:rFonts w:cs="Arial"/>
        </w:rPr>
        <w:t xml:space="preserve">Devices designed to interfere with </w:t>
      </w:r>
      <w:r w:rsidR="000C010B">
        <w:rPr>
          <w:rFonts w:cs="Arial"/>
        </w:rPr>
        <w:t>w</w:t>
      </w:r>
      <w:r w:rsidR="00FA7FE1">
        <w:rPr>
          <w:rFonts w:cs="Arial"/>
        </w:rPr>
        <w:t>i-</w:t>
      </w:r>
      <w:r w:rsidR="000C010B">
        <w:rPr>
          <w:rFonts w:cs="Arial"/>
        </w:rPr>
        <w:t>f</w:t>
      </w:r>
      <w:r w:rsidR="00FA7FE1">
        <w:rPr>
          <w:rFonts w:cs="Arial"/>
        </w:rPr>
        <w:t>i and other class licensed services</w:t>
      </w:r>
    </w:p>
    <w:p w14:paraId="39F7F510" w14:textId="276428DF" w:rsidR="007F758E" w:rsidRDefault="007F758E" w:rsidP="007F758E">
      <w:pPr>
        <w:rPr>
          <w:rFonts w:cs="Arial"/>
        </w:rPr>
      </w:pPr>
      <w:r w:rsidRPr="00911515">
        <w:rPr>
          <w:rFonts w:cs="Arial"/>
        </w:rPr>
        <w:t xml:space="preserve">A number of submissions to the 2010 </w:t>
      </w:r>
      <w:r w:rsidR="000C010B">
        <w:rPr>
          <w:rFonts w:cs="Arial"/>
        </w:rPr>
        <w:t>r</w:t>
      </w:r>
      <w:r w:rsidRPr="00830E78">
        <w:rPr>
          <w:rFonts w:cs="Arial"/>
        </w:rPr>
        <w:t xml:space="preserve">eview of the </w:t>
      </w:r>
      <w:r w:rsidRPr="00283061">
        <w:rPr>
          <w:rFonts w:cs="Arial"/>
        </w:rPr>
        <w:t>Mobile Phone Jammer Prohibition</w:t>
      </w:r>
      <w:r w:rsidRPr="00734A1E">
        <w:rPr>
          <w:rFonts w:cs="Arial"/>
          <w:i/>
          <w:iCs/>
        </w:rPr>
        <w:t xml:space="preserve"> </w:t>
      </w:r>
      <w:r w:rsidRPr="00911515">
        <w:rPr>
          <w:rFonts w:cs="Arial"/>
        </w:rPr>
        <w:t xml:space="preserve">(the precursor instrument to the PMTS Jamming Device Prohibition) expressed the view that </w:t>
      </w:r>
      <w:r w:rsidR="000C010B">
        <w:rPr>
          <w:rFonts w:cs="Arial"/>
        </w:rPr>
        <w:t>w</w:t>
      </w:r>
      <w:r w:rsidRPr="00911515">
        <w:rPr>
          <w:rFonts w:cs="Arial"/>
        </w:rPr>
        <w:t>i-</w:t>
      </w:r>
      <w:r w:rsidR="000C010B">
        <w:rPr>
          <w:rFonts w:cs="Arial"/>
        </w:rPr>
        <w:t>f</w:t>
      </w:r>
      <w:r w:rsidRPr="00911515">
        <w:rPr>
          <w:rFonts w:cs="Arial"/>
        </w:rPr>
        <w:t xml:space="preserve">i should be a service </w:t>
      </w:r>
      <w:r>
        <w:rPr>
          <w:rFonts w:cs="Arial"/>
        </w:rPr>
        <w:t xml:space="preserve">covered by the </w:t>
      </w:r>
      <w:r w:rsidRPr="00911515">
        <w:rPr>
          <w:rFonts w:cs="Arial"/>
        </w:rPr>
        <w:t xml:space="preserve">PMTS Jamming Device Prohibition, or that </w:t>
      </w:r>
      <w:r w:rsidR="000C010B">
        <w:rPr>
          <w:rFonts w:cs="Arial"/>
        </w:rPr>
        <w:t>w</w:t>
      </w:r>
      <w:r w:rsidRPr="00911515">
        <w:rPr>
          <w:rFonts w:cs="Arial"/>
        </w:rPr>
        <w:t>i-</w:t>
      </w:r>
      <w:r w:rsidR="000C010B">
        <w:rPr>
          <w:rFonts w:cs="Arial"/>
        </w:rPr>
        <w:t>f</w:t>
      </w:r>
      <w:r w:rsidRPr="00911515">
        <w:rPr>
          <w:rFonts w:cs="Arial"/>
        </w:rPr>
        <w:t xml:space="preserve">i jamming devices </w:t>
      </w:r>
      <w:r>
        <w:rPr>
          <w:rFonts w:cs="Arial"/>
        </w:rPr>
        <w:t xml:space="preserve">should </w:t>
      </w:r>
      <w:r w:rsidRPr="00911515">
        <w:rPr>
          <w:rFonts w:cs="Arial"/>
        </w:rPr>
        <w:t xml:space="preserve">be prohibited under a separate prohibition declaration. Some stakeholders </w:t>
      </w:r>
      <w:r w:rsidR="00410F68">
        <w:rPr>
          <w:rFonts w:cs="Arial"/>
        </w:rPr>
        <w:t>also</w:t>
      </w:r>
      <w:r w:rsidR="00410F68" w:rsidRPr="00911515">
        <w:rPr>
          <w:rFonts w:cs="Arial"/>
        </w:rPr>
        <w:t xml:space="preserve"> </w:t>
      </w:r>
      <w:r w:rsidRPr="00911515">
        <w:rPr>
          <w:rFonts w:cs="Arial"/>
        </w:rPr>
        <w:t>expressed</w:t>
      </w:r>
      <w:r w:rsidR="00DD336F">
        <w:rPr>
          <w:rFonts w:cs="Arial"/>
        </w:rPr>
        <w:t xml:space="preserve"> </w:t>
      </w:r>
      <w:r w:rsidRPr="00911515">
        <w:rPr>
          <w:rFonts w:cs="Arial"/>
        </w:rPr>
        <w:t xml:space="preserve">the view </w:t>
      </w:r>
      <w:r w:rsidR="00FC1F58">
        <w:rPr>
          <w:rFonts w:cs="Arial"/>
        </w:rPr>
        <w:t xml:space="preserve">that </w:t>
      </w:r>
      <w:r w:rsidRPr="00911515">
        <w:rPr>
          <w:rFonts w:cs="Arial"/>
        </w:rPr>
        <w:t xml:space="preserve">the </w:t>
      </w:r>
      <w:r w:rsidR="001F70F7">
        <w:rPr>
          <w:rFonts w:cs="Arial"/>
        </w:rPr>
        <w:t xml:space="preserve">prohibition regime </w:t>
      </w:r>
      <w:r w:rsidRPr="00911515">
        <w:rPr>
          <w:rFonts w:cs="Arial"/>
        </w:rPr>
        <w:t xml:space="preserve">should </w:t>
      </w:r>
      <w:r>
        <w:rPr>
          <w:rFonts w:cs="Arial"/>
        </w:rPr>
        <w:t>be expanded</w:t>
      </w:r>
      <w:r w:rsidRPr="00911515">
        <w:rPr>
          <w:rFonts w:cs="Arial"/>
        </w:rPr>
        <w:t xml:space="preserve"> to cover</w:t>
      </w:r>
      <w:r w:rsidR="00FC1F58">
        <w:rPr>
          <w:rFonts w:cs="Arial"/>
        </w:rPr>
        <w:t xml:space="preserve"> jamming devices that may adversely </w:t>
      </w:r>
      <w:r w:rsidR="00DD336F">
        <w:rPr>
          <w:rFonts w:cs="Arial"/>
        </w:rPr>
        <w:t>affect</w:t>
      </w:r>
      <w:r w:rsidRPr="00911515">
        <w:rPr>
          <w:rFonts w:cs="Arial"/>
        </w:rPr>
        <w:t xml:space="preserve"> all licensed radiocommunications </w:t>
      </w:r>
      <w:r w:rsidR="001F70F7">
        <w:rPr>
          <w:rFonts w:cs="Arial"/>
        </w:rPr>
        <w:t>services</w:t>
      </w:r>
      <w:r>
        <w:rPr>
          <w:rFonts w:cs="Arial"/>
        </w:rPr>
        <w:t>.</w:t>
      </w:r>
    </w:p>
    <w:p w14:paraId="78814837" w14:textId="4DFA915C" w:rsidR="007F758E" w:rsidRPr="00911515" w:rsidRDefault="007F758E" w:rsidP="007F758E">
      <w:pPr>
        <w:rPr>
          <w:rFonts w:cs="Arial"/>
        </w:rPr>
      </w:pPr>
      <w:r w:rsidRPr="00911515">
        <w:rPr>
          <w:rFonts w:cs="Arial"/>
        </w:rPr>
        <w:t>Submissions</w:t>
      </w:r>
      <w:r>
        <w:rPr>
          <w:rFonts w:cs="Arial"/>
        </w:rPr>
        <w:t xml:space="preserve"> to the </w:t>
      </w:r>
      <w:r w:rsidRPr="00911515">
        <w:rPr>
          <w:rFonts w:cs="Arial"/>
        </w:rPr>
        <w:t xml:space="preserve">2010 </w:t>
      </w:r>
      <w:r>
        <w:rPr>
          <w:rFonts w:cs="Arial"/>
        </w:rPr>
        <w:t>review</w:t>
      </w:r>
      <w:r w:rsidR="006D2F16">
        <w:rPr>
          <w:rFonts w:cs="Arial"/>
        </w:rPr>
        <w:t xml:space="preserve"> </w:t>
      </w:r>
      <w:r w:rsidR="006D2F16" w:rsidRPr="00830E78">
        <w:rPr>
          <w:rFonts w:cs="Arial"/>
        </w:rPr>
        <w:t xml:space="preserve">of the </w:t>
      </w:r>
      <w:r w:rsidR="006D2F16" w:rsidRPr="00283061">
        <w:rPr>
          <w:rFonts w:cs="Arial"/>
        </w:rPr>
        <w:t>Mobile Phone Jammer Prohibition</w:t>
      </w:r>
      <w:r>
        <w:rPr>
          <w:rFonts w:cs="Arial"/>
        </w:rPr>
        <w:t xml:space="preserve"> </w:t>
      </w:r>
      <w:r w:rsidRPr="00911515">
        <w:rPr>
          <w:rFonts w:cs="Arial"/>
        </w:rPr>
        <w:t>noted the role that class</w:t>
      </w:r>
      <w:r>
        <w:rPr>
          <w:rFonts w:cs="Arial"/>
        </w:rPr>
        <w:t>-</w:t>
      </w:r>
      <w:r w:rsidRPr="00911515">
        <w:rPr>
          <w:rFonts w:cs="Arial"/>
        </w:rPr>
        <w:t xml:space="preserve">licensed devices </w:t>
      </w:r>
      <w:r w:rsidR="006D2F16">
        <w:rPr>
          <w:rFonts w:cs="Arial"/>
        </w:rPr>
        <w:t xml:space="preserve">were </w:t>
      </w:r>
      <w:r w:rsidRPr="00911515">
        <w:rPr>
          <w:rFonts w:cs="Arial"/>
        </w:rPr>
        <w:t>play</w:t>
      </w:r>
      <w:r w:rsidR="006D2F16">
        <w:rPr>
          <w:rFonts w:cs="Arial"/>
        </w:rPr>
        <w:t>ing</w:t>
      </w:r>
      <w:r w:rsidRPr="00911515">
        <w:rPr>
          <w:rFonts w:cs="Arial"/>
        </w:rPr>
        <w:t xml:space="preserve"> in enabling innovation and broader social and economic connectivity, and that </w:t>
      </w:r>
      <w:r w:rsidR="000C010B">
        <w:rPr>
          <w:rFonts w:cs="Arial"/>
        </w:rPr>
        <w:t>w</w:t>
      </w:r>
      <w:r w:rsidRPr="00911515">
        <w:rPr>
          <w:rFonts w:cs="Arial"/>
        </w:rPr>
        <w:t>i-</w:t>
      </w:r>
      <w:r w:rsidR="000C010B">
        <w:rPr>
          <w:rFonts w:cs="Arial"/>
        </w:rPr>
        <w:t>f</w:t>
      </w:r>
      <w:r w:rsidRPr="00911515">
        <w:rPr>
          <w:rFonts w:cs="Arial"/>
        </w:rPr>
        <w:t xml:space="preserve">i was becoming more and more ubiquitous. At that time, </w:t>
      </w:r>
      <w:r>
        <w:rPr>
          <w:rFonts w:cs="Arial"/>
        </w:rPr>
        <w:t xml:space="preserve">it was noted that </w:t>
      </w:r>
      <w:r w:rsidR="000C010B">
        <w:rPr>
          <w:rFonts w:cs="Arial"/>
        </w:rPr>
        <w:t>w</w:t>
      </w:r>
      <w:r w:rsidRPr="00911515">
        <w:rPr>
          <w:rFonts w:cs="Arial"/>
        </w:rPr>
        <w:t>i-</w:t>
      </w:r>
      <w:r w:rsidR="000C010B">
        <w:rPr>
          <w:rFonts w:cs="Arial"/>
        </w:rPr>
        <w:t>f</w:t>
      </w:r>
      <w:r w:rsidRPr="00911515">
        <w:rPr>
          <w:rFonts w:cs="Arial"/>
        </w:rPr>
        <w:t xml:space="preserve">i </w:t>
      </w:r>
      <w:r>
        <w:rPr>
          <w:rFonts w:cs="Arial"/>
        </w:rPr>
        <w:t xml:space="preserve">was also serving </w:t>
      </w:r>
      <w:r w:rsidRPr="00911515">
        <w:rPr>
          <w:rFonts w:cs="Arial"/>
        </w:rPr>
        <w:t>an offloading function to improve cellular network capacity</w:t>
      </w:r>
      <w:r>
        <w:rPr>
          <w:rFonts w:cs="Arial"/>
        </w:rPr>
        <w:t xml:space="preserve">. </w:t>
      </w:r>
      <w:r w:rsidRPr="00911515">
        <w:rPr>
          <w:rFonts w:cs="Arial"/>
        </w:rPr>
        <w:t xml:space="preserve">In making the PMTS Jamming Device Prohibition, the ACMA noted that </w:t>
      </w:r>
      <w:r w:rsidR="00734A1E">
        <w:rPr>
          <w:rFonts w:cs="Arial"/>
        </w:rPr>
        <w:t xml:space="preserve">there was limited evidence to support expanding the scope of the prohibition to include </w:t>
      </w:r>
      <w:r w:rsidRPr="00911515">
        <w:rPr>
          <w:rFonts w:cs="Arial"/>
        </w:rPr>
        <w:t>all wireless access services</w:t>
      </w:r>
      <w:r w:rsidR="00734A1E">
        <w:rPr>
          <w:rFonts w:cs="Arial"/>
        </w:rPr>
        <w:t xml:space="preserve">. </w:t>
      </w:r>
      <w:r w:rsidRPr="00911515">
        <w:rPr>
          <w:rFonts w:cs="Arial"/>
        </w:rPr>
        <w:t xml:space="preserve">The ACMA noted that the nature of fixed wireless access services authorised by a class licence (for example, </w:t>
      </w:r>
      <w:r w:rsidR="000C010B">
        <w:rPr>
          <w:rFonts w:cs="Arial"/>
        </w:rPr>
        <w:t>w</w:t>
      </w:r>
      <w:r w:rsidRPr="00911515">
        <w:rPr>
          <w:rFonts w:cs="Arial"/>
        </w:rPr>
        <w:t>i-</w:t>
      </w:r>
      <w:r w:rsidR="000C010B">
        <w:rPr>
          <w:rFonts w:cs="Arial"/>
        </w:rPr>
        <w:t>f</w:t>
      </w:r>
      <w:r w:rsidRPr="00911515">
        <w:rPr>
          <w:rFonts w:cs="Arial"/>
        </w:rPr>
        <w:t xml:space="preserve">i </w:t>
      </w:r>
      <w:r w:rsidR="009D20F1">
        <w:rPr>
          <w:rFonts w:cs="Arial"/>
        </w:rPr>
        <w:t xml:space="preserve">devices </w:t>
      </w:r>
      <w:r w:rsidRPr="00911515">
        <w:rPr>
          <w:rFonts w:cs="Arial"/>
        </w:rPr>
        <w:t xml:space="preserve">as authorised under </w:t>
      </w:r>
      <w:r w:rsidRPr="00830E78">
        <w:rPr>
          <w:rFonts w:cs="Arial"/>
        </w:rPr>
        <w:t xml:space="preserve">the </w:t>
      </w:r>
      <w:hyperlink r:id="rId37" w:history="1">
        <w:r w:rsidRPr="00734A1E">
          <w:rPr>
            <w:rStyle w:val="Hyperlink"/>
            <w:rFonts w:cs="Arial"/>
          </w:rPr>
          <w:t>Radiocommunications (Low Interference Potential Devices) Class Licence 2015</w:t>
        </w:r>
      </w:hyperlink>
      <w:r w:rsidR="00DD336F">
        <w:rPr>
          <w:rFonts w:cs="Arial"/>
        </w:rPr>
        <w:t xml:space="preserve"> (</w:t>
      </w:r>
      <w:r w:rsidR="005E28D7">
        <w:rPr>
          <w:rFonts w:cs="Arial"/>
        </w:rPr>
        <w:t xml:space="preserve">the </w:t>
      </w:r>
      <w:r w:rsidR="00DD336F">
        <w:rPr>
          <w:rFonts w:cs="Arial"/>
        </w:rPr>
        <w:t>LIPD Class Licence</w:t>
      </w:r>
      <w:r w:rsidR="00FE0F02">
        <w:rPr>
          <w:rFonts w:cs="Arial"/>
        </w:rPr>
        <w:t>)</w:t>
      </w:r>
      <w:r w:rsidRPr="00911515">
        <w:rPr>
          <w:rFonts w:cs="Arial"/>
        </w:rPr>
        <w:t xml:space="preserve"> is that they are operated on a ‘no </w:t>
      </w:r>
      <w:r w:rsidRPr="00911515">
        <w:rPr>
          <w:rFonts w:cs="Arial"/>
        </w:rPr>
        <w:lastRenderedPageBreak/>
        <w:t>protection</w:t>
      </w:r>
      <w:r w:rsidR="00647A71">
        <w:rPr>
          <w:rFonts w:cs="Arial"/>
        </w:rPr>
        <w:t>’</w:t>
      </w:r>
      <w:r w:rsidRPr="00911515">
        <w:rPr>
          <w:rFonts w:cs="Arial"/>
        </w:rPr>
        <w:t xml:space="preserve"> basis.</w:t>
      </w:r>
      <w:r w:rsidR="00FC1F58" w:rsidRPr="00FC1F58">
        <w:rPr>
          <w:rStyle w:val="FootnoteReference"/>
          <w:rFonts w:cs="Arial"/>
        </w:rPr>
        <w:t xml:space="preserve"> </w:t>
      </w:r>
      <w:r w:rsidR="00FC1F58">
        <w:rPr>
          <w:rStyle w:val="FootnoteReference"/>
          <w:rFonts w:cs="Arial"/>
        </w:rPr>
        <w:footnoteReference w:id="12"/>
      </w:r>
      <w:r w:rsidRPr="00911515">
        <w:rPr>
          <w:rFonts w:cs="Arial"/>
        </w:rPr>
        <w:t xml:space="preserve"> Th</w:t>
      </w:r>
      <w:r>
        <w:rPr>
          <w:rFonts w:cs="Arial"/>
        </w:rPr>
        <w:t xml:space="preserve">e ACMA’s view at the time was that this </w:t>
      </w:r>
      <w:r w:rsidRPr="00911515">
        <w:rPr>
          <w:rFonts w:cs="Arial"/>
        </w:rPr>
        <w:t>mean</w:t>
      </w:r>
      <w:r>
        <w:rPr>
          <w:rFonts w:cs="Arial"/>
        </w:rPr>
        <w:t>t</w:t>
      </w:r>
      <w:r w:rsidRPr="00911515">
        <w:rPr>
          <w:rFonts w:cs="Arial"/>
        </w:rPr>
        <w:t xml:space="preserve"> there </w:t>
      </w:r>
      <w:r w:rsidR="00647A71">
        <w:rPr>
          <w:rFonts w:cs="Arial"/>
        </w:rPr>
        <w:t xml:space="preserve">could </w:t>
      </w:r>
      <w:r w:rsidRPr="00911515">
        <w:rPr>
          <w:rFonts w:cs="Arial"/>
        </w:rPr>
        <w:t xml:space="preserve">be </w:t>
      </w:r>
      <w:r w:rsidR="000C010B">
        <w:rPr>
          <w:rFonts w:cs="Arial"/>
        </w:rPr>
        <w:t>no</w:t>
      </w:r>
      <w:r w:rsidR="000C010B" w:rsidRPr="00911515">
        <w:rPr>
          <w:rFonts w:cs="Arial"/>
        </w:rPr>
        <w:t xml:space="preserve"> </w:t>
      </w:r>
      <w:r w:rsidRPr="00911515">
        <w:rPr>
          <w:rFonts w:cs="Arial"/>
        </w:rPr>
        <w:t xml:space="preserve">expectation of service continuity, nor </w:t>
      </w:r>
      <w:r w:rsidR="00647A71">
        <w:rPr>
          <w:rFonts w:cs="Arial"/>
        </w:rPr>
        <w:t xml:space="preserve">could these services be </w:t>
      </w:r>
      <w:r w:rsidRPr="00911515">
        <w:rPr>
          <w:rFonts w:cs="Arial"/>
        </w:rPr>
        <w:t>seen as a direct substitute for PMT</w:t>
      </w:r>
      <w:r>
        <w:rPr>
          <w:rFonts w:cs="Arial"/>
        </w:rPr>
        <w:t>S.</w:t>
      </w:r>
      <w:r w:rsidRPr="00911515">
        <w:rPr>
          <w:rFonts w:cs="Arial"/>
        </w:rPr>
        <w:t xml:space="preserve"> </w:t>
      </w:r>
    </w:p>
    <w:p w14:paraId="616C6206" w14:textId="7016541F" w:rsidR="007F758E" w:rsidRPr="00911515" w:rsidRDefault="00E62026" w:rsidP="007F758E">
      <w:pPr>
        <w:rPr>
          <w:rFonts w:cs="Arial"/>
        </w:rPr>
      </w:pPr>
      <w:r>
        <w:rPr>
          <w:rFonts w:cs="Arial"/>
        </w:rPr>
        <w:t xml:space="preserve">Since 2010, </w:t>
      </w:r>
      <w:r w:rsidR="000C010B">
        <w:rPr>
          <w:rFonts w:cs="Arial"/>
        </w:rPr>
        <w:t>w</w:t>
      </w:r>
      <w:r w:rsidR="007F758E" w:rsidRPr="00911515">
        <w:rPr>
          <w:rFonts w:cs="Arial"/>
        </w:rPr>
        <w:t>i-</w:t>
      </w:r>
      <w:r w:rsidR="000C010B">
        <w:rPr>
          <w:rFonts w:cs="Arial"/>
        </w:rPr>
        <w:t>f</w:t>
      </w:r>
      <w:r w:rsidR="007F758E" w:rsidRPr="00911515">
        <w:rPr>
          <w:rFonts w:cs="Arial"/>
        </w:rPr>
        <w:t xml:space="preserve">i </w:t>
      </w:r>
      <w:r>
        <w:rPr>
          <w:rFonts w:cs="Arial"/>
        </w:rPr>
        <w:t>has continued to evolve and</w:t>
      </w:r>
      <w:r w:rsidR="007F758E" w:rsidRPr="00911515">
        <w:rPr>
          <w:rFonts w:cs="Arial"/>
        </w:rPr>
        <w:t xml:space="preserve"> </w:t>
      </w:r>
      <w:r w:rsidR="008D74E0">
        <w:rPr>
          <w:rFonts w:cs="Arial"/>
        </w:rPr>
        <w:t xml:space="preserve">is </w:t>
      </w:r>
      <w:r w:rsidR="00F357DE">
        <w:rPr>
          <w:rFonts w:cs="Arial"/>
        </w:rPr>
        <w:t>increasingly a</w:t>
      </w:r>
      <w:r w:rsidR="007F758E" w:rsidRPr="00911515">
        <w:rPr>
          <w:rFonts w:cs="Arial"/>
        </w:rPr>
        <w:t xml:space="preserve"> complementary network</w:t>
      </w:r>
      <w:r w:rsidR="00F92CCF">
        <w:rPr>
          <w:rFonts w:cs="Arial"/>
        </w:rPr>
        <w:t xml:space="preserve"> to cellular networks</w:t>
      </w:r>
      <w:r w:rsidR="007F758E">
        <w:rPr>
          <w:rFonts w:cs="Arial"/>
        </w:rPr>
        <w:t>.</w:t>
      </w:r>
      <w:r w:rsidR="007F758E" w:rsidRPr="00495A5D">
        <w:rPr>
          <w:rFonts w:cs="Arial"/>
          <w:vertAlign w:val="superscript"/>
        </w:rPr>
        <w:footnoteReference w:id="13"/>
      </w:r>
      <w:r w:rsidR="007F758E" w:rsidRPr="00911515">
        <w:rPr>
          <w:rFonts w:cs="Arial"/>
        </w:rPr>
        <w:t xml:space="preserve"> </w:t>
      </w:r>
      <w:r w:rsidR="00DE5F1D">
        <w:rPr>
          <w:rFonts w:cs="Arial"/>
        </w:rPr>
        <w:t>A</w:t>
      </w:r>
      <w:r w:rsidR="007F758E" w:rsidRPr="00911515">
        <w:rPr>
          <w:rFonts w:cs="Arial"/>
        </w:rPr>
        <w:t>pplications and service</w:t>
      </w:r>
      <w:r w:rsidR="001F70F7">
        <w:rPr>
          <w:rFonts w:cs="Arial"/>
        </w:rPr>
        <w:t>s</w:t>
      </w:r>
      <w:r w:rsidR="007F758E" w:rsidRPr="00911515">
        <w:rPr>
          <w:rFonts w:cs="Arial"/>
        </w:rPr>
        <w:t xml:space="preserve"> like </w:t>
      </w:r>
      <w:r w:rsidR="00F27287">
        <w:rPr>
          <w:rFonts w:cs="Arial"/>
        </w:rPr>
        <w:t>w</w:t>
      </w:r>
      <w:r w:rsidR="007F758E" w:rsidRPr="00911515">
        <w:rPr>
          <w:rFonts w:cs="Arial"/>
        </w:rPr>
        <w:t>i-</w:t>
      </w:r>
      <w:r w:rsidR="00F27287">
        <w:rPr>
          <w:rFonts w:cs="Arial"/>
        </w:rPr>
        <w:t>f</w:t>
      </w:r>
      <w:r w:rsidR="007F758E" w:rsidRPr="00911515">
        <w:rPr>
          <w:rFonts w:cs="Arial"/>
        </w:rPr>
        <w:t xml:space="preserve">i calling and </w:t>
      </w:r>
      <w:r w:rsidR="00F27287">
        <w:rPr>
          <w:rFonts w:cs="Arial"/>
        </w:rPr>
        <w:t>w</w:t>
      </w:r>
      <w:r w:rsidR="007F758E" w:rsidRPr="00911515">
        <w:rPr>
          <w:rFonts w:cs="Arial"/>
        </w:rPr>
        <w:t>i-</w:t>
      </w:r>
      <w:r w:rsidR="00F27287">
        <w:rPr>
          <w:rFonts w:cs="Arial"/>
        </w:rPr>
        <w:t>f</w:t>
      </w:r>
      <w:r w:rsidR="007F758E" w:rsidRPr="00911515">
        <w:rPr>
          <w:rFonts w:cs="Arial"/>
        </w:rPr>
        <w:t>i hotspots are increasingly prevalent.</w:t>
      </w:r>
      <w:r w:rsidR="00647A71">
        <w:rPr>
          <w:rFonts w:cs="Arial"/>
        </w:rPr>
        <w:t xml:space="preserve"> </w:t>
      </w:r>
      <w:r w:rsidR="007F758E" w:rsidRPr="00911515">
        <w:rPr>
          <w:rFonts w:cs="Arial"/>
        </w:rPr>
        <w:t>Th</w:t>
      </w:r>
      <w:r w:rsidR="007F758E">
        <w:rPr>
          <w:rFonts w:cs="Arial"/>
        </w:rPr>
        <w:t xml:space="preserve">e reliance on ‘no interference, no protection’ services facilitated by class licensing arrangements </w:t>
      </w:r>
      <w:r w:rsidR="007F758E" w:rsidRPr="00911515">
        <w:rPr>
          <w:rFonts w:cs="Arial"/>
        </w:rPr>
        <w:t xml:space="preserve">is not exclusive to </w:t>
      </w:r>
      <w:r w:rsidR="00F27287">
        <w:rPr>
          <w:rFonts w:cs="Arial"/>
        </w:rPr>
        <w:t>w</w:t>
      </w:r>
      <w:r w:rsidR="007F758E" w:rsidRPr="00911515">
        <w:rPr>
          <w:rFonts w:cs="Arial"/>
        </w:rPr>
        <w:t>i</w:t>
      </w:r>
      <w:r w:rsidR="00C71DE6">
        <w:rPr>
          <w:rFonts w:cs="Arial"/>
        </w:rPr>
        <w:t>-</w:t>
      </w:r>
      <w:r w:rsidR="00F27287">
        <w:rPr>
          <w:rFonts w:cs="Arial"/>
        </w:rPr>
        <w:t>f</w:t>
      </w:r>
      <w:r w:rsidR="007F758E" w:rsidRPr="00911515">
        <w:rPr>
          <w:rFonts w:cs="Arial"/>
        </w:rPr>
        <w:t xml:space="preserve">i, with </w:t>
      </w:r>
      <w:r w:rsidR="00F27287">
        <w:rPr>
          <w:rFonts w:cs="Arial"/>
        </w:rPr>
        <w:t>m</w:t>
      </w:r>
      <w:r w:rsidR="00C71DE6">
        <w:rPr>
          <w:rFonts w:cs="Arial"/>
        </w:rPr>
        <w:t>achine-to-machine (M</w:t>
      </w:r>
      <w:r w:rsidR="007F758E" w:rsidRPr="00911515">
        <w:rPr>
          <w:rFonts w:cs="Arial"/>
        </w:rPr>
        <w:t>2M</w:t>
      </w:r>
      <w:r w:rsidR="00C71DE6">
        <w:rPr>
          <w:rFonts w:cs="Arial"/>
        </w:rPr>
        <w:t>)</w:t>
      </w:r>
      <w:r w:rsidR="007F758E" w:rsidRPr="00911515">
        <w:rPr>
          <w:rFonts w:cs="Arial"/>
        </w:rPr>
        <w:t xml:space="preserve"> and I</w:t>
      </w:r>
      <w:r w:rsidR="00C71DE6">
        <w:rPr>
          <w:rFonts w:cs="Arial"/>
        </w:rPr>
        <w:t>nternet of Things (I</w:t>
      </w:r>
      <w:r w:rsidR="007F758E" w:rsidRPr="00911515">
        <w:rPr>
          <w:rFonts w:cs="Arial"/>
        </w:rPr>
        <w:t>oT</w:t>
      </w:r>
      <w:r w:rsidR="00C71DE6">
        <w:rPr>
          <w:rFonts w:cs="Arial"/>
        </w:rPr>
        <w:t>)</w:t>
      </w:r>
      <w:r w:rsidR="007F758E" w:rsidRPr="00911515">
        <w:rPr>
          <w:rFonts w:cs="Arial"/>
        </w:rPr>
        <w:t xml:space="preserve"> deployments also looking to unlicensed bands</w:t>
      </w:r>
      <w:r w:rsidR="007F758E">
        <w:rPr>
          <w:rFonts w:cs="Arial"/>
        </w:rPr>
        <w:t xml:space="preserve"> to facilitate their operation.</w:t>
      </w:r>
      <w:r w:rsidR="007F758E" w:rsidRPr="00495A5D">
        <w:rPr>
          <w:rFonts w:cs="Arial"/>
          <w:vertAlign w:val="superscript"/>
        </w:rPr>
        <w:footnoteReference w:id="14"/>
      </w:r>
      <w:r w:rsidR="007F758E">
        <w:rPr>
          <w:rFonts w:cs="Arial"/>
        </w:rPr>
        <w:t xml:space="preserve"> Furthermore, there are </w:t>
      </w:r>
      <w:r w:rsidR="007F758E" w:rsidRPr="00911515">
        <w:rPr>
          <w:rFonts w:cs="Arial"/>
        </w:rPr>
        <w:t xml:space="preserve">devices whose primary purpose is related to safety </w:t>
      </w:r>
      <w:r w:rsidR="007F758E">
        <w:rPr>
          <w:rFonts w:cs="Arial"/>
        </w:rPr>
        <w:t xml:space="preserve">that </w:t>
      </w:r>
      <w:r w:rsidR="007F758E" w:rsidRPr="00911515">
        <w:rPr>
          <w:rFonts w:cs="Arial"/>
        </w:rPr>
        <w:t>are operating under class licences</w:t>
      </w:r>
      <w:r w:rsidR="007F758E">
        <w:rPr>
          <w:rFonts w:cs="Arial"/>
        </w:rPr>
        <w:t xml:space="preserve">—prominently, </w:t>
      </w:r>
      <w:r w:rsidR="005401C1">
        <w:rPr>
          <w:rFonts w:cs="Arial"/>
        </w:rPr>
        <w:t xml:space="preserve">intelligent transport system </w:t>
      </w:r>
      <w:r w:rsidR="000E0624">
        <w:rPr>
          <w:rFonts w:cs="Arial"/>
        </w:rPr>
        <w:t xml:space="preserve">(ITS) </w:t>
      </w:r>
      <w:r w:rsidR="007F758E">
        <w:rPr>
          <w:rFonts w:cs="Arial"/>
        </w:rPr>
        <w:t>devices under</w:t>
      </w:r>
      <w:r w:rsidR="007F758E" w:rsidRPr="00911515">
        <w:rPr>
          <w:rFonts w:cs="Arial"/>
        </w:rPr>
        <w:t xml:space="preserve"> the </w:t>
      </w:r>
      <w:hyperlink r:id="rId38" w:history="1">
        <w:r w:rsidR="007F758E" w:rsidRPr="00734A1E">
          <w:rPr>
            <w:rStyle w:val="Hyperlink"/>
            <w:rFonts w:cs="Arial"/>
          </w:rPr>
          <w:t>Radiocommunications (Intelligent Transport Systems) Class Licence 2017</w:t>
        </w:r>
      </w:hyperlink>
      <w:r w:rsidR="007F758E" w:rsidRPr="00911515">
        <w:rPr>
          <w:rFonts w:cs="Arial"/>
        </w:rPr>
        <w:t>. While the</w:t>
      </w:r>
      <w:r w:rsidR="007F758E">
        <w:rPr>
          <w:rFonts w:cs="Arial"/>
        </w:rPr>
        <w:t xml:space="preserve">se deployments </w:t>
      </w:r>
      <w:r w:rsidR="002C75D2">
        <w:rPr>
          <w:rFonts w:cs="Arial"/>
        </w:rPr>
        <w:t>assume</w:t>
      </w:r>
      <w:r w:rsidR="002C75D2" w:rsidRPr="00911515">
        <w:rPr>
          <w:rFonts w:cs="Arial"/>
        </w:rPr>
        <w:t xml:space="preserve"> </w:t>
      </w:r>
      <w:r w:rsidR="007F758E" w:rsidRPr="00911515">
        <w:rPr>
          <w:rFonts w:cs="Arial"/>
        </w:rPr>
        <w:t>operat</w:t>
      </w:r>
      <w:r w:rsidR="007F758E">
        <w:rPr>
          <w:rFonts w:cs="Arial"/>
        </w:rPr>
        <w:t>ion</w:t>
      </w:r>
      <w:r w:rsidR="007F758E" w:rsidRPr="00911515">
        <w:rPr>
          <w:rFonts w:cs="Arial"/>
        </w:rPr>
        <w:t xml:space="preserve"> </w:t>
      </w:r>
      <w:r w:rsidR="007F758E">
        <w:rPr>
          <w:rFonts w:cs="Arial"/>
        </w:rPr>
        <w:t xml:space="preserve">in </w:t>
      </w:r>
      <w:r w:rsidR="007F758E" w:rsidRPr="00911515">
        <w:rPr>
          <w:rFonts w:cs="Arial"/>
        </w:rPr>
        <w:t>a congested</w:t>
      </w:r>
      <w:r w:rsidR="007F758E">
        <w:rPr>
          <w:rFonts w:cs="Arial"/>
        </w:rPr>
        <w:t xml:space="preserve"> and noisy</w:t>
      </w:r>
      <w:r w:rsidR="007F758E" w:rsidRPr="00911515">
        <w:rPr>
          <w:rFonts w:cs="Arial"/>
        </w:rPr>
        <w:t xml:space="preserve"> </w:t>
      </w:r>
      <w:r w:rsidR="00FC1F58">
        <w:rPr>
          <w:rFonts w:cs="Arial"/>
        </w:rPr>
        <w:t xml:space="preserve">radiocommunications </w:t>
      </w:r>
      <w:r w:rsidR="007F758E" w:rsidRPr="00911515">
        <w:rPr>
          <w:rFonts w:cs="Arial"/>
        </w:rPr>
        <w:t xml:space="preserve">environment, </w:t>
      </w:r>
      <w:r w:rsidR="00DD336F">
        <w:rPr>
          <w:rFonts w:cs="Arial"/>
        </w:rPr>
        <w:t xml:space="preserve">they do not necessarily </w:t>
      </w:r>
      <w:r w:rsidR="000E5512" w:rsidRPr="009A2F96">
        <w:rPr>
          <w:rFonts w:cs="Arial"/>
        </w:rPr>
        <w:t>expect</w:t>
      </w:r>
      <w:r w:rsidR="00DD336F" w:rsidRPr="009A2F96">
        <w:rPr>
          <w:rFonts w:cs="Arial"/>
        </w:rPr>
        <w:t xml:space="preserve"> deliberate</w:t>
      </w:r>
      <w:r w:rsidR="00DD336F">
        <w:rPr>
          <w:rFonts w:cs="Arial"/>
        </w:rPr>
        <w:t xml:space="preserve"> interference from jamming devices</w:t>
      </w:r>
      <w:r w:rsidR="007F758E" w:rsidRPr="00911515">
        <w:rPr>
          <w:rFonts w:cs="Arial"/>
        </w:rPr>
        <w:t>.</w:t>
      </w:r>
    </w:p>
    <w:p w14:paraId="47C1D7C5" w14:textId="25196CE5" w:rsidR="00C12454" w:rsidRDefault="00C659EC" w:rsidP="007F758E">
      <w:pPr>
        <w:rPr>
          <w:rFonts w:cs="Arial"/>
        </w:rPr>
      </w:pPr>
      <w:r>
        <w:rPr>
          <w:rFonts w:cs="Arial"/>
        </w:rPr>
        <w:t>Prohibition declaration</w:t>
      </w:r>
      <w:r w:rsidR="00DC128D">
        <w:rPr>
          <w:rFonts w:cs="Arial"/>
        </w:rPr>
        <w:t>s</w:t>
      </w:r>
      <w:r>
        <w:rPr>
          <w:rFonts w:cs="Arial"/>
        </w:rPr>
        <w:t xml:space="preserve"> </w:t>
      </w:r>
      <w:r w:rsidR="008D2032">
        <w:rPr>
          <w:rFonts w:cs="Arial"/>
        </w:rPr>
        <w:t xml:space="preserve">have been used to </w:t>
      </w:r>
      <w:r w:rsidR="00DC128D">
        <w:rPr>
          <w:rFonts w:cs="Arial"/>
        </w:rPr>
        <w:t>manage</w:t>
      </w:r>
      <w:r w:rsidR="000A4563">
        <w:rPr>
          <w:rFonts w:cs="Arial"/>
        </w:rPr>
        <w:t xml:space="preserve"> </w:t>
      </w:r>
      <w:r w:rsidR="004547B3">
        <w:rPr>
          <w:rFonts w:cs="Arial"/>
        </w:rPr>
        <w:t xml:space="preserve">risks to services that </w:t>
      </w:r>
      <w:r w:rsidR="009B7D76">
        <w:rPr>
          <w:rFonts w:cs="Arial"/>
        </w:rPr>
        <w:t xml:space="preserve">are </w:t>
      </w:r>
      <w:r w:rsidR="00304900">
        <w:rPr>
          <w:rFonts w:cs="Arial"/>
        </w:rPr>
        <w:t xml:space="preserve">regarded </w:t>
      </w:r>
      <w:r w:rsidR="00F27287">
        <w:rPr>
          <w:rFonts w:cs="Arial"/>
        </w:rPr>
        <w:t xml:space="preserve">as </w:t>
      </w:r>
      <w:r w:rsidR="009B7D76">
        <w:rPr>
          <w:rFonts w:cs="Arial"/>
        </w:rPr>
        <w:t>economicall</w:t>
      </w:r>
      <w:r w:rsidR="00C81207">
        <w:rPr>
          <w:rFonts w:cs="Arial"/>
        </w:rPr>
        <w:t xml:space="preserve">y and </w:t>
      </w:r>
      <w:r w:rsidR="00304900">
        <w:rPr>
          <w:rFonts w:cs="Arial"/>
        </w:rPr>
        <w:t>socially critical</w:t>
      </w:r>
      <w:r w:rsidR="00C81207">
        <w:rPr>
          <w:rFonts w:cs="Arial"/>
        </w:rPr>
        <w:t>, or are relied upon for safety</w:t>
      </w:r>
      <w:r w:rsidR="00ED767C">
        <w:rPr>
          <w:rFonts w:cs="Arial"/>
        </w:rPr>
        <w:t xml:space="preserve">, </w:t>
      </w:r>
      <w:r w:rsidR="00C81207">
        <w:rPr>
          <w:rFonts w:cs="Arial"/>
        </w:rPr>
        <w:t xml:space="preserve">security </w:t>
      </w:r>
      <w:r w:rsidR="00ED767C">
        <w:rPr>
          <w:rFonts w:cs="Arial"/>
        </w:rPr>
        <w:t xml:space="preserve">or strategic </w:t>
      </w:r>
      <w:r w:rsidR="005E5E25">
        <w:rPr>
          <w:rFonts w:cs="Arial"/>
        </w:rPr>
        <w:t xml:space="preserve">outcomes. </w:t>
      </w:r>
      <w:r w:rsidR="00CA1B6D">
        <w:rPr>
          <w:rFonts w:cs="Arial"/>
        </w:rPr>
        <w:t>Traditionally, class</w:t>
      </w:r>
      <w:r w:rsidR="00F27287">
        <w:rPr>
          <w:rFonts w:cs="Arial"/>
        </w:rPr>
        <w:t>-</w:t>
      </w:r>
      <w:r w:rsidR="00CA1B6D">
        <w:rPr>
          <w:rFonts w:cs="Arial"/>
        </w:rPr>
        <w:t xml:space="preserve">licensed services have not </w:t>
      </w:r>
      <w:r w:rsidR="00D16F4F">
        <w:rPr>
          <w:rFonts w:cs="Arial"/>
        </w:rPr>
        <w:t>been relied upon in this way, with t</w:t>
      </w:r>
      <w:r w:rsidR="00623C46">
        <w:rPr>
          <w:rFonts w:cs="Arial"/>
        </w:rPr>
        <w:t xml:space="preserve">he adverse effects of </w:t>
      </w:r>
      <w:r w:rsidR="007F758E" w:rsidRPr="00911515">
        <w:rPr>
          <w:rFonts w:cs="Arial"/>
        </w:rPr>
        <w:t xml:space="preserve">congestion and </w:t>
      </w:r>
      <w:r w:rsidR="00623C46">
        <w:rPr>
          <w:rFonts w:cs="Arial"/>
        </w:rPr>
        <w:t>var</w:t>
      </w:r>
      <w:r w:rsidR="00410F68">
        <w:rPr>
          <w:rFonts w:cs="Arial"/>
        </w:rPr>
        <w:t>ying</w:t>
      </w:r>
      <w:r w:rsidR="00623C46">
        <w:rPr>
          <w:rFonts w:cs="Arial"/>
        </w:rPr>
        <w:t xml:space="preserve"> levels of </w:t>
      </w:r>
      <w:r w:rsidR="007F758E" w:rsidRPr="00911515">
        <w:rPr>
          <w:rFonts w:cs="Arial"/>
        </w:rPr>
        <w:t xml:space="preserve">service </w:t>
      </w:r>
      <w:r w:rsidR="00623C46">
        <w:rPr>
          <w:rFonts w:cs="Arial"/>
        </w:rPr>
        <w:t xml:space="preserve">quality </w:t>
      </w:r>
      <w:r w:rsidR="00F315DA">
        <w:rPr>
          <w:rFonts w:cs="Arial"/>
        </w:rPr>
        <w:t>being</w:t>
      </w:r>
      <w:r w:rsidR="007F758E" w:rsidRPr="00911515">
        <w:rPr>
          <w:rFonts w:cs="Arial"/>
        </w:rPr>
        <w:t xml:space="preserve"> trade-offs associated with </w:t>
      </w:r>
      <w:r w:rsidR="00AA74FE">
        <w:rPr>
          <w:rFonts w:cs="Arial"/>
        </w:rPr>
        <w:t xml:space="preserve">the benefits of </w:t>
      </w:r>
      <w:r w:rsidR="00410F68">
        <w:rPr>
          <w:rFonts w:cs="Arial"/>
        </w:rPr>
        <w:t>class-licens</w:t>
      </w:r>
      <w:r w:rsidR="00D16F4F">
        <w:rPr>
          <w:rFonts w:cs="Arial"/>
        </w:rPr>
        <w:t xml:space="preserve">ing </w:t>
      </w:r>
      <w:r w:rsidR="00AA74FE">
        <w:rPr>
          <w:rFonts w:cs="Arial"/>
        </w:rPr>
        <w:t xml:space="preserve">(which include no licence </w:t>
      </w:r>
      <w:r w:rsidR="005D538B">
        <w:rPr>
          <w:rFonts w:cs="Arial"/>
        </w:rPr>
        <w:t>taxes or charges</w:t>
      </w:r>
      <w:r w:rsidR="0074037A">
        <w:rPr>
          <w:rFonts w:cs="Arial"/>
        </w:rPr>
        <w:t>)</w:t>
      </w:r>
      <w:r w:rsidR="007F758E" w:rsidRPr="00911515">
        <w:rPr>
          <w:rFonts w:cs="Arial"/>
        </w:rPr>
        <w:t xml:space="preserve">. </w:t>
      </w:r>
      <w:r w:rsidR="007F758E">
        <w:rPr>
          <w:rFonts w:cs="Arial"/>
        </w:rPr>
        <w:t>Wi-</w:t>
      </w:r>
      <w:r w:rsidR="00F27287">
        <w:rPr>
          <w:rFonts w:cs="Arial"/>
        </w:rPr>
        <w:t>f</w:t>
      </w:r>
      <w:r w:rsidR="007F758E">
        <w:rPr>
          <w:rFonts w:cs="Arial"/>
        </w:rPr>
        <w:t xml:space="preserve">i is </w:t>
      </w:r>
      <w:r w:rsidR="00020AFA">
        <w:rPr>
          <w:rFonts w:cs="Arial"/>
        </w:rPr>
        <w:t xml:space="preserve">increasingly a free service (for example, in shopping centres) but is also </w:t>
      </w:r>
      <w:r w:rsidR="007F758E">
        <w:rPr>
          <w:rFonts w:cs="Arial"/>
        </w:rPr>
        <w:t>increasingly relied upon in the workplace</w:t>
      </w:r>
      <w:r w:rsidR="00020AFA">
        <w:rPr>
          <w:rFonts w:cs="Arial"/>
        </w:rPr>
        <w:t>.</w:t>
      </w:r>
    </w:p>
    <w:p w14:paraId="15F97B37" w14:textId="405A0DBB" w:rsidR="007F758E" w:rsidRDefault="00C12454" w:rsidP="007F758E">
      <w:pPr>
        <w:rPr>
          <w:rFonts w:cs="Arial"/>
        </w:rPr>
      </w:pPr>
      <w:r>
        <w:rPr>
          <w:rFonts w:cs="Arial"/>
        </w:rPr>
        <w:t>However,</w:t>
      </w:r>
      <w:r w:rsidR="00020AFA">
        <w:rPr>
          <w:rFonts w:cs="Arial"/>
        </w:rPr>
        <w:t xml:space="preserve"> </w:t>
      </w:r>
      <w:r>
        <w:rPr>
          <w:rFonts w:cs="Arial"/>
        </w:rPr>
        <w:t>t</w:t>
      </w:r>
      <w:r w:rsidR="007F758E">
        <w:rPr>
          <w:rFonts w:cs="Arial"/>
        </w:rPr>
        <w:t xml:space="preserve">he ACMA does not have any </w:t>
      </w:r>
      <w:r w:rsidR="046C090E" w:rsidRPr="046C090E">
        <w:rPr>
          <w:rFonts w:cs="Arial"/>
        </w:rPr>
        <w:t xml:space="preserve">clear available </w:t>
      </w:r>
      <w:r w:rsidR="007F758E">
        <w:rPr>
          <w:rFonts w:cs="Arial"/>
        </w:rPr>
        <w:t xml:space="preserve">data to indicate that jamming devices are adversely affecting the quality of </w:t>
      </w:r>
      <w:r w:rsidR="00F27287">
        <w:rPr>
          <w:rFonts w:cs="Arial"/>
        </w:rPr>
        <w:t>w</w:t>
      </w:r>
      <w:r w:rsidR="008E787F">
        <w:rPr>
          <w:rFonts w:cs="Arial"/>
        </w:rPr>
        <w:t>i-</w:t>
      </w:r>
      <w:r w:rsidR="00F27287">
        <w:rPr>
          <w:rFonts w:cs="Arial"/>
        </w:rPr>
        <w:t>f</w:t>
      </w:r>
      <w:r w:rsidR="008E787F">
        <w:rPr>
          <w:rFonts w:cs="Arial"/>
        </w:rPr>
        <w:t>i and other class</w:t>
      </w:r>
      <w:r w:rsidR="00F27287">
        <w:rPr>
          <w:rFonts w:cs="Arial"/>
        </w:rPr>
        <w:t>-</w:t>
      </w:r>
      <w:r w:rsidR="008E787F">
        <w:rPr>
          <w:rFonts w:cs="Arial"/>
        </w:rPr>
        <w:t xml:space="preserve">licensed </w:t>
      </w:r>
      <w:r w:rsidR="007F758E">
        <w:rPr>
          <w:rFonts w:cs="Arial"/>
        </w:rPr>
        <w:t>services</w:t>
      </w:r>
      <w:r w:rsidR="00F27287">
        <w:rPr>
          <w:rFonts w:cs="Arial"/>
        </w:rPr>
        <w:t xml:space="preserve">. </w:t>
      </w:r>
      <w:r w:rsidR="00475F05">
        <w:rPr>
          <w:rFonts w:cs="Arial"/>
        </w:rPr>
        <w:t>It is expected</w:t>
      </w:r>
      <w:r w:rsidR="00E87DB5">
        <w:rPr>
          <w:rFonts w:cs="Arial"/>
        </w:rPr>
        <w:t xml:space="preserve"> </w:t>
      </w:r>
      <w:r w:rsidR="007F758E" w:rsidRPr="00C36FDC">
        <w:rPr>
          <w:rFonts w:cs="Arial"/>
        </w:rPr>
        <w:t>that because people deploying radiocommunications services under class licence</w:t>
      </w:r>
      <w:r w:rsidR="00647A71">
        <w:rPr>
          <w:rFonts w:cs="Arial"/>
        </w:rPr>
        <w:t>s</w:t>
      </w:r>
      <w:r w:rsidR="007F758E" w:rsidRPr="00C36FDC">
        <w:rPr>
          <w:rFonts w:cs="Arial"/>
        </w:rPr>
        <w:t xml:space="preserve"> should do so with regard to the ‘no protection’ policy, there is a good understanding that the relevant frequency bands should not be exclusively relied upon for safety and security-critical services</w:t>
      </w:r>
      <w:r w:rsidR="00E87DB5">
        <w:rPr>
          <w:rFonts w:cs="Arial"/>
        </w:rPr>
        <w:t xml:space="preserve">. This </w:t>
      </w:r>
      <w:r w:rsidR="00253596">
        <w:rPr>
          <w:rFonts w:cs="Arial"/>
        </w:rPr>
        <w:t>likely reduc</w:t>
      </w:r>
      <w:r w:rsidR="00E87DB5">
        <w:rPr>
          <w:rFonts w:cs="Arial"/>
        </w:rPr>
        <w:t>es</w:t>
      </w:r>
      <w:r w:rsidR="00253596">
        <w:rPr>
          <w:rFonts w:cs="Arial"/>
        </w:rPr>
        <w:t xml:space="preserve"> the type </w:t>
      </w:r>
      <w:r w:rsidR="00E87DB5">
        <w:rPr>
          <w:rFonts w:cs="Arial"/>
        </w:rPr>
        <w:t xml:space="preserve">and scope </w:t>
      </w:r>
      <w:r w:rsidR="00253596">
        <w:rPr>
          <w:rFonts w:cs="Arial"/>
        </w:rPr>
        <w:t xml:space="preserve">of harms that a jamming </w:t>
      </w:r>
      <w:r w:rsidR="00410F68">
        <w:rPr>
          <w:rFonts w:cs="Arial"/>
        </w:rPr>
        <w:t xml:space="preserve">device operating in these bands </w:t>
      </w:r>
      <w:r w:rsidR="00253596">
        <w:rPr>
          <w:rFonts w:cs="Arial"/>
        </w:rPr>
        <w:t>could provoke.</w:t>
      </w:r>
      <w:r w:rsidR="007F758E" w:rsidRPr="00495A5D">
        <w:rPr>
          <w:rFonts w:cs="Arial"/>
          <w:vertAlign w:val="superscript"/>
        </w:rPr>
        <w:footnoteReference w:id="15"/>
      </w:r>
    </w:p>
    <w:p w14:paraId="1EF8AA33" w14:textId="64AE74D9" w:rsidR="007F758E" w:rsidRDefault="00B014C6" w:rsidP="007F758E">
      <w:pPr>
        <w:rPr>
          <w:rFonts w:cs="Arial"/>
        </w:rPr>
      </w:pPr>
      <w:r>
        <w:rPr>
          <w:rFonts w:cs="Arial"/>
        </w:rPr>
        <w:t xml:space="preserve">The ‘no interference, no protection’ policy does not mean that there are no regulatory consequences associated with </w:t>
      </w:r>
      <w:r w:rsidR="007F758E">
        <w:rPr>
          <w:rFonts w:cs="Arial"/>
        </w:rPr>
        <w:t>deliberate</w:t>
      </w:r>
      <w:r>
        <w:rPr>
          <w:rFonts w:cs="Arial"/>
        </w:rPr>
        <w:t>ly causing</w:t>
      </w:r>
      <w:r w:rsidR="007F758E">
        <w:rPr>
          <w:rFonts w:cs="Arial"/>
        </w:rPr>
        <w:t xml:space="preserve"> interference</w:t>
      </w:r>
      <w:r>
        <w:rPr>
          <w:rFonts w:cs="Arial"/>
        </w:rPr>
        <w:t xml:space="preserve"> to class-licensed services. However, in practice</w:t>
      </w:r>
      <w:r w:rsidR="007F758E">
        <w:rPr>
          <w:rFonts w:cs="Arial"/>
        </w:rPr>
        <w:t xml:space="preserve">, the costs </w:t>
      </w:r>
      <w:r w:rsidR="006D2F16">
        <w:rPr>
          <w:rFonts w:cs="Arial"/>
        </w:rPr>
        <w:t xml:space="preserve">and potential ‘false positives’ associated with </w:t>
      </w:r>
      <w:r w:rsidR="000B56A0">
        <w:rPr>
          <w:rFonts w:cs="Arial"/>
        </w:rPr>
        <w:t xml:space="preserve">prohibiting </w:t>
      </w:r>
      <w:r w:rsidR="001D0B7F">
        <w:rPr>
          <w:rFonts w:cs="Arial"/>
        </w:rPr>
        <w:t xml:space="preserve">devices expressly designed to cause interference to </w:t>
      </w:r>
      <w:r w:rsidR="00F27287">
        <w:rPr>
          <w:rFonts w:cs="Arial"/>
        </w:rPr>
        <w:t>w</w:t>
      </w:r>
      <w:r w:rsidR="002A7CBD">
        <w:rPr>
          <w:rFonts w:cs="Arial"/>
        </w:rPr>
        <w:t>i-</w:t>
      </w:r>
      <w:r w:rsidR="00F27287">
        <w:rPr>
          <w:rFonts w:cs="Arial"/>
        </w:rPr>
        <w:t>f</w:t>
      </w:r>
      <w:r w:rsidR="002A7CBD">
        <w:rPr>
          <w:rFonts w:cs="Arial"/>
        </w:rPr>
        <w:t>i and other class-licensed services</w:t>
      </w:r>
      <w:r w:rsidR="007F758E">
        <w:rPr>
          <w:rFonts w:cs="Arial"/>
        </w:rPr>
        <w:t xml:space="preserve"> may not be outweighed by the </w:t>
      </w:r>
      <w:r w:rsidR="00253596">
        <w:rPr>
          <w:rFonts w:cs="Arial"/>
        </w:rPr>
        <w:t>outcomes</w:t>
      </w:r>
      <w:r w:rsidR="007F758E">
        <w:rPr>
          <w:rFonts w:cs="Arial"/>
        </w:rPr>
        <w:t xml:space="preserve"> achievable by</w:t>
      </w:r>
      <w:r w:rsidR="006D2F16">
        <w:rPr>
          <w:rFonts w:cs="Arial"/>
        </w:rPr>
        <w:t xml:space="preserve"> </w:t>
      </w:r>
      <w:r w:rsidR="007F758E">
        <w:rPr>
          <w:rFonts w:cs="Arial"/>
        </w:rPr>
        <w:t xml:space="preserve">remedial action </w:t>
      </w:r>
      <w:r w:rsidR="006D2F16">
        <w:rPr>
          <w:rFonts w:cs="Arial"/>
        </w:rPr>
        <w:t>deployed as required</w:t>
      </w:r>
      <w:r w:rsidR="007F758E" w:rsidRPr="00830E78">
        <w:rPr>
          <w:rFonts w:cs="Arial"/>
        </w:rPr>
        <w:t>.</w:t>
      </w:r>
    </w:p>
    <w:p w14:paraId="358DAF86" w14:textId="20647928" w:rsidR="007F758E" w:rsidRPr="00830E78" w:rsidRDefault="00256F94" w:rsidP="008C55E9">
      <w:pPr>
        <w:pStyle w:val="Heading3"/>
      </w:pPr>
      <w:bookmarkStart w:id="15" w:name="_Toc39570974"/>
      <w:r>
        <w:t>O</w:t>
      </w:r>
      <w:r w:rsidR="007F758E" w:rsidRPr="00830E78">
        <w:t>verinclusiv</w:t>
      </w:r>
      <w:r>
        <w:t>ity</w:t>
      </w:r>
      <w:bookmarkEnd w:id="15"/>
    </w:p>
    <w:p w14:paraId="69012ACE" w14:textId="7E92DDE6" w:rsidR="00B15542" w:rsidRPr="00830E78" w:rsidRDefault="046C090E" w:rsidP="046C090E">
      <w:pPr>
        <w:rPr>
          <w:rFonts w:cs="Arial"/>
        </w:rPr>
      </w:pPr>
      <w:r w:rsidRPr="046C090E">
        <w:rPr>
          <w:rFonts w:cs="Arial"/>
        </w:rPr>
        <w:t>The prohibition regime takes as its starting point that any device designed or likely to cause interference is detrimental to the effective operation of radiocommunications, and therefore should be prohibited.</w:t>
      </w:r>
    </w:p>
    <w:p w14:paraId="7DE1BDB8" w14:textId="07E49F20" w:rsidR="00B15542" w:rsidRPr="00830E78" w:rsidRDefault="046C090E" w:rsidP="00B15542">
      <w:pPr>
        <w:rPr>
          <w:rFonts w:cs="Arial"/>
        </w:rPr>
      </w:pPr>
      <w:r w:rsidRPr="046C090E">
        <w:rPr>
          <w:rFonts w:cs="Arial"/>
        </w:rPr>
        <w:lastRenderedPageBreak/>
        <w:t>For example, in setting out the reasons for the prohibitions, the PMTS Jamming Device Prohibition notes that ‘there are few legitimate uses for such devices’; the RNSS Jamming Device Prohibition notes that ‘the radiocommunications use of a RNSS jamming device serves no legitimate purpose</w:t>
      </w:r>
      <w:r w:rsidR="00C00074">
        <w:rPr>
          <w:rFonts w:cs="Arial"/>
        </w:rPr>
        <w:t>’</w:t>
      </w:r>
      <w:r w:rsidRPr="046C090E">
        <w:rPr>
          <w:rFonts w:cs="Arial"/>
        </w:rPr>
        <w:t>. For that reason, on balance, the prohibition regime tak</w:t>
      </w:r>
      <w:r w:rsidR="00C00074">
        <w:rPr>
          <w:rFonts w:cs="Arial"/>
        </w:rPr>
        <w:t>es</w:t>
      </w:r>
      <w:r w:rsidRPr="046C090E">
        <w:rPr>
          <w:rFonts w:cs="Arial"/>
        </w:rPr>
        <w:t xml:space="preserve"> a pre-emptive approach </w:t>
      </w:r>
      <w:r w:rsidR="00C00074">
        <w:rPr>
          <w:rFonts w:cs="Arial"/>
        </w:rPr>
        <w:t>as</w:t>
      </w:r>
      <w:r w:rsidR="00C00074" w:rsidRPr="046C090E">
        <w:rPr>
          <w:rFonts w:cs="Arial"/>
        </w:rPr>
        <w:t xml:space="preserve"> </w:t>
      </w:r>
      <w:r w:rsidRPr="046C090E">
        <w:rPr>
          <w:rFonts w:cs="Arial"/>
        </w:rPr>
        <w:t>the most efficient and effective way to manage risks and potential harms associated with use of devices designed or likely to cause interference.</w:t>
      </w:r>
    </w:p>
    <w:p w14:paraId="3160F830" w14:textId="4E3C30D0" w:rsidR="006B58B3" w:rsidRDefault="00EA3288" w:rsidP="009B34AE">
      <w:pPr>
        <w:rPr>
          <w:rFonts w:cs="Arial"/>
        </w:rPr>
      </w:pPr>
      <w:r>
        <w:rPr>
          <w:rFonts w:cs="Arial"/>
        </w:rPr>
        <w:t xml:space="preserve">As part of this review, we are </w:t>
      </w:r>
      <w:r w:rsidR="009B34AE">
        <w:rPr>
          <w:rFonts w:cs="Arial"/>
        </w:rPr>
        <w:t xml:space="preserve">seeking to identify </w:t>
      </w:r>
      <w:r w:rsidR="00535C13">
        <w:rPr>
          <w:rFonts w:cs="Arial"/>
        </w:rPr>
        <w:t xml:space="preserve">whether and </w:t>
      </w:r>
      <w:r w:rsidR="009B34AE">
        <w:rPr>
          <w:rFonts w:cs="Arial"/>
        </w:rPr>
        <w:t>where the prohibition regime m</w:t>
      </w:r>
      <w:r w:rsidR="00FD6EF1">
        <w:rPr>
          <w:rFonts w:cs="Arial"/>
        </w:rPr>
        <w:t>ight</w:t>
      </w:r>
      <w:r w:rsidR="009B34AE">
        <w:rPr>
          <w:rFonts w:cs="Arial"/>
        </w:rPr>
        <w:t xml:space="preserve"> be inadvertently </w:t>
      </w:r>
      <w:r w:rsidR="007F160B">
        <w:rPr>
          <w:rFonts w:cs="Arial"/>
        </w:rPr>
        <w:t xml:space="preserve">stopping </w:t>
      </w:r>
      <w:r w:rsidR="00F92A35">
        <w:rPr>
          <w:rFonts w:cs="Arial"/>
        </w:rPr>
        <w:t>activities, outcomes</w:t>
      </w:r>
      <w:r w:rsidR="002A2107">
        <w:rPr>
          <w:rFonts w:cs="Arial"/>
        </w:rPr>
        <w:t xml:space="preserve">, </w:t>
      </w:r>
      <w:r w:rsidR="009B34AE">
        <w:rPr>
          <w:rFonts w:cs="Arial"/>
        </w:rPr>
        <w:t xml:space="preserve">devices or applications </w:t>
      </w:r>
      <w:r w:rsidR="00F92A35">
        <w:rPr>
          <w:rFonts w:cs="Arial"/>
        </w:rPr>
        <w:t xml:space="preserve">that </w:t>
      </w:r>
      <w:r w:rsidR="00F35F9C">
        <w:rPr>
          <w:rFonts w:cs="Arial"/>
        </w:rPr>
        <w:t xml:space="preserve">might </w:t>
      </w:r>
      <w:r w:rsidR="00316BB5">
        <w:rPr>
          <w:rFonts w:cs="Arial"/>
        </w:rPr>
        <w:t xml:space="preserve">be </w:t>
      </w:r>
      <w:r w:rsidR="00F35F9C">
        <w:rPr>
          <w:rFonts w:cs="Arial"/>
        </w:rPr>
        <w:t>beneficial</w:t>
      </w:r>
      <w:r w:rsidR="006B42E2">
        <w:rPr>
          <w:rFonts w:cs="Arial"/>
        </w:rPr>
        <w:t xml:space="preserve">. </w:t>
      </w:r>
    </w:p>
    <w:p w14:paraId="0B6DDEDC" w14:textId="66867D84" w:rsidR="002A2107" w:rsidRDefault="00267A40" w:rsidP="009B34AE">
      <w:pPr>
        <w:rPr>
          <w:rFonts w:cs="Arial"/>
        </w:rPr>
      </w:pPr>
      <w:r>
        <w:rPr>
          <w:rFonts w:cs="Arial"/>
        </w:rPr>
        <w:t xml:space="preserve">In most cases, we expect that this will be a result of particular </w:t>
      </w:r>
      <w:r w:rsidR="00E3450A">
        <w:rPr>
          <w:rFonts w:cs="Arial"/>
        </w:rPr>
        <w:t xml:space="preserve">scenarios </w:t>
      </w:r>
      <w:r w:rsidR="0059096F">
        <w:rPr>
          <w:rFonts w:cs="Arial"/>
        </w:rPr>
        <w:t xml:space="preserve">that </w:t>
      </w:r>
      <w:r w:rsidR="002D1239">
        <w:rPr>
          <w:rFonts w:cs="Arial"/>
        </w:rPr>
        <w:t xml:space="preserve">were </w:t>
      </w:r>
      <w:r w:rsidR="009B34AE">
        <w:rPr>
          <w:rFonts w:cs="Arial"/>
        </w:rPr>
        <w:t>not</w:t>
      </w:r>
      <w:r w:rsidR="00F35F9C">
        <w:rPr>
          <w:rFonts w:cs="Arial"/>
        </w:rPr>
        <w:t xml:space="preserve"> </w:t>
      </w:r>
      <w:r w:rsidR="00E042D9">
        <w:rPr>
          <w:rFonts w:cs="Arial"/>
        </w:rPr>
        <w:t>considered</w:t>
      </w:r>
      <w:r w:rsidR="009B34AE">
        <w:rPr>
          <w:rFonts w:cs="Arial"/>
        </w:rPr>
        <w:t xml:space="preserve"> by the Act or by prohibition declarations</w:t>
      </w:r>
      <w:r w:rsidR="006B58B3">
        <w:rPr>
          <w:rFonts w:cs="Arial"/>
        </w:rPr>
        <w:t xml:space="preserve">, or where changes in technology and in the market </w:t>
      </w:r>
      <w:r w:rsidR="003701F8">
        <w:rPr>
          <w:rFonts w:cs="Arial"/>
        </w:rPr>
        <w:t>have</w:t>
      </w:r>
      <w:r w:rsidR="002D1239">
        <w:rPr>
          <w:rFonts w:cs="Arial"/>
        </w:rPr>
        <w:t xml:space="preserve"> expand</w:t>
      </w:r>
      <w:r w:rsidR="00C00074">
        <w:rPr>
          <w:rFonts w:cs="Arial"/>
        </w:rPr>
        <w:t>ed</w:t>
      </w:r>
      <w:r w:rsidR="002D1239">
        <w:rPr>
          <w:rFonts w:cs="Arial"/>
        </w:rPr>
        <w:t xml:space="preserve"> the application of the regime.</w:t>
      </w:r>
    </w:p>
    <w:p w14:paraId="7062C3E0" w14:textId="6AE9F602" w:rsidR="00A46FF7" w:rsidRDefault="001F49BC" w:rsidP="007F758E">
      <w:pPr>
        <w:rPr>
          <w:rFonts w:cs="Arial"/>
        </w:rPr>
      </w:pPr>
      <w:r>
        <w:rPr>
          <w:rFonts w:cs="Arial"/>
        </w:rPr>
        <w:t xml:space="preserve">Prohibiting the supply </w:t>
      </w:r>
      <w:r w:rsidR="00511626">
        <w:rPr>
          <w:rFonts w:cs="Arial"/>
        </w:rPr>
        <w:t xml:space="preserve">and operation </w:t>
      </w:r>
      <w:r>
        <w:rPr>
          <w:rFonts w:cs="Arial"/>
        </w:rPr>
        <w:t xml:space="preserve">of specified jamming devices </w:t>
      </w:r>
      <w:r w:rsidR="00C33A97" w:rsidRPr="007F160B">
        <w:rPr>
          <w:rFonts w:cs="Arial"/>
        </w:rPr>
        <w:t xml:space="preserve">generally </w:t>
      </w:r>
      <w:r w:rsidR="00412968">
        <w:rPr>
          <w:rFonts w:cs="Arial"/>
        </w:rPr>
        <w:t>presumes</w:t>
      </w:r>
      <w:r w:rsidR="007F160B">
        <w:rPr>
          <w:rFonts w:cs="Arial"/>
        </w:rPr>
        <w:t xml:space="preserve"> </w:t>
      </w:r>
      <w:r w:rsidR="00794804">
        <w:rPr>
          <w:rFonts w:cs="Arial"/>
        </w:rPr>
        <w:t>that c</w:t>
      </w:r>
      <w:r w:rsidR="0061336A">
        <w:rPr>
          <w:rFonts w:cs="Arial"/>
        </w:rPr>
        <w:t xml:space="preserve">ommercial activity </w:t>
      </w:r>
      <w:r w:rsidR="00A22689">
        <w:rPr>
          <w:rFonts w:cs="Arial"/>
        </w:rPr>
        <w:t>surrounding</w:t>
      </w:r>
      <w:r w:rsidR="0061336A">
        <w:rPr>
          <w:rFonts w:cs="Arial"/>
        </w:rPr>
        <w:t xml:space="preserve"> prohibited devices </w:t>
      </w:r>
      <w:r w:rsidR="00A66EBB">
        <w:rPr>
          <w:rFonts w:cs="Arial"/>
        </w:rPr>
        <w:t xml:space="preserve">can </w:t>
      </w:r>
      <w:r w:rsidR="0061336A">
        <w:rPr>
          <w:rFonts w:cs="Arial"/>
        </w:rPr>
        <w:t>be nefarious</w:t>
      </w:r>
      <w:r w:rsidR="00511626">
        <w:rPr>
          <w:rFonts w:cs="Arial"/>
        </w:rPr>
        <w:t>, or</w:t>
      </w:r>
      <w:r w:rsidR="0061336A">
        <w:rPr>
          <w:rFonts w:cs="Arial"/>
        </w:rPr>
        <w:t xml:space="preserve"> </w:t>
      </w:r>
      <w:r w:rsidR="0036419B">
        <w:rPr>
          <w:rFonts w:cs="Arial"/>
        </w:rPr>
        <w:t xml:space="preserve">result in </w:t>
      </w:r>
      <w:r w:rsidR="00C00074">
        <w:rPr>
          <w:rFonts w:cs="Arial"/>
        </w:rPr>
        <w:t xml:space="preserve">disruptive or unacceptably risky </w:t>
      </w:r>
      <w:r w:rsidR="0036419B">
        <w:rPr>
          <w:rFonts w:cs="Arial"/>
        </w:rPr>
        <w:t>use</w:t>
      </w:r>
      <w:r w:rsidR="0061336A">
        <w:rPr>
          <w:rFonts w:cs="Arial"/>
        </w:rPr>
        <w:t xml:space="preserve">. </w:t>
      </w:r>
      <w:r w:rsidR="007C0C9E">
        <w:rPr>
          <w:rFonts w:cs="Arial"/>
        </w:rPr>
        <w:t>However, t</w:t>
      </w:r>
      <w:r w:rsidR="0061336A">
        <w:rPr>
          <w:rFonts w:cs="Arial"/>
        </w:rPr>
        <w:t xml:space="preserve">he ACMA is </w:t>
      </w:r>
      <w:r w:rsidR="00C00074">
        <w:rPr>
          <w:rFonts w:cs="Arial"/>
        </w:rPr>
        <w:t xml:space="preserve">occasionally </w:t>
      </w:r>
      <w:r w:rsidR="0061336A">
        <w:rPr>
          <w:rFonts w:cs="Arial"/>
        </w:rPr>
        <w:t>approached by entities seeking to develop, test and supply prohibited devices for a range of reasons, including for manufacture and supply to international and domestic users.</w:t>
      </w:r>
      <w:r w:rsidR="006A1D2C">
        <w:rPr>
          <w:rFonts w:cs="Arial"/>
        </w:rPr>
        <w:t xml:space="preserve"> </w:t>
      </w:r>
      <w:r w:rsidR="00E66148">
        <w:rPr>
          <w:rFonts w:cs="Arial"/>
        </w:rPr>
        <w:t xml:space="preserve">Unlike the standards regime </w:t>
      </w:r>
      <w:r w:rsidR="00C00074">
        <w:rPr>
          <w:rFonts w:cs="Arial"/>
        </w:rPr>
        <w:t>under</w:t>
      </w:r>
      <w:r w:rsidR="00E66148">
        <w:rPr>
          <w:rFonts w:cs="Arial"/>
        </w:rPr>
        <w:t xml:space="preserve"> Part 4.1 of the Act, which </w:t>
      </w:r>
      <w:r w:rsidR="00C00074">
        <w:rPr>
          <w:rFonts w:cs="Arial"/>
        </w:rPr>
        <w:t xml:space="preserve">contains </w:t>
      </w:r>
      <w:r w:rsidR="00E66148">
        <w:rPr>
          <w:rFonts w:cs="Arial"/>
        </w:rPr>
        <w:t xml:space="preserve">some </w:t>
      </w:r>
      <w:r w:rsidR="0075379B">
        <w:rPr>
          <w:rFonts w:cs="Arial"/>
        </w:rPr>
        <w:t xml:space="preserve">general </w:t>
      </w:r>
      <w:r w:rsidR="00E66148">
        <w:rPr>
          <w:rFonts w:cs="Arial"/>
        </w:rPr>
        <w:t xml:space="preserve">exemptions </w:t>
      </w:r>
      <w:r w:rsidR="00C00074">
        <w:rPr>
          <w:rFonts w:cs="Arial"/>
        </w:rPr>
        <w:t>for</w:t>
      </w:r>
      <w:r w:rsidR="00E66148">
        <w:rPr>
          <w:rFonts w:cs="Arial"/>
        </w:rPr>
        <w:t xml:space="preserve"> the supply of non-standard devices use</w:t>
      </w:r>
      <w:r w:rsidR="00C00074">
        <w:rPr>
          <w:rFonts w:cs="Arial"/>
        </w:rPr>
        <w:t>d</w:t>
      </w:r>
      <w:r w:rsidR="00E66148">
        <w:rPr>
          <w:rFonts w:cs="Arial"/>
        </w:rPr>
        <w:t xml:space="preserve"> solely outside of Australia, the possession, supply and operation of prohibited devices can only be authorised by the exemption regime, which appl</w:t>
      </w:r>
      <w:r w:rsidR="005809AF">
        <w:rPr>
          <w:rFonts w:cs="Arial"/>
        </w:rPr>
        <w:t>ies</w:t>
      </w:r>
      <w:r w:rsidR="00E66148">
        <w:rPr>
          <w:rFonts w:cs="Arial"/>
        </w:rPr>
        <w:t xml:space="preserve"> to a narrow range of </w:t>
      </w:r>
      <w:r w:rsidR="00C00074">
        <w:rPr>
          <w:rFonts w:cs="Arial"/>
        </w:rPr>
        <w:t>people</w:t>
      </w:r>
      <w:r w:rsidR="00E66148">
        <w:rPr>
          <w:rFonts w:cs="Arial"/>
        </w:rPr>
        <w:t>.</w:t>
      </w:r>
      <w:r w:rsidR="006A1D2C">
        <w:rPr>
          <w:rFonts w:cs="Arial"/>
        </w:rPr>
        <w:t xml:space="preserve"> </w:t>
      </w:r>
      <w:r w:rsidR="003A3B30">
        <w:rPr>
          <w:rFonts w:cs="Arial"/>
        </w:rPr>
        <w:t xml:space="preserve">Accordingly, if the ACMA makes a prohibition declaration </w:t>
      </w:r>
      <w:r w:rsidR="00C00074">
        <w:rPr>
          <w:rFonts w:cs="Arial"/>
        </w:rPr>
        <w:t>for</w:t>
      </w:r>
      <w:r w:rsidR="003A3B30">
        <w:rPr>
          <w:rFonts w:cs="Arial"/>
        </w:rPr>
        <w:t xml:space="preserve"> a specified device, this largely precludes activities that include domestic manufacturing, testing and development of such devices.</w:t>
      </w:r>
    </w:p>
    <w:p w14:paraId="17644FBE" w14:textId="5D3FDAD8" w:rsidR="006D5C5D" w:rsidRDefault="000C386C" w:rsidP="007F758E">
      <w:pPr>
        <w:rPr>
          <w:rFonts w:cs="Arial"/>
        </w:rPr>
      </w:pPr>
      <w:r>
        <w:rPr>
          <w:rFonts w:cs="Arial"/>
        </w:rPr>
        <w:t xml:space="preserve">Changes in technology </w:t>
      </w:r>
      <w:r w:rsidR="00741E08">
        <w:rPr>
          <w:rFonts w:cs="Arial"/>
        </w:rPr>
        <w:t xml:space="preserve">and the market have also produced a set of circumstances where the prohibition declarations </w:t>
      </w:r>
      <w:r w:rsidR="006D5C5D">
        <w:rPr>
          <w:rFonts w:cs="Arial"/>
        </w:rPr>
        <w:t>capture a wide range of devices.</w:t>
      </w:r>
      <w:r w:rsidR="00E16AFF">
        <w:rPr>
          <w:rFonts w:cs="Arial"/>
        </w:rPr>
        <w:t xml:space="preserve"> </w:t>
      </w:r>
    </w:p>
    <w:p w14:paraId="10ABBF31" w14:textId="5D88CB44" w:rsidR="007F758E" w:rsidRPr="00830E78" w:rsidRDefault="006D5C5D" w:rsidP="007F758E">
      <w:pPr>
        <w:rPr>
          <w:rFonts w:cs="Arial"/>
        </w:rPr>
      </w:pPr>
      <w:r>
        <w:rPr>
          <w:rFonts w:cs="Arial"/>
        </w:rPr>
        <w:t>U</w:t>
      </w:r>
      <w:r w:rsidR="007F758E" w:rsidRPr="00830E78">
        <w:rPr>
          <w:rFonts w:cs="Arial"/>
        </w:rPr>
        <w:t xml:space="preserve">nlike the precursor instrument (the Mobile Phone Jammer Prohibition) </w:t>
      </w:r>
      <w:r w:rsidR="00F33FDD">
        <w:rPr>
          <w:rFonts w:cs="Arial"/>
        </w:rPr>
        <w:t>that</w:t>
      </w:r>
      <w:r w:rsidR="00F33FDD" w:rsidRPr="00830E78">
        <w:rPr>
          <w:rFonts w:cs="Arial"/>
        </w:rPr>
        <w:t xml:space="preserve"> </w:t>
      </w:r>
      <w:r w:rsidR="007F758E" w:rsidRPr="00830E78">
        <w:rPr>
          <w:rFonts w:cs="Arial"/>
        </w:rPr>
        <w:t xml:space="preserve">specified frequency bands, </w:t>
      </w:r>
      <w:r w:rsidR="00B14485">
        <w:rPr>
          <w:rFonts w:cs="Arial"/>
        </w:rPr>
        <w:t xml:space="preserve">the PMTS Jamming Device Prohibition relies on the definition of </w:t>
      </w:r>
      <w:r w:rsidR="00BE6C88">
        <w:rPr>
          <w:rFonts w:cs="Arial"/>
        </w:rPr>
        <w:t xml:space="preserve">a </w:t>
      </w:r>
      <w:r w:rsidR="00B14485">
        <w:rPr>
          <w:rFonts w:cs="Arial"/>
        </w:rPr>
        <w:t>p</w:t>
      </w:r>
      <w:r w:rsidR="00B14485" w:rsidRPr="00E02500">
        <w:t xml:space="preserve">ublic mobile telecommunications service </w:t>
      </w:r>
      <w:r w:rsidR="00B14485">
        <w:t xml:space="preserve">in </w:t>
      </w:r>
      <w:r w:rsidR="00B14485" w:rsidRPr="00E02500">
        <w:t xml:space="preserve">section 32 of the </w:t>
      </w:r>
      <w:r w:rsidR="00B14485" w:rsidRPr="00E02500">
        <w:rPr>
          <w:i/>
        </w:rPr>
        <w:t>T</w:t>
      </w:r>
      <w:r w:rsidR="00B14485" w:rsidRPr="008B7926">
        <w:rPr>
          <w:i/>
        </w:rPr>
        <w:t>elecommunications Act 1997</w:t>
      </w:r>
      <w:r w:rsidR="00B14485" w:rsidRPr="00E02500">
        <w:t>.</w:t>
      </w:r>
      <w:r w:rsidR="00B14485">
        <w:t xml:space="preserve"> This</w:t>
      </w:r>
      <w:r w:rsidR="00E16AFF">
        <w:rPr>
          <w:rFonts w:cs="Arial"/>
        </w:rPr>
        <w:t xml:space="preserve"> </w:t>
      </w:r>
      <w:r w:rsidR="00BA56C5">
        <w:rPr>
          <w:rFonts w:cs="Arial"/>
        </w:rPr>
        <w:t>b</w:t>
      </w:r>
      <w:r w:rsidR="00803749">
        <w:rPr>
          <w:rFonts w:cs="Arial"/>
        </w:rPr>
        <w:t>r</w:t>
      </w:r>
      <w:r w:rsidR="00BA56C5">
        <w:rPr>
          <w:rFonts w:cs="Arial"/>
        </w:rPr>
        <w:t xml:space="preserve">oad, technology-neutral </w:t>
      </w:r>
      <w:r w:rsidR="00E16AFF">
        <w:rPr>
          <w:rFonts w:cs="Arial"/>
        </w:rPr>
        <w:t xml:space="preserve">service construction was </w:t>
      </w:r>
      <w:r w:rsidR="007F758E" w:rsidRPr="00830E78">
        <w:rPr>
          <w:rFonts w:cs="Arial"/>
        </w:rPr>
        <w:t>intended to keep pace with technological change, rather than to target particular technologies (</w:t>
      </w:r>
      <w:r w:rsidR="00F33FDD">
        <w:rPr>
          <w:rFonts w:cs="Arial"/>
        </w:rPr>
        <w:t>for example,</w:t>
      </w:r>
      <w:r w:rsidR="007F758E" w:rsidRPr="00830E78">
        <w:rPr>
          <w:rFonts w:cs="Arial"/>
        </w:rPr>
        <w:t xml:space="preserve"> 4G or 5G) that use PMTS, taking into account the dynamic nature of spectrum use. This was intended to ensure that</w:t>
      </w:r>
      <w:r w:rsidR="00253596">
        <w:rPr>
          <w:rFonts w:cs="Arial"/>
        </w:rPr>
        <w:t>,</w:t>
      </w:r>
      <w:r w:rsidR="007F758E" w:rsidRPr="00830E78">
        <w:rPr>
          <w:rFonts w:cs="Arial"/>
        </w:rPr>
        <w:t xml:space="preserve"> </w:t>
      </w:r>
      <w:r w:rsidR="00F33FDD">
        <w:rPr>
          <w:rFonts w:cs="Arial"/>
        </w:rPr>
        <w:t>if</w:t>
      </w:r>
      <w:r w:rsidR="00F33FDD" w:rsidRPr="00830E78">
        <w:rPr>
          <w:rFonts w:cs="Arial"/>
        </w:rPr>
        <w:t xml:space="preserve"> </w:t>
      </w:r>
      <w:r w:rsidR="007F758E" w:rsidRPr="00830E78">
        <w:rPr>
          <w:rFonts w:cs="Arial"/>
        </w:rPr>
        <w:t>PMTS operate</w:t>
      </w:r>
      <w:r w:rsidR="00921A49">
        <w:rPr>
          <w:rFonts w:cs="Arial"/>
        </w:rPr>
        <w:t>d</w:t>
      </w:r>
      <w:r w:rsidR="007F758E" w:rsidRPr="00830E78">
        <w:rPr>
          <w:rFonts w:cs="Arial"/>
        </w:rPr>
        <w:t xml:space="preserve"> in different or additional frequency bands in the future, the </w:t>
      </w:r>
      <w:r w:rsidR="00253596">
        <w:rPr>
          <w:rFonts w:cs="Arial"/>
        </w:rPr>
        <w:t xml:space="preserve">prohibition would have </w:t>
      </w:r>
      <w:r w:rsidR="007F758E" w:rsidRPr="00830E78">
        <w:rPr>
          <w:rFonts w:cs="Arial"/>
        </w:rPr>
        <w:t>sufficient flexibility to accommodate such changes.</w:t>
      </w:r>
      <w:r w:rsidR="007F758E" w:rsidRPr="00495A5D">
        <w:rPr>
          <w:rFonts w:cs="Arial"/>
          <w:vertAlign w:val="superscript"/>
        </w:rPr>
        <w:footnoteReference w:id="16"/>
      </w:r>
      <w:r w:rsidR="007F758E" w:rsidRPr="00830E78">
        <w:rPr>
          <w:rFonts w:cs="Arial"/>
        </w:rPr>
        <w:t xml:space="preserve"> </w:t>
      </w:r>
    </w:p>
    <w:p w14:paraId="27D26729" w14:textId="69BB5392" w:rsidR="007F758E" w:rsidRPr="00830E78" w:rsidRDefault="007F758E" w:rsidP="007F758E">
      <w:pPr>
        <w:rPr>
          <w:rFonts w:cs="Arial"/>
        </w:rPr>
      </w:pPr>
      <w:r w:rsidRPr="00830E78">
        <w:rPr>
          <w:rFonts w:cs="Arial"/>
        </w:rPr>
        <w:t xml:space="preserve">The application of the RNSS </w:t>
      </w:r>
      <w:r w:rsidR="00253596">
        <w:rPr>
          <w:rFonts w:cs="Arial"/>
        </w:rPr>
        <w:t xml:space="preserve">Jamming Device </w:t>
      </w:r>
      <w:r w:rsidRPr="00830E78">
        <w:rPr>
          <w:rFonts w:cs="Arial"/>
        </w:rPr>
        <w:t xml:space="preserve">Prohibition is </w:t>
      </w:r>
      <w:r w:rsidR="00803749">
        <w:rPr>
          <w:rFonts w:cs="Arial"/>
        </w:rPr>
        <w:t>also</w:t>
      </w:r>
      <w:r w:rsidR="00803749" w:rsidRPr="00830E78">
        <w:rPr>
          <w:rFonts w:cs="Arial"/>
        </w:rPr>
        <w:t xml:space="preserve"> </w:t>
      </w:r>
      <w:r w:rsidRPr="00830E78">
        <w:rPr>
          <w:rFonts w:cs="Arial"/>
        </w:rPr>
        <w:t>expansive</w:t>
      </w:r>
      <w:r w:rsidR="00921A49">
        <w:rPr>
          <w:rFonts w:cs="Arial"/>
        </w:rPr>
        <w:t>. T</w:t>
      </w:r>
      <w:r w:rsidRPr="00830E78">
        <w:rPr>
          <w:rFonts w:cs="Arial"/>
        </w:rPr>
        <w:t>he RNSS includes GPS, which is used for a wide range of military and civilian applications, including air traffic management system</w:t>
      </w:r>
      <w:r w:rsidR="002662E9">
        <w:rPr>
          <w:rFonts w:cs="Arial"/>
        </w:rPr>
        <w:t>s</w:t>
      </w:r>
      <w:r w:rsidRPr="00830E78">
        <w:rPr>
          <w:rFonts w:cs="Arial"/>
        </w:rPr>
        <w:t xml:space="preserve">, in-car navigation, maritime navigation, agricultural machine guidance and yield monitoring, land surveying, natural resource management, asset management, </w:t>
      </w:r>
      <w:r w:rsidR="000E0624">
        <w:rPr>
          <w:rFonts w:cs="Arial"/>
        </w:rPr>
        <w:t>ITS</w:t>
      </w:r>
      <w:r w:rsidRPr="00830E78">
        <w:rPr>
          <w:rFonts w:cs="Arial"/>
        </w:rPr>
        <w:t xml:space="preserve">, mining and emergency services. GPS is also used for timing determination for communications, banking, commerce, manufacturing and the internet. </w:t>
      </w:r>
    </w:p>
    <w:p w14:paraId="4DCC57C0" w14:textId="52F49FF4" w:rsidR="007F758E" w:rsidRPr="00830E78" w:rsidRDefault="00253596" w:rsidP="007F758E">
      <w:pPr>
        <w:rPr>
          <w:rFonts w:cs="Arial"/>
        </w:rPr>
      </w:pPr>
      <w:r w:rsidRPr="00830E78">
        <w:rPr>
          <w:rFonts w:cs="Arial"/>
        </w:rPr>
        <w:t xml:space="preserve">There </w:t>
      </w:r>
      <w:r w:rsidR="00803749">
        <w:rPr>
          <w:rFonts w:cs="Arial"/>
        </w:rPr>
        <w:t xml:space="preserve">are </w:t>
      </w:r>
      <w:r w:rsidRPr="00830E78">
        <w:rPr>
          <w:rFonts w:cs="Arial"/>
        </w:rPr>
        <w:t>benefit</w:t>
      </w:r>
      <w:r w:rsidR="00803749">
        <w:rPr>
          <w:rFonts w:cs="Arial"/>
        </w:rPr>
        <w:t>s</w:t>
      </w:r>
      <w:r w:rsidRPr="00830E78">
        <w:rPr>
          <w:rFonts w:cs="Arial"/>
        </w:rPr>
        <w:t xml:space="preserve"> associated with protecting services that rely on the RNSS and PMTS, but </w:t>
      </w:r>
      <w:r w:rsidR="00921A49">
        <w:rPr>
          <w:rFonts w:cs="Arial"/>
        </w:rPr>
        <w:t>by</w:t>
      </w:r>
      <w:r w:rsidR="00921A49" w:rsidRPr="00830E78">
        <w:rPr>
          <w:rFonts w:cs="Arial"/>
        </w:rPr>
        <w:t xml:space="preserve"> </w:t>
      </w:r>
      <w:r w:rsidRPr="00830E78">
        <w:rPr>
          <w:rFonts w:cs="Arial"/>
        </w:rPr>
        <w:t xml:space="preserve">prohibiting RNSS and PMTS jamming devices in service-level terms, </w:t>
      </w:r>
      <w:r w:rsidR="00666597">
        <w:rPr>
          <w:rFonts w:cs="Arial"/>
        </w:rPr>
        <w:t xml:space="preserve">the prohibition declarations </w:t>
      </w:r>
      <w:r w:rsidR="009C1AC4">
        <w:rPr>
          <w:rFonts w:cs="Arial"/>
        </w:rPr>
        <w:t xml:space="preserve">may </w:t>
      </w:r>
      <w:r w:rsidR="00666597">
        <w:rPr>
          <w:rFonts w:cs="Arial"/>
        </w:rPr>
        <w:t xml:space="preserve">also </w:t>
      </w:r>
      <w:r w:rsidR="00921A49">
        <w:rPr>
          <w:rFonts w:cs="Arial"/>
        </w:rPr>
        <w:t xml:space="preserve">affect </w:t>
      </w:r>
      <w:r w:rsidR="00666597">
        <w:rPr>
          <w:rFonts w:cs="Arial"/>
        </w:rPr>
        <w:t xml:space="preserve">specific types of devices not initially </w:t>
      </w:r>
      <w:r w:rsidR="00921A49">
        <w:rPr>
          <w:rFonts w:cs="Arial"/>
        </w:rPr>
        <w:t xml:space="preserve">covered </w:t>
      </w:r>
      <w:r w:rsidR="00A548BD">
        <w:rPr>
          <w:rFonts w:cs="Arial"/>
        </w:rPr>
        <w:t>by the respective declarations</w:t>
      </w:r>
      <w:r w:rsidR="00666597">
        <w:rPr>
          <w:rFonts w:cs="Arial"/>
        </w:rPr>
        <w:t>.</w:t>
      </w:r>
      <w:r w:rsidR="008D3CE1">
        <w:rPr>
          <w:rFonts w:cs="Arial"/>
        </w:rPr>
        <w:t xml:space="preserve"> </w:t>
      </w:r>
      <w:r>
        <w:rPr>
          <w:rFonts w:cs="Arial"/>
        </w:rPr>
        <w:t>For example,</w:t>
      </w:r>
      <w:r w:rsidR="007F758E" w:rsidRPr="00830E78">
        <w:rPr>
          <w:rFonts w:cs="Arial"/>
        </w:rPr>
        <w:t xml:space="preserve"> </w:t>
      </w:r>
      <w:r>
        <w:rPr>
          <w:rFonts w:cs="Arial"/>
        </w:rPr>
        <w:t>some counter-drone</w:t>
      </w:r>
      <w:r w:rsidR="007F758E" w:rsidRPr="00830E78">
        <w:rPr>
          <w:rFonts w:cs="Arial"/>
        </w:rPr>
        <w:t xml:space="preserve"> devices </w:t>
      </w:r>
      <w:r w:rsidR="00921A49" w:rsidRPr="00830E78">
        <w:rPr>
          <w:rFonts w:cs="Arial"/>
        </w:rPr>
        <w:t>can satisfy</w:t>
      </w:r>
      <w:r w:rsidR="007F758E" w:rsidRPr="00830E78">
        <w:rPr>
          <w:rFonts w:cs="Arial"/>
        </w:rPr>
        <w:t xml:space="preserve"> </w:t>
      </w:r>
      <w:r w:rsidR="007F758E" w:rsidRPr="00830E78">
        <w:rPr>
          <w:rFonts w:cs="Arial"/>
        </w:rPr>
        <w:lastRenderedPageBreak/>
        <w:t>one or both of the definitions of a PMTS jamming device and a RNSS jamming device under the respective prohibition declarations</w:t>
      </w:r>
      <w:r w:rsidR="00066C08">
        <w:rPr>
          <w:rFonts w:cs="Arial"/>
        </w:rPr>
        <w:t xml:space="preserve">. </w:t>
      </w:r>
      <w:r w:rsidR="002E3007">
        <w:rPr>
          <w:rFonts w:cs="Arial"/>
        </w:rPr>
        <w:t>However, because drones</w:t>
      </w:r>
      <w:r w:rsidR="003F3EBF">
        <w:rPr>
          <w:rFonts w:cs="Arial"/>
        </w:rPr>
        <w:t xml:space="preserve"> and counter-drone devices</w:t>
      </w:r>
      <w:r w:rsidR="002E3007">
        <w:rPr>
          <w:rFonts w:cs="Arial"/>
        </w:rPr>
        <w:t xml:space="preserve"> can operate on a range of </w:t>
      </w:r>
      <w:r w:rsidR="003F3EBF">
        <w:rPr>
          <w:rFonts w:cs="Arial"/>
        </w:rPr>
        <w:t xml:space="preserve">non-PMTS and RNSS </w:t>
      </w:r>
      <w:r w:rsidR="002E3007">
        <w:rPr>
          <w:rFonts w:cs="Arial"/>
        </w:rPr>
        <w:t>frequencies</w:t>
      </w:r>
      <w:r w:rsidR="003F3EBF">
        <w:rPr>
          <w:rFonts w:cs="Arial"/>
        </w:rPr>
        <w:t>,</w:t>
      </w:r>
      <w:r w:rsidR="002E3007">
        <w:rPr>
          <w:rFonts w:cs="Arial"/>
        </w:rPr>
        <w:t xml:space="preserve"> </w:t>
      </w:r>
      <w:r w:rsidR="003F3EBF">
        <w:rPr>
          <w:rFonts w:cs="Arial"/>
        </w:rPr>
        <w:t xml:space="preserve">there may be value </w:t>
      </w:r>
      <w:r w:rsidR="004365B5">
        <w:rPr>
          <w:rFonts w:cs="Arial"/>
        </w:rPr>
        <w:t xml:space="preserve">in </w:t>
      </w:r>
      <w:r w:rsidR="003F3EBF">
        <w:rPr>
          <w:rFonts w:cs="Arial"/>
        </w:rPr>
        <w:t xml:space="preserve">a </w:t>
      </w:r>
      <w:r w:rsidR="007F758E" w:rsidRPr="00830E78">
        <w:rPr>
          <w:rFonts w:cs="Arial"/>
        </w:rPr>
        <w:t>separate, more targeted regulatory intervention</w:t>
      </w:r>
      <w:r w:rsidR="0081790E">
        <w:rPr>
          <w:rFonts w:cs="Arial"/>
        </w:rPr>
        <w:t xml:space="preserve"> for these devices</w:t>
      </w:r>
      <w:r w:rsidR="007F758E" w:rsidRPr="00830E78">
        <w:rPr>
          <w:rFonts w:cs="Arial"/>
        </w:rPr>
        <w:t>.</w:t>
      </w:r>
      <w:r w:rsidR="00397C6C">
        <w:rPr>
          <w:rFonts w:cs="Arial"/>
        </w:rPr>
        <w:t xml:space="preserve"> </w:t>
      </w:r>
    </w:p>
    <w:p w14:paraId="731654AD" w14:textId="658B19B1" w:rsidR="00253596" w:rsidRPr="001C2D6E" w:rsidRDefault="00256F94" w:rsidP="004365B5">
      <w:pPr>
        <w:pStyle w:val="Heading3"/>
      </w:pPr>
      <w:bookmarkStart w:id="16" w:name="_Toc39570975"/>
      <w:r>
        <w:t xml:space="preserve">Facilitating </w:t>
      </w:r>
      <w:r w:rsidR="00485025">
        <w:t>meritorious or low-risk</w:t>
      </w:r>
      <w:r w:rsidR="001C2D6E">
        <w:t xml:space="preserve"> </w:t>
      </w:r>
      <w:r w:rsidR="00F13ABF">
        <w:t>dev</w:t>
      </w:r>
      <w:r w:rsidR="00890261">
        <w:t xml:space="preserve">ices and </w:t>
      </w:r>
      <w:r w:rsidR="001C2D6E" w:rsidRPr="001C2D6E">
        <w:t>applications</w:t>
      </w:r>
      <w:bookmarkEnd w:id="16"/>
    </w:p>
    <w:p w14:paraId="1F318EE6" w14:textId="238631F8" w:rsidR="00666597" w:rsidRPr="00830E78" w:rsidRDefault="007F758E" w:rsidP="007F758E">
      <w:pPr>
        <w:rPr>
          <w:rFonts w:cs="Arial"/>
        </w:rPr>
      </w:pPr>
      <w:r w:rsidRPr="00830E78">
        <w:rPr>
          <w:rFonts w:cs="Arial"/>
        </w:rPr>
        <w:t xml:space="preserve">There </w:t>
      </w:r>
      <w:r w:rsidR="002A09F3">
        <w:rPr>
          <w:rFonts w:cs="Arial"/>
        </w:rPr>
        <w:t>are</w:t>
      </w:r>
      <w:r w:rsidR="002A09F3" w:rsidRPr="00830E78">
        <w:rPr>
          <w:rFonts w:cs="Arial"/>
        </w:rPr>
        <w:t xml:space="preserve"> </w:t>
      </w:r>
      <w:r w:rsidRPr="00830E78">
        <w:rPr>
          <w:rFonts w:cs="Arial"/>
        </w:rPr>
        <w:t>a range of devices</w:t>
      </w:r>
      <w:r w:rsidR="00E16AFF">
        <w:rPr>
          <w:rFonts w:cs="Arial"/>
        </w:rPr>
        <w:t xml:space="preserve"> and applications </w:t>
      </w:r>
      <w:r w:rsidRPr="00830E78">
        <w:rPr>
          <w:rFonts w:cs="Arial"/>
        </w:rPr>
        <w:t xml:space="preserve">that have a </w:t>
      </w:r>
      <w:r w:rsidR="0081790E">
        <w:rPr>
          <w:rFonts w:cs="Arial"/>
        </w:rPr>
        <w:t>‘</w:t>
      </w:r>
      <w:r w:rsidRPr="00830E78">
        <w:rPr>
          <w:rFonts w:cs="Arial"/>
        </w:rPr>
        <w:t>jamming</w:t>
      </w:r>
      <w:r w:rsidR="0081790E">
        <w:rPr>
          <w:rFonts w:cs="Arial"/>
        </w:rPr>
        <w:t>’</w:t>
      </w:r>
      <w:r w:rsidRPr="00830E78">
        <w:rPr>
          <w:rFonts w:cs="Arial"/>
        </w:rPr>
        <w:t xml:space="preserve"> function, </w:t>
      </w:r>
      <w:r w:rsidR="0081790E">
        <w:rPr>
          <w:rFonts w:cs="Arial"/>
        </w:rPr>
        <w:t>but</w:t>
      </w:r>
      <w:r w:rsidR="0081790E" w:rsidRPr="00830E78">
        <w:rPr>
          <w:rFonts w:cs="Arial"/>
        </w:rPr>
        <w:t xml:space="preserve"> </w:t>
      </w:r>
      <w:r w:rsidR="00666597">
        <w:rPr>
          <w:rFonts w:cs="Arial"/>
        </w:rPr>
        <w:t xml:space="preserve">are expressly designed, or likely to </w:t>
      </w:r>
      <w:r w:rsidRPr="00830E78">
        <w:rPr>
          <w:rFonts w:cs="Arial"/>
        </w:rPr>
        <w:t xml:space="preserve">have a </w:t>
      </w:r>
      <w:r w:rsidR="006B5CFC">
        <w:rPr>
          <w:rFonts w:cs="Arial"/>
        </w:rPr>
        <w:t xml:space="preserve">beneficial </w:t>
      </w:r>
      <w:r w:rsidRPr="00830E78">
        <w:rPr>
          <w:rFonts w:cs="Arial"/>
        </w:rPr>
        <w:t xml:space="preserve">purpose. </w:t>
      </w:r>
      <w:r w:rsidR="002A09F3">
        <w:rPr>
          <w:rFonts w:cs="Arial"/>
        </w:rPr>
        <w:t>These include</w:t>
      </w:r>
      <w:r w:rsidR="00666597">
        <w:rPr>
          <w:rFonts w:cs="Arial"/>
        </w:rPr>
        <w:t>:</w:t>
      </w:r>
    </w:p>
    <w:p w14:paraId="59B5472E" w14:textId="27144065" w:rsidR="008F2B80" w:rsidRDefault="008F2B80" w:rsidP="008F2B80">
      <w:pPr>
        <w:pStyle w:val="BodySubHeader"/>
        <w:rPr>
          <w:rFonts w:cs="Arial"/>
        </w:rPr>
      </w:pPr>
      <w:r>
        <w:rPr>
          <w:rFonts w:cs="Arial"/>
        </w:rPr>
        <w:t>PMTS jamming devices on aircraft</w:t>
      </w:r>
    </w:p>
    <w:p w14:paraId="360A9AB0" w14:textId="735C86EC" w:rsidR="008F2B80" w:rsidRDefault="614580F4" w:rsidP="007F758E">
      <w:pPr>
        <w:rPr>
          <w:rFonts w:cs="Arial"/>
        </w:rPr>
      </w:pPr>
      <w:r w:rsidRPr="614580F4">
        <w:rPr>
          <w:rFonts w:cs="Arial"/>
        </w:rPr>
        <w:t xml:space="preserve">Currently, </w:t>
      </w:r>
      <w:r w:rsidR="004D2A6D">
        <w:rPr>
          <w:rFonts w:cs="Arial"/>
        </w:rPr>
        <w:t>s</w:t>
      </w:r>
      <w:r w:rsidRPr="614580F4">
        <w:rPr>
          <w:rFonts w:cs="Arial"/>
        </w:rPr>
        <w:t>ections 6 and 7 of the PMTS Jamming Device Prohibition work to enable the operation, possession and supply of PMTS jamming devices that are part of systems that provide carriage services on board an aircraft in non-spectrum licensed space</w:t>
      </w:r>
      <w:r w:rsidR="00564957">
        <w:rPr>
          <w:rFonts w:cs="Arial"/>
        </w:rPr>
        <w:t xml:space="preserve"> (the devices operate under apparatus licences)</w:t>
      </w:r>
      <w:r w:rsidRPr="614580F4">
        <w:rPr>
          <w:rFonts w:cs="Arial"/>
        </w:rPr>
        <w:t xml:space="preserve">. To facilitate this, an amendment to the PMTS Jamming Device Prohibition was </w:t>
      </w:r>
      <w:r w:rsidR="009C1AC4">
        <w:rPr>
          <w:rFonts w:cs="Arial"/>
        </w:rPr>
        <w:t>made</w:t>
      </w:r>
      <w:r w:rsidRPr="614580F4">
        <w:rPr>
          <w:rFonts w:cs="Arial"/>
        </w:rPr>
        <w:t xml:space="preserve">, </w:t>
      </w:r>
      <w:r w:rsidR="00B75BDA">
        <w:rPr>
          <w:rFonts w:cs="Arial"/>
        </w:rPr>
        <w:t xml:space="preserve">and </w:t>
      </w:r>
      <w:r w:rsidRPr="614580F4">
        <w:rPr>
          <w:rFonts w:cs="Arial"/>
        </w:rPr>
        <w:t>the radiocommunications licensing system</w:t>
      </w:r>
      <w:r w:rsidR="00B75BDA">
        <w:rPr>
          <w:rFonts w:cs="Arial"/>
        </w:rPr>
        <w:t>, rather than an exemption determin</w:t>
      </w:r>
      <w:r w:rsidR="00426EEA">
        <w:rPr>
          <w:rFonts w:cs="Arial"/>
        </w:rPr>
        <w:t>at</w:t>
      </w:r>
      <w:r w:rsidR="00B75BDA">
        <w:rPr>
          <w:rFonts w:cs="Arial"/>
        </w:rPr>
        <w:t>ion,</w:t>
      </w:r>
      <w:r w:rsidRPr="614580F4">
        <w:rPr>
          <w:rFonts w:cs="Arial"/>
        </w:rPr>
        <w:t xml:space="preserve"> manages the ongoing operation of these devices. </w:t>
      </w:r>
    </w:p>
    <w:p w14:paraId="69C8516B" w14:textId="77777777" w:rsidR="008F2B80" w:rsidRPr="008F2B80" w:rsidRDefault="008F2B80" w:rsidP="008F2B80">
      <w:pPr>
        <w:pStyle w:val="BodySubHeader"/>
        <w:rPr>
          <w:rFonts w:cs="Arial"/>
        </w:rPr>
      </w:pPr>
      <w:r w:rsidRPr="008F2B80">
        <w:rPr>
          <w:rFonts w:cs="Arial"/>
        </w:rPr>
        <w:t>RNSS repeaters</w:t>
      </w:r>
    </w:p>
    <w:p w14:paraId="7898A26D" w14:textId="49116D8B" w:rsidR="007F758E" w:rsidRPr="00830E78" w:rsidRDefault="00C4679F" w:rsidP="007F758E">
      <w:pPr>
        <w:rPr>
          <w:rFonts w:cs="Arial"/>
        </w:rPr>
      </w:pPr>
      <w:r>
        <w:rPr>
          <w:rFonts w:cs="Arial"/>
        </w:rPr>
        <w:t>We</w:t>
      </w:r>
      <w:r w:rsidR="008F2B80" w:rsidRPr="00830E78">
        <w:rPr>
          <w:rFonts w:cs="Arial"/>
        </w:rPr>
        <w:t xml:space="preserve"> </w:t>
      </w:r>
      <w:r>
        <w:rPr>
          <w:rFonts w:cs="Arial"/>
        </w:rPr>
        <w:t>are</w:t>
      </w:r>
      <w:r w:rsidR="008F2B80" w:rsidRPr="00830E78">
        <w:rPr>
          <w:rFonts w:cs="Arial"/>
        </w:rPr>
        <w:t xml:space="preserve"> currently proposing to amend the RNSS Jamming Device Prohibition to facilitate use of RNSS repeaters. </w:t>
      </w:r>
      <w:r w:rsidR="00C8487E">
        <w:rPr>
          <w:rFonts w:cs="Arial"/>
        </w:rPr>
        <w:t xml:space="preserve">Our </w:t>
      </w:r>
      <w:r w:rsidR="009668B3">
        <w:rPr>
          <w:rFonts w:cs="Arial"/>
        </w:rPr>
        <w:t xml:space="preserve">preliminary </w:t>
      </w:r>
      <w:r w:rsidR="00C8487E">
        <w:rPr>
          <w:rFonts w:cs="Arial"/>
        </w:rPr>
        <w:t xml:space="preserve">view </w:t>
      </w:r>
      <w:r w:rsidR="008F2B80">
        <w:rPr>
          <w:rFonts w:cs="Arial"/>
        </w:rPr>
        <w:t xml:space="preserve">is that </w:t>
      </w:r>
      <w:r w:rsidR="007F758E" w:rsidRPr="00830E78">
        <w:rPr>
          <w:rFonts w:cs="Arial"/>
        </w:rPr>
        <w:t xml:space="preserve">amending the RNSS Jamming Device Prohibition to facilitate use of RNSS repeaters is necessary to </w:t>
      </w:r>
      <w:r w:rsidR="00AE0DA7">
        <w:rPr>
          <w:rFonts w:cs="Arial"/>
        </w:rPr>
        <w:t xml:space="preserve">provide regulatory certainty, and to </w:t>
      </w:r>
      <w:r w:rsidR="007F758E" w:rsidRPr="00830E78">
        <w:rPr>
          <w:rFonts w:cs="Arial"/>
        </w:rPr>
        <w:t>keep pace with the evolving expectations of citizens and emergency service providers.</w:t>
      </w:r>
      <w:r w:rsidR="00FE753C">
        <w:rPr>
          <w:rFonts w:cs="Arial"/>
        </w:rPr>
        <w:t xml:space="preserve"> </w:t>
      </w:r>
      <w:r w:rsidR="00F43FB1">
        <w:rPr>
          <w:rFonts w:cs="Arial"/>
        </w:rPr>
        <w:t>T</w:t>
      </w:r>
      <w:r w:rsidR="00F43FB1" w:rsidRPr="00830E78">
        <w:rPr>
          <w:rFonts w:cs="Arial"/>
        </w:rPr>
        <w:t>he risks associated with the use of these device</w:t>
      </w:r>
      <w:r w:rsidR="00274653">
        <w:rPr>
          <w:rFonts w:cs="Arial"/>
        </w:rPr>
        <w:t>s</w:t>
      </w:r>
      <w:r w:rsidR="00F43FB1" w:rsidRPr="00830E78">
        <w:rPr>
          <w:rFonts w:cs="Arial"/>
        </w:rPr>
        <w:t xml:space="preserve"> can be managed by the licensing system.</w:t>
      </w:r>
    </w:p>
    <w:p w14:paraId="317A75D0" w14:textId="612E92B3" w:rsidR="008F2B80" w:rsidRDefault="008F2B80" w:rsidP="008F2B80">
      <w:pPr>
        <w:pStyle w:val="BodySubHeader"/>
        <w:rPr>
          <w:rFonts w:cs="Arial"/>
        </w:rPr>
      </w:pPr>
      <w:r>
        <w:rPr>
          <w:rFonts w:cs="Arial"/>
        </w:rPr>
        <w:t xml:space="preserve">Pseudolites </w:t>
      </w:r>
    </w:p>
    <w:p w14:paraId="129C29A9" w14:textId="33635FED" w:rsidR="007F758E" w:rsidRPr="00830E78" w:rsidRDefault="008F2B80" w:rsidP="007F758E">
      <w:pPr>
        <w:rPr>
          <w:rFonts w:cs="Arial"/>
        </w:rPr>
      </w:pPr>
      <w:r>
        <w:rPr>
          <w:rFonts w:cs="Arial"/>
        </w:rPr>
        <w:t>P</w:t>
      </w:r>
      <w:r w:rsidR="007F758E" w:rsidRPr="00830E78">
        <w:rPr>
          <w:rFonts w:cs="Arial"/>
        </w:rPr>
        <w:t xml:space="preserve">seudolites (pseudo-satellites) are ground-based ‘constellations’ </w:t>
      </w:r>
      <w:r w:rsidR="009251FA">
        <w:rPr>
          <w:rFonts w:cs="Arial"/>
        </w:rPr>
        <w:t xml:space="preserve">of transmitters </w:t>
      </w:r>
      <w:r w:rsidR="007F758E" w:rsidRPr="00830E78">
        <w:rPr>
          <w:rFonts w:cs="Arial"/>
        </w:rPr>
        <w:t xml:space="preserve">that can provide </w:t>
      </w:r>
      <w:r w:rsidR="002A09F3">
        <w:rPr>
          <w:rFonts w:cs="Arial"/>
        </w:rPr>
        <w:t xml:space="preserve">or improve </w:t>
      </w:r>
      <w:r w:rsidR="007F758E" w:rsidRPr="00830E78">
        <w:rPr>
          <w:rFonts w:cs="Arial"/>
        </w:rPr>
        <w:t>RNSS coverage</w:t>
      </w:r>
      <w:r w:rsidR="002A09F3">
        <w:rPr>
          <w:rFonts w:cs="Arial"/>
        </w:rPr>
        <w:t xml:space="preserve"> </w:t>
      </w:r>
      <w:r w:rsidR="007F758E" w:rsidRPr="00830E78">
        <w:rPr>
          <w:rFonts w:cs="Arial"/>
        </w:rPr>
        <w:t xml:space="preserve">for aviation applications, and in areas such as urban and natural canyons. </w:t>
      </w:r>
      <w:r>
        <w:rPr>
          <w:rFonts w:cs="Arial"/>
        </w:rPr>
        <w:t>P</w:t>
      </w:r>
      <w:r w:rsidR="007F758E" w:rsidRPr="00830E78">
        <w:rPr>
          <w:rFonts w:cs="Arial"/>
        </w:rPr>
        <w:t xml:space="preserve">seudolites are </w:t>
      </w:r>
      <w:r w:rsidR="00960D1F">
        <w:rPr>
          <w:rFonts w:cs="Arial"/>
        </w:rPr>
        <w:t>notionally</w:t>
      </w:r>
      <w:r w:rsidR="00960D1F" w:rsidRPr="00830E78">
        <w:rPr>
          <w:rFonts w:cs="Arial"/>
        </w:rPr>
        <w:t xml:space="preserve"> </w:t>
      </w:r>
      <w:r w:rsidR="007F758E" w:rsidRPr="00830E78">
        <w:rPr>
          <w:rFonts w:cs="Arial"/>
        </w:rPr>
        <w:t xml:space="preserve">subject to the RNSS Jamming Device </w:t>
      </w:r>
      <w:r w:rsidR="002A09F3" w:rsidRPr="00830E78">
        <w:rPr>
          <w:rFonts w:cs="Arial"/>
        </w:rPr>
        <w:t>Prohibition and</w:t>
      </w:r>
      <w:r w:rsidR="007F758E" w:rsidRPr="00830E78">
        <w:rPr>
          <w:rFonts w:cs="Arial"/>
        </w:rPr>
        <w:t xml:space="preserve"> </w:t>
      </w:r>
      <w:r w:rsidR="002A09F3">
        <w:rPr>
          <w:rFonts w:cs="Arial"/>
        </w:rPr>
        <w:t xml:space="preserve">are </w:t>
      </w:r>
      <w:r w:rsidR="007F758E" w:rsidRPr="00830E78">
        <w:rPr>
          <w:rFonts w:cs="Arial"/>
        </w:rPr>
        <w:t>not provided for under the licensing framework. Like RNSS repeaters</w:t>
      </w:r>
      <w:r w:rsidR="002A09F3">
        <w:rPr>
          <w:rFonts w:cs="Arial"/>
        </w:rPr>
        <w:t xml:space="preserve"> (</w:t>
      </w:r>
      <w:r w:rsidR="007F758E" w:rsidRPr="00830E78">
        <w:rPr>
          <w:rFonts w:cs="Arial"/>
        </w:rPr>
        <w:t>and any transmitter for that matter</w:t>
      </w:r>
      <w:r w:rsidR="002A09F3">
        <w:rPr>
          <w:rFonts w:cs="Arial"/>
        </w:rPr>
        <w:t xml:space="preserve">), </w:t>
      </w:r>
      <w:r w:rsidR="007F758E" w:rsidRPr="00830E78">
        <w:rPr>
          <w:rFonts w:cs="Arial"/>
        </w:rPr>
        <w:t xml:space="preserve">the deployment of these devices </w:t>
      </w:r>
      <w:r w:rsidR="00572566">
        <w:rPr>
          <w:rFonts w:cs="Arial"/>
        </w:rPr>
        <w:t>requires practical risk management</w:t>
      </w:r>
      <w:r w:rsidR="007F758E" w:rsidRPr="00830E78">
        <w:rPr>
          <w:rFonts w:cs="Arial"/>
        </w:rPr>
        <w:t xml:space="preserve">, but the devices themselves are not </w:t>
      </w:r>
      <w:r w:rsidR="002D5C1A">
        <w:rPr>
          <w:rFonts w:cs="Arial"/>
        </w:rPr>
        <w:t>intended to cause interference to radiocommunications in the same way as other jamming devices</w:t>
      </w:r>
      <w:r w:rsidR="007F758E" w:rsidRPr="00830E78">
        <w:rPr>
          <w:rFonts w:cs="Arial"/>
        </w:rPr>
        <w:t xml:space="preserve">. </w:t>
      </w:r>
    </w:p>
    <w:p w14:paraId="2805B50F" w14:textId="759ED101" w:rsidR="008F2B80" w:rsidRPr="000933AD" w:rsidRDefault="008F2B80" w:rsidP="000933AD">
      <w:pPr>
        <w:pStyle w:val="Heading2"/>
      </w:pPr>
      <w:bookmarkStart w:id="17" w:name="_Toc39570976"/>
      <w:r w:rsidRPr="000933AD">
        <w:t>Looking ahead</w:t>
      </w:r>
      <w:bookmarkEnd w:id="17"/>
    </w:p>
    <w:p w14:paraId="0BF6E7D4" w14:textId="2DF3496C" w:rsidR="007F758E" w:rsidRPr="00830E78" w:rsidRDefault="00382210" w:rsidP="007F758E">
      <w:pPr>
        <w:rPr>
          <w:rFonts w:cs="Arial"/>
        </w:rPr>
      </w:pPr>
      <w:r>
        <w:rPr>
          <w:rFonts w:cs="Arial"/>
        </w:rPr>
        <w:t>Currently, the only way to facilitate devices and applications</w:t>
      </w:r>
      <w:r w:rsidR="007012E2">
        <w:rPr>
          <w:rFonts w:cs="Arial"/>
        </w:rPr>
        <w:t xml:space="preserve"> of the type mentioned </w:t>
      </w:r>
      <w:r>
        <w:rPr>
          <w:rFonts w:cs="Arial"/>
        </w:rPr>
        <w:t>is</w:t>
      </w:r>
      <w:r w:rsidR="001F70F7">
        <w:rPr>
          <w:rFonts w:cs="Arial"/>
        </w:rPr>
        <w:t xml:space="preserve"> to</w:t>
      </w:r>
      <w:r>
        <w:rPr>
          <w:rFonts w:cs="Arial"/>
        </w:rPr>
        <w:t xml:space="preserve"> amend </w:t>
      </w:r>
      <w:r w:rsidR="00AF3712">
        <w:rPr>
          <w:rFonts w:cs="Arial"/>
        </w:rPr>
        <w:t xml:space="preserve">the </w:t>
      </w:r>
      <w:r>
        <w:rPr>
          <w:rFonts w:cs="Arial"/>
        </w:rPr>
        <w:t xml:space="preserve">prohibition declarations, or to determine exemptions. Both approaches </w:t>
      </w:r>
      <w:r w:rsidR="00521A85">
        <w:rPr>
          <w:rFonts w:cs="Arial"/>
        </w:rPr>
        <w:t xml:space="preserve">can </w:t>
      </w:r>
      <w:r>
        <w:rPr>
          <w:rFonts w:cs="Arial"/>
        </w:rPr>
        <w:t xml:space="preserve">involve high </w:t>
      </w:r>
      <w:r w:rsidR="007F758E" w:rsidRPr="00830E78">
        <w:rPr>
          <w:rFonts w:cs="Arial"/>
        </w:rPr>
        <w:t xml:space="preserve">transaction costs and </w:t>
      </w:r>
      <w:r>
        <w:rPr>
          <w:rFonts w:cs="Arial"/>
        </w:rPr>
        <w:t xml:space="preserve">long </w:t>
      </w:r>
      <w:r w:rsidR="007F758E" w:rsidRPr="00830E78">
        <w:rPr>
          <w:rFonts w:cs="Arial"/>
        </w:rPr>
        <w:t xml:space="preserve">lead times for the ACMA and </w:t>
      </w:r>
      <w:r>
        <w:rPr>
          <w:rFonts w:cs="Arial"/>
        </w:rPr>
        <w:t>stakeholders</w:t>
      </w:r>
      <w:r w:rsidR="007F758E" w:rsidRPr="00830E78">
        <w:rPr>
          <w:rFonts w:cs="Arial"/>
        </w:rPr>
        <w:t xml:space="preserve">. </w:t>
      </w:r>
      <w:r w:rsidR="00C8487E">
        <w:rPr>
          <w:rFonts w:cs="Arial"/>
        </w:rPr>
        <w:t xml:space="preserve">In the coming years, </w:t>
      </w:r>
      <w:r w:rsidR="00AB7CF8">
        <w:rPr>
          <w:rFonts w:cs="Arial"/>
        </w:rPr>
        <w:t xml:space="preserve">the number and range </w:t>
      </w:r>
      <w:r w:rsidR="00B31004">
        <w:rPr>
          <w:rFonts w:cs="Arial"/>
        </w:rPr>
        <w:t xml:space="preserve">of </w:t>
      </w:r>
      <w:r w:rsidR="00C8487E">
        <w:rPr>
          <w:rFonts w:cs="Arial"/>
        </w:rPr>
        <w:t>d</w:t>
      </w:r>
      <w:r w:rsidR="007F758E" w:rsidRPr="00830E78">
        <w:rPr>
          <w:rFonts w:cs="Arial"/>
        </w:rPr>
        <w:t xml:space="preserve">evices subject to prohibition declarations </w:t>
      </w:r>
      <w:r w:rsidR="00AB7CF8">
        <w:rPr>
          <w:rFonts w:cs="Arial"/>
        </w:rPr>
        <w:t>is likely to grow</w:t>
      </w:r>
      <w:r w:rsidR="007F758E" w:rsidRPr="00830E78">
        <w:rPr>
          <w:rFonts w:cs="Arial"/>
        </w:rPr>
        <w:t>.</w:t>
      </w:r>
    </w:p>
    <w:p w14:paraId="1A2862AB" w14:textId="0988B4A1" w:rsidR="007F758E" w:rsidRPr="00830E78" w:rsidRDefault="00F737D8" w:rsidP="007F758E">
      <w:pPr>
        <w:rPr>
          <w:rFonts w:cs="Arial"/>
        </w:rPr>
      </w:pPr>
      <w:r>
        <w:rPr>
          <w:rFonts w:cs="Arial"/>
        </w:rPr>
        <w:t xml:space="preserve">There </w:t>
      </w:r>
      <w:r w:rsidR="009251FA">
        <w:rPr>
          <w:rFonts w:cs="Arial"/>
        </w:rPr>
        <w:t>is</w:t>
      </w:r>
      <w:r w:rsidR="007F758E" w:rsidRPr="00830E78">
        <w:rPr>
          <w:rFonts w:cs="Arial"/>
        </w:rPr>
        <w:t xml:space="preserve"> </w:t>
      </w:r>
      <w:r w:rsidR="00A72219">
        <w:rPr>
          <w:rFonts w:cs="Arial"/>
        </w:rPr>
        <w:t xml:space="preserve">likely </w:t>
      </w:r>
      <w:r w:rsidR="00053743">
        <w:rPr>
          <w:rFonts w:cs="Arial"/>
        </w:rPr>
        <w:t xml:space="preserve">to be growth in the number of </w:t>
      </w:r>
      <w:r w:rsidR="002A09F3">
        <w:rPr>
          <w:rFonts w:cs="Arial"/>
        </w:rPr>
        <w:t>‘</w:t>
      </w:r>
      <w:r w:rsidR="006110DE">
        <w:rPr>
          <w:rFonts w:cs="Arial"/>
        </w:rPr>
        <w:t>jammer-like</w:t>
      </w:r>
      <w:r w:rsidR="002A09F3">
        <w:rPr>
          <w:rFonts w:cs="Arial"/>
        </w:rPr>
        <w:t>’</w:t>
      </w:r>
      <w:r w:rsidR="006110DE">
        <w:rPr>
          <w:rFonts w:cs="Arial"/>
        </w:rPr>
        <w:t xml:space="preserve"> </w:t>
      </w:r>
      <w:r w:rsidR="00053743">
        <w:rPr>
          <w:rFonts w:cs="Arial"/>
        </w:rPr>
        <w:t xml:space="preserve">devices </w:t>
      </w:r>
      <w:r w:rsidR="00D031C8">
        <w:rPr>
          <w:rFonts w:cs="Arial"/>
        </w:rPr>
        <w:t xml:space="preserve">designed </w:t>
      </w:r>
      <w:r w:rsidR="008858C5">
        <w:rPr>
          <w:rFonts w:cs="Arial"/>
        </w:rPr>
        <w:t xml:space="preserve">to be used in </w:t>
      </w:r>
      <w:r w:rsidR="00D031C8">
        <w:rPr>
          <w:rFonts w:cs="Arial"/>
        </w:rPr>
        <w:t xml:space="preserve">certain </w:t>
      </w:r>
      <w:r w:rsidR="007F758E" w:rsidRPr="00830E78">
        <w:rPr>
          <w:rFonts w:cs="Arial"/>
        </w:rPr>
        <w:t>applications that</w:t>
      </w:r>
      <w:r w:rsidR="00A72219">
        <w:rPr>
          <w:rFonts w:cs="Arial"/>
        </w:rPr>
        <w:t xml:space="preserve">, if used properly, </w:t>
      </w:r>
      <w:r w:rsidR="005F539A">
        <w:rPr>
          <w:rFonts w:cs="Arial"/>
        </w:rPr>
        <w:t xml:space="preserve">are unlikely to pose a risk to </w:t>
      </w:r>
      <w:r w:rsidR="00A901FA">
        <w:rPr>
          <w:rFonts w:cs="Arial"/>
        </w:rPr>
        <w:t>licensed spectrum users</w:t>
      </w:r>
      <w:r w:rsidR="007F758E" w:rsidRPr="00830E78">
        <w:rPr>
          <w:rFonts w:cs="Arial"/>
        </w:rPr>
        <w:t>.</w:t>
      </w:r>
      <w:r w:rsidR="006110DE">
        <w:rPr>
          <w:rFonts w:cs="Arial"/>
        </w:rPr>
        <w:t xml:space="preserve"> </w:t>
      </w:r>
      <w:r w:rsidR="007F758E" w:rsidRPr="00830E78">
        <w:rPr>
          <w:rFonts w:cs="Arial"/>
        </w:rPr>
        <w:t xml:space="preserve">Note that this is not the same as saying these devices should not be subject to rigorous regulatory oversight by the ACMA, nor that these devices are not subject to the operation of legislative frameworks outside the ACMA’s regulatory purview. </w:t>
      </w:r>
    </w:p>
    <w:tbl>
      <w:tblPr>
        <w:tblStyle w:val="TableGrid"/>
        <w:tblW w:w="0" w:type="auto"/>
        <w:tblLook w:val="04A0" w:firstRow="1" w:lastRow="0" w:firstColumn="1" w:lastColumn="0" w:noHBand="0" w:noVBand="1"/>
      </w:tblPr>
      <w:tblGrid>
        <w:gridCol w:w="7661"/>
      </w:tblGrid>
      <w:tr w:rsidR="00F737D8" w14:paraId="71F5728C" w14:textId="77777777" w:rsidTr="00F737D8">
        <w:tc>
          <w:tcPr>
            <w:tcW w:w="7661" w:type="dxa"/>
            <w:shd w:val="clear" w:color="auto" w:fill="F2F2F2" w:themeFill="background1" w:themeFillShade="F2"/>
          </w:tcPr>
          <w:p w14:paraId="528D95AB" w14:textId="77777777" w:rsidR="005F4CB1" w:rsidRDefault="005F4CB1" w:rsidP="00934E14">
            <w:pPr>
              <w:spacing w:after="80"/>
              <w:rPr>
                <w:rFonts w:cs="Arial"/>
                <w:b/>
                <w:bCs/>
              </w:rPr>
            </w:pPr>
            <w:bookmarkStart w:id="18" w:name="_Hlk14768690"/>
            <w:r>
              <w:rPr>
                <w:rFonts w:cs="Arial"/>
                <w:b/>
                <w:bCs/>
              </w:rPr>
              <w:t>Issue for comment</w:t>
            </w:r>
          </w:p>
          <w:p w14:paraId="026E86B7" w14:textId="19D4F63A" w:rsidR="00F737D8" w:rsidRPr="00F737D8" w:rsidRDefault="00F737D8" w:rsidP="00934E14">
            <w:pPr>
              <w:numPr>
                <w:ilvl w:val="0"/>
                <w:numId w:val="16"/>
              </w:numPr>
              <w:spacing w:after="80"/>
              <w:rPr>
                <w:b/>
                <w:bCs/>
              </w:rPr>
            </w:pPr>
            <w:r w:rsidRPr="00F737D8">
              <w:rPr>
                <w:b/>
                <w:bCs/>
              </w:rPr>
              <w:t>In what ways i</w:t>
            </w:r>
            <w:r w:rsidR="00984C4B">
              <w:rPr>
                <w:b/>
                <w:bCs/>
              </w:rPr>
              <w:t>s</w:t>
            </w:r>
            <w:r w:rsidRPr="00F737D8">
              <w:rPr>
                <w:b/>
                <w:bCs/>
              </w:rPr>
              <w:t xml:space="preserve"> the prohibition regime not performing optimally?</w:t>
            </w:r>
          </w:p>
          <w:p w14:paraId="32FF4552" w14:textId="63F6193C" w:rsidR="008D2405" w:rsidRDefault="008D2405" w:rsidP="00934E14">
            <w:pPr>
              <w:numPr>
                <w:ilvl w:val="0"/>
                <w:numId w:val="16"/>
              </w:numPr>
              <w:spacing w:after="80"/>
              <w:rPr>
                <w:b/>
                <w:bCs/>
              </w:rPr>
            </w:pPr>
            <w:r w:rsidRPr="00F737D8">
              <w:rPr>
                <w:b/>
                <w:bCs/>
              </w:rPr>
              <w:t>Are there devices currently not prohibited that should be?</w:t>
            </w:r>
          </w:p>
          <w:p w14:paraId="42091849" w14:textId="7332FA1F" w:rsidR="00F737D8" w:rsidRDefault="00F737D8" w:rsidP="002D48FE">
            <w:pPr>
              <w:numPr>
                <w:ilvl w:val="0"/>
                <w:numId w:val="16"/>
              </w:numPr>
              <w:spacing w:after="60"/>
            </w:pPr>
            <w:r w:rsidRPr="00F737D8">
              <w:rPr>
                <w:b/>
                <w:bCs/>
              </w:rPr>
              <w:t xml:space="preserve">Are there devices currently prohibited that should not be? </w:t>
            </w:r>
            <w:bookmarkEnd w:id="18"/>
          </w:p>
        </w:tc>
      </w:tr>
    </w:tbl>
    <w:p w14:paraId="294AAA76" w14:textId="296BBD15" w:rsidR="00830E78" w:rsidRPr="00830E78" w:rsidRDefault="00830E78" w:rsidP="00830E78">
      <w:pPr>
        <w:pStyle w:val="Heading1"/>
      </w:pPr>
      <w:bookmarkStart w:id="19" w:name="_Toc39570977"/>
      <w:r w:rsidRPr="00830E78">
        <w:lastRenderedPageBreak/>
        <w:t xml:space="preserve">Exemption </w:t>
      </w:r>
      <w:r w:rsidR="00485025">
        <w:t>regime</w:t>
      </w:r>
      <w:bookmarkEnd w:id="19"/>
    </w:p>
    <w:p w14:paraId="307A30C8" w14:textId="77777777" w:rsidR="00830E78" w:rsidRPr="00830E78" w:rsidRDefault="00830E78" w:rsidP="00830E78">
      <w:pPr>
        <w:pStyle w:val="Heading2"/>
      </w:pPr>
      <w:bookmarkStart w:id="20" w:name="_Toc39570978"/>
      <w:r w:rsidRPr="00830E78">
        <w:t>Legislative framework</w:t>
      </w:r>
      <w:bookmarkEnd w:id="20"/>
    </w:p>
    <w:p w14:paraId="6CF8B2FA" w14:textId="1C4916B6" w:rsidR="00830E78" w:rsidRPr="00830E78" w:rsidRDefault="00765ED4" w:rsidP="00AD4202">
      <w:pPr>
        <w:spacing w:after="80"/>
        <w:rPr>
          <w:rFonts w:cs="Arial"/>
        </w:rPr>
      </w:pPr>
      <w:r>
        <w:rPr>
          <w:rFonts w:cs="Arial"/>
        </w:rPr>
        <w:t xml:space="preserve">In addition to </w:t>
      </w:r>
      <w:r w:rsidR="009C1AC4">
        <w:rPr>
          <w:rFonts w:cs="Arial"/>
        </w:rPr>
        <w:t xml:space="preserve">statutory </w:t>
      </w:r>
      <w:r>
        <w:rPr>
          <w:rFonts w:cs="Arial"/>
        </w:rPr>
        <w:t>exemptions, the exemption regime involves the use of the ACMA’s discretionary power</w:t>
      </w:r>
      <w:r w:rsidR="00EF134B">
        <w:rPr>
          <w:rFonts w:cs="Arial"/>
        </w:rPr>
        <w:t>s</w:t>
      </w:r>
      <w:r>
        <w:rPr>
          <w:rFonts w:cs="Arial"/>
        </w:rPr>
        <w:t xml:space="preserve">. </w:t>
      </w:r>
      <w:r w:rsidR="00830E78" w:rsidRPr="00830E78">
        <w:rPr>
          <w:rFonts w:cs="Arial"/>
        </w:rPr>
        <w:t xml:space="preserve">Under subsection 27(2) of the Act, the ACMA may determine that acts or omissions by </w:t>
      </w:r>
      <w:r w:rsidR="0071410C">
        <w:rPr>
          <w:rFonts w:cs="Arial"/>
        </w:rPr>
        <w:t>people</w:t>
      </w:r>
      <w:r w:rsidR="00830E78" w:rsidRPr="00830E78">
        <w:rPr>
          <w:rFonts w:cs="Arial"/>
        </w:rPr>
        <w:t xml:space="preserve"> to whom section 27 of the Act applies are exempt from any </w:t>
      </w:r>
      <w:r w:rsidR="00830E78" w:rsidRPr="009A2F96">
        <w:rPr>
          <w:rFonts w:cs="Arial"/>
        </w:rPr>
        <w:t>or all of Parts</w:t>
      </w:r>
      <w:r w:rsidR="00830E78" w:rsidRPr="00830E78">
        <w:rPr>
          <w:rFonts w:cs="Arial"/>
        </w:rPr>
        <w:t xml:space="preserve"> 3.1, 4.1 and 4.2 of the Act, or from specified provisions of those Parts.</w:t>
      </w:r>
      <w:r w:rsidR="00B916D6">
        <w:rPr>
          <w:rFonts w:cs="Arial"/>
        </w:rPr>
        <w:t xml:space="preserve"> </w:t>
      </w:r>
      <w:r w:rsidR="00830E78" w:rsidRPr="00830E78">
        <w:rPr>
          <w:rFonts w:cs="Arial"/>
        </w:rPr>
        <w:t xml:space="preserve">Broadly, section 27 </w:t>
      </w:r>
      <w:r w:rsidR="0071410C">
        <w:rPr>
          <w:rFonts w:cs="Arial"/>
        </w:rPr>
        <w:t>enables</w:t>
      </w:r>
      <w:r w:rsidR="00830E78" w:rsidRPr="00830E78">
        <w:rPr>
          <w:rFonts w:cs="Arial"/>
        </w:rPr>
        <w:t xml:space="preserve"> </w:t>
      </w:r>
      <w:r w:rsidR="0071410C">
        <w:rPr>
          <w:rFonts w:cs="Arial"/>
        </w:rPr>
        <w:t xml:space="preserve">the </w:t>
      </w:r>
      <w:r w:rsidR="00830E78" w:rsidRPr="00830E78">
        <w:rPr>
          <w:rFonts w:cs="Arial"/>
        </w:rPr>
        <w:t xml:space="preserve">ACMA </w:t>
      </w:r>
      <w:r w:rsidR="0071410C">
        <w:rPr>
          <w:rFonts w:cs="Arial"/>
        </w:rPr>
        <w:t>to</w:t>
      </w:r>
      <w:r w:rsidR="0071410C" w:rsidRPr="00830E78">
        <w:rPr>
          <w:rFonts w:cs="Arial"/>
        </w:rPr>
        <w:t xml:space="preserve"> </w:t>
      </w:r>
      <w:r w:rsidR="00830E78" w:rsidRPr="00830E78">
        <w:rPr>
          <w:rFonts w:cs="Arial"/>
        </w:rPr>
        <w:t xml:space="preserve">provide exemptions </w:t>
      </w:r>
      <w:r w:rsidR="00306CFC">
        <w:rPr>
          <w:rFonts w:cs="Arial"/>
        </w:rPr>
        <w:t>by legislative instruments</w:t>
      </w:r>
      <w:r w:rsidR="00830E78" w:rsidRPr="00830E78">
        <w:rPr>
          <w:rFonts w:cs="Arial"/>
        </w:rPr>
        <w:t xml:space="preserve"> for:</w:t>
      </w:r>
    </w:p>
    <w:p w14:paraId="1BF709CC" w14:textId="1014C163" w:rsidR="007F758E" w:rsidRDefault="0071410C" w:rsidP="00830E78">
      <w:pPr>
        <w:pStyle w:val="ListBullet"/>
        <w:rPr>
          <w:rFonts w:cs="Arial"/>
        </w:rPr>
      </w:pPr>
      <w:r>
        <w:rPr>
          <w:rFonts w:cs="Arial"/>
        </w:rPr>
        <w:t>people</w:t>
      </w:r>
      <w:r w:rsidRPr="007F758E">
        <w:rPr>
          <w:rFonts w:cs="Arial"/>
        </w:rPr>
        <w:t xml:space="preserve"> </w:t>
      </w:r>
      <w:r w:rsidR="00830E78" w:rsidRPr="007F758E">
        <w:rPr>
          <w:rFonts w:cs="Arial"/>
        </w:rPr>
        <w:t>performing certain functions or duties</w:t>
      </w:r>
      <w:r w:rsidR="005B2FCA">
        <w:rPr>
          <w:rFonts w:cs="Arial"/>
        </w:rPr>
        <w:t xml:space="preserve"> </w:t>
      </w:r>
      <w:r w:rsidR="00830E78" w:rsidRPr="007F758E">
        <w:rPr>
          <w:rFonts w:cs="Arial"/>
        </w:rPr>
        <w:t xml:space="preserve">in relation to </w:t>
      </w:r>
      <w:r w:rsidR="008B6330">
        <w:rPr>
          <w:rFonts w:cs="Arial"/>
        </w:rPr>
        <w:t xml:space="preserve">the </w:t>
      </w:r>
      <w:r w:rsidR="00830E78" w:rsidRPr="007F758E">
        <w:rPr>
          <w:rFonts w:cs="Arial"/>
        </w:rPr>
        <w:t>defence, security or international relations</w:t>
      </w:r>
      <w:r w:rsidR="00887F5E">
        <w:rPr>
          <w:rFonts w:cs="Arial"/>
        </w:rPr>
        <w:t xml:space="preserve"> of Australia</w:t>
      </w:r>
    </w:p>
    <w:p w14:paraId="6F3F9D04" w14:textId="074BAED6" w:rsidR="00830E78" w:rsidRPr="007F758E" w:rsidRDefault="0071410C" w:rsidP="00AD4202">
      <w:pPr>
        <w:pStyle w:val="ListBulletLast"/>
      </w:pPr>
      <w:r>
        <w:t>people</w:t>
      </w:r>
      <w:r w:rsidRPr="007F758E">
        <w:t xml:space="preserve"> </w:t>
      </w:r>
      <w:r w:rsidR="00830E78" w:rsidRPr="007F758E">
        <w:t>performing certain functions or duties</w:t>
      </w:r>
      <w:r w:rsidR="008B6330">
        <w:t xml:space="preserve"> </w:t>
      </w:r>
      <w:r w:rsidR="00830E78" w:rsidRPr="007F758E">
        <w:t>in relation to</w:t>
      </w:r>
      <w:r w:rsidR="008B6330">
        <w:t xml:space="preserve"> </w:t>
      </w:r>
      <w:r w:rsidR="00830E78" w:rsidRPr="007F758E">
        <w:t xml:space="preserve">a limited number of specified bodies, </w:t>
      </w:r>
      <w:r w:rsidR="00C8487E">
        <w:t xml:space="preserve">broadly </w:t>
      </w:r>
      <w:r w:rsidR="00830E78" w:rsidRPr="007F758E">
        <w:t>concerned with defence, law enforcement and emergency services.</w:t>
      </w:r>
    </w:p>
    <w:p w14:paraId="639CDBC0" w14:textId="51840866" w:rsidR="00830E78" w:rsidRPr="00830E78" w:rsidRDefault="00C90DD7" w:rsidP="00830E78">
      <w:pPr>
        <w:rPr>
          <w:rFonts w:cs="Arial"/>
        </w:rPr>
      </w:pPr>
      <w:r>
        <w:rPr>
          <w:rFonts w:cs="Arial"/>
        </w:rPr>
        <w:t>E</w:t>
      </w:r>
      <w:r w:rsidR="00830E78" w:rsidRPr="00830E78">
        <w:rPr>
          <w:rFonts w:cs="Arial"/>
        </w:rPr>
        <w:t>xemptions are</w:t>
      </w:r>
      <w:r w:rsidR="00822019">
        <w:rPr>
          <w:rFonts w:cs="Arial"/>
        </w:rPr>
        <w:t>, in</w:t>
      </w:r>
      <w:r w:rsidR="003733B4">
        <w:rPr>
          <w:rFonts w:cs="Arial"/>
        </w:rPr>
        <w:t xml:space="preserve"> </w:t>
      </w:r>
      <w:r w:rsidR="00822019">
        <w:rPr>
          <w:rFonts w:cs="Arial"/>
        </w:rPr>
        <w:t>practice,</w:t>
      </w:r>
      <w:r w:rsidR="00F40FFE">
        <w:rPr>
          <w:rFonts w:cs="Arial"/>
        </w:rPr>
        <w:t xml:space="preserve"> </w:t>
      </w:r>
      <w:r w:rsidR="00923925">
        <w:rPr>
          <w:rFonts w:cs="Arial"/>
        </w:rPr>
        <w:t xml:space="preserve">used </w:t>
      </w:r>
      <w:r w:rsidR="00830E78" w:rsidRPr="00830E78">
        <w:rPr>
          <w:rFonts w:cs="Arial"/>
        </w:rPr>
        <w:t xml:space="preserve">to </w:t>
      </w:r>
      <w:r w:rsidR="0071410C">
        <w:rPr>
          <w:rFonts w:cs="Arial"/>
        </w:rPr>
        <w:t>avoid</w:t>
      </w:r>
      <w:r w:rsidR="00830E78" w:rsidRPr="00830E78">
        <w:rPr>
          <w:rFonts w:cs="Arial"/>
        </w:rPr>
        <w:t xml:space="preserve"> offences related to the operation (and supply) of prohibited or unlicensed devices. </w:t>
      </w:r>
      <w:r w:rsidR="00830E78" w:rsidRPr="00EF58CD">
        <w:rPr>
          <w:rFonts w:cs="Arial"/>
        </w:rPr>
        <w:t xml:space="preserve">Given that operation of these devices may cause interference, exemptions </w:t>
      </w:r>
      <w:r w:rsidR="009A2F96" w:rsidRPr="00EF58CD">
        <w:rPr>
          <w:rFonts w:cs="Arial"/>
        </w:rPr>
        <w:t>allow</w:t>
      </w:r>
      <w:r w:rsidR="00830E78" w:rsidRPr="00EF58CD">
        <w:rPr>
          <w:rFonts w:cs="Arial"/>
        </w:rPr>
        <w:t xml:space="preserve"> offences relating to causing interference not </w:t>
      </w:r>
      <w:r w:rsidR="009A2F96" w:rsidRPr="00EF58CD">
        <w:rPr>
          <w:rFonts w:cs="Arial"/>
        </w:rPr>
        <w:t xml:space="preserve">to </w:t>
      </w:r>
      <w:r w:rsidR="00830E78" w:rsidRPr="00EF58CD">
        <w:rPr>
          <w:rFonts w:cs="Arial"/>
        </w:rPr>
        <w:t>apply in specified circumstances.</w:t>
      </w:r>
      <w:r w:rsidR="00830E78" w:rsidRPr="00830E78">
        <w:rPr>
          <w:rFonts w:cs="Arial"/>
        </w:rPr>
        <w:t xml:space="preserve"> </w:t>
      </w:r>
    </w:p>
    <w:p w14:paraId="13A7327D" w14:textId="040CAE88" w:rsidR="00830E78" w:rsidRPr="00830E78" w:rsidRDefault="00830E78" w:rsidP="002A3608">
      <w:pPr>
        <w:spacing w:after="80"/>
        <w:rPr>
          <w:rFonts w:cs="Arial"/>
        </w:rPr>
      </w:pPr>
      <w:r w:rsidRPr="00830E78">
        <w:rPr>
          <w:rFonts w:cs="Arial"/>
        </w:rPr>
        <w:t>As legislative instruments, exemption determinations are automatically repealed (sunsetted) 10 years after being registered. Exemption determinations of this type are:</w:t>
      </w:r>
    </w:p>
    <w:p w14:paraId="1048A1CE" w14:textId="3CE7DB78" w:rsidR="00830E78" w:rsidRPr="00830E78" w:rsidRDefault="006436C4" w:rsidP="007F758E">
      <w:pPr>
        <w:pStyle w:val="ListBullet"/>
        <w:rPr>
          <w:rFonts w:cs="Arial"/>
        </w:rPr>
      </w:pPr>
      <w:r w:rsidRPr="003E6121">
        <w:t>Radiocommunications (PMTS Jamming Devices – Visiting Forces and Suppliers) Exemption Determination 2011</w:t>
      </w:r>
    </w:p>
    <w:p w14:paraId="4D741EBF" w14:textId="5A71A764" w:rsidR="00830E78" w:rsidRPr="00830E78" w:rsidRDefault="00CB2CAE" w:rsidP="007F758E">
      <w:pPr>
        <w:pStyle w:val="ListBullet"/>
        <w:rPr>
          <w:rFonts w:cs="Arial"/>
        </w:rPr>
      </w:pPr>
      <w:r w:rsidRPr="003E6121">
        <w:t>Radiocommunications (Public Mobile Telecommunications Services Surveillance Device) Exemption Determination 2011</w:t>
      </w:r>
    </w:p>
    <w:p w14:paraId="7ACC6717" w14:textId="30F4A212" w:rsidR="00830E78" w:rsidRPr="00830E78" w:rsidRDefault="00CB2CAE" w:rsidP="007F758E">
      <w:pPr>
        <w:pStyle w:val="ListBullet"/>
        <w:rPr>
          <w:rFonts w:cs="Arial"/>
        </w:rPr>
      </w:pPr>
      <w:r w:rsidRPr="003E6121">
        <w:t>Radiocommunications (Prohibited Device) (RNSS Jamming Devices) Exemption Determination 2014</w:t>
      </w:r>
    </w:p>
    <w:p w14:paraId="0E9BD82B" w14:textId="333CFE44" w:rsidR="00830E78" w:rsidRPr="00830E78" w:rsidRDefault="00C375D7" w:rsidP="007F758E">
      <w:pPr>
        <w:pStyle w:val="ListBullet"/>
        <w:rPr>
          <w:rFonts w:cs="Arial"/>
        </w:rPr>
      </w:pPr>
      <w:r>
        <w:t xml:space="preserve">the </w:t>
      </w:r>
      <w:r w:rsidR="00A75E97">
        <w:t xml:space="preserve">ECM </w:t>
      </w:r>
      <w:r w:rsidR="00CB2CAE" w:rsidRPr="003E6121">
        <w:t>Exemption</w:t>
      </w:r>
      <w:r w:rsidR="00A75E97">
        <w:t>,</w:t>
      </w:r>
      <w:r w:rsidR="00830E78" w:rsidRPr="00830E78">
        <w:rPr>
          <w:rFonts w:cs="Arial"/>
        </w:rPr>
        <w:t xml:space="preserve"> supported by </w:t>
      </w:r>
      <w:r w:rsidR="00242713">
        <w:rPr>
          <w:rFonts w:cs="Arial"/>
        </w:rPr>
        <w:t xml:space="preserve">the </w:t>
      </w:r>
      <w:r w:rsidR="00CB2CAE" w:rsidRPr="003E6121">
        <w:t>Radiocommunications Advisory Guidelines (Use of Electronic Counter Measures for Bomb Disposal Activities) 2010</w:t>
      </w:r>
    </w:p>
    <w:p w14:paraId="0BC09203" w14:textId="3A119FFE" w:rsidR="00830E78" w:rsidRPr="00830E78" w:rsidRDefault="00272F06" w:rsidP="00E27427">
      <w:pPr>
        <w:pStyle w:val="ListBullet"/>
        <w:spacing w:after="240"/>
        <w:rPr>
          <w:rFonts w:cs="Arial"/>
        </w:rPr>
      </w:pPr>
      <w:hyperlink r:id="rId39" w:history="1">
        <w:r w:rsidR="00830E78" w:rsidRPr="00B916D6">
          <w:rPr>
            <w:rStyle w:val="Hyperlink"/>
            <w:rFonts w:cs="Arial"/>
          </w:rPr>
          <w:t>Radiocommunications (Use by Corrective Services NSW of PMTS Jamming Devices at Lithgow Correctional Centre) Exemption Determination 2018</w:t>
        </w:r>
      </w:hyperlink>
      <w:r w:rsidR="00495A5D">
        <w:rPr>
          <w:rFonts w:cs="Arial"/>
        </w:rPr>
        <w:t>.</w:t>
      </w:r>
      <w:r w:rsidR="00830E78" w:rsidRPr="00495A5D">
        <w:rPr>
          <w:rFonts w:cs="Arial"/>
          <w:vertAlign w:val="superscript"/>
        </w:rPr>
        <w:footnoteReference w:id="17"/>
      </w:r>
    </w:p>
    <w:p w14:paraId="6AAE04FE" w14:textId="77777777" w:rsidR="00DD22AB" w:rsidRDefault="00DD2E3D" w:rsidP="00830E78">
      <w:pPr>
        <w:rPr>
          <w:rFonts w:cs="Arial"/>
        </w:rPr>
      </w:pPr>
      <w:r>
        <w:rPr>
          <w:rFonts w:cs="Arial"/>
        </w:rPr>
        <w:t>From time to time, t</w:t>
      </w:r>
      <w:r w:rsidR="00830E78" w:rsidRPr="00830E78">
        <w:rPr>
          <w:rFonts w:cs="Arial"/>
        </w:rPr>
        <w:t xml:space="preserve">he ACMA also has </w:t>
      </w:r>
      <w:r w:rsidR="006420EE">
        <w:rPr>
          <w:rFonts w:cs="Arial"/>
        </w:rPr>
        <w:t xml:space="preserve">made </w:t>
      </w:r>
      <w:r w:rsidR="00830E78" w:rsidRPr="00830E78">
        <w:rPr>
          <w:rFonts w:cs="Arial"/>
        </w:rPr>
        <w:t xml:space="preserve">arrangements to facilitate use of electronic counter measures </w:t>
      </w:r>
      <w:r w:rsidR="0071410C">
        <w:rPr>
          <w:rFonts w:cs="Arial"/>
        </w:rPr>
        <w:t>to</w:t>
      </w:r>
      <w:r w:rsidR="00830E78" w:rsidRPr="00830E78">
        <w:rPr>
          <w:rFonts w:cs="Arial"/>
        </w:rPr>
        <w:t xml:space="preserve"> provi</w:t>
      </w:r>
      <w:r w:rsidR="0071410C">
        <w:rPr>
          <w:rFonts w:cs="Arial"/>
        </w:rPr>
        <w:t>de</w:t>
      </w:r>
      <w:r w:rsidR="00830E78" w:rsidRPr="00830E78">
        <w:rPr>
          <w:rFonts w:cs="Arial"/>
        </w:rPr>
        <w:t xml:space="preserve"> security for </w:t>
      </w:r>
      <w:r w:rsidR="001C1E72">
        <w:rPr>
          <w:rFonts w:cs="Arial"/>
        </w:rPr>
        <w:t xml:space="preserve">foreign </w:t>
      </w:r>
      <w:r w:rsidR="00860FEE">
        <w:rPr>
          <w:rFonts w:cs="Arial"/>
        </w:rPr>
        <w:t xml:space="preserve">dignitaries </w:t>
      </w:r>
      <w:r w:rsidR="00830E78" w:rsidRPr="00830E78">
        <w:rPr>
          <w:rFonts w:cs="Arial"/>
        </w:rPr>
        <w:t xml:space="preserve">visiting Australia. These arrangements involve making </w:t>
      </w:r>
      <w:r w:rsidR="00843106">
        <w:rPr>
          <w:rFonts w:cs="Arial"/>
        </w:rPr>
        <w:t xml:space="preserve">a </w:t>
      </w:r>
      <w:r w:rsidR="00830E78" w:rsidRPr="00830E78">
        <w:rPr>
          <w:rFonts w:cs="Arial"/>
        </w:rPr>
        <w:t xml:space="preserve">self-ceasing, event-specific </w:t>
      </w:r>
      <w:r w:rsidR="001F3AC6">
        <w:rPr>
          <w:rFonts w:cs="Arial"/>
        </w:rPr>
        <w:t xml:space="preserve">exemption </w:t>
      </w:r>
      <w:r w:rsidR="00830E78" w:rsidRPr="00830E78">
        <w:rPr>
          <w:rFonts w:cs="Arial"/>
        </w:rPr>
        <w:t>determination that expire</w:t>
      </w:r>
      <w:r w:rsidR="00B916D6">
        <w:rPr>
          <w:rFonts w:cs="Arial"/>
        </w:rPr>
        <w:t>s</w:t>
      </w:r>
      <w:r w:rsidR="00830E78" w:rsidRPr="00830E78">
        <w:rPr>
          <w:rFonts w:cs="Arial"/>
        </w:rPr>
        <w:t xml:space="preserve"> at the conclusion of the dignitary’s visit to Australia (generally a week or two). </w:t>
      </w:r>
    </w:p>
    <w:p w14:paraId="75AE2CE4" w14:textId="3AC31FF6" w:rsidR="00830E78" w:rsidRPr="00830E78" w:rsidRDefault="00830E78" w:rsidP="00830E78">
      <w:pPr>
        <w:rPr>
          <w:rFonts w:cs="Arial"/>
        </w:rPr>
      </w:pPr>
      <w:r w:rsidRPr="00830E78">
        <w:rPr>
          <w:rFonts w:cs="Arial"/>
        </w:rPr>
        <w:t xml:space="preserve">In 2016, 2017 and 2018, the ACMA made </w:t>
      </w:r>
      <w:r w:rsidR="00F50F52">
        <w:rPr>
          <w:rFonts w:cs="Arial"/>
        </w:rPr>
        <w:t>such</w:t>
      </w:r>
      <w:r w:rsidR="002269EB">
        <w:rPr>
          <w:rFonts w:cs="Arial"/>
        </w:rPr>
        <w:t xml:space="preserve"> </w:t>
      </w:r>
      <w:r w:rsidRPr="00830E78">
        <w:rPr>
          <w:rFonts w:cs="Arial"/>
        </w:rPr>
        <w:t>exemption</w:t>
      </w:r>
      <w:r w:rsidR="002269EB">
        <w:rPr>
          <w:rFonts w:cs="Arial"/>
        </w:rPr>
        <w:t xml:space="preserve"> </w:t>
      </w:r>
      <w:r w:rsidR="002269EB">
        <w:rPr>
          <w:rFonts w:cs="Arial"/>
        </w:rPr>
        <w:lastRenderedPageBreak/>
        <w:t>determinations</w:t>
      </w:r>
      <w:r w:rsidRPr="00830E78">
        <w:rPr>
          <w:rFonts w:cs="Arial"/>
        </w:rPr>
        <w:t xml:space="preserve"> </w:t>
      </w:r>
      <w:r w:rsidR="0071410C">
        <w:rPr>
          <w:rFonts w:cs="Arial"/>
        </w:rPr>
        <w:t xml:space="preserve">for </w:t>
      </w:r>
      <w:r w:rsidRPr="00830E78">
        <w:rPr>
          <w:rFonts w:cs="Arial"/>
        </w:rPr>
        <w:t xml:space="preserve">visits to Australia by </w:t>
      </w:r>
      <w:r w:rsidR="00C90DD7">
        <w:rPr>
          <w:rFonts w:cs="Arial"/>
        </w:rPr>
        <w:t xml:space="preserve">the </w:t>
      </w:r>
      <w:r w:rsidRPr="00830E78">
        <w:rPr>
          <w:rFonts w:cs="Arial"/>
        </w:rPr>
        <w:t>Vice President of the United States of America.</w:t>
      </w:r>
      <w:r w:rsidRPr="00495A5D">
        <w:rPr>
          <w:rFonts w:cs="Arial"/>
          <w:vertAlign w:val="superscript"/>
        </w:rPr>
        <w:footnoteReference w:id="18"/>
      </w:r>
    </w:p>
    <w:p w14:paraId="7A7343EE" w14:textId="19C5973A" w:rsidR="00822019" w:rsidRPr="00160ED5" w:rsidRDefault="00822019" w:rsidP="00E27427">
      <w:pPr>
        <w:pStyle w:val="Heading2"/>
      </w:pPr>
      <w:bookmarkStart w:id="21" w:name="_Toc39570979"/>
      <w:r w:rsidRPr="00160ED5">
        <w:t>Consideration and consultation</w:t>
      </w:r>
      <w:bookmarkEnd w:id="21"/>
    </w:p>
    <w:p w14:paraId="62943B87" w14:textId="759380DB" w:rsidR="00C90DD7" w:rsidRDefault="00830E78" w:rsidP="00830E78">
      <w:pPr>
        <w:rPr>
          <w:rFonts w:cs="Arial"/>
        </w:rPr>
      </w:pPr>
      <w:r w:rsidRPr="00830E78">
        <w:rPr>
          <w:rFonts w:cs="Arial"/>
        </w:rPr>
        <w:t xml:space="preserve">In addition to internal processes </w:t>
      </w:r>
      <w:r w:rsidR="00EC34DB">
        <w:rPr>
          <w:rFonts w:cs="Arial"/>
        </w:rPr>
        <w:t>for</w:t>
      </w:r>
      <w:r w:rsidR="00EC34DB" w:rsidRPr="00830E78">
        <w:rPr>
          <w:rFonts w:cs="Arial"/>
        </w:rPr>
        <w:t xml:space="preserve"> </w:t>
      </w:r>
      <w:r w:rsidRPr="00830E78">
        <w:rPr>
          <w:rFonts w:cs="Arial"/>
        </w:rPr>
        <w:t xml:space="preserve">assessment, analysis and stakeholder engagement, the ACMA follows a number of best-practice and legislative steps when making an exemption determination. </w:t>
      </w:r>
    </w:p>
    <w:p w14:paraId="6BBC9E54" w14:textId="15FEBB90" w:rsidR="00C90DD7" w:rsidRPr="00830E78" w:rsidRDefault="00EC34DB" w:rsidP="00C90DD7">
      <w:pPr>
        <w:rPr>
          <w:rFonts w:cs="Arial"/>
        </w:rPr>
      </w:pPr>
      <w:r>
        <w:rPr>
          <w:rFonts w:cs="Arial"/>
        </w:rPr>
        <w:t>T</w:t>
      </w:r>
      <w:r w:rsidR="00C90DD7" w:rsidRPr="00830E78">
        <w:rPr>
          <w:rFonts w:cs="Arial"/>
        </w:rPr>
        <w:t xml:space="preserve">he ACMA </w:t>
      </w:r>
      <w:r>
        <w:rPr>
          <w:rFonts w:cs="Arial"/>
        </w:rPr>
        <w:t>follows</w:t>
      </w:r>
      <w:r w:rsidR="00C90DD7" w:rsidRPr="00830E78">
        <w:rPr>
          <w:rFonts w:cs="Arial"/>
        </w:rPr>
        <w:t xml:space="preserve"> the </w:t>
      </w:r>
      <w:hyperlink r:id="rId40" w:history="1">
        <w:r w:rsidR="00C90DD7" w:rsidRPr="00C90DD7">
          <w:rPr>
            <w:rStyle w:val="Hyperlink"/>
            <w:rFonts w:cs="Arial"/>
          </w:rPr>
          <w:t>Australian Government Guide to Regulation</w:t>
        </w:r>
      </w:hyperlink>
      <w:r w:rsidR="00C90DD7" w:rsidRPr="00830E78">
        <w:rPr>
          <w:rFonts w:cs="Arial"/>
        </w:rPr>
        <w:t>, which provides high-level principles for policy-makers and outlines the requirements and process for engaging with the Office of Best Practice Regulation on an assessment of the regulatory impact of a proposed determination.</w:t>
      </w:r>
    </w:p>
    <w:p w14:paraId="4B287727" w14:textId="7EE07432" w:rsidR="00830E78" w:rsidRPr="00830E78" w:rsidRDefault="00EC34DB" w:rsidP="00830E78">
      <w:pPr>
        <w:rPr>
          <w:rFonts w:cs="Arial"/>
        </w:rPr>
      </w:pPr>
      <w:r>
        <w:rPr>
          <w:rFonts w:cs="Arial"/>
        </w:rPr>
        <w:t>Under s</w:t>
      </w:r>
      <w:r w:rsidR="00830E78" w:rsidRPr="00830E78">
        <w:rPr>
          <w:rFonts w:cs="Arial"/>
        </w:rPr>
        <w:t xml:space="preserve">ubsection 17(1) </w:t>
      </w:r>
      <w:r w:rsidR="00C90DD7">
        <w:rPr>
          <w:rFonts w:cs="Arial"/>
        </w:rPr>
        <w:t xml:space="preserve">of the </w:t>
      </w:r>
      <w:r w:rsidR="00C90DD7" w:rsidRPr="009A673F">
        <w:rPr>
          <w:rFonts w:cs="Arial"/>
        </w:rPr>
        <w:t>Legislation Act</w:t>
      </w:r>
      <w:r>
        <w:rPr>
          <w:rFonts w:cs="Arial"/>
        </w:rPr>
        <w:t>,</w:t>
      </w:r>
      <w:r w:rsidR="00C90DD7">
        <w:rPr>
          <w:rFonts w:cs="Arial"/>
          <w:i/>
          <w:iCs/>
        </w:rPr>
        <w:t xml:space="preserve"> </w:t>
      </w:r>
      <w:r w:rsidR="00830E78" w:rsidRPr="00830E78">
        <w:rPr>
          <w:rFonts w:cs="Arial"/>
        </w:rPr>
        <w:t>the rule</w:t>
      </w:r>
      <w:r w:rsidR="00830E78" w:rsidRPr="00830E78">
        <w:rPr>
          <w:rFonts w:ascii="Cambria Math" w:hAnsi="Cambria Math" w:cs="Cambria Math"/>
        </w:rPr>
        <w:t>‑</w:t>
      </w:r>
      <w:r w:rsidR="00830E78" w:rsidRPr="00830E78">
        <w:rPr>
          <w:rFonts w:cs="Arial"/>
        </w:rPr>
        <w:t xml:space="preserve">maker </w:t>
      </w:r>
      <w:r w:rsidR="00C90DD7">
        <w:rPr>
          <w:rFonts w:cs="Arial"/>
        </w:rPr>
        <w:t>(</w:t>
      </w:r>
      <w:r>
        <w:rPr>
          <w:rFonts w:cs="Arial"/>
        </w:rPr>
        <w:t xml:space="preserve">in this case, </w:t>
      </w:r>
      <w:r w:rsidR="00C90DD7">
        <w:rPr>
          <w:rFonts w:cs="Arial"/>
        </w:rPr>
        <w:t xml:space="preserve">the ACMA) </w:t>
      </w:r>
      <w:r w:rsidR="00830E78" w:rsidRPr="00830E78">
        <w:rPr>
          <w:rFonts w:cs="Arial"/>
        </w:rPr>
        <w:t xml:space="preserve">must be satisfied that </w:t>
      </w:r>
      <w:r w:rsidR="006A3B29">
        <w:rPr>
          <w:rFonts w:cs="Arial"/>
        </w:rPr>
        <w:t xml:space="preserve">appropriate consultation </w:t>
      </w:r>
      <w:r w:rsidR="00830E78" w:rsidRPr="00830E78">
        <w:rPr>
          <w:rFonts w:cs="Arial"/>
        </w:rPr>
        <w:t xml:space="preserve">has been undertaken </w:t>
      </w:r>
      <w:r w:rsidR="006A3B29">
        <w:rPr>
          <w:rFonts w:cs="Arial"/>
        </w:rPr>
        <w:t xml:space="preserve">before </w:t>
      </w:r>
      <w:r w:rsidR="00DC470A">
        <w:rPr>
          <w:rFonts w:cs="Arial"/>
        </w:rPr>
        <w:t>a legislative instrument is made</w:t>
      </w:r>
      <w:r w:rsidR="00830E78" w:rsidRPr="00830E78">
        <w:rPr>
          <w:rFonts w:cs="Arial"/>
        </w:rPr>
        <w:t xml:space="preserve">. In </w:t>
      </w:r>
      <w:r w:rsidR="007F25DB">
        <w:rPr>
          <w:rFonts w:cs="Arial"/>
        </w:rPr>
        <w:t xml:space="preserve">complying with </w:t>
      </w:r>
      <w:r w:rsidR="00830E78" w:rsidRPr="00830E78">
        <w:rPr>
          <w:rFonts w:cs="Arial"/>
        </w:rPr>
        <w:t>this provision and exercising best practice, the ACMA will typically publicly consult on a</w:t>
      </w:r>
      <w:r w:rsidR="004C3047">
        <w:rPr>
          <w:rFonts w:cs="Arial"/>
        </w:rPr>
        <w:t xml:space="preserve"> proposed</w:t>
      </w:r>
      <w:r w:rsidR="00830E78" w:rsidRPr="00830E78">
        <w:rPr>
          <w:rFonts w:cs="Arial"/>
        </w:rPr>
        <w:t xml:space="preserve"> exemption </w:t>
      </w:r>
      <w:r w:rsidR="004C3047">
        <w:rPr>
          <w:rFonts w:cs="Arial"/>
        </w:rPr>
        <w:t xml:space="preserve">determination </w:t>
      </w:r>
      <w:r>
        <w:rPr>
          <w:rFonts w:cs="Arial"/>
        </w:rPr>
        <w:t xml:space="preserve">for </w:t>
      </w:r>
      <w:r w:rsidR="00830E78" w:rsidRPr="00830E78">
        <w:rPr>
          <w:rFonts w:cs="Arial"/>
        </w:rPr>
        <w:t>between one and two months. For some exemption</w:t>
      </w:r>
      <w:r w:rsidR="00F14EF0">
        <w:rPr>
          <w:rFonts w:cs="Arial"/>
        </w:rPr>
        <w:t xml:space="preserve"> determinations</w:t>
      </w:r>
      <w:r w:rsidR="00830E78" w:rsidRPr="00830E78">
        <w:rPr>
          <w:rFonts w:cs="Arial"/>
        </w:rPr>
        <w:t xml:space="preserve">, a targeted consultation with key stakeholders over a shorter period </w:t>
      </w:r>
      <w:r>
        <w:rPr>
          <w:rFonts w:cs="Arial"/>
        </w:rPr>
        <w:t>may be</w:t>
      </w:r>
      <w:r w:rsidRPr="00830E78">
        <w:rPr>
          <w:rFonts w:cs="Arial"/>
        </w:rPr>
        <w:t xml:space="preserve"> </w:t>
      </w:r>
      <w:r w:rsidR="00830E78" w:rsidRPr="00830E78">
        <w:rPr>
          <w:rFonts w:cs="Arial"/>
        </w:rPr>
        <w:t>appropriate (for example</w:t>
      </w:r>
      <w:r>
        <w:rPr>
          <w:rFonts w:cs="Arial"/>
        </w:rPr>
        <w:t>,</w:t>
      </w:r>
      <w:r w:rsidR="00830E78" w:rsidRPr="00830E78">
        <w:rPr>
          <w:rFonts w:cs="Arial"/>
        </w:rPr>
        <w:t xml:space="preserve"> where timeframes do not </w:t>
      </w:r>
      <w:r>
        <w:rPr>
          <w:rFonts w:cs="Arial"/>
        </w:rPr>
        <w:t>allow</w:t>
      </w:r>
      <w:r w:rsidR="00830E78" w:rsidRPr="00830E78">
        <w:rPr>
          <w:rFonts w:cs="Arial"/>
        </w:rPr>
        <w:t xml:space="preserve"> a longer consultation, or where there are diplomatic and security sensitivities).</w:t>
      </w:r>
    </w:p>
    <w:p w14:paraId="65317CE2" w14:textId="77777777" w:rsidR="00830E78" w:rsidRPr="00830E78" w:rsidRDefault="00830E78" w:rsidP="00EC34DB">
      <w:pPr>
        <w:pStyle w:val="Heading2"/>
      </w:pPr>
      <w:bookmarkStart w:id="22" w:name="_Toc39570980"/>
      <w:r w:rsidRPr="00EC34DB">
        <w:t>Issues</w:t>
      </w:r>
      <w:bookmarkEnd w:id="22"/>
    </w:p>
    <w:p w14:paraId="2C476BAE" w14:textId="77777777" w:rsidR="00830E78" w:rsidRPr="00830E78" w:rsidRDefault="00830E78" w:rsidP="005D5272">
      <w:pPr>
        <w:pStyle w:val="Heading3"/>
      </w:pPr>
      <w:bookmarkStart w:id="23" w:name="_Toc39570981"/>
      <w:r w:rsidRPr="00830E78">
        <w:t>Transparency, process and policy considerations</w:t>
      </w:r>
      <w:bookmarkEnd w:id="23"/>
    </w:p>
    <w:p w14:paraId="023888BF" w14:textId="60B74BAE" w:rsidR="007624B1" w:rsidRDefault="00830E78" w:rsidP="00830E78">
      <w:pPr>
        <w:rPr>
          <w:rFonts w:cs="Arial"/>
        </w:rPr>
      </w:pPr>
      <w:r w:rsidRPr="00830E78">
        <w:rPr>
          <w:rFonts w:cs="Arial"/>
        </w:rPr>
        <w:t xml:space="preserve">ACMA consultation papers </w:t>
      </w:r>
      <w:r w:rsidR="00BD26F2">
        <w:rPr>
          <w:rFonts w:cs="Arial"/>
        </w:rPr>
        <w:t xml:space="preserve">usually include </w:t>
      </w:r>
      <w:r w:rsidRPr="00830E78">
        <w:rPr>
          <w:rFonts w:cs="Arial"/>
        </w:rPr>
        <w:t xml:space="preserve">the </w:t>
      </w:r>
      <w:r w:rsidR="003F06D6">
        <w:rPr>
          <w:rFonts w:cs="Arial"/>
        </w:rPr>
        <w:t>reasons for</w:t>
      </w:r>
      <w:r w:rsidRPr="00830E78">
        <w:rPr>
          <w:rFonts w:cs="Arial"/>
        </w:rPr>
        <w:t xml:space="preserve"> </w:t>
      </w:r>
      <w:r w:rsidR="006C3E3C">
        <w:rPr>
          <w:rFonts w:cs="Arial"/>
        </w:rPr>
        <w:t>making</w:t>
      </w:r>
      <w:r w:rsidR="006C3E3C" w:rsidRPr="00830E78">
        <w:rPr>
          <w:rFonts w:cs="Arial"/>
        </w:rPr>
        <w:t xml:space="preserve"> </w:t>
      </w:r>
      <w:r w:rsidRPr="00830E78">
        <w:rPr>
          <w:rFonts w:cs="Arial"/>
        </w:rPr>
        <w:t xml:space="preserve">an </w:t>
      </w:r>
      <w:r w:rsidR="006C3E3C">
        <w:rPr>
          <w:rFonts w:cs="Arial"/>
        </w:rPr>
        <w:t>exemption determination</w:t>
      </w:r>
      <w:r w:rsidR="00BD26F2">
        <w:rPr>
          <w:rFonts w:cs="Arial"/>
        </w:rPr>
        <w:t>.</w:t>
      </w:r>
      <w:r w:rsidRPr="00830E78">
        <w:rPr>
          <w:rFonts w:cs="Arial"/>
        </w:rPr>
        <w:t xml:space="preserve"> </w:t>
      </w:r>
      <w:r w:rsidR="00BD26F2">
        <w:rPr>
          <w:rFonts w:cs="Arial"/>
        </w:rPr>
        <w:t>T</w:t>
      </w:r>
      <w:r w:rsidRPr="00830E78">
        <w:rPr>
          <w:rFonts w:cs="Arial"/>
        </w:rPr>
        <w:t>he background and operation of an exemption determination</w:t>
      </w:r>
      <w:r w:rsidR="00BD26F2">
        <w:rPr>
          <w:rFonts w:cs="Arial"/>
        </w:rPr>
        <w:t xml:space="preserve"> is also explained</w:t>
      </w:r>
      <w:r w:rsidRPr="00830E78">
        <w:rPr>
          <w:rFonts w:cs="Arial"/>
        </w:rPr>
        <w:t xml:space="preserve"> </w:t>
      </w:r>
      <w:r w:rsidR="006C3E3C">
        <w:rPr>
          <w:rFonts w:cs="Arial"/>
        </w:rPr>
        <w:t xml:space="preserve">in </w:t>
      </w:r>
      <w:r w:rsidRPr="00830E78">
        <w:rPr>
          <w:rFonts w:cs="Arial"/>
        </w:rPr>
        <w:t xml:space="preserve">an accompanying explanatory statement, which is available on the Federal Register of Legislation. However, </w:t>
      </w:r>
      <w:r w:rsidR="007624B1">
        <w:rPr>
          <w:rFonts w:cs="Arial"/>
        </w:rPr>
        <w:t xml:space="preserve">some </w:t>
      </w:r>
      <w:r w:rsidRPr="00830E78">
        <w:rPr>
          <w:rFonts w:cs="Arial"/>
        </w:rPr>
        <w:t>stakeholders have expressed that the ACMA</w:t>
      </w:r>
      <w:r w:rsidR="00BD26F2">
        <w:rPr>
          <w:rFonts w:cs="Arial"/>
        </w:rPr>
        <w:t xml:space="preserve"> could be clearer and more transparent when</w:t>
      </w:r>
      <w:r w:rsidRPr="00830E78">
        <w:rPr>
          <w:rFonts w:cs="Arial"/>
        </w:rPr>
        <w:t xml:space="preserve"> assessing applications for exemption determinations.</w:t>
      </w:r>
      <w:r w:rsidRPr="00495A5D">
        <w:rPr>
          <w:rFonts w:cs="Arial"/>
          <w:vertAlign w:val="superscript"/>
        </w:rPr>
        <w:footnoteReference w:id="19"/>
      </w:r>
    </w:p>
    <w:p w14:paraId="4AFAAD1B" w14:textId="14894E24" w:rsidR="00830E78" w:rsidRDefault="00C90DD7" w:rsidP="00830E78">
      <w:pPr>
        <w:rPr>
          <w:rFonts w:cs="Arial"/>
        </w:rPr>
      </w:pPr>
      <w:r>
        <w:rPr>
          <w:rFonts w:cs="Arial"/>
        </w:rPr>
        <w:t xml:space="preserve">Stakeholders </w:t>
      </w:r>
      <w:r w:rsidR="00830E78" w:rsidRPr="00830E78">
        <w:rPr>
          <w:rFonts w:cs="Arial"/>
        </w:rPr>
        <w:t xml:space="preserve">have also indicated that they are unsure of how to approach or engage with the ACMA on </w:t>
      </w:r>
      <w:r>
        <w:rPr>
          <w:rFonts w:cs="Arial"/>
        </w:rPr>
        <w:t xml:space="preserve">proposed </w:t>
      </w:r>
      <w:r w:rsidR="00830E78" w:rsidRPr="00830E78">
        <w:rPr>
          <w:rFonts w:cs="Arial"/>
        </w:rPr>
        <w:t>exemption</w:t>
      </w:r>
      <w:r w:rsidR="000A3CCF">
        <w:rPr>
          <w:rFonts w:cs="Arial"/>
        </w:rPr>
        <w:t xml:space="preserve"> determination</w:t>
      </w:r>
      <w:r w:rsidR="00830E78" w:rsidRPr="00830E78">
        <w:rPr>
          <w:rFonts w:cs="Arial"/>
        </w:rPr>
        <w:t xml:space="preserve">s, and have indicated that the timeframes </w:t>
      </w:r>
      <w:r w:rsidR="00BD26F2">
        <w:rPr>
          <w:rFonts w:cs="Arial"/>
        </w:rPr>
        <w:t>for</w:t>
      </w:r>
      <w:r w:rsidR="00830E78" w:rsidRPr="00830E78">
        <w:rPr>
          <w:rFonts w:cs="Arial"/>
        </w:rPr>
        <w:t xml:space="preserve"> the </w:t>
      </w:r>
      <w:r w:rsidR="00BD26F2" w:rsidRPr="00830E78">
        <w:rPr>
          <w:rFonts w:cs="Arial"/>
        </w:rPr>
        <w:t>ACMA</w:t>
      </w:r>
      <w:r w:rsidR="00BD26F2">
        <w:rPr>
          <w:rFonts w:cs="Arial"/>
        </w:rPr>
        <w:t xml:space="preserve"> to</w:t>
      </w:r>
      <w:r w:rsidR="00BD26F2" w:rsidRPr="00830E78">
        <w:rPr>
          <w:rFonts w:cs="Arial"/>
        </w:rPr>
        <w:t xml:space="preserve"> </w:t>
      </w:r>
      <w:r w:rsidR="00830E78" w:rsidRPr="00830E78">
        <w:rPr>
          <w:rFonts w:cs="Arial"/>
        </w:rPr>
        <w:t>consider and determi</w:t>
      </w:r>
      <w:r w:rsidR="00BD26F2">
        <w:rPr>
          <w:rFonts w:cs="Arial"/>
        </w:rPr>
        <w:t>ne</w:t>
      </w:r>
      <w:r w:rsidR="00830E78" w:rsidRPr="00830E78">
        <w:rPr>
          <w:rFonts w:cs="Arial"/>
        </w:rPr>
        <w:t xml:space="preserve"> an exemption </w:t>
      </w:r>
      <w:r w:rsidR="003F06D6">
        <w:rPr>
          <w:rFonts w:cs="Arial"/>
        </w:rPr>
        <w:t>do not meet</w:t>
      </w:r>
      <w:r w:rsidR="00830E78" w:rsidRPr="00830E78">
        <w:rPr>
          <w:rFonts w:cs="Arial"/>
        </w:rPr>
        <w:t xml:space="preserve"> their operational needs and stakeholder expectations.</w:t>
      </w:r>
    </w:p>
    <w:p w14:paraId="3FB3DD02" w14:textId="47826BC5" w:rsidR="005262A0" w:rsidRDefault="00EA702F" w:rsidP="00830E78">
      <w:pPr>
        <w:rPr>
          <w:rFonts w:cs="Arial"/>
        </w:rPr>
      </w:pPr>
      <w:r>
        <w:rPr>
          <w:rFonts w:cs="Arial"/>
        </w:rPr>
        <w:t>E</w:t>
      </w:r>
      <w:r w:rsidR="005262A0" w:rsidRPr="00830E78">
        <w:rPr>
          <w:rFonts w:cs="Arial"/>
        </w:rPr>
        <w:t xml:space="preserve">xemption determinations are often one aspect of a broader policy rollout. </w:t>
      </w:r>
      <w:r w:rsidR="00883F9B">
        <w:rPr>
          <w:rFonts w:cs="Arial"/>
        </w:rPr>
        <w:t xml:space="preserve">In some cases, </w:t>
      </w:r>
      <w:r w:rsidR="002F63FE">
        <w:rPr>
          <w:rFonts w:cs="Arial"/>
        </w:rPr>
        <w:t xml:space="preserve">stakeholders that may be </w:t>
      </w:r>
      <w:r w:rsidR="002F63FE" w:rsidRPr="007F160B">
        <w:rPr>
          <w:rFonts w:cs="Arial"/>
        </w:rPr>
        <w:t>affected by the activities facilitated by exemption determinations may express a preference for additional information about these activities and the broader policy</w:t>
      </w:r>
      <w:r w:rsidR="00883F9B" w:rsidRPr="007F160B">
        <w:rPr>
          <w:rFonts w:cs="Arial"/>
        </w:rPr>
        <w:t>. However</w:t>
      </w:r>
      <w:r w:rsidR="002F63FE" w:rsidRPr="007F160B">
        <w:rPr>
          <w:rFonts w:cs="Arial"/>
        </w:rPr>
        <w:t xml:space="preserve">, it may not always be </w:t>
      </w:r>
      <w:r w:rsidR="005262A0" w:rsidRPr="007F160B">
        <w:rPr>
          <w:rFonts w:cs="Arial"/>
        </w:rPr>
        <w:t>appropriate</w:t>
      </w:r>
      <w:r w:rsidR="005262A0" w:rsidRPr="00830E78">
        <w:rPr>
          <w:rFonts w:cs="Arial"/>
        </w:rPr>
        <w:t xml:space="preserve"> </w:t>
      </w:r>
      <w:r w:rsidR="002F63FE">
        <w:rPr>
          <w:rFonts w:cs="Arial"/>
        </w:rPr>
        <w:t xml:space="preserve">for the ACMA to </w:t>
      </w:r>
      <w:r w:rsidR="005262A0" w:rsidRPr="00830E78">
        <w:rPr>
          <w:rFonts w:cs="Arial"/>
        </w:rPr>
        <w:t>comment</w:t>
      </w:r>
      <w:r w:rsidR="00822019">
        <w:rPr>
          <w:rFonts w:cs="Arial"/>
        </w:rPr>
        <w:t xml:space="preserve"> </w:t>
      </w:r>
      <w:r w:rsidR="005262A0" w:rsidRPr="00830E78">
        <w:rPr>
          <w:rFonts w:cs="Arial"/>
        </w:rPr>
        <w:t>on policy aspects outside its regulatory remit</w:t>
      </w:r>
      <w:r w:rsidR="00BB7517">
        <w:rPr>
          <w:rFonts w:cs="Arial"/>
        </w:rPr>
        <w:t xml:space="preserve"> and, in these circumstances,</w:t>
      </w:r>
      <w:r w:rsidR="002A33C1" w:rsidRPr="002A33C1">
        <w:rPr>
          <w:rFonts w:cs="Arial"/>
        </w:rPr>
        <w:t xml:space="preserve"> </w:t>
      </w:r>
      <w:r w:rsidR="00BB7517">
        <w:rPr>
          <w:rFonts w:cs="Arial"/>
        </w:rPr>
        <w:t>t</w:t>
      </w:r>
      <w:r w:rsidR="002A33C1" w:rsidRPr="00830E78">
        <w:rPr>
          <w:rFonts w:cs="Arial"/>
        </w:rPr>
        <w:t xml:space="preserve">he ACMA </w:t>
      </w:r>
      <w:r w:rsidR="002A33C1">
        <w:rPr>
          <w:rFonts w:cs="Arial"/>
        </w:rPr>
        <w:t>will consider the appropriate details to provide</w:t>
      </w:r>
      <w:r w:rsidR="002A33C1" w:rsidRPr="00830E78">
        <w:rPr>
          <w:rFonts w:cs="Arial"/>
        </w:rPr>
        <w:t>.</w:t>
      </w:r>
    </w:p>
    <w:p w14:paraId="434A72CA" w14:textId="501BD809" w:rsidR="00C90DD7" w:rsidRPr="00830E78" w:rsidRDefault="00C90DD7" w:rsidP="00830E78">
      <w:pPr>
        <w:rPr>
          <w:rFonts w:cs="Arial"/>
        </w:rPr>
      </w:pPr>
      <w:r w:rsidRPr="00830E78">
        <w:rPr>
          <w:rFonts w:cs="Arial"/>
        </w:rPr>
        <w:t xml:space="preserve">The ACMA also </w:t>
      </w:r>
      <w:r w:rsidR="00972A9B">
        <w:rPr>
          <w:rFonts w:cs="Arial"/>
        </w:rPr>
        <w:t>follows</w:t>
      </w:r>
      <w:r w:rsidRPr="00830E78">
        <w:rPr>
          <w:rFonts w:cs="Arial"/>
        </w:rPr>
        <w:t xml:space="preserve"> legal drafting standards and the requirements of the </w:t>
      </w:r>
      <w:hyperlink r:id="rId41" w:history="1">
        <w:r w:rsidR="008A7192">
          <w:rPr>
            <w:rStyle w:val="Hyperlink"/>
            <w:rFonts w:cs="Arial"/>
          </w:rPr>
          <w:t>Senate Standing Committee for the Scrutiny of Delegated Legislation</w:t>
        </w:r>
      </w:hyperlink>
      <w:r w:rsidR="00102AD1">
        <w:rPr>
          <w:rFonts w:cs="Arial"/>
        </w:rPr>
        <w:t xml:space="preserve"> when making exemption determinations, which are disallowable legislative instruments</w:t>
      </w:r>
      <w:r w:rsidR="00B721C9">
        <w:rPr>
          <w:rFonts w:cs="Arial"/>
        </w:rPr>
        <w:t xml:space="preserve">. </w:t>
      </w:r>
      <w:r w:rsidRPr="00830E78">
        <w:rPr>
          <w:rFonts w:cs="Arial"/>
        </w:rPr>
        <w:t xml:space="preserve"> </w:t>
      </w:r>
    </w:p>
    <w:p w14:paraId="6E372D77" w14:textId="3E072AE5" w:rsidR="00830E78" w:rsidRPr="00830E78" w:rsidRDefault="007D20C7" w:rsidP="00C73397">
      <w:pPr>
        <w:pStyle w:val="Heading3"/>
      </w:pPr>
      <w:bookmarkStart w:id="24" w:name="_Toc39570982"/>
      <w:r>
        <w:lastRenderedPageBreak/>
        <w:t xml:space="preserve">Scope of </w:t>
      </w:r>
      <w:r w:rsidR="00830E78" w:rsidRPr="00830E78">
        <w:t xml:space="preserve">exemption </w:t>
      </w:r>
      <w:r w:rsidR="00B9152A">
        <w:t>determinations</w:t>
      </w:r>
      <w:bookmarkEnd w:id="24"/>
      <w:r w:rsidR="00B9152A">
        <w:t xml:space="preserve"> </w:t>
      </w:r>
    </w:p>
    <w:p w14:paraId="71C77258" w14:textId="19F04B72" w:rsidR="007D20C7" w:rsidRDefault="007D20C7" w:rsidP="007D20C7">
      <w:pPr>
        <w:rPr>
          <w:rFonts w:cs="Arial"/>
        </w:rPr>
      </w:pPr>
      <w:r w:rsidRPr="00830E78">
        <w:rPr>
          <w:rFonts w:cs="Arial"/>
        </w:rPr>
        <w:t>The appropriate scope of an exemption—that is, the acts and omissions that will be exempt, and the specific circumstances that must exist for the exemption to apply—</w:t>
      </w:r>
      <w:r>
        <w:rPr>
          <w:rFonts w:cs="Arial"/>
        </w:rPr>
        <w:t xml:space="preserve">is determined on a case-by-case basis. In broad terms, however, there is typically a need for the ACMA and relevant stakeholders to balance the requirements for flexibility and robustness over time, against the principle that the legal relief granted by exemption determinations should be carefully calibrated and fit for the intended purpose. </w:t>
      </w:r>
    </w:p>
    <w:p w14:paraId="521FC6CB" w14:textId="29B5ADAD" w:rsidR="00B9152A" w:rsidRDefault="00B9152A" w:rsidP="00C73397">
      <w:pPr>
        <w:pStyle w:val="Heading3"/>
      </w:pPr>
      <w:bookmarkStart w:id="25" w:name="_Toc39570983"/>
      <w:r>
        <w:t xml:space="preserve">Scope of </w:t>
      </w:r>
      <w:r w:rsidRPr="00830E78">
        <w:t xml:space="preserve">exemption </w:t>
      </w:r>
      <w:r>
        <w:t>regime</w:t>
      </w:r>
      <w:bookmarkEnd w:id="25"/>
    </w:p>
    <w:p w14:paraId="4C032C78" w14:textId="5929E2A2" w:rsidR="000933AD" w:rsidRPr="00830E78" w:rsidRDefault="000933AD" w:rsidP="000933AD">
      <w:pPr>
        <w:rPr>
          <w:rFonts w:cs="Arial"/>
        </w:rPr>
      </w:pPr>
      <w:r>
        <w:rPr>
          <w:rFonts w:cs="Arial"/>
        </w:rPr>
        <w:t>S</w:t>
      </w:r>
      <w:r w:rsidRPr="00830E78">
        <w:rPr>
          <w:rFonts w:cs="Arial"/>
        </w:rPr>
        <w:t xml:space="preserve">takeholders are approaching </w:t>
      </w:r>
      <w:r>
        <w:rPr>
          <w:rFonts w:cs="Arial"/>
        </w:rPr>
        <w:t xml:space="preserve">us </w:t>
      </w:r>
      <w:r w:rsidR="00972A9B">
        <w:rPr>
          <w:rFonts w:cs="Arial"/>
        </w:rPr>
        <w:t>about</w:t>
      </w:r>
      <w:r>
        <w:rPr>
          <w:rFonts w:cs="Arial"/>
        </w:rPr>
        <w:t xml:space="preserve"> exemption determinations under </w:t>
      </w:r>
      <w:r w:rsidRPr="00830E78">
        <w:rPr>
          <w:rFonts w:cs="Arial"/>
        </w:rPr>
        <w:t>section 27 more frequently, and in relation to a wider range of activities.</w:t>
      </w:r>
    </w:p>
    <w:p w14:paraId="3296F3EE" w14:textId="62E67219" w:rsidR="0080500F" w:rsidRDefault="002425EE" w:rsidP="001D0123">
      <w:pPr>
        <w:rPr>
          <w:rFonts w:cs="Arial"/>
        </w:rPr>
      </w:pPr>
      <w:r>
        <w:rPr>
          <w:rFonts w:cs="Arial"/>
        </w:rPr>
        <w:t xml:space="preserve">Although section 27 of the Act does not specify the basis on which the ACMA may determine an exemption, in practice, the </w:t>
      </w:r>
      <w:r w:rsidR="00BF52F4">
        <w:rPr>
          <w:rFonts w:cs="Arial"/>
        </w:rPr>
        <w:t xml:space="preserve">classes of </w:t>
      </w:r>
      <w:r w:rsidR="00B508EC">
        <w:rPr>
          <w:rFonts w:cs="Arial"/>
        </w:rPr>
        <w:t>people</w:t>
      </w:r>
      <w:r>
        <w:rPr>
          <w:rFonts w:cs="Arial"/>
        </w:rPr>
        <w:t xml:space="preserve"> in whose favour the ACMA may determine exemptions generally </w:t>
      </w:r>
      <w:r w:rsidR="008C2402">
        <w:rPr>
          <w:rFonts w:cs="Arial"/>
        </w:rPr>
        <w:t xml:space="preserve">limit </w:t>
      </w:r>
      <w:r w:rsidR="00BF3DEA">
        <w:rPr>
          <w:rFonts w:cs="Arial"/>
        </w:rPr>
        <w:t>those exemptions to facilitating safety, securit</w:t>
      </w:r>
      <w:r w:rsidR="00764402">
        <w:rPr>
          <w:rFonts w:cs="Arial"/>
        </w:rPr>
        <w:t>y, law enforcement and defence outcomes</w:t>
      </w:r>
      <w:r w:rsidR="003D6E97">
        <w:rPr>
          <w:rFonts w:cs="Arial"/>
        </w:rPr>
        <w:t xml:space="preserve"> for relevant agencies.</w:t>
      </w:r>
    </w:p>
    <w:p w14:paraId="4F46E0B2" w14:textId="219A52D5" w:rsidR="002425EE" w:rsidRDefault="002C5CD4" w:rsidP="001D0123">
      <w:pPr>
        <w:rPr>
          <w:rFonts w:cs="Arial"/>
        </w:rPr>
      </w:pPr>
      <w:r>
        <w:rPr>
          <w:rFonts w:cs="Arial"/>
        </w:rPr>
        <w:t xml:space="preserve">The </w:t>
      </w:r>
      <w:r w:rsidR="002425EE" w:rsidRPr="00830E78">
        <w:rPr>
          <w:rFonts w:cs="Arial"/>
        </w:rPr>
        <w:t xml:space="preserve">ACMA </w:t>
      </w:r>
      <w:r w:rsidR="002425EE">
        <w:rPr>
          <w:rFonts w:cs="Arial"/>
        </w:rPr>
        <w:t xml:space="preserve">is often </w:t>
      </w:r>
      <w:r w:rsidR="002425EE" w:rsidRPr="00830E78">
        <w:rPr>
          <w:rFonts w:cs="Arial"/>
        </w:rPr>
        <w:t xml:space="preserve">approached </w:t>
      </w:r>
      <w:r w:rsidR="00972A9B">
        <w:rPr>
          <w:rFonts w:cs="Arial"/>
        </w:rPr>
        <w:t>about</w:t>
      </w:r>
      <w:r w:rsidR="002425EE" w:rsidRPr="00830E78">
        <w:rPr>
          <w:rFonts w:cs="Arial"/>
        </w:rPr>
        <w:t xml:space="preserve"> developing, testing and manufacturing products </w:t>
      </w:r>
      <w:r w:rsidR="002425EE">
        <w:rPr>
          <w:rFonts w:cs="Arial"/>
        </w:rPr>
        <w:t>that may be in breach of the Act</w:t>
      </w:r>
      <w:r w:rsidR="002425EE" w:rsidRPr="00830E78">
        <w:rPr>
          <w:rFonts w:cs="Arial"/>
        </w:rPr>
        <w:t>.</w:t>
      </w:r>
      <w:r w:rsidR="002425EE">
        <w:rPr>
          <w:rFonts w:cs="Arial"/>
        </w:rPr>
        <w:t xml:space="preserve"> These products may be intended for strategic or scientific testing, to be used in some of the applications mentioned above, for </w:t>
      </w:r>
      <w:r w:rsidR="004C78A4">
        <w:rPr>
          <w:rFonts w:cs="Arial"/>
        </w:rPr>
        <w:t xml:space="preserve">supply in </w:t>
      </w:r>
      <w:r w:rsidR="002425EE">
        <w:rPr>
          <w:rFonts w:cs="Arial"/>
        </w:rPr>
        <w:t>overseas markets, a</w:t>
      </w:r>
      <w:r w:rsidR="000D1CCA">
        <w:rPr>
          <w:rFonts w:cs="Arial"/>
        </w:rPr>
        <w:t>nd</w:t>
      </w:r>
      <w:r w:rsidR="002425EE">
        <w:rPr>
          <w:rFonts w:cs="Arial"/>
        </w:rPr>
        <w:t xml:space="preserve"> have a low risk profile. </w:t>
      </w:r>
      <w:r w:rsidR="000C0C5B">
        <w:rPr>
          <w:rFonts w:cs="Arial"/>
        </w:rPr>
        <w:t xml:space="preserve">While some of these </w:t>
      </w:r>
      <w:r w:rsidR="002425EE">
        <w:rPr>
          <w:rFonts w:cs="Arial"/>
        </w:rPr>
        <w:t xml:space="preserve">activities could </w:t>
      </w:r>
      <w:r w:rsidR="002425EE" w:rsidRPr="00830E78">
        <w:rPr>
          <w:rFonts w:cs="Arial"/>
        </w:rPr>
        <w:t>have commercial and consumer benefits</w:t>
      </w:r>
      <w:r w:rsidR="000C0C5B">
        <w:rPr>
          <w:rFonts w:cs="Arial"/>
        </w:rPr>
        <w:t xml:space="preserve">, these outcomes would be </w:t>
      </w:r>
      <w:r w:rsidR="00972A9B">
        <w:rPr>
          <w:rFonts w:cs="Arial"/>
        </w:rPr>
        <w:t xml:space="preserve">better </w:t>
      </w:r>
      <w:r w:rsidR="000C0C5B">
        <w:rPr>
          <w:rFonts w:cs="Arial"/>
        </w:rPr>
        <w:t>facilitated by the licensing system, rather than by exemptions determined under section 27</w:t>
      </w:r>
      <w:r w:rsidR="002425EE">
        <w:rPr>
          <w:rFonts w:cs="Arial"/>
        </w:rPr>
        <w:t>.</w:t>
      </w:r>
      <w:r w:rsidR="004C78A4">
        <w:rPr>
          <w:rFonts w:cs="Arial"/>
        </w:rPr>
        <w:t xml:space="preserve"> However, </w:t>
      </w:r>
      <w:r w:rsidR="008B20DD">
        <w:rPr>
          <w:rFonts w:cs="Arial"/>
        </w:rPr>
        <w:t xml:space="preserve">if the ACMA makes a prohibition declaration </w:t>
      </w:r>
      <w:r w:rsidR="00972A9B">
        <w:rPr>
          <w:rFonts w:cs="Arial"/>
        </w:rPr>
        <w:t>for</w:t>
      </w:r>
      <w:r w:rsidR="008B20DD">
        <w:rPr>
          <w:rFonts w:cs="Arial"/>
        </w:rPr>
        <w:t xml:space="preserve"> a specified device, a </w:t>
      </w:r>
      <w:r w:rsidR="004C78A4">
        <w:rPr>
          <w:rFonts w:cs="Arial"/>
        </w:rPr>
        <w:t xml:space="preserve">licence </w:t>
      </w:r>
      <w:r w:rsidR="008B20DD">
        <w:rPr>
          <w:rFonts w:cs="Arial"/>
        </w:rPr>
        <w:t xml:space="preserve">could not </w:t>
      </w:r>
      <w:r w:rsidR="004C78A4">
        <w:rPr>
          <w:rFonts w:cs="Arial"/>
        </w:rPr>
        <w:t xml:space="preserve">authorise the possession or operation </w:t>
      </w:r>
      <w:r w:rsidR="00A95F57">
        <w:rPr>
          <w:rFonts w:cs="Arial"/>
        </w:rPr>
        <w:t xml:space="preserve">of </w:t>
      </w:r>
      <w:r w:rsidR="008B20DD">
        <w:rPr>
          <w:rFonts w:cs="Arial"/>
        </w:rPr>
        <w:t xml:space="preserve">that </w:t>
      </w:r>
      <w:r w:rsidR="00A95F57">
        <w:rPr>
          <w:rFonts w:cs="Arial"/>
        </w:rPr>
        <w:t>device</w:t>
      </w:r>
      <w:r w:rsidR="00625FFE">
        <w:rPr>
          <w:rFonts w:cs="Arial"/>
        </w:rPr>
        <w:t>.</w:t>
      </w:r>
    </w:p>
    <w:p w14:paraId="45956158" w14:textId="7AC217DA" w:rsidR="00061BDC" w:rsidRDefault="001D0123" w:rsidP="00830E78">
      <w:pPr>
        <w:rPr>
          <w:rFonts w:cs="Arial"/>
        </w:rPr>
      </w:pPr>
      <w:r>
        <w:rPr>
          <w:rFonts w:cs="Arial"/>
        </w:rPr>
        <w:t xml:space="preserve">Even where the making of an exemption may be an option to facilitate a certain outcome, it will not always be appropriate, or may only be a partial solution. </w:t>
      </w:r>
      <w:r w:rsidRPr="00830E78">
        <w:rPr>
          <w:rFonts w:cs="Arial"/>
        </w:rPr>
        <w:t>The prospective use of RNSS repeaters</w:t>
      </w:r>
      <w:r>
        <w:rPr>
          <w:rFonts w:cs="Arial"/>
        </w:rPr>
        <w:t>,</w:t>
      </w:r>
      <w:r w:rsidRPr="00830E78">
        <w:rPr>
          <w:rFonts w:cs="Arial"/>
        </w:rPr>
        <w:t xml:space="preserve"> for example, will have tangible benefits for first responders and emergency service organisations, and there are a range of organisations </w:t>
      </w:r>
      <w:r w:rsidR="00972A9B">
        <w:rPr>
          <w:rFonts w:cs="Arial"/>
        </w:rPr>
        <w:t>with</w:t>
      </w:r>
      <w:r w:rsidRPr="00830E78">
        <w:rPr>
          <w:rFonts w:cs="Arial"/>
        </w:rPr>
        <w:t xml:space="preserve"> functions in whose favour the ACMA may determine an exemption. However, not all RNSS repeater deployments will involve a person eligible </w:t>
      </w:r>
      <w:r w:rsidR="00F64EA9">
        <w:rPr>
          <w:rFonts w:cs="Arial"/>
        </w:rPr>
        <w:t>to be the subject of</w:t>
      </w:r>
      <w:r w:rsidRPr="00830E78">
        <w:rPr>
          <w:rFonts w:cs="Arial"/>
        </w:rPr>
        <w:t xml:space="preserve"> an exemption</w:t>
      </w:r>
      <w:r w:rsidR="00F64EA9">
        <w:rPr>
          <w:rFonts w:cs="Arial"/>
        </w:rPr>
        <w:t xml:space="preserve"> determination</w:t>
      </w:r>
      <w:r w:rsidRPr="00830E78">
        <w:rPr>
          <w:rFonts w:cs="Arial"/>
        </w:rPr>
        <w:t xml:space="preserve">, and </w:t>
      </w:r>
      <w:r w:rsidR="00F64EA9">
        <w:rPr>
          <w:rFonts w:cs="Arial"/>
        </w:rPr>
        <w:t>it may be of greater public benefit for the ACMA to licen</w:t>
      </w:r>
      <w:r w:rsidR="00D72483">
        <w:rPr>
          <w:rFonts w:cs="Arial"/>
        </w:rPr>
        <w:t>s</w:t>
      </w:r>
      <w:r w:rsidR="00F64EA9">
        <w:rPr>
          <w:rFonts w:cs="Arial"/>
        </w:rPr>
        <w:t>e these device</w:t>
      </w:r>
      <w:r w:rsidR="00A36C6A">
        <w:rPr>
          <w:rFonts w:cs="Arial"/>
        </w:rPr>
        <w:t>s</w:t>
      </w:r>
      <w:r w:rsidR="00D72483">
        <w:rPr>
          <w:rFonts w:cs="Arial"/>
        </w:rPr>
        <w:t>, rather than make exemption determinations</w:t>
      </w:r>
      <w:r w:rsidR="00293F6D">
        <w:rPr>
          <w:rFonts w:cs="Arial"/>
        </w:rPr>
        <w:t>. That is</w:t>
      </w:r>
      <w:r w:rsidR="00061BDC">
        <w:rPr>
          <w:rFonts w:cs="Arial"/>
        </w:rPr>
        <w:t xml:space="preserve">, </w:t>
      </w:r>
      <w:r w:rsidR="006A2176">
        <w:rPr>
          <w:rFonts w:cs="Arial"/>
        </w:rPr>
        <w:t xml:space="preserve">it may be </w:t>
      </w:r>
      <w:r w:rsidR="006A2176" w:rsidRPr="00A508D8">
        <w:rPr>
          <w:rFonts w:cs="Arial"/>
        </w:rPr>
        <w:t xml:space="preserve">that </w:t>
      </w:r>
      <w:r w:rsidR="00061BDC" w:rsidRPr="00A508D8">
        <w:rPr>
          <w:rFonts w:cs="Arial"/>
        </w:rPr>
        <w:t>these devices should be facilitated by the licensing system,</w:t>
      </w:r>
      <w:r w:rsidR="00061BDC">
        <w:rPr>
          <w:rFonts w:cs="Arial"/>
        </w:rPr>
        <w:t xml:space="preserve"> which </w:t>
      </w:r>
      <w:r w:rsidR="00061BDC" w:rsidRPr="00830E78">
        <w:rPr>
          <w:rFonts w:cs="Arial"/>
        </w:rPr>
        <w:t>provide</w:t>
      </w:r>
      <w:r w:rsidR="00972A9B">
        <w:rPr>
          <w:rFonts w:cs="Arial"/>
        </w:rPr>
        <w:t>s</w:t>
      </w:r>
      <w:r w:rsidR="00061BDC" w:rsidRPr="00830E78">
        <w:rPr>
          <w:rFonts w:cs="Arial"/>
        </w:rPr>
        <w:t xml:space="preserve"> a more nuanced and flexible approach</w:t>
      </w:r>
      <w:r w:rsidR="00061BDC">
        <w:rPr>
          <w:rFonts w:cs="Arial"/>
        </w:rPr>
        <w:t xml:space="preserve"> </w:t>
      </w:r>
      <w:r w:rsidR="00972A9B">
        <w:rPr>
          <w:rFonts w:cs="Arial"/>
        </w:rPr>
        <w:t>for</w:t>
      </w:r>
      <w:r w:rsidR="00061BDC">
        <w:rPr>
          <w:rFonts w:cs="Arial"/>
        </w:rPr>
        <w:t xml:space="preserve"> manag</w:t>
      </w:r>
      <w:r w:rsidR="00972A9B">
        <w:rPr>
          <w:rFonts w:cs="Arial"/>
        </w:rPr>
        <w:t>ing</w:t>
      </w:r>
      <w:r w:rsidR="00061BDC">
        <w:rPr>
          <w:rFonts w:cs="Arial"/>
        </w:rPr>
        <w:t xml:space="preserve"> technical and operational conditions, without requiring regulatory intervention on a case-by-case basis</w:t>
      </w:r>
      <w:r w:rsidR="00061BDC" w:rsidRPr="00830E78">
        <w:rPr>
          <w:rFonts w:cs="Arial"/>
        </w:rPr>
        <w:t xml:space="preserve">. </w:t>
      </w:r>
    </w:p>
    <w:p w14:paraId="4F23E085" w14:textId="4B2585D1" w:rsidR="00607A40" w:rsidRPr="000933AD" w:rsidRDefault="00607A40" w:rsidP="000933AD">
      <w:pPr>
        <w:pStyle w:val="Heading2"/>
      </w:pPr>
      <w:bookmarkStart w:id="26" w:name="_Toc39570984"/>
      <w:r w:rsidRPr="000933AD">
        <w:t>Looking ahead</w:t>
      </w:r>
      <w:bookmarkEnd w:id="26"/>
      <w:r w:rsidRPr="000933AD">
        <w:t xml:space="preserve"> </w:t>
      </w:r>
    </w:p>
    <w:p w14:paraId="23DF84F3" w14:textId="71372B2D" w:rsidR="00BA6ECE" w:rsidRDefault="00D72198" w:rsidP="00D72198">
      <w:pPr>
        <w:rPr>
          <w:rFonts w:cs="Arial"/>
        </w:rPr>
      </w:pPr>
      <w:r>
        <w:rPr>
          <w:rFonts w:cs="Arial"/>
        </w:rPr>
        <w:t>I</w:t>
      </w:r>
      <w:r w:rsidR="00BB515E">
        <w:rPr>
          <w:rFonts w:cs="Arial"/>
        </w:rPr>
        <w:t>f</w:t>
      </w:r>
      <w:r>
        <w:rPr>
          <w:rFonts w:cs="Arial"/>
        </w:rPr>
        <w:t xml:space="preserve"> present trends persist, </w:t>
      </w:r>
      <w:r w:rsidR="009A4B0C">
        <w:rPr>
          <w:rFonts w:cs="Arial"/>
        </w:rPr>
        <w:t>we</w:t>
      </w:r>
      <w:r>
        <w:rPr>
          <w:rFonts w:cs="Arial"/>
        </w:rPr>
        <w:t xml:space="preserve"> will continue to interact with a growing number of stakeholders on a wider range of issues </w:t>
      </w:r>
      <w:r w:rsidR="00A508D8">
        <w:rPr>
          <w:rFonts w:cs="Arial"/>
        </w:rPr>
        <w:t>regarding</w:t>
      </w:r>
      <w:r>
        <w:rPr>
          <w:rFonts w:cs="Arial"/>
        </w:rPr>
        <w:t xml:space="preserve"> exemption determinations. The</w:t>
      </w:r>
      <w:r w:rsidR="00BB515E">
        <w:rPr>
          <w:rFonts w:cs="Arial"/>
        </w:rPr>
        <w:t>re are significant</w:t>
      </w:r>
      <w:r>
        <w:rPr>
          <w:rFonts w:cs="Arial"/>
        </w:rPr>
        <w:t xml:space="preserve"> transaction costs </w:t>
      </w:r>
      <w:r w:rsidR="00BB515E">
        <w:rPr>
          <w:rFonts w:cs="Arial"/>
        </w:rPr>
        <w:t>associated with considering and making exemption</w:t>
      </w:r>
      <w:r w:rsidR="00F35F2A">
        <w:rPr>
          <w:rFonts w:cs="Arial"/>
        </w:rPr>
        <w:t xml:space="preserve"> determination</w:t>
      </w:r>
      <w:r w:rsidR="00BB515E">
        <w:rPr>
          <w:rFonts w:cs="Arial"/>
        </w:rPr>
        <w:t xml:space="preserve">s for the </w:t>
      </w:r>
      <w:r>
        <w:rPr>
          <w:rFonts w:cs="Arial"/>
        </w:rPr>
        <w:t>ACMA and stakeholders</w:t>
      </w:r>
      <w:r w:rsidR="00BB515E">
        <w:rPr>
          <w:rFonts w:cs="Arial"/>
        </w:rPr>
        <w:t xml:space="preserve">. </w:t>
      </w:r>
    </w:p>
    <w:p w14:paraId="61E5CA8B" w14:textId="77856C11" w:rsidR="00D72198" w:rsidRDefault="00BB515E" w:rsidP="00D72198">
      <w:pPr>
        <w:rPr>
          <w:rFonts w:cs="Arial"/>
        </w:rPr>
      </w:pPr>
      <w:r>
        <w:rPr>
          <w:rFonts w:cs="Arial"/>
        </w:rPr>
        <w:t>There is likely to be a greater need for the ACMA to be more predictable and better understood by stakeholders</w:t>
      </w:r>
      <w:r w:rsidR="00015397">
        <w:rPr>
          <w:rFonts w:cs="Arial"/>
        </w:rPr>
        <w:t xml:space="preserve"> when considering exemptions and the timeliness associated with them.</w:t>
      </w:r>
    </w:p>
    <w:p w14:paraId="37B9C3D0" w14:textId="24D3B6A3" w:rsidR="00BB515E" w:rsidRDefault="009E5778" w:rsidP="00D72198">
      <w:pPr>
        <w:rPr>
          <w:rFonts w:cs="Arial"/>
        </w:rPr>
      </w:pPr>
      <w:r>
        <w:rPr>
          <w:rFonts w:cs="Arial"/>
        </w:rPr>
        <w:t>T</w:t>
      </w:r>
      <w:r w:rsidR="00D72198">
        <w:rPr>
          <w:rFonts w:cs="Arial"/>
        </w:rPr>
        <w:t xml:space="preserve">here will </w:t>
      </w:r>
      <w:r w:rsidR="00742C61">
        <w:rPr>
          <w:rFonts w:cs="Arial"/>
        </w:rPr>
        <w:t xml:space="preserve">continue to </w:t>
      </w:r>
      <w:r w:rsidR="00D72198">
        <w:rPr>
          <w:rFonts w:cs="Arial"/>
        </w:rPr>
        <w:t>be a role for exemption</w:t>
      </w:r>
      <w:r w:rsidR="00C128B5">
        <w:rPr>
          <w:rFonts w:cs="Arial"/>
        </w:rPr>
        <w:t xml:space="preserve"> determination</w:t>
      </w:r>
      <w:r w:rsidR="004B349D">
        <w:rPr>
          <w:rFonts w:cs="Arial"/>
        </w:rPr>
        <w:t>s</w:t>
      </w:r>
      <w:r w:rsidR="00D72198">
        <w:rPr>
          <w:rFonts w:cs="Arial"/>
        </w:rPr>
        <w:t xml:space="preserve"> within the radiocommunications regulatory framework, </w:t>
      </w:r>
      <w:r>
        <w:rPr>
          <w:rFonts w:cs="Arial"/>
        </w:rPr>
        <w:t xml:space="preserve">but </w:t>
      </w:r>
      <w:r w:rsidR="009A4B0C">
        <w:rPr>
          <w:rFonts w:cs="Arial"/>
        </w:rPr>
        <w:t xml:space="preserve">we are </w:t>
      </w:r>
      <w:r>
        <w:rPr>
          <w:rFonts w:cs="Arial"/>
        </w:rPr>
        <w:t xml:space="preserve">interested in exploring alternative methods for facilitating certain devices and applications </w:t>
      </w:r>
      <w:r w:rsidR="00D72198">
        <w:rPr>
          <w:rFonts w:cs="Arial"/>
        </w:rPr>
        <w:t>that</w:t>
      </w:r>
      <w:r>
        <w:rPr>
          <w:rFonts w:cs="Arial"/>
        </w:rPr>
        <w:t xml:space="preserve"> do not require issuing an exemption determination</w:t>
      </w:r>
      <w:r w:rsidR="00D72198">
        <w:rPr>
          <w:rFonts w:cs="Arial"/>
        </w:rPr>
        <w:t>.</w:t>
      </w:r>
    </w:p>
    <w:tbl>
      <w:tblPr>
        <w:tblStyle w:val="TableGrid"/>
        <w:tblW w:w="0" w:type="auto"/>
        <w:tblLook w:val="04A0" w:firstRow="1" w:lastRow="0" w:firstColumn="1" w:lastColumn="0" w:noHBand="0" w:noVBand="1"/>
      </w:tblPr>
      <w:tblGrid>
        <w:gridCol w:w="7661"/>
      </w:tblGrid>
      <w:tr w:rsidR="0087461A" w14:paraId="610B32C0" w14:textId="77777777" w:rsidTr="0087461A">
        <w:tc>
          <w:tcPr>
            <w:tcW w:w="7661" w:type="dxa"/>
            <w:shd w:val="clear" w:color="auto" w:fill="F2F2F2" w:themeFill="background1" w:themeFillShade="F2"/>
          </w:tcPr>
          <w:p w14:paraId="7A981C59" w14:textId="77777777" w:rsidR="005F4CB1" w:rsidRDefault="005F4CB1" w:rsidP="00AA78A4">
            <w:pPr>
              <w:spacing w:after="80"/>
              <w:rPr>
                <w:rFonts w:cs="Arial"/>
                <w:b/>
                <w:bCs/>
              </w:rPr>
            </w:pPr>
            <w:bookmarkStart w:id="27" w:name="_Hlk14768710"/>
            <w:r>
              <w:rPr>
                <w:rFonts w:cs="Arial"/>
                <w:b/>
                <w:bCs/>
              </w:rPr>
              <w:lastRenderedPageBreak/>
              <w:t>Issue for comment</w:t>
            </w:r>
          </w:p>
          <w:p w14:paraId="4BE5E347" w14:textId="05E4DF07" w:rsidR="0087461A" w:rsidRDefault="00B44E2B" w:rsidP="00AA78A4">
            <w:pPr>
              <w:numPr>
                <w:ilvl w:val="0"/>
                <w:numId w:val="16"/>
              </w:numPr>
              <w:spacing w:after="80"/>
              <w:rPr>
                <w:b/>
                <w:bCs/>
              </w:rPr>
            </w:pPr>
            <w:r>
              <w:rPr>
                <w:b/>
                <w:bCs/>
              </w:rPr>
              <w:t xml:space="preserve">What additional measures could </w:t>
            </w:r>
            <w:r w:rsidR="0087461A">
              <w:rPr>
                <w:b/>
                <w:bCs/>
              </w:rPr>
              <w:t>the ACMA</w:t>
            </w:r>
            <w:r w:rsidR="00B45141">
              <w:rPr>
                <w:b/>
                <w:bCs/>
              </w:rPr>
              <w:t xml:space="preserve"> </w:t>
            </w:r>
            <w:r w:rsidR="00FC5A65">
              <w:rPr>
                <w:b/>
                <w:bCs/>
              </w:rPr>
              <w:t xml:space="preserve">take to </w:t>
            </w:r>
            <w:r w:rsidR="0087461A">
              <w:rPr>
                <w:b/>
                <w:bCs/>
              </w:rPr>
              <w:t>provid</w:t>
            </w:r>
            <w:r w:rsidR="00B45141">
              <w:rPr>
                <w:b/>
                <w:bCs/>
              </w:rPr>
              <w:t>e</w:t>
            </w:r>
            <w:r w:rsidR="0087461A">
              <w:rPr>
                <w:b/>
                <w:bCs/>
              </w:rPr>
              <w:t xml:space="preserve"> transparency and predictability</w:t>
            </w:r>
            <w:r w:rsidR="00B45141">
              <w:rPr>
                <w:b/>
                <w:bCs/>
              </w:rPr>
              <w:t xml:space="preserve"> in relation to exemption determinations</w:t>
            </w:r>
            <w:r w:rsidR="0087461A">
              <w:rPr>
                <w:b/>
                <w:bCs/>
              </w:rPr>
              <w:t>?</w:t>
            </w:r>
          </w:p>
          <w:p w14:paraId="3C9F8ACE" w14:textId="384CCC50" w:rsidR="0087461A" w:rsidRPr="003F1BED" w:rsidRDefault="009E5778" w:rsidP="00AA78A4">
            <w:pPr>
              <w:numPr>
                <w:ilvl w:val="0"/>
                <w:numId w:val="16"/>
              </w:numPr>
              <w:spacing w:after="80"/>
              <w:rPr>
                <w:rFonts w:cs="Arial"/>
              </w:rPr>
            </w:pPr>
            <w:bookmarkStart w:id="28" w:name="_Hlk18398988"/>
            <w:r>
              <w:rPr>
                <w:b/>
                <w:bCs/>
              </w:rPr>
              <w:t xml:space="preserve">How </w:t>
            </w:r>
            <w:r w:rsidR="00F548F1">
              <w:rPr>
                <w:b/>
                <w:bCs/>
              </w:rPr>
              <w:t>could</w:t>
            </w:r>
            <w:r>
              <w:rPr>
                <w:b/>
                <w:bCs/>
              </w:rPr>
              <w:t xml:space="preserve"> the ACMA consider facilitating use of meritorious, low risk, and outlier devices and applications in lieu of exemption determinations</w:t>
            </w:r>
            <w:bookmarkEnd w:id="28"/>
            <w:r w:rsidR="0087461A">
              <w:rPr>
                <w:b/>
                <w:bCs/>
              </w:rPr>
              <w:t>?</w:t>
            </w:r>
            <w:bookmarkEnd w:id="27"/>
          </w:p>
          <w:p w14:paraId="4F9CC2EC" w14:textId="77777777" w:rsidR="00611535" w:rsidRPr="003F1BED" w:rsidRDefault="00611535" w:rsidP="00AA78A4">
            <w:pPr>
              <w:numPr>
                <w:ilvl w:val="0"/>
                <w:numId w:val="16"/>
              </w:numPr>
              <w:spacing w:after="80"/>
              <w:rPr>
                <w:b/>
                <w:bCs/>
              </w:rPr>
            </w:pPr>
            <w:r w:rsidRPr="003F1BED">
              <w:rPr>
                <w:b/>
                <w:bCs/>
              </w:rPr>
              <w:t>Is the range of activities that may be exempted from Parts of the Act fit for purpose?</w:t>
            </w:r>
          </w:p>
          <w:p w14:paraId="03A80D19" w14:textId="1CC79CED" w:rsidR="005263EB" w:rsidRPr="00114333" w:rsidRDefault="00611535" w:rsidP="002D48FE">
            <w:pPr>
              <w:numPr>
                <w:ilvl w:val="0"/>
                <w:numId w:val="16"/>
              </w:numPr>
              <w:spacing w:after="60"/>
              <w:rPr>
                <w:rFonts w:cs="Arial"/>
                <w:iCs/>
              </w:rPr>
            </w:pPr>
            <w:r w:rsidRPr="003F1BED">
              <w:rPr>
                <w:b/>
                <w:bCs/>
              </w:rPr>
              <w:t>Is the range of persons to whom the exemption regime may apply fit for purpose?</w:t>
            </w:r>
          </w:p>
        </w:tc>
      </w:tr>
    </w:tbl>
    <w:p w14:paraId="39BBC023" w14:textId="77777777" w:rsidR="0087461A" w:rsidRDefault="0087461A" w:rsidP="00D72198">
      <w:pPr>
        <w:rPr>
          <w:rFonts w:cs="Arial"/>
        </w:rPr>
      </w:pPr>
    </w:p>
    <w:p w14:paraId="39C0EE9F" w14:textId="1967BD48" w:rsidR="001D0123" w:rsidRDefault="008939C5" w:rsidP="00830E78">
      <w:pPr>
        <w:rPr>
          <w:rFonts w:cs="Arial"/>
        </w:rPr>
      </w:pPr>
      <w:r>
        <w:rPr>
          <w:rFonts w:cs="Arial"/>
        </w:rPr>
        <w:t xml:space="preserve"> </w:t>
      </w:r>
    </w:p>
    <w:p w14:paraId="0EAF1AB2" w14:textId="77777777" w:rsidR="00F80547" w:rsidRDefault="00F80547" w:rsidP="00F737D8">
      <w:pPr>
        <w:rPr>
          <w:b/>
          <w:bCs/>
        </w:rPr>
      </w:pPr>
    </w:p>
    <w:p w14:paraId="2A404367" w14:textId="77777777" w:rsidR="0087461A" w:rsidRDefault="0087461A" w:rsidP="00F737D8">
      <w:pPr>
        <w:rPr>
          <w:b/>
          <w:bCs/>
        </w:rPr>
      </w:pPr>
    </w:p>
    <w:p w14:paraId="2B383C1B" w14:textId="30F686B5" w:rsidR="0012508F" w:rsidRDefault="0012508F">
      <w:pPr>
        <w:spacing w:after="0" w:line="240" w:lineRule="auto"/>
        <w:rPr>
          <w:b/>
          <w:bCs/>
        </w:rPr>
      </w:pPr>
      <w:r>
        <w:rPr>
          <w:b/>
          <w:bCs/>
        </w:rPr>
        <w:br w:type="page"/>
      </w:r>
    </w:p>
    <w:p w14:paraId="511FA64A" w14:textId="77777777" w:rsidR="0012508F" w:rsidRPr="0036675D" w:rsidRDefault="0012508F" w:rsidP="0012508F">
      <w:pPr>
        <w:pStyle w:val="Heading1"/>
      </w:pPr>
      <w:bookmarkStart w:id="29" w:name="_Toc2606616"/>
      <w:bookmarkStart w:id="30" w:name="_Toc536192458"/>
      <w:bookmarkStart w:id="31" w:name="_Toc7181047"/>
      <w:bookmarkStart w:id="32" w:name="_Toc39570985"/>
      <w:r w:rsidRPr="00590165">
        <w:rPr>
          <w:color w:val="313131"/>
        </w:rPr>
        <w:lastRenderedPageBreak/>
        <w:t>Ne</w:t>
      </w:r>
      <w:r w:rsidRPr="0036675D">
        <w:rPr>
          <w:color w:val="313131"/>
        </w:rPr>
        <w:t>xt steps</w:t>
      </w:r>
      <w:bookmarkEnd w:id="29"/>
      <w:bookmarkEnd w:id="30"/>
      <w:bookmarkEnd w:id="31"/>
      <w:bookmarkEnd w:id="32"/>
    </w:p>
    <w:p w14:paraId="79A42293" w14:textId="74C351D5" w:rsidR="0036675D" w:rsidRDefault="0071576B" w:rsidP="0012508F">
      <w:r>
        <w:t>We</w:t>
      </w:r>
      <w:r w:rsidR="004B349D" w:rsidRPr="0036675D">
        <w:t xml:space="preserve"> will analyse submissions received </w:t>
      </w:r>
      <w:r w:rsidR="00ED2BDF">
        <w:t xml:space="preserve">in response </w:t>
      </w:r>
      <w:r w:rsidR="004B349D" w:rsidRPr="0036675D">
        <w:t xml:space="preserve">to this </w:t>
      </w:r>
      <w:r w:rsidR="00015397" w:rsidRPr="0036675D">
        <w:t>paper and</w:t>
      </w:r>
      <w:r w:rsidR="004B349D" w:rsidRPr="0036675D">
        <w:t xml:space="preserve"> will engage with stakeholders as required. </w:t>
      </w:r>
    </w:p>
    <w:p w14:paraId="463B544D" w14:textId="1F9FE4BE" w:rsidR="0012508F" w:rsidRDefault="004B349D" w:rsidP="0012508F">
      <w:r w:rsidRPr="0036675D">
        <w:t xml:space="preserve">Any reform to the prohibition and exemption framework will need to be carefully managed, and the ACMA would </w:t>
      </w:r>
      <w:r w:rsidR="00AC514C">
        <w:t xml:space="preserve">likely </w:t>
      </w:r>
      <w:r w:rsidR="0036675D" w:rsidRPr="0036675D">
        <w:t>seek the views of all stakeholders in the form of supplementary papers.</w:t>
      </w:r>
    </w:p>
    <w:p w14:paraId="2FE581A4" w14:textId="345B1FA9" w:rsidR="0012508F" w:rsidRPr="00590165" w:rsidRDefault="0036675D" w:rsidP="0036675D">
      <w:r w:rsidRPr="0036675D">
        <w:t xml:space="preserve">Although </w:t>
      </w:r>
      <w:r w:rsidR="002243F5">
        <w:t>our preference is</w:t>
      </w:r>
      <w:r w:rsidR="002243F5" w:rsidRPr="0036675D">
        <w:t xml:space="preserve"> </w:t>
      </w:r>
      <w:r w:rsidRPr="0036675D">
        <w:t>to undertake a coordinated approach</w:t>
      </w:r>
      <w:r w:rsidR="002243F5">
        <w:t xml:space="preserve"> to next steps</w:t>
      </w:r>
      <w:r w:rsidRPr="0036675D">
        <w:t xml:space="preserve">, </w:t>
      </w:r>
      <w:r w:rsidR="002243F5">
        <w:t>we</w:t>
      </w:r>
      <w:r w:rsidRPr="0036675D">
        <w:t xml:space="preserve"> will </w:t>
      </w:r>
      <w:r w:rsidR="00DA2F03">
        <w:t xml:space="preserve">progress and consult separately on </w:t>
      </w:r>
      <w:r w:rsidRPr="0036675D">
        <w:t xml:space="preserve">targeted regulatory interventions </w:t>
      </w:r>
      <w:r w:rsidR="00DA2F03">
        <w:t>as appropriate</w:t>
      </w:r>
      <w:r w:rsidRPr="0036675D">
        <w:t>.</w:t>
      </w:r>
    </w:p>
    <w:p w14:paraId="7C9A93A9" w14:textId="77777777" w:rsidR="00F737D8" w:rsidRDefault="00F737D8" w:rsidP="00F737D8">
      <w:pPr>
        <w:rPr>
          <w:b/>
          <w:bCs/>
        </w:rPr>
      </w:pPr>
    </w:p>
    <w:p w14:paraId="30423446" w14:textId="47F1EF3E" w:rsidR="006236B3" w:rsidRDefault="006236B3" w:rsidP="006236B3">
      <w:pPr>
        <w:pStyle w:val="Heading1"/>
      </w:pPr>
      <w:bookmarkStart w:id="33" w:name="_Toc39570986"/>
      <w:r>
        <w:lastRenderedPageBreak/>
        <w:t>Invitation to comment</w:t>
      </w:r>
      <w:bookmarkEnd w:id="33"/>
    </w:p>
    <w:p w14:paraId="76DC1E7E" w14:textId="77777777" w:rsidR="006236B3" w:rsidRDefault="006236B3" w:rsidP="006236B3">
      <w:pPr>
        <w:pStyle w:val="Heading2"/>
      </w:pPr>
      <w:bookmarkStart w:id="34" w:name="_Toc433122131"/>
      <w:bookmarkStart w:id="35" w:name="_Toc348105637"/>
      <w:bookmarkStart w:id="36" w:name="_Toc300909556"/>
      <w:bookmarkStart w:id="37" w:name="_Toc298924673"/>
      <w:bookmarkStart w:id="38" w:name="_Toc39570987"/>
      <w:bookmarkStart w:id="39" w:name="_Toc348105638"/>
      <w:bookmarkStart w:id="40" w:name="_Toc300909557"/>
      <w:bookmarkStart w:id="41" w:name="_Toc298924674"/>
      <w:bookmarkStart w:id="42" w:name="_Toc274296357"/>
      <w:r>
        <w:t>Making a submission</w:t>
      </w:r>
      <w:bookmarkEnd w:id="34"/>
      <w:bookmarkEnd w:id="35"/>
      <w:bookmarkEnd w:id="36"/>
      <w:bookmarkEnd w:id="37"/>
      <w:bookmarkEnd w:id="38"/>
    </w:p>
    <w:p w14:paraId="758AC965" w14:textId="22270410" w:rsidR="006236B3" w:rsidRDefault="006236B3" w:rsidP="006236B3">
      <w:r>
        <w:t xml:space="preserve">The ACMA invites comments on the issues set out in this </w:t>
      </w:r>
      <w:r w:rsidR="00742C61">
        <w:t xml:space="preserve">issues </w:t>
      </w:r>
      <w:r>
        <w:t xml:space="preserve">paper. </w:t>
      </w:r>
    </w:p>
    <w:p w14:paraId="685D312F" w14:textId="1CCC802F" w:rsidR="006236B3" w:rsidRDefault="00272F06" w:rsidP="006236B3">
      <w:pPr>
        <w:pStyle w:val="ListBullet"/>
        <w:numPr>
          <w:ilvl w:val="0"/>
          <w:numId w:val="13"/>
        </w:numPr>
      </w:pPr>
      <w:hyperlink r:id="rId42" w:history="1">
        <w:r w:rsidR="006236B3">
          <w:rPr>
            <w:rStyle w:val="Hyperlink"/>
          </w:rPr>
          <w:t>Online submissions</w:t>
        </w:r>
      </w:hyperlink>
      <w:r w:rsidR="006236B3">
        <w:t xml:space="preserve"> can be made via the comment function or by uploading a document. Submissions in Microsoft Word or Rich Text Format are preferred.</w:t>
      </w:r>
    </w:p>
    <w:p w14:paraId="5A34BDE7" w14:textId="77777777" w:rsidR="006236B3" w:rsidRDefault="006236B3" w:rsidP="006236B3">
      <w:pPr>
        <w:pStyle w:val="ListBullet"/>
        <w:numPr>
          <w:ilvl w:val="0"/>
          <w:numId w:val="13"/>
        </w:numPr>
      </w:pPr>
      <w:r>
        <w:t xml:space="preserve">Submissions by post can be sent to: </w:t>
      </w:r>
    </w:p>
    <w:p w14:paraId="34661AFD" w14:textId="77777777" w:rsidR="006236B3" w:rsidRPr="00B21EBE" w:rsidRDefault="006236B3" w:rsidP="006236B3">
      <w:pPr>
        <w:pStyle w:val="ACMANormalTabbed"/>
        <w:tabs>
          <w:tab w:val="num" w:pos="295"/>
        </w:tabs>
        <w:spacing w:after="0"/>
        <w:ind w:left="295"/>
        <w:rPr>
          <w:szCs w:val="20"/>
        </w:rPr>
      </w:pPr>
      <w:r w:rsidRPr="00B21EBE">
        <w:rPr>
          <w:szCs w:val="20"/>
        </w:rPr>
        <w:t>The Manager</w:t>
      </w:r>
    </w:p>
    <w:p w14:paraId="4C262E1B" w14:textId="628BF3AD" w:rsidR="006236B3" w:rsidRPr="00B21EBE" w:rsidRDefault="00B21EBE" w:rsidP="006236B3">
      <w:pPr>
        <w:pStyle w:val="ACMANormalTabbed"/>
        <w:spacing w:after="0"/>
        <w:ind w:left="295"/>
        <w:rPr>
          <w:szCs w:val="20"/>
        </w:rPr>
      </w:pPr>
      <w:r w:rsidRPr="00B21EBE">
        <w:rPr>
          <w:szCs w:val="20"/>
        </w:rPr>
        <w:t>Spectrum Licensing Policy</w:t>
      </w:r>
    </w:p>
    <w:p w14:paraId="6FC3A59C" w14:textId="77777777" w:rsidR="006236B3" w:rsidRPr="00B21EBE" w:rsidRDefault="006236B3" w:rsidP="006236B3">
      <w:pPr>
        <w:pStyle w:val="ACMANormalTabbed"/>
        <w:spacing w:after="0"/>
        <w:ind w:left="295"/>
        <w:rPr>
          <w:szCs w:val="20"/>
        </w:rPr>
      </w:pPr>
      <w:r w:rsidRPr="00B21EBE">
        <w:rPr>
          <w:szCs w:val="20"/>
        </w:rPr>
        <w:t>Australian Communications and Media Authority</w:t>
      </w:r>
    </w:p>
    <w:p w14:paraId="78A016A7" w14:textId="12DB4A04" w:rsidR="07EA0072" w:rsidRDefault="00985734">
      <w:r>
        <w:tab/>
      </w:r>
      <w:r w:rsidR="07EA0072">
        <w:rPr>
          <w:rFonts w:eastAsia="Arial"/>
        </w:rPr>
        <w:t xml:space="preserve">PO Box </w:t>
      </w:r>
      <w:r w:rsidR="07EA0072" w:rsidRPr="00CB2FE7">
        <w:rPr>
          <w:rFonts w:eastAsia="Arial" w:cs="Arial"/>
          <w:szCs w:val="20"/>
        </w:rPr>
        <w:t>13112 Law Courts</w:t>
      </w:r>
      <w:r w:rsidRPr="00CB2FE7">
        <w:rPr>
          <w:rFonts w:eastAsia="Arial" w:cs="Arial"/>
          <w:szCs w:val="20"/>
        </w:rPr>
        <w:br/>
      </w:r>
      <w:r w:rsidRPr="00CB2FE7">
        <w:rPr>
          <w:rFonts w:eastAsia="Arial" w:cs="Arial"/>
          <w:szCs w:val="20"/>
        </w:rPr>
        <w:tab/>
      </w:r>
      <w:r w:rsidR="07EA0072" w:rsidRPr="00CB2FE7">
        <w:rPr>
          <w:rFonts w:eastAsia="Arial" w:cs="Arial"/>
          <w:szCs w:val="20"/>
        </w:rPr>
        <w:t>Melbourne Vic 8010</w:t>
      </w:r>
    </w:p>
    <w:p w14:paraId="1F1380AF" w14:textId="2F490152" w:rsidR="006236B3" w:rsidRDefault="006236B3" w:rsidP="006236B3">
      <w:pPr>
        <w:rPr>
          <w:rStyle w:val="Strong"/>
        </w:rPr>
      </w:pPr>
      <w:r w:rsidRPr="00DD22AB">
        <w:rPr>
          <w:rStyle w:val="Strong"/>
          <w:b w:val="0"/>
          <w:bCs w:val="0"/>
        </w:rPr>
        <w:t>The closing date for submissions is</w:t>
      </w:r>
      <w:r>
        <w:rPr>
          <w:rStyle w:val="Strong"/>
        </w:rPr>
        <w:t xml:space="preserve"> COB, </w:t>
      </w:r>
      <w:bookmarkStart w:id="43" w:name="_Hlk39135738"/>
      <w:r w:rsidR="002135B7">
        <w:rPr>
          <w:rStyle w:val="Strong"/>
        </w:rPr>
        <w:t>Monday 13 July</w:t>
      </w:r>
      <w:r w:rsidR="0005270C">
        <w:rPr>
          <w:b/>
          <w:bCs/>
        </w:rPr>
        <w:t xml:space="preserve"> </w:t>
      </w:r>
      <w:r w:rsidR="001C7C44">
        <w:rPr>
          <w:rStyle w:val="Strong"/>
        </w:rPr>
        <w:t>2020</w:t>
      </w:r>
      <w:bookmarkEnd w:id="43"/>
      <w:r w:rsidR="001C7C44">
        <w:rPr>
          <w:rStyle w:val="Strong"/>
        </w:rPr>
        <w:t>.</w:t>
      </w:r>
    </w:p>
    <w:p w14:paraId="4A3C7930" w14:textId="0F10F6B7" w:rsidR="006236B3" w:rsidRDefault="006236B3" w:rsidP="006236B3">
      <w:pPr>
        <w:rPr>
          <w:szCs w:val="20"/>
        </w:rPr>
      </w:pPr>
      <w:r>
        <w:t xml:space="preserve">Consultation enquiries can be emailed </w:t>
      </w:r>
      <w:r>
        <w:rPr>
          <w:szCs w:val="20"/>
        </w:rPr>
        <w:t xml:space="preserve">to </w:t>
      </w:r>
      <w:hyperlink r:id="rId43" w:history="1">
        <w:r w:rsidR="001C7C44" w:rsidRPr="000962C2">
          <w:rPr>
            <w:rStyle w:val="Hyperlink"/>
            <w:szCs w:val="20"/>
          </w:rPr>
          <w:t>SLPSConsultations@acma.gov.au</w:t>
        </w:r>
      </w:hyperlink>
      <w:r w:rsidR="00015397">
        <w:rPr>
          <w:szCs w:val="20"/>
        </w:rPr>
        <w:t>.</w:t>
      </w:r>
    </w:p>
    <w:p w14:paraId="0D020872" w14:textId="77777777" w:rsidR="006236B3" w:rsidRDefault="006236B3" w:rsidP="006236B3">
      <w:pPr>
        <w:pStyle w:val="BodySubHeader"/>
      </w:pPr>
      <w:bookmarkStart w:id="44" w:name="_Toc348105639"/>
      <w:bookmarkStart w:id="45" w:name="_Toc300909558"/>
      <w:bookmarkEnd w:id="39"/>
      <w:bookmarkEnd w:id="40"/>
      <w:r>
        <w:t>Publication of submissions</w:t>
      </w:r>
      <w:bookmarkEnd w:id="41"/>
      <w:bookmarkEnd w:id="42"/>
      <w:bookmarkEnd w:id="44"/>
      <w:bookmarkEnd w:id="45"/>
    </w:p>
    <w:p w14:paraId="220AC75F" w14:textId="77777777" w:rsidR="006236B3" w:rsidRDefault="006236B3" w:rsidP="006236B3">
      <w:bookmarkStart w:id="46" w:name="_Toc348105640"/>
      <w:bookmarkStart w:id="47" w:name="_Toc300909559"/>
      <w:bookmarkStart w:id="48"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128F45B5" w14:textId="77777777" w:rsidR="006236B3" w:rsidRDefault="006236B3" w:rsidP="006236B3">
      <w:r>
        <w:t>Confidential information will not be published or otherwise released unless required or authorised by law.</w:t>
      </w:r>
    </w:p>
    <w:p w14:paraId="1D71DB17" w14:textId="77777777" w:rsidR="006236B3" w:rsidRDefault="006236B3" w:rsidP="006236B3">
      <w:pPr>
        <w:pStyle w:val="BodySubHeader"/>
      </w:pPr>
      <w:r>
        <w:t>Privacy</w:t>
      </w:r>
    </w:p>
    <w:p w14:paraId="18993054" w14:textId="77777777" w:rsidR="00646400" w:rsidRPr="00646400" w:rsidRDefault="00646400" w:rsidP="00646400">
      <w:pPr>
        <w:rPr>
          <w:rFonts w:cs="Arial"/>
        </w:rPr>
      </w:pPr>
      <w:r w:rsidRPr="00646400">
        <w:rPr>
          <w:rFonts w:cs="Arial"/>
        </w:rPr>
        <w:t xml:space="preserve">View information about our policy on the </w:t>
      </w:r>
      <w:hyperlink r:id="rId44" w:history="1">
        <w:r w:rsidRPr="00646400">
          <w:rPr>
            <w:rFonts w:cs="Arial"/>
            <w:color w:val="0000FF"/>
            <w:u w:val="single" w:color="0000FF"/>
          </w:rPr>
          <w:t>publication of submissions</w:t>
        </w:r>
      </w:hyperlink>
      <w:r w:rsidRPr="00646400">
        <w:rPr>
          <w:rFonts w:cs="Arial"/>
        </w:rPr>
        <w:t>, including collection of personal information during consultation and how we handle that information.</w:t>
      </w:r>
    </w:p>
    <w:p w14:paraId="47DFD1F8" w14:textId="77777777" w:rsidR="00646400" w:rsidRPr="00646400" w:rsidRDefault="00646400" w:rsidP="00646400">
      <w:pPr>
        <w:rPr>
          <w:rFonts w:cs="Arial"/>
        </w:rPr>
      </w:pPr>
      <w:r w:rsidRPr="00646400">
        <w:rPr>
          <w:rFonts w:cs="Arial"/>
        </w:rPr>
        <w:t xml:space="preserve">Information on the </w:t>
      </w:r>
      <w:r w:rsidRPr="00646400">
        <w:rPr>
          <w:rFonts w:cs="Arial"/>
          <w:i/>
        </w:rPr>
        <w:t xml:space="preserve">Privacy Act 1988, </w:t>
      </w:r>
      <w:r w:rsidRPr="00646400">
        <w:rPr>
          <w:rFonts w:cs="Arial"/>
        </w:rPr>
        <w:t xml:space="preserve">how to access or correct personal information, how to make a privacy complaint and how we will deal with the complaint, is available in our </w:t>
      </w:r>
      <w:hyperlink r:id="rId45" w:history="1">
        <w:r w:rsidRPr="00646400">
          <w:rPr>
            <w:rFonts w:cs="Arial"/>
            <w:color w:val="0000FF"/>
            <w:u w:val="single" w:color="0000FF"/>
          </w:rPr>
          <w:t>privacy policy</w:t>
        </w:r>
      </w:hyperlink>
      <w:r w:rsidRPr="00646400">
        <w:rPr>
          <w:rFonts w:cs="Arial"/>
        </w:rPr>
        <w:t xml:space="preserve">. </w:t>
      </w:r>
    </w:p>
    <w:bookmarkEnd w:id="46"/>
    <w:bookmarkEnd w:id="47"/>
    <w:bookmarkEnd w:id="48"/>
    <w:p w14:paraId="55C7DE8C" w14:textId="2361528A" w:rsidR="00FF3C69" w:rsidRDefault="00FF3C69" w:rsidP="00854508">
      <w:pPr>
        <w:pStyle w:val="ListNumber2Last"/>
        <w:numPr>
          <w:ilvl w:val="0"/>
          <w:numId w:val="0"/>
        </w:numPr>
      </w:pPr>
    </w:p>
    <w:sectPr w:rsidR="00FF3C69" w:rsidSect="00C77380">
      <w:headerReference w:type="even" r:id="rId46"/>
      <w:headerReference w:type="default" r:id="rId47"/>
      <w:footerReference w:type="even" r:id="rId48"/>
      <w:footerReference w:type="default" r:id="rId49"/>
      <w:headerReference w:type="first" r:id="rId5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8206D4" w14:textId="77777777" w:rsidR="003374E4" w:rsidRDefault="003374E4">
      <w:r>
        <w:separator/>
      </w:r>
    </w:p>
  </w:endnote>
  <w:endnote w:type="continuationSeparator" w:id="0">
    <w:p w14:paraId="38BA7DD7" w14:textId="77777777" w:rsidR="003374E4" w:rsidRDefault="003374E4">
      <w:r>
        <w:continuationSeparator/>
      </w:r>
    </w:p>
  </w:endnote>
  <w:endnote w:type="continuationNotice" w:id="1">
    <w:p w14:paraId="2566F7A0" w14:textId="77777777" w:rsidR="003374E4" w:rsidRDefault="003374E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9A3FE" w14:textId="77777777" w:rsidR="00562074" w:rsidRDefault="00562074" w:rsidP="00562074">
    <w:pPr>
      <w:pStyle w:val="Footer"/>
      <w:jc w:val="right"/>
    </w:pPr>
    <w:r w:rsidRPr="005E250B">
      <w:rPr>
        <w:noProof/>
        <w:vertAlign w:val="subscript"/>
      </w:rPr>
      <w:drawing>
        <wp:inline distT="0" distB="0" distL="0" distR="0" wp14:anchorId="17150491" wp14:editId="1C5CF87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4B8ACE18" w14:textId="65D82468" w:rsidR="000C010B" w:rsidRPr="00562074" w:rsidRDefault="000C010B" w:rsidP="005620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DBB7AB" w14:textId="77777777" w:rsidR="000C010B" w:rsidRDefault="000C010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83D5F" w14:textId="77777777" w:rsidR="000C010B" w:rsidRDefault="000C010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C8BDA" w14:textId="77777777" w:rsidR="000C010B" w:rsidRPr="00622A3B" w:rsidRDefault="000C010B"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E7DFEDD" w14:textId="77777777" w:rsidR="000C010B" w:rsidRPr="00A5474E" w:rsidRDefault="000C010B"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CD290" w14:textId="77777777" w:rsidR="000C010B" w:rsidRPr="00622A3B" w:rsidRDefault="000C010B"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DA699BB" w14:textId="77777777" w:rsidR="000C010B" w:rsidRPr="00A5474E" w:rsidRDefault="000C010B"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CFEE3" w14:textId="77777777" w:rsidR="000C010B" w:rsidRPr="00622A3B" w:rsidRDefault="000C010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B6B1A09" w14:textId="77777777" w:rsidR="000C010B" w:rsidRPr="00A5474E" w:rsidRDefault="000C010B"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4F611" w14:textId="77777777" w:rsidR="000C010B" w:rsidRPr="00622A3B" w:rsidRDefault="000C010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BF0F23F" w14:textId="77777777" w:rsidR="000C010B" w:rsidRPr="00A5474E" w:rsidRDefault="000C010B"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69E8E" w14:textId="77777777" w:rsidR="000C010B" w:rsidRPr="00622A3B" w:rsidRDefault="000C010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1D3D7CF0" w14:textId="77777777" w:rsidR="000C010B" w:rsidRPr="00A5474E" w:rsidRDefault="000C010B"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29A8B2" w14:textId="77777777" w:rsidR="003374E4" w:rsidRDefault="003374E4">
      <w:r>
        <w:separator/>
      </w:r>
    </w:p>
  </w:footnote>
  <w:footnote w:type="continuationSeparator" w:id="0">
    <w:p w14:paraId="5E812C7F" w14:textId="77777777" w:rsidR="003374E4" w:rsidRDefault="003374E4">
      <w:r>
        <w:continuationSeparator/>
      </w:r>
    </w:p>
  </w:footnote>
  <w:footnote w:type="continuationNotice" w:id="1">
    <w:p w14:paraId="19EBA544" w14:textId="77777777" w:rsidR="003374E4" w:rsidRDefault="003374E4">
      <w:pPr>
        <w:spacing w:after="0" w:line="240" w:lineRule="auto"/>
      </w:pPr>
    </w:p>
  </w:footnote>
  <w:footnote w:id="2">
    <w:p w14:paraId="7874AA92" w14:textId="376EC2A5" w:rsidR="000C010B" w:rsidRDefault="000C010B" w:rsidP="00CC06AD">
      <w:pPr>
        <w:pStyle w:val="FootnoteText"/>
        <w:spacing w:after="60" w:line="240" w:lineRule="auto"/>
      </w:pPr>
      <w:r>
        <w:rPr>
          <w:rStyle w:val="FootnoteReference"/>
        </w:rPr>
        <w:footnoteRef/>
      </w:r>
      <w:r>
        <w:t xml:space="preserve"> Section 23 also provides that the Act does not apply to certain foreign space objects, vessels and aircraft.</w:t>
      </w:r>
    </w:p>
  </w:footnote>
  <w:footnote w:id="3">
    <w:p w14:paraId="7DE52261" w14:textId="191BAE61" w:rsidR="000C010B" w:rsidRPr="00E02500" w:rsidRDefault="000C010B" w:rsidP="00CC06AD">
      <w:pPr>
        <w:pStyle w:val="FootnoteText"/>
        <w:spacing w:after="0" w:line="240" w:lineRule="auto"/>
      </w:pPr>
      <w:r w:rsidRPr="00E02500">
        <w:rPr>
          <w:rStyle w:val="FootnoteReference"/>
        </w:rPr>
        <w:footnoteRef/>
      </w:r>
      <w:r w:rsidRPr="00E02500">
        <w:t xml:space="preserve"> </w:t>
      </w:r>
      <w:r w:rsidRPr="00280AE9">
        <w:t xml:space="preserve">Although the motivations of </w:t>
      </w:r>
      <w:r w:rsidR="005F4CB1">
        <w:t>people</w:t>
      </w:r>
      <w:r w:rsidR="005F4CB1" w:rsidRPr="00280AE9">
        <w:t xml:space="preserve"> </w:t>
      </w:r>
      <w:r>
        <w:t xml:space="preserve">seeking to use </w:t>
      </w:r>
      <w:r w:rsidRPr="00280AE9">
        <w:t>jamming devices are varied and complex</w:t>
      </w:r>
      <w:r>
        <w:t>,</w:t>
      </w:r>
      <w:r w:rsidRPr="00280AE9">
        <w:t xml:space="preserve"> </w:t>
      </w:r>
      <w:r w:rsidRPr="00E02500">
        <w:t xml:space="preserve">‘Illegal jamming of both cellular spectrum and GPS spectrum is an unfortunate growing trend in industrialised countries. While the sociology of this jamming is complex, a key motivator seems to be perceptions in society that some of today’s wireless technology […] is seen by others in our communities as invading personal privacy. (Jamming motivated by direct personal gain, on the other hand, appears to be rare.)’ Marcus, M. J. (2014). Spectrum Policy Challenges of UAV/Drones [Spectrum Policy and Regulatory Issues]. </w:t>
      </w:r>
      <w:r w:rsidRPr="00E02500">
        <w:rPr>
          <w:i/>
          <w:iCs/>
        </w:rPr>
        <w:t>IEEE Wireless Communications</w:t>
      </w:r>
      <w:r w:rsidRPr="00E02500">
        <w:t xml:space="preserve"> 21: 5, p. 8.</w:t>
      </w:r>
      <w:r>
        <w:t xml:space="preserve"> </w:t>
      </w:r>
    </w:p>
  </w:footnote>
  <w:footnote w:id="4">
    <w:p w14:paraId="15E8958C" w14:textId="77777777" w:rsidR="000C010B" w:rsidRPr="00E02500" w:rsidRDefault="000C010B" w:rsidP="00F273F8">
      <w:pPr>
        <w:pStyle w:val="FootnoteText"/>
        <w:spacing w:after="60" w:line="240" w:lineRule="auto"/>
        <w:rPr>
          <w:i/>
          <w:iCs/>
        </w:rPr>
      </w:pPr>
      <w:r w:rsidRPr="00E02500">
        <w:rPr>
          <w:rStyle w:val="FootnoteReference"/>
        </w:rPr>
        <w:footnoteRef/>
      </w:r>
      <w:r w:rsidRPr="00E02500">
        <w:t xml:space="preserve"> </w:t>
      </w:r>
      <w:hyperlink r:id="rId1" w:history="1">
        <w:r w:rsidRPr="00E325A7">
          <w:rPr>
            <w:rStyle w:val="Hyperlink"/>
            <w:iCs/>
          </w:rPr>
          <w:t>Notification that the Australian Communications and Media Authority prohibits the operation or supply, or possession for the purpose of operation or supply, of specified devices</w:t>
        </w:r>
        <w:r w:rsidRPr="00E325A7">
          <w:rPr>
            <w:rStyle w:val="Hyperlink"/>
            <w:iCs/>
            <w:color w:val="auto"/>
            <w:u w:val="none"/>
          </w:rPr>
          <w:t>.</w:t>
        </w:r>
      </w:hyperlink>
    </w:p>
  </w:footnote>
  <w:footnote w:id="5">
    <w:p w14:paraId="16BDE751" w14:textId="3441AC5D" w:rsidR="000C010B" w:rsidRPr="00E02500" w:rsidRDefault="000C010B" w:rsidP="00F273F8">
      <w:pPr>
        <w:pStyle w:val="FootnoteText"/>
        <w:spacing w:after="60" w:line="240" w:lineRule="auto"/>
      </w:pPr>
      <w:r w:rsidRPr="00E02500">
        <w:rPr>
          <w:rStyle w:val="FootnoteReference"/>
        </w:rPr>
        <w:footnoteRef/>
      </w:r>
      <w:r w:rsidRPr="00E02500">
        <w:t xml:space="preserve"> See </w:t>
      </w:r>
      <w:r>
        <w:t xml:space="preserve">AMTA </w:t>
      </w:r>
      <w:r w:rsidRPr="00E02500">
        <w:t>submission</w:t>
      </w:r>
      <w:r>
        <w:t xml:space="preserve"> to IFC4/2019</w:t>
      </w:r>
      <w:r w:rsidRPr="00E02500">
        <w:t xml:space="preserve"> at </w:t>
      </w:r>
      <w:hyperlink r:id="rId2" w:history="1">
        <w:r>
          <w:rPr>
            <w:rStyle w:val="Hyperlink"/>
          </w:rPr>
          <w:t>https://www.acma.gov.au/consultations/2019-08/proposed-exemption-facilitate-australian-federal-police-afp-use-drone-jamming-devices-consultation-042019</w:t>
        </w:r>
      </w:hyperlink>
      <w:r w:rsidR="00F273F8" w:rsidRPr="00E325A7">
        <w:rPr>
          <w:rStyle w:val="Hyperlink"/>
          <w:color w:val="auto"/>
          <w:u w:val="none"/>
        </w:rPr>
        <w:t>.</w:t>
      </w:r>
    </w:p>
  </w:footnote>
  <w:footnote w:id="6">
    <w:p w14:paraId="0E5FBE88" w14:textId="2F68EDB1" w:rsidR="000C010B" w:rsidRPr="00E02500" w:rsidRDefault="000C010B" w:rsidP="00E325A7">
      <w:pPr>
        <w:pStyle w:val="FootnoteText"/>
        <w:spacing w:after="0" w:line="240" w:lineRule="auto"/>
      </w:pPr>
      <w:r w:rsidRPr="00E02500">
        <w:rPr>
          <w:rStyle w:val="FootnoteReference"/>
        </w:rPr>
        <w:footnoteRef/>
      </w:r>
      <w:r w:rsidRPr="00E02500">
        <w:t xml:space="preserve"> See </w:t>
      </w:r>
      <w:r>
        <w:t xml:space="preserve">AMTA and Optus </w:t>
      </w:r>
      <w:r w:rsidRPr="00E02500">
        <w:t>submissions</w:t>
      </w:r>
      <w:r>
        <w:t xml:space="preserve"> to IFC4/2019 at</w:t>
      </w:r>
      <w:r w:rsidRPr="00E02500">
        <w:t xml:space="preserve"> </w:t>
      </w:r>
      <w:hyperlink r:id="rId3" w:history="1">
        <w:r w:rsidRPr="009611D8">
          <w:rPr>
            <w:rStyle w:val="Hyperlink"/>
          </w:rPr>
          <w:t>https://www.acma.gov.au/consultations/2019-08/proposed-exemption-facilitate-australian-federal-police-afp-use-drone-jamming-devices-consultation-042019</w:t>
        </w:r>
      </w:hyperlink>
      <w:r w:rsidR="00F273F8" w:rsidRPr="005D2150">
        <w:rPr>
          <w:rStyle w:val="Hyperlink"/>
          <w:color w:val="auto"/>
          <w:u w:val="none"/>
        </w:rPr>
        <w:t>.</w:t>
      </w:r>
      <w:r w:rsidRPr="00E02500" w:rsidDel="009611D8">
        <w:t xml:space="preserve"> </w:t>
      </w:r>
    </w:p>
  </w:footnote>
  <w:footnote w:id="7">
    <w:p w14:paraId="4677E2CD" w14:textId="77777777" w:rsidR="000C010B" w:rsidRPr="00E02500" w:rsidRDefault="000C010B" w:rsidP="00F273F8">
      <w:pPr>
        <w:pStyle w:val="FootnoteText"/>
        <w:spacing w:after="60" w:line="240" w:lineRule="auto"/>
      </w:pPr>
      <w:r w:rsidRPr="00E02500">
        <w:rPr>
          <w:rStyle w:val="FootnoteReference"/>
        </w:rPr>
        <w:footnoteRef/>
      </w:r>
      <w:r w:rsidRPr="00E02500">
        <w:t xml:space="preserve"> Similarly understood as ‘Progressive expansion in the coverage of a regulation over time,’ leading to a scenario where regulations ‘catch more activity than originally intended.’ Productivity Commission (2006), </w:t>
      </w:r>
      <w:hyperlink r:id="rId4" w:history="1">
        <w:r w:rsidRPr="00E02500">
          <w:rPr>
            <w:rStyle w:val="Hyperlink"/>
            <w:i/>
            <w:iCs/>
          </w:rPr>
          <w:t>Rethinking Regulation: Report of the Taskforce on Reducing Regulatory Burden on Business</w:t>
        </w:r>
      </w:hyperlink>
      <w:r w:rsidRPr="00E02500">
        <w:t>, p. 19 &amp; iii.</w:t>
      </w:r>
    </w:p>
  </w:footnote>
  <w:footnote w:id="8">
    <w:p w14:paraId="0044AD37" w14:textId="77777777" w:rsidR="000C010B" w:rsidRPr="00E02500" w:rsidRDefault="000C010B" w:rsidP="00F273F8">
      <w:pPr>
        <w:pStyle w:val="FootnoteText"/>
        <w:spacing w:after="60" w:line="240" w:lineRule="auto"/>
      </w:pPr>
      <w:r w:rsidRPr="00E02500">
        <w:rPr>
          <w:rStyle w:val="FootnoteReference"/>
        </w:rPr>
        <w:footnoteRef/>
      </w:r>
      <w:r w:rsidRPr="00E02500">
        <w:t xml:space="preserve"> See Lambert, T. A. (2017), </w:t>
      </w:r>
      <w:r w:rsidRPr="00E02500">
        <w:rPr>
          <w:i/>
          <w:iCs/>
        </w:rPr>
        <w:t>How to Regulate: A Guide for Policymakers</w:t>
      </w:r>
      <w:r w:rsidRPr="00E02500">
        <w:t>. Cambridge: Cambridge University Press.</w:t>
      </w:r>
    </w:p>
  </w:footnote>
  <w:footnote w:id="9">
    <w:p w14:paraId="5DACBDC5" w14:textId="29B2415B" w:rsidR="000C010B" w:rsidRPr="00F35442" w:rsidRDefault="000C010B" w:rsidP="00AD2271">
      <w:pPr>
        <w:pStyle w:val="FootnoteText"/>
        <w:spacing w:after="0" w:line="240" w:lineRule="auto"/>
        <w:rPr>
          <w:b/>
          <w:bCs/>
        </w:rPr>
      </w:pPr>
      <w:r>
        <w:rPr>
          <w:rStyle w:val="FootnoteReference"/>
        </w:rPr>
        <w:footnoteRef/>
      </w:r>
      <w:r>
        <w:t xml:space="preserve"> See </w:t>
      </w:r>
      <w:hyperlink r:id="rId5" w:history="1">
        <w:r w:rsidRPr="00795650">
          <w:rPr>
            <w:rStyle w:val="Hyperlink"/>
          </w:rPr>
          <w:t>https://www.legislation.gov.au/Details/F2018L00186/Explanatory%20Statement/Text</w:t>
        </w:r>
      </w:hyperlink>
      <w:r w:rsidR="00F273F8" w:rsidRPr="005D2150">
        <w:rPr>
          <w:rStyle w:val="Hyperlink"/>
          <w:color w:val="auto"/>
          <w:u w:val="none"/>
        </w:rPr>
        <w:t>.</w:t>
      </w:r>
    </w:p>
  </w:footnote>
  <w:footnote w:id="10">
    <w:p w14:paraId="3FF7ABCF" w14:textId="12AFE4E9" w:rsidR="000C010B" w:rsidRPr="00E02500" w:rsidRDefault="000C010B" w:rsidP="009D4134">
      <w:pPr>
        <w:pStyle w:val="FootnoteText"/>
        <w:spacing w:after="0" w:line="240" w:lineRule="auto"/>
      </w:pPr>
      <w:r w:rsidRPr="00E02500">
        <w:rPr>
          <w:vertAlign w:val="superscript"/>
        </w:rPr>
        <w:footnoteRef/>
      </w:r>
      <w:r w:rsidRPr="00E02500">
        <w:t xml:space="preserve"> </w:t>
      </w:r>
      <w:r>
        <w:t>S</w:t>
      </w:r>
      <w:r w:rsidRPr="00E02500">
        <w:t>uch persons include those who work on the device, or use services supplied by means of the device, or are reasonably likely to be affected by the operation of the device.</w:t>
      </w:r>
    </w:p>
  </w:footnote>
  <w:footnote w:id="11">
    <w:p w14:paraId="44471D75" w14:textId="14E0539A" w:rsidR="000C010B" w:rsidRDefault="000C010B" w:rsidP="00E419C1">
      <w:pPr>
        <w:pStyle w:val="FootnoteText"/>
        <w:spacing w:after="0" w:line="240" w:lineRule="auto"/>
      </w:pPr>
      <w:r>
        <w:rPr>
          <w:rStyle w:val="FootnoteReference"/>
        </w:rPr>
        <w:footnoteRef/>
      </w:r>
      <w:r>
        <w:t xml:space="preserve"> </w:t>
      </w:r>
      <w:r w:rsidRPr="00911515">
        <w:rPr>
          <w:rFonts w:cs="Arial"/>
        </w:rPr>
        <w:t xml:space="preserve">This is different to </w:t>
      </w:r>
      <w:r>
        <w:rPr>
          <w:rFonts w:cs="Arial"/>
        </w:rPr>
        <w:t>sub</w:t>
      </w:r>
      <w:r w:rsidRPr="00911515">
        <w:rPr>
          <w:rFonts w:cs="Arial"/>
        </w:rPr>
        <w:t>section 47</w:t>
      </w:r>
      <w:r>
        <w:rPr>
          <w:rFonts w:cs="Arial"/>
        </w:rPr>
        <w:t>(1) of the Act</w:t>
      </w:r>
      <w:r w:rsidRPr="00911515">
        <w:rPr>
          <w:rFonts w:cs="Arial"/>
        </w:rPr>
        <w:t xml:space="preserve">, </w:t>
      </w:r>
      <w:r w:rsidRPr="004351C0">
        <w:rPr>
          <w:rFonts w:cs="Arial"/>
        </w:rPr>
        <w:t xml:space="preserve">which </w:t>
      </w:r>
      <w:r w:rsidR="007F160B" w:rsidRPr="004351C0">
        <w:rPr>
          <w:rFonts w:cs="Arial"/>
        </w:rPr>
        <w:t xml:space="preserve">states </w:t>
      </w:r>
      <w:r w:rsidRPr="004351C0">
        <w:rPr>
          <w:rFonts w:cs="Arial"/>
        </w:rPr>
        <w:t xml:space="preserve">that possession </w:t>
      </w:r>
      <w:r w:rsidR="003E298C" w:rsidRPr="004351C0">
        <w:rPr>
          <w:rFonts w:cs="Arial"/>
        </w:rPr>
        <w:t xml:space="preserve">of an unlicensed radiocommunications device </w:t>
      </w:r>
      <w:r w:rsidRPr="004351C0">
        <w:rPr>
          <w:rFonts w:cs="Arial"/>
        </w:rPr>
        <w:t xml:space="preserve">for the purpose of </w:t>
      </w:r>
      <w:r w:rsidRPr="004351C0">
        <w:rPr>
          <w:rFonts w:cs="Arial"/>
          <w:i/>
          <w:iCs/>
        </w:rPr>
        <w:t>operation</w:t>
      </w:r>
      <w:r w:rsidRPr="004351C0">
        <w:rPr>
          <w:rFonts w:cs="Arial"/>
        </w:rPr>
        <w:t xml:space="preserve"> is an offence,</w:t>
      </w:r>
      <w:r w:rsidR="007539FF" w:rsidRPr="004351C0">
        <w:rPr>
          <w:rFonts w:cs="Arial"/>
        </w:rPr>
        <w:t xml:space="preserve"> </w:t>
      </w:r>
      <w:r w:rsidRPr="004351C0">
        <w:rPr>
          <w:rFonts w:cs="Arial"/>
        </w:rPr>
        <w:t xml:space="preserve">but </w:t>
      </w:r>
      <w:r w:rsidR="00FC0EDF" w:rsidRPr="004351C0">
        <w:rPr>
          <w:rFonts w:cs="Arial"/>
        </w:rPr>
        <w:t xml:space="preserve">does not </w:t>
      </w:r>
      <w:r w:rsidR="00E16264" w:rsidRPr="004351C0">
        <w:rPr>
          <w:rFonts w:cs="Arial"/>
        </w:rPr>
        <w:t xml:space="preserve">state that </w:t>
      </w:r>
      <w:r w:rsidRPr="004351C0">
        <w:rPr>
          <w:rFonts w:cs="Arial"/>
        </w:rPr>
        <w:t xml:space="preserve">possession for the purpose of </w:t>
      </w:r>
      <w:r w:rsidRPr="004351C0">
        <w:rPr>
          <w:rFonts w:cs="Arial"/>
          <w:i/>
          <w:iCs/>
        </w:rPr>
        <w:t>supply</w:t>
      </w:r>
      <w:r w:rsidRPr="004351C0">
        <w:rPr>
          <w:rFonts w:cs="Arial"/>
        </w:rPr>
        <w:t xml:space="preserve"> </w:t>
      </w:r>
      <w:r w:rsidR="0079461A" w:rsidRPr="004351C0">
        <w:rPr>
          <w:rFonts w:cs="Arial"/>
        </w:rPr>
        <w:t xml:space="preserve">is </w:t>
      </w:r>
      <w:r w:rsidRPr="004351C0">
        <w:rPr>
          <w:rFonts w:cs="Arial"/>
        </w:rPr>
        <w:t>an offence.</w:t>
      </w:r>
    </w:p>
  </w:footnote>
  <w:footnote w:id="12">
    <w:p w14:paraId="2A01F4E0" w14:textId="2D732919" w:rsidR="000C010B" w:rsidRDefault="000C010B" w:rsidP="00CA3CF0">
      <w:pPr>
        <w:pStyle w:val="FootnoteText"/>
        <w:spacing w:after="60" w:line="240" w:lineRule="auto"/>
      </w:pPr>
      <w:r>
        <w:rPr>
          <w:rStyle w:val="FootnoteReference"/>
        </w:rPr>
        <w:footnoteRef/>
      </w:r>
      <w:r>
        <w:t xml:space="preserve"> </w:t>
      </w:r>
      <w:r>
        <w:rPr>
          <w:rFonts w:cs="Arial"/>
        </w:rPr>
        <w:t>Under the ACMA’s ‘no protection’ policy,</w:t>
      </w:r>
      <w:r>
        <w:t xml:space="preserve"> devices operating under the LIPD </w:t>
      </w:r>
      <w:r w:rsidR="00C00074">
        <w:t>c</w:t>
      </w:r>
      <w:r>
        <w:t xml:space="preserve">lass </w:t>
      </w:r>
      <w:r w:rsidR="00C00074">
        <w:t>l</w:t>
      </w:r>
      <w:r>
        <w:t xml:space="preserve">icence are not afforded protection from interference that may be caused by industrial, scientific and medical (ISM) applications in the ISM bands. This policy is consistent with </w:t>
      </w:r>
      <w:r w:rsidRPr="00FC1F58">
        <w:t>the requirements of international footnote reference</w:t>
      </w:r>
      <w:r>
        <w:t xml:space="preserve"> </w:t>
      </w:r>
      <w:r w:rsidRPr="00FC1F58">
        <w:t xml:space="preserve">150 in Part 4 of the </w:t>
      </w:r>
      <w:hyperlink r:id="rId6" w:history="1">
        <w:r w:rsidRPr="00283061">
          <w:rPr>
            <w:rStyle w:val="Hyperlink"/>
            <w:i/>
            <w:iCs/>
          </w:rPr>
          <w:t>Australian Radiofrequency Spectrum Plan 2017</w:t>
        </w:r>
      </w:hyperlink>
      <w:r>
        <w:t>.</w:t>
      </w:r>
    </w:p>
  </w:footnote>
  <w:footnote w:id="13">
    <w:p w14:paraId="18CF9879" w14:textId="315DF378" w:rsidR="000C010B" w:rsidRPr="00647A71" w:rsidRDefault="000C010B">
      <w:pPr>
        <w:pStyle w:val="FootnoteText"/>
        <w:spacing w:after="60" w:line="240" w:lineRule="auto"/>
      </w:pPr>
      <w:r w:rsidRPr="00E02500">
        <w:rPr>
          <w:rStyle w:val="FootnoteReference"/>
        </w:rPr>
        <w:footnoteRef/>
      </w:r>
      <w:r w:rsidRPr="00E02500">
        <w:t xml:space="preserve"> </w:t>
      </w:r>
      <w:r>
        <w:t xml:space="preserve">See </w:t>
      </w:r>
      <w:r w:rsidRPr="00E02500">
        <w:t xml:space="preserve">Cisco (2019), </w:t>
      </w:r>
      <w:hyperlink r:id="rId7" w:history="1">
        <w:r w:rsidRPr="00E02500">
          <w:rPr>
            <w:rStyle w:val="Hyperlink"/>
            <w:i/>
            <w:iCs/>
          </w:rPr>
          <w:t>Cisco Visual Networking Index: Global Mobile Data Traffic Forecast Update</w:t>
        </w:r>
      </w:hyperlink>
      <w:r w:rsidRPr="00E02500">
        <w:rPr>
          <w:i/>
          <w:iCs/>
        </w:rPr>
        <w:t>, 2017</w:t>
      </w:r>
      <w:r w:rsidR="00F27287">
        <w:rPr>
          <w:i/>
          <w:iCs/>
        </w:rPr>
        <w:t>–</w:t>
      </w:r>
      <w:r w:rsidRPr="00E02500">
        <w:rPr>
          <w:i/>
          <w:iCs/>
        </w:rPr>
        <w:t>2022</w:t>
      </w:r>
      <w:r>
        <w:t xml:space="preserve"> and </w:t>
      </w:r>
      <w:r w:rsidRPr="00E02500">
        <w:t xml:space="preserve">Mazar, H. (2016), </w:t>
      </w:r>
      <w:r w:rsidRPr="00E02500">
        <w:rPr>
          <w:i/>
          <w:iCs/>
        </w:rPr>
        <w:t>Radio Spectrum Management: Policies, Regulations and Techniques</w:t>
      </w:r>
      <w:r w:rsidRPr="00E02500">
        <w:t>. West Sussex: Wiley, p. 98</w:t>
      </w:r>
      <w:r>
        <w:rPr>
          <w:rFonts w:cs="Arial"/>
        </w:rPr>
        <w:t xml:space="preserve">, and ACMA (2019), </w:t>
      </w:r>
      <w:hyperlink r:id="rId8" w:history="1">
        <w:r>
          <w:rPr>
            <w:rStyle w:val="Hyperlink"/>
            <w:rFonts w:cs="Arial"/>
            <w:i/>
            <w:iCs/>
          </w:rPr>
          <w:t>Five-year spectrum outlook 2019</w:t>
        </w:r>
        <w:r w:rsidR="00F27287">
          <w:rPr>
            <w:rStyle w:val="Hyperlink"/>
            <w:rFonts w:cs="Arial"/>
            <w:i/>
            <w:iCs/>
          </w:rPr>
          <w:t>–</w:t>
        </w:r>
        <w:r>
          <w:rPr>
            <w:rStyle w:val="Hyperlink"/>
            <w:rFonts w:cs="Arial"/>
            <w:i/>
            <w:iCs/>
          </w:rPr>
          <w:t>23</w:t>
        </w:r>
      </w:hyperlink>
      <w:r>
        <w:rPr>
          <w:rFonts w:cs="Arial"/>
        </w:rPr>
        <w:t>, p. 21.</w:t>
      </w:r>
    </w:p>
  </w:footnote>
  <w:footnote w:id="14">
    <w:p w14:paraId="2E507691" w14:textId="21084A8F" w:rsidR="000C010B" w:rsidRPr="00E02500" w:rsidRDefault="000C010B">
      <w:pPr>
        <w:pStyle w:val="FootnoteText"/>
        <w:spacing w:after="60" w:line="240" w:lineRule="auto"/>
      </w:pPr>
      <w:r w:rsidRPr="00E02500">
        <w:rPr>
          <w:rStyle w:val="FootnoteReference"/>
        </w:rPr>
        <w:footnoteRef/>
      </w:r>
      <w:r w:rsidRPr="00E02500">
        <w:t xml:space="preserve"> See Chapter 1 and Part III of Cave, M. &amp; Webb, W. (2015). </w:t>
      </w:r>
      <w:r w:rsidRPr="00E02500">
        <w:rPr>
          <w:i/>
          <w:iCs/>
        </w:rPr>
        <w:t>Spectrum Management: Using the Airwaves for Maximum Social and Economic Benefit</w:t>
      </w:r>
      <w:r w:rsidRPr="00E02500">
        <w:t>. Cambridge: Cambridge University Press.</w:t>
      </w:r>
    </w:p>
  </w:footnote>
  <w:footnote w:id="15">
    <w:p w14:paraId="5FE1701E" w14:textId="41DE4147" w:rsidR="000C010B" w:rsidRPr="00E02500" w:rsidRDefault="000C010B">
      <w:pPr>
        <w:pStyle w:val="FootnoteText"/>
        <w:spacing w:after="60" w:line="240" w:lineRule="auto"/>
      </w:pPr>
      <w:r w:rsidRPr="00E02500">
        <w:rPr>
          <w:rStyle w:val="FootnoteReference"/>
        </w:rPr>
        <w:footnoteRef/>
      </w:r>
      <w:r w:rsidRPr="00E02500">
        <w:t xml:space="preserve"> See </w:t>
      </w:r>
      <w:hyperlink r:id="rId9" w:history="1">
        <w:r>
          <w:rPr>
            <w:rStyle w:val="Hyperlink"/>
          </w:rPr>
          <w:t>https://www.acma.gov.au/consultations/2019-08/proposed-exemption-facilitate-australian-federal-police-afp-use-drone-jamming-devices-consultation-042019</w:t>
        </w:r>
      </w:hyperlink>
      <w:r w:rsidR="00F273F8" w:rsidRPr="005D2150">
        <w:rPr>
          <w:rStyle w:val="Hyperlink"/>
          <w:color w:val="auto"/>
          <w:u w:val="none"/>
        </w:rPr>
        <w:t>.</w:t>
      </w:r>
    </w:p>
  </w:footnote>
  <w:footnote w:id="16">
    <w:p w14:paraId="32C7D4AA" w14:textId="4DF5EF67" w:rsidR="000C010B" w:rsidRPr="00E02500" w:rsidRDefault="000C010B" w:rsidP="00F273F8">
      <w:pPr>
        <w:pStyle w:val="FootnoteText"/>
        <w:spacing w:after="60" w:line="240" w:lineRule="auto"/>
      </w:pPr>
      <w:r w:rsidRPr="00E02500">
        <w:rPr>
          <w:rStyle w:val="FootnoteReference"/>
        </w:rPr>
        <w:footnoteRef/>
      </w:r>
      <w:r w:rsidRPr="00E02500">
        <w:t xml:space="preserve"> See </w:t>
      </w:r>
      <w:hyperlink r:id="rId10" w:history="1">
        <w:r w:rsidRPr="00E02500">
          <w:rPr>
            <w:rStyle w:val="Hyperlink"/>
          </w:rPr>
          <w:t>https://www.legislation.gov.au/Details/F2011L00346/Explanatory%20Statement/Text</w:t>
        </w:r>
      </w:hyperlink>
      <w:r w:rsidR="00921A49" w:rsidRPr="00896381">
        <w:rPr>
          <w:rStyle w:val="Hyperlink"/>
          <w:color w:val="auto"/>
          <w:u w:val="none"/>
        </w:rPr>
        <w:t>.</w:t>
      </w:r>
    </w:p>
  </w:footnote>
  <w:footnote w:id="17">
    <w:p w14:paraId="4FF797F0" w14:textId="61DC2379" w:rsidR="000C010B" w:rsidRPr="00E02500" w:rsidRDefault="000C010B" w:rsidP="00F273F8">
      <w:pPr>
        <w:spacing w:after="60" w:line="240" w:lineRule="auto"/>
        <w:rPr>
          <w:rFonts w:cstheme="minorHAnsi"/>
          <w:sz w:val="16"/>
          <w:szCs w:val="16"/>
        </w:rPr>
      </w:pPr>
      <w:r w:rsidRPr="00E02500">
        <w:rPr>
          <w:rStyle w:val="FootnoteReference"/>
          <w:sz w:val="16"/>
          <w:szCs w:val="16"/>
        </w:rPr>
        <w:footnoteRef/>
      </w:r>
      <w:r w:rsidRPr="00E02500">
        <w:rPr>
          <w:sz w:val="16"/>
          <w:szCs w:val="16"/>
        </w:rPr>
        <w:t xml:space="preserve"> </w:t>
      </w:r>
      <w:r w:rsidRPr="00E02500">
        <w:rPr>
          <w:rFonts w:cstheme="minorHAnsi"/>
          <w:sz w:val="16"/>
          <w:szCs w:val="16"/>
        </w:rPr>
        <w:t xml:space="preserve">For policy reasons, exemption determinations may also expire before the sunsetting period. The </w:t>
      </w:r>
      <w:hyperlink r:id="rId11" w:history="1">
        <w:r w:rsidRPr="00E02500">
          <w:rPr>
            <w:rStyle w:val="Hyperlink"/>
            <w:rFonts w:cstheme="minorHAnsi"/>
            <w:sz w:val="16"/>
            <w:szCs w:val="16"/>
          </w:rPr>
          <w:t>Radiocommunications (Testing and Field Trial by Corrective Services NSW of PMTS Jamming Devices at Goulburn Correctional Complex) Exemption Determination 2016</w:t>
        </w:r>
      </w:hyperlink>
      <w:r w:rsidRPr="00E02500">
        <w:rPr>
          <w:rFonts w:cstheme="minorHAnsi"/>
          <w:sz w:val="16"/>
          <w:szCs w:val="16"/>
        </w:rPr>
        <w:t xml:space="preserve"> contains an expiry provision with the purpose of limiting the duration of a field trial of PMTS jamming devices to a maximum of two years. See </w:t>
      </w:r>
      <w:hyperlink r:id="rId12" w:history="1">
        <w:r w:rsidRPr="00E02500">
          <w:rPr>
            <w:rStyle w:val="Hyperlink"/>
            <w:sz w:val="16"/>
            <w:szCs w:val="16"/>
          </w:rPr>
          <w:t>https://www.legislation.gov.au/Details/F2016L01286/Explanatory%20Statement/Text</w:t>
        </w:r>
      </w:hyperlink>
      <w:r w:rsidRPr="00E02500">
        <w:rPr>
          <w:sz w:val="16"/>
          <w:szCs w:val="16"/>
        </w:rPr>
        <w:t>.</w:t>
      </w:r>
      <w:r w:rsidRPr="00E02500">
        <w:rPr>
          <w:rStyle w:val="FootnoteReference"/>
          <w:rFonts w:cstheme="minorHAnsi"/>
          <w:sz w:val="16"/>
          <w:szCs w:val="16"/>
        </w:rPr>
        <w:t xml:space="preserve"> </w:t>
      </w:r>
      <w:r w:rsidRPr="00E02500">
        <w:rPr>
          <w:rFonts w:cstheme="minorHAnsi"/>
          <w:sz w:val="16"/>
          <w:szCs w:val="16"/>
        </w:rPr>
        <w:t xml:space="preserve">The </w:t>
      </w:r>
      <w:hyperlink r:id="rId13" w:history="1">
        <w:r w:rsidRPr="00E02500">
          <w:rPr>
            <w:rStyle w:val="Hyperlink"/>
            <w:rFonts w:cstheme="minorHAnsi"/>
            <w:sz w:val="16"/>
            <w:szCs w:val="16"/>
          </w:rPr>
          <w:t>Radiocommunications (Unmanned Aircraft and Unmanned Aircraft Systems) Exemption Determination 2019</w:t>
        </w:r>
      </w:hyperlink>
      <w:r w:rsidRPr="00E02500">
        <w:rPr>
          <w:rFonts w:cstheme="minorHAnsi"/>
          <w:sz w:val="16"/>
          <w:szCs w:val="16"/>
        </w:rPr>
        <w:t xml:space="preserve"> expires after two years, with the ACMA noting in its consultation on the instrument that drones are a new and rapidly evolving technology, presenting a range of policy and regulatory challenges. Additionally, counter-drone technology and regulatory arrangements will continue to evolve over time. See </w:t>
      </w:r>
      <w:hyperlink r:id="rId14" w:history="1">
        <w:r w:rsidRPr="00F73D7A">
          <w:rPr>
            <w:rStyle w:val="Hyperlink"/>
            <w:rFonts w:cstheme="minorHAnsi"/>
            <w:sz w:val="16"/>
            <w:szCs w:val="16"/>
          </w:rPr>
          <w:t>https://www.acma.gov.au/consultations/2019-08/proposed-exemption-facilitate-australian-federal-police-afp-use-drone-jamming-devices-consultation-042019</w:t>
        </w:r>
      </w:hyperlink>
      <w:r w:rsidR="0071410C" w:rsidRPr="00C45DE4">
        <w:rPr>
          <w:rStyle w:val="Hyperlink"/>
          <w:rFonts w:cstheme="minorHAnsi"/>
          <w:color w:val="auto"/>
          <w:sz w:val="16"/>
          <w:szCs w:val="16"/>
          <w:u w:val="none"/>
        </w:rPr>
        <w:t>.</w:t>
      </w:r>
    </w:p>
  </w:footnote>
  <w:footnote w:id="18">
    <w:p w14:paraId="688CBACA" w14:textId="77777777" w:rsidR="000C010B" w:rsidRPr="00E02500" w:rsidRDefault="000C010B" w:rsidP="00F273F8">
      <w:pPr>
        <w:spacing w:after="60" w:line="240" w:lineRule="auto"/>
        <w:rPr>
          <w:rFonts w:cstheme="minorHAnsi"/>
          <w:sz w:val="16"/>
          <w:szCs w:val="16"/>
        </w:rPr>
      </w:pPr>
      <w:r w:rsidRPr="00E02500">
        <w:rPr>
          <w:rStyle w:val="FootnoteReference"/>
          <w:sz w:val="16"/>
          <w:szCs w:val="16"/>
        </w:rPr>
        <w:footnoteRef/>
      </w:r>
      <w:r w:rsidRPr="00E02500">
        <w:rPr>
          <w:sz w:val="16"/>
          <w:szCs w:val="16"/>
        </w:rPr>
        <w:t xml:space="preserve"> </w:t>
      </w:r>
      <w:hyperlink r:id="rId15" w:history="1">
        <w:r w:rsidRPr="00E02500">
          <w:rPr>
            <w:rStyle w:val="Hyperlink"/>
            <w:rFonts w:cstheme="minorHAnsi"/>
            <w:sz w:val="16"/>
            <w:szCs w:val="16"/>
          </w:rPr>
          <w:t>Radiocommunications (Australian Federal Police - Visiting Dignitary) Exemption Determination 2016</w:t>
        </w:r>
      </w:hyperlink>
      <w:r w:rsidRPr="00E02500">
        <w:rPr>
          <w:rFonts w:cstheme="minorHAnsi"/>
          <w:sz w:val="16"/>
          <w:szCs w:val="16"/>
        </w:rPr>
        <w:t xml:space="preserve">, </w:t>
      </w:r>
      <w:hyperlink r:id="rId16" w:history="1">
        <w:r w:rsidRPr="00E02500">
          <w:rPr>
            <w:rStyle w:val="Hyperlink"/>
            <w:rFonts w:cstheme="minorHAnsi"/>
            <w:sz w:val="16"/>
            <w:szCs w:val="16"/>
          </w:rPr>
          <w:t>Radiocommunications (Australian Federal Police – Visiting Dignitary) Exemption Determination 2017</w:t>
        </w:r>
      </w:hyperlink>
      <w:r w:rsidRPr="00E02500">
        <w:rPr>
          <w:rFonts w:cstheme="minorHAnsi"/>
          <w:sz w:val="16"/>
          <w:szCs w:val="16"/>
        </w:rPr>
        <w:t xml:space="preserve">, and </w:t>
      </w:r>
      <w:hyperlink r:id="rId17" w:history="1">
        <w:r w:rsidRPr="00E02500">
          <w:rPr>
            <w:rStyle w:val="Hyperlink"/>
            <w:rFonts w:cstheme="minorHAnsi"/>
            <w:sz w:val="16"/>
            <w:szCs w:val="16"/>
          </w:rPr>
          <w:t>Radiocommunications (Australian Federal Police – Visiting Dignitary) Exemption Determination 2018</w:t>
        </w:r>
      </w:hyperlink>
      <w:r w:rsidRPr="00E02500">
        <w:rPr>
          <w:rFonts w:cstheme="minorHAnsi"/>
          <w:sz w:val="16"/>
          <w:szCs w:val="16"/>
        </w:rPr>
        <w:t>.</w:t>
      </w:r>
    </w:p>
  </w:footnote>
  <w:footnote w:id="19">
    <w:p w14:paraId="2323BE21" w14:textId="404AA09E" w:rsidR="000C010B" w:rsidRPr="00E02500" w:rsidRDefault="000C010B" w:rsidP="00F273F8">
      <w:pPr>
        <w:pStyle w:val="FootnoteText"/>
        <w:spacing w:after="60" w:line="240" w:lineRule="auto"/>
      </w:pPr>
      <w:r w:rsidRPr="00E02500">
        <w:rPr>
          <w:rStyle w:val="FootnoteReference"/>
        </w:rPr>
        <w:footnoteRef/>
      </w:r>
      <w:r w:rsidRPr="00E02500">
        <w:t xml:space="preserve"> </w:t>
      </w:r>
      <w:r w:rsidRPr="00D03350">
        <w:t xml:space="preserve">See Optus submission to IFC4/2019 at </w:t>
      </w:r>
      <w:hyperlink r:id="rId18" w:history="1">
        <w:r w:rsidRPr="00D03350">
          <w:rPr>
            <w:rStyle w:val="Hyperlink"/>
          </w:rPr>
          <w:t>https://www.acma.gov.au/consultations/2019-08/proposed-exemption-facilitate-australian-federal-police-afp-use-drone-jamming-devices-consultation-042019</w:t>
        </w:r>
      </w:hyperlink>
      <w:r w:rsidR="00BD26F2" w:rsidRPr="00C45DE4">
        <w:rPr>
          <w:rStyle w:val="Hyperlink"/>
          <w:color w:val="auto"/>
          <w:u w:val="none"/>
        </w:rPr>
        <w:t>.</w:t>
      </w:r>
      <w:r w:rsidRPr="00BD26F2" w:rsidDel="009611D8">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F9D111" w14:textId="77777777" w:rsidR="00562074" w:rsidRPr="00A5474E" w:rsidRDefault="00562074" w:rsidP="00562074">
    <w:pPr>
      <w:pStyle w:val="Header"/>
    </w:pPr>
    <w:r>
      <w:rPr>
        <w:noProof/>
      </w:rPr>
      <w:drawing>
        <wp:inline distT="0" distB="0" distL="0" distR="0" wp14:anchorId="73D6733B" wp14:editId="050F9A98">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05F465C9" w14:textId="5F7DF3AB" w:rsidR="000C010B" w:rsidRPr="00562074" w:rsidRDefault="000C010B" w:rsidP="005620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8F9956" w14:textId="28C0A992" w:rsidR="000C010B" w:rsidRPr="00A5474E" w:rsidRDefault="000C010B"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9729D" w14:textId="2CFA35F7" w:rsidR="000C010B" w:rsidRDefault="000C01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1D5736" w14:textId="15F4FEBB" w:rsidR="000C010B" w:rsidRDefault="000C010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CB109" w14:textId="010B63A4" w:rsidR="000C010B" w:rsidRDefault="000C010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0C010B" w14:paraId="441967AB" w14:textId="77777777" w:rsidTr="00830E78">
      <w:trPr>
        <w:trHeight w:hRule="exact" w:val="988"/>
      </w:trPr>
      <w:tc>
        <w:tcPr>
          <w:tcW w:w="7678" w:type="dxa"/>
          <w:shd w:val="clear" w:color="auto" w:fill="auto"/>
        </w:tcPr>
        <w:p w14:paraId="13AF388E" w14:textId="77777777" w:rsidR="000C010B" w:rsidRDefault="000C010B" w:rsidP="00971914">
          <w:pPr>
            <w:pStyle w:val="Header"/>
          </w:pPr>
        </w:p>
      </w:tc>
    </w:tr>
    <w:tr w:rsidR="000C010B" w14:paraId="3E9D545E" w14:textId="77777777" w:rsidTr="00830E78">
      <w:tc>
        <w:tcPr>
          <w:tcW w:w="7678" w:type="dxa"/>
          <w:shd w:val="clear" w:color="auto" w:fill="auto"/>
        </w:tcPr>
        <w:p w14:paraId="1DAADAEC" w14:textId="77777777" w:rsidR="000C010B" w:rsidRDefault="000C010B" w:rsidP="00971914">
          <w:pPr>
            <w:pStyle w:val="GridTable31"/>
          </w:pPr>
          <w:r>
            <w:t xml:space="preserve">Contents </w:t>
          </w:r>
          <w:r w:rsidRPr="00915B1C">
            <w:rPr>
              <w:b w:val="0"/>
              <w:spacing w:val="0"/>
              <w:sz w:val="28"/>
              <w:szCs w:val="28"/>
            </w:rPr>
            <w:t>(Continued)</w:t>
          </w:r>
        </w:p>
      </w:tc>
    </w:tr>
    <w:tr w:rsidR="000C010B" w14:paraId="7233E93B" w14:textId="77777777" w:rsidTr="00830E78">
      <w:trPr>
        <w:trHeight w:val="1220"/>
      </w:trPr>
      <w:tc>
        <w:tcPr>
          <w:tcW w:w="7678" w:type="dxa"/>
          <w:shd w:val="clear" w:color="auto" w:fill="auto"/>
        </w:tcPr>
        <w:p w14:paraId="34BA82AD" w14:textId="77777777" w:rsidR="000C010B" w:rsidRDefault="000C010B" w:rsidP="00971914"/>
      </w:tc>
    </w:tr>
  </w:tbl>
  <w:p w14:paraId="4C877A17" w14:textId="229CC820" w:rsidR="000C010B" w:rsidRDefault="000C010B"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0C010B" w14:paraId="0AAEC5C9" w14:textId="77777777" w:rsidTr="00830E78">
      <w:trPr>
        <w:trHeight w:hRule="exact" w:val="988"/>
      </w:trPr>
      <w:tc>
        <w:tcPr>
          <w:tcW w:w="7678" w:type="dxa"/>
          <w:shd w:val="clear" w:color="auto" w:fill="auto"/>
        </w:tcPr>
        <w:p w14:paraId="7A7F8F70" w14:textId="77777777" w:rsidR="000C010B" w:rsidRDefault="000C010B" w:rsidP="00971914">
          <w:pPr>
            <w:pStyle w:val="Header"/>
          </w:pPr>
        </w:p>
      </w:tc>
    </w:tr>
    <w:tr w:rsidR="000C010B" w14:paraId="392AE054" w14:textId="77777777" w:rsidTr="00830E78">
      <w:tc>
        <w:tcPr>
          <w:tcW w:w="7678" w:type="dxa"/>
          <w:shd w:val="clear" w:color="auto" w:fill="auto"/>
        </w:tcPr>
        <w:p w14:paraId="6DE65A80" w14:textId="77777777" w:rsidR="000C010B" w:rsidRDefault="000C010B" w:rsidP="00971914">
          <w:pPr>
            <w:pStyle w:val="GridTable31"/>
          </w:pPr>
          <w:r>
            <w:t xml:space="preserve">Contents </w:t>
          </w:r>
          <w:r w:rsidRPr="00915B1C">
            <w:rPr>
              <w:b w:val="0"/>
              <w:spacing w:val="0"/>
              <w:sz w:val="28"/>
              <w:szCs w:val="28"/>
            </w:rPr>
            <w:t>(Continued)</w:t>
          </w:r>
        </w:p>
      </w:tc>
    </w:tr>
    <w:tr w:rsidR="000C010B" w14:paraId="63558C7D" w14:textId="77777777" w:rsidTr="00830E78">
      <w:trPr>
        <w:trHeight w:val="1220"/>
      </w:trPr>
      <w:tc>
        <w:tcPr>
          <w:tcW w:w="7678" w:type="dxa"/>
          <w:shd w:val="clear" w:color="auto" w:fill="auto"/>
        </w:tcPr>
        <w:p w14:paraId="3CECCBDC" w14:textId="77777777" w:rsidR="000C010B" w:rsidRDefault="000C010B" w:rsidP="00971914"/>
      </w:tc>
    </w:tr>
  </w:tbl>
  <w:p w14:paraId="63FB81E2" w14:textId="73B63C87" w:rsidR="000C010B" w:rsidRPr="00A5474E" w:rsidRDefault="000C010B"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E3C12E" w14:textId="77777777" w:rsidR="000C010B" w:rsidRPr="00A5474E" w:rsidRDefault="000C010B" w:rsidP="00EF0677">
    <w:pPr>
      <w:pStyle w:val="TOCHeading"/>
    </w:pPr>
    <w:r w:rsidRPr="0029593B">
      <w:t>Contents</w:t>
    </w:r>
  </w:p>
  <w:p w14:paraId="667DBB0E" w14:textId="72DCFB2C" w:rsidR="000C010B" w:rsidRDefault="000C01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4F92B" w14:textId="0BC7BF05" w:rsidR="000C010B" w:rsidRDefault="000C01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5B7CB7" w14:textId="08F7E91A" w:rsidR="000C010B" w:rsidRDefault="000C010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805D0" w14:textId="313CFD22" w:rsidR="000C010B" w:rsidRDefault="000C01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00E8E06"/>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96FE1E40"/>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E0246860"/>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86AAB664"/>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7F14C33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AA2275"/>
    <w:multiLevelType w:val="hybridMultilevel"/>
    <w:tmpl w:val="43384958"/>
    <w:lvl w:ilvl="0" w:tplc="44025504">
      <w:start w:val="1"/>
      <w:numFmt w:val="decimal"/>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DA2692D"/>
    <w:multiLevelType w:val="hybridMultilevel"/>
    <w:tmpl w:val="297AA4D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3E590F7D"/>
    <w:multiLevelType w:val="hybridMultilevel"/>
    <w:tmpl w:val="C046D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E9D14D6"/>
    <w:multiLevelType w:val="hybridMultilevel"/>
    <w:tmpl w:val="1A8CBB8A"/>
    <w:lvl w:ilvl="0" w:tplc="44025504">
      <w:start w:val="1"/>
      <w:numFmt w:val="decimal"/>
      <w:lvlText w:val="%1."/>
      <w:lvlJc w:val="left"/>
      <w:pPr>
        <w:ind w:left="360" w:hanging="360"/>
      </w:pPr>
      <w:rPr>
        <w:b/>
        <w:bCs/>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54D24DCE"/>
    <w:multiLevelType w:val="hybridMultilevel"/>
    <w:tmpl w:val="5F0852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10"/>
  </w:num>
  <w:num w:numId="6">
    <w:abstractNumId w:val="16"/>
  </w:num>
  <w:num w:numId="7">
    <w:abstractNumId w:val="14"/>
  </w:num>
  <w:num w:numId="8">
    <w:abstractNumId w:val="15"/>
  </w:num>
  <w:num w:numId="9">
    <w:abstractNumId w:val="17"/>
  </w:num>
  <w:num w:numId="10">
    <w:abstractNumId w:val="7"/>
  </w:num>
  <w:num w:numId="11">
    <w:abstractNumId w:val="6"/>
  </w:num>
  <w:num w:numId="12">
    <w:abstractNumId w:val="5"/>
  </w:num>
  <w:num w:numId="13">
    <w:abstractNumId w:val="4"/>
  </w:num>
  <w:num w:numId="14">
    <w:abstractNumId w:val="3"/>
  </w:num>
  <w:num w:numId="15">
    <w:abstractNumId w:val="13"/>
  </w:num>
  <w:num w:numId="16">
    <w:abstractNumId w:val="12"/>
  </w:num>
  <w:num w:numId="17">
    <w:abstractNumId w:val="8"/>
  </w:num>
  <w:num w:numId="18">
    <w:abstractNumId w:val="9"/>
  </w:num>
  <w:num w:numId="19">
    <w:abstractNumId w:val="11"/>
  </w:num>
  <w:num w:numId="20">
    <w:abstractNumId w:val="0"/>
  </w:num>
  <w:num w:numId="21">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E78"/>
    <w:rsid w:val="00000501"/>
    <w:rsid w:val="00001121"/>
    <w:rsid w:val="0000228A"/>
    <w:rsid w:val="000035FD"/>
    <w:rsid w:val="00003D79"/>
    <w:rsid w:val="00003EA5"/>
    <w:rsid w:val="00010667"/>
    <w:rsid w:val="000112EB"/>
    <w:rsid w:val="000129D5"/>
    <w:rsid w:val="00013779"/>
    <w:rsid w:val="00013E4D"/>
    <w:rsid w:val="00015397"/>
    <w:rsid w:val="00015AE7"/>
    <w:rsid w:val="00016B82"/>
    <w:rsid w:val="00016E21"/>
    <w:rsid w:val="00017108"/>
    <w:rsid w:val="0001719C"/>
    <w:rsid w:val="00017A7E"/>
    <w:rsid w:val="000209B7"/>
    <w:rsid w:val="00020AFA"/>
    <w:rsid w:val="00021C59"/>
    <w:rsid w:val="0002224E"/>
    <w:rsid w:val="00023E8C"/>
    <w:rsid w:val="00023EC1"/>
    <w:rsid w:val="00024286"/>
    <w:rsid w:val="000243DF"/>
    <w:rsid w:val="000245E5"/>
    <w:rsid w:val="00026F91"/>
    <w:rsid w:val="000308BB"/>
    <w:rsid w:val="000321EE"/>
    <w:rsid w:val="00033CA0"/>
    <w:rsid w:val="00034552"/>
    <w:rsid w:val="000364D2"/>
    <w:rsid w:val="000378E1"/>
    <w:rsid w:val="00041651"/>
    <w:rsid w:val="00043B6C"/>
    <w:rsid w:val="00044428"/>
    <w:rsid w:val="000461F5"/>
    <w:rsid w:val="00047078"/>
    <w:rsid w:val="0004764C"/>
    <w:rsid w:val="00047D0A"/>
    <w:rsid w:val="00050119"/>
    <w:rsid w:val="0005011A"/>
    <w:rsid w:val="0005045A"/>
    <w:rsid w:val="000514A1"/>
    <w:rsid w:val="00051C1E"/>
    <w:rsid w:val="0005270C"/>
    <w:rsid w:val="000533B5"/>
    <w:rsid w:val="000534BB"/>
    <w:rsid w:val="00053743"/>
    <w:rsid w:val="000539F9"/>
    <w:rsid w:val="00053FE1"/>
    <w:rsid w:val="00054A14"/>
    <w:rsid w:val="00054C27"/>
    <w:rsid w:val="00055B49"/>
    <w:rsid w:val="00055EC3"/>
    <w:rsid w:val="000563CE"/>
    <w:rsid w:val="00057128"/>
    <w:rsid w:val="00060DD0"/>
    <w:rsid w:val="00061AFA"/>
    <w:rsid w:val="00061BA1"/>
    <w:rsid w:val="00061BDC"/>
    <w:rsid w:val="00063575"/>
    <w:rsid w:val="000652B0"/>
    <w:rsid w:val="00065832"/>
    <w:rsid w:val="000659B6"/>
    <w:rsid w:val="0006686F"/>
    <w:rsid w:val="00066C08"/>
    <w:rsid w:val="0006722A"/>
    <w:rsid w:val="00067AC6"/>
    <w:rsid w:val="00070359"/>
    <w:rsid w:val="00070798"/>
    <w:rsid w:val="000708EF"/>
    <w:rsid w:val="000732CF"/>
    <w:rsid w:val="00073C7F"/>
    <w:rsid w:val="00073F31"/>
    <w:rsid w:val="00074ED2"/>
    <w:rsid w:val="00075B96"/>
    <w:rsid w:val="000765E2"/>
    <w:rsid w:val="00077415"/>
    <w:rsid w:val="00080456"/>
    <w:rsid w:val="0008140A"/>
    <w:rsid w:val="0008196A"/>
    <w:rsid w:val="000821E2"/>
    <w:rsid w:val="000833F8"/>
    <w:rsid w:val="000838C1"/>
    <w:rsid w:val="000839CB"/>
    <w:rsid w:val="00083C19"/>
    <w:rsid w:val="00083CD8"/>
    <w:rsid w:val="0008758B"/>
    <w:rsid w:val="000902D3"/>
    <w:rsid w:val="000915ED"/>
    <w:rsid w:val="0009209D"/>
    <w:rsid w:val="000933AD"/>
    <w:rsid w:val="00093890"/>
    <w:rsid w:val="0009511F"/>
    <w:rsid w:val="000969BD"/>
    <w:rsid w:val="000969BF"/>
    <w:rsid w:val="00097310"/>
    <w:rsid w:val="000978F7"/>
    <w:rsid w:val="00097D70"/>
    <w:rsid w:val="000A0894"/>
    <w:rsid w:val="000A0C22"/>
    <w:rsid w:val="000A0D86"/>
    <w:rsid w:val="000A0E35"/>
    <w:rsid w:val="000A1400"/>
    <w:rsid w:val="000A15D3"/>
    <w:rsid w:val="000A2D2E"/>
    <w:rsid w:val="000A2F12"/>
    <w:rsid w:val="000A30C7"/>
    <w:rsid w:val="000A3C43"/>
    <w:rsid w:val="000A3CCF"/>
    <w:rsid w:val="000A4563"/>
    <w:rsid w:val="000A48FE"/>
    <w:rsid w:val="000A4A51"/>
    <w:rsid w:val="000A5162"/>
    <w:rsid w:val="000A5D2B"/>
    <w:rsid w:val="000A651B"/>
    <w:rsid w:val="000B044A"/>
    <w:rsid w:val="000B0965"/>
    <w:rsid w:val="000B12D3"/>
    <w:rsid w:val="000B1340"/>
    <w:rsid w:val="000B160F"/>
    <w:rsid w:val="000B1955"/>
    <w:rsid w:val="000B2A5B"/>
    <w:rsid w:val="000B4BD2"/>
    <w:rsid w:val="000B56A0"/>
    <w:rsid w:val="000B5DE3"/>
    <w:rsid w:val="000B7FBE"/>
    <w:rsid w:val="000B7FDD"/>
    <w:rsid w:val="000C010B"/>
    <w:rsid w:val="000C0A57"/>
    <w:rsid w:val="000C0C5B"/>
    <w:rsid w:val="000C1609"/>
    <w:rsid w:val="000C230C"/>
    <w:rsid w:val="000C386C"/>
    <w:rsid w:val="000C4C67"/>
    <w:rsid w:val="000C54C3"/>
    <w:rsid w:val="000C68F9"/>
    <w:rsid w:val="000C6AB4"/>
    <w:rsid w:val="000C7041"/>
    <w:rsid w:val="000C73B7"/>
    <w:rsid w:val="000C7E76"/>
    <w:rsid w:val="000D130E"/>
    <w:rsid w:val="000D1534"/>
    <w:rsid w:val="000D1CCA"/>
    <w:rsid w:val="000D21CF"/>
    <w:rsid w:val="000D2C00"/>
    <w:rsid w:val="000D2D83"/>
    <w:rsid w:val="000D314B"/>
    <w:rsid w:val="000D4292"/>
    <w:rsid w:val="000D69DA"/>
    <w:rsid w:val="000D71D9"/>
    <w:rsid w:val="000D76E0"/>
    <w:rsid w:val="000D7E8B"/>
    <w:rsid w:val="000E0624"/>
    <w:rsid w:val="000E07F8"/>
    <w:rsid w:val="000E23D5"/>
    <w:rsid w:val="000E27D4"/>
    <w:rsid w:val="000E4449"/>
    <w:rsid w:val="000E5512"/>
    <w:rsid w:val="000E6097"/>
    <w:rsid w:val="000E7F9B"/>
    <w:rsid w:val="000F01D0"/>
    <w:rsid w:val="001005AB"/>
    <w:rsid w:val="00100D95"/>
    <w:rsid w:val="001024C6"/>
    <w:rsid w:val="00102AD1"/>
    <w:rsid w:val="00102C61"/>
    <w:rsid w:val="001035A6"/>
    <w:rsid w:val="00103829"/>
    <w:rsid w:val="001054E0"/>
    <w:rsid w:val="0010637F"/>
    <w:rsid w:val="00106D7A"/>
    <w:rsid w:val="00111FCE"/>
    <w:rsid w:val="00112633"/>
    <w:rsid w:val="0011270A"/>
    <w:rsid w:val="00112F48"/>
    <w:rsid w:val="001137D5"/>
    <w:rsid w:val="00113ED5"/>
    <w:rsid w:val="00114333"/>
    <w:rsid w:val="001151CC"/>
    <w:rsid w:val="001159EF"/>
    <w:rsid w:val="001179BD"/>
    <w:rsid w:val="00122075"/>
    <w:rsid w:val="001229A5"/>
    <w:rsid w:val="00123870"/>
    <w:rsid w:val="0012489B"/>
    <w:rsid w:val="00124F3F"/>
    <w:rsid w:val="0012508F"/>
    <w:rsid w:val="00125B1F"/>
    <w:rsid w:val="00130017"/>
    <w:rsid w:val="001308B4"/>
    <w:rsid w:val="00130F91"/>
    <w:rsid w:val="00133084"/>
    <w:rsid w:val="001344D6"/>
    <w:rsid w:val="001349ED"/>
    <w:rsid w:val="00135860"/>
    <w:rsid w:val="001363CA"/>
    <w:rsid w:val="00137424"/>
    <w:rsid w:val="00137E4C"/>
    <w:rsid w:val="00140318"/>
    <w:rsid w:val="00141150"/>
    <w:rsid w:val="00141AD9"/>
    <w:rsid w:val="00141C4C"/>
    <w:rsid w:val="00141D96"/>
    <w:rsid w:val="0014253D"/>
    <w:rsid w:val="00143EBC"/>
    <w:rsid w:val="00145637"/>
    <w:rsid w:val="0014576D"/>
    <w:rsid w:val="001461E2"/>
    <w:rsid w:val="001462B1"/>
    <w:rsid w:val="00146C28"/>
    <w:rsid w:val="00146CE6"/>
    <w:rsid w:val="00146D57"/>
    <w:rsid w:val="00152903"/>
    <w:rsid w:val="0015304A"/>
    <w:rsid w:val="00153891"/>
    <w:rsid w:val="00153DFE"/>
    <w:rsid w:val="00153FD5"/>
    <w:rsid w:val="00155895"/>
    <w:rsid w:val="0015614F"/>
    <w:rsid w:val="00156F9A"/>
    <w:rsid w:val="001577C2"/>
    <w:rsid w:val="00157815"/>
    <w:rsid w:val="00160ED5"/>
    <w:rsid w:val="0016172C"/>
    <w:rsid w:val="001619ED"/>
    <w:rsid w:val="00162BAB"/>
    <w:rsid w:val="00162CE6"/>
    <w:rsid w:val="00162EC5"/>
    <w:rsid w:val="001633C4"/>
    <w:rsid w:val="00167ADA"/>
    <w:rsid w:val="001704D5"/>
    <w:rsid w:val="0017092E"/>
    <w:rsid w:val="00170BDC"/>
    <w:rsid w:val="00171591"/>
    <w:rsid w:val="0017230F"/>
    <w:rsid w:val="00173981"/>
    <w:rsid w:val="001755ED"/>
    <w:rsid w:val="00176A6E"/>
    <w:rsid w:val="0017719D"/>
    <w:rsid w:val="00177305"/>
    <w:rsid w:val="00177623"/>
    <w:rsid w:val="00177C21"/>
    <w:rsid w:val="0018042C"/>
    <w:rsid w:val="00180CC2"/>
    <w:rsid w:val="001815FB"/>
    <w:rsid w:val="001822F7"/>
    <w:rsid w:val="00182339"/>
    <w:rsid w:val="001829BD"/>
    <w:rsid w:val="001834AD"/>
    <w:rsid w:val="00183FD7"/>
    <w:rsid w:val="00184155"/>
    <w:rsid w:val="00185CAB"/>
    <w:rsid w:val="00186454"/>
    <w:rsid w:val="001875B7"/>
    <w:rsid w:val="0018760B"/>
    <w:rsid w:val="00187CB3"/>
    <w:rsid w:val="0019050A"/>
    <w:rsid w:val="001910D4"/>
    <w:rsid w:val="00191CC1"/>
    <w:rsid w:val="001923D7"/>
    <w:rsid w:val="00192973"/>
    <w:rsid w:val="00192B94"/>
    <w:rsid w:val="00196AF9"/>
    <w:rsid w:val="001976E3"/>
    <w:rsid w:val="0019798B"/>
    <w:rsid w:val="001A2C17"/>
    <w:rsid w:val="001A2EEE"/>
    <w:rsid w:val="001A44EC"/>
    <w:rsid w:val="001A4A9B"/>
    <w:rsid w:val="001A545C"/>
    <w:rsid w:val="001A5611"/>
    <w:rsid w:val="001A6AA1"/>
    <w:rsid w:val="001A6E42"/>
    <w:rsid w:val="001B03DA"/>
    <w:rsid w:val="001B2311"/>
    <w:rsid w:val="001B237F"/>
    <w:rsid w:val="001B284D"/>
    <w:rsid w:val="001B33CF"/>
    <w:rsid w:val="001B42FF"/>
    <w:rsid w:val="001B4C76"/>
    <w:rsid w:val="001B58AA"/>
    <w:rsid w:val="001B782D"/>
    <w:rsid w:val="001B7E48"/>
    <w:rsid w:val="001C0479"/>
    <w:rsid w:val="001C1503"/>
    <w:rsid w:val="001C17CE"/>
    <w:rsid w:val="001C1E72"/>
    <w:rsid w:val="001C2D6E"/>
    <w:rsid w:val="001C36CA"/>
    <w:rsid w:val="001C44D1"/>
    <w:rsid w:val="001C4F38"/>
    <w:rsid w:val="001C6AEE"/>
    <w:rsid w:val="001C7630"/>
    <w:rsid w:val="001C7C44"/>
    <w:rsid w:val="001D0123"/>
    <w:rsid w:val="001D09D5"/>
    <w:rsid w:val="001D0B7F"/>
    <w:rsid w:val="001D1A8E"/>
    <w:rsid w:val="001D2348"/>
    <w:rsid w:val="001D2D60"/>
    <w:rsid w:val="001D3542"/>
    <w:rsid w:val="001D4939"/>
    <w:rsid w:val="001D6D15"/>
    <w:rsid w:val="001D7077"/>
    <w:rsid w:val="001E3846"/>
    <w:rsid w:val="001E44B3"/>
    <w:rsid w:val="001E4D47"/>
    <w:rsid w:val="001E4DEA"/>
    <w:rsid w:val="001E72A9"/>
    <w:rsid w:val="001F0005"/>
    <w:rsid w:val="001F0A9A"/>
    <w:rsid w:val="001F1339"/>
    <w:rsid w:val="001F302D"/>
    <w:rsid w:val="001F3444"/>
    <w:rsid w:val="001F3AC6"/>
    <w:rsid w:val="001F49BC"/>
    <w:rsid w:val="001F58B2"/>
    <w:rsid w:val="001F5F75"/>
    <w:rsid w:val="001F60BC"/>
    <w:rsid w:val="001F70F7"/>
    <w:rsid w:val="001F7558"/>
    <w:rsid w:val="001F77E8"/>
    <w:rsid w:val="00203B5E"/>
    <w:rsid w:val="00204446"/>
    <w:rsid w:val="00204684"/>
    <w:rsid w:val="00204AE1"/>
    <w:rsid w:val="0020571F"/>
    <w:rsid w:val="002058D0"/>
    <w:rsid w:val="00205A3A"/>
    <w:rsid w:val="00205B57"/>
    <w:rsid w:val="00206297"/>
    <w:rsid w:val="00206E6E"/>
    <w:rsid w:val="00211147"/>
    <w:rsid w:val="00211DEF"/>
    <w:rsid w:val="00212013"/>
    <w:rsid w:val="00212671"/>
    <w:rsid w:val="00212980"/>
    <w:rsid w:val="00213553"/>
    <w:rsid w:val="002135B7"/>
    <w:rsid w:val="002157E0"/>
    <w:rsid w:val="00215E74"/>
    <w:rsid w:val="0021637A"/>
    <w:rsid w:val="00216A57"/>
    <w:rsid w:val="00216B52"/>
    <w:rsid w:val="00216F0D"/>
    <w:rsid w:val="00222CA7"/>
    <w:rsid w:val="0022334F"/>
    <w:rsid w:val="00223A3E"/>
    <w:rsid w:val="002243F5"/>
    <w:rsid w:val="00226819"/>
    <w:rsid w:val="002269EB"/>
    <w:rsid w:val="00226A61"/>
    <w:rsid w:val="00231CDE"/>
    <w:rsid w:val="0023211D"/>
    <w:rsid w:val="00232934"/>
    <w:rsid w:val="00233101"/>
    <w:rsid w:val="0023364A"/>
    <w:rsid w:val="00233817"/>
    <w:rsid w:val="0023416F"/>
    <w:rsid w:val="00234337"/>
    <w:rsid w:val="00234CF0"/>
    <w:rsid w:val="00234EAF"/>
    <w:rsid w:val="00235A7D"/>
    <w:rsid w:val="00235F22"/>
    <w:rsid w:val="002364FB"/>
    <w:rsid w:val="002367FF"/>
    <w:rsid w:val="00237206"/>
    <w:rsid w:val="00237215"/>
    <w:rsid w:val="00237ECE"/>
    <w:rsid w:val="00240508"/>
    <w:rsid w:val="00240CE9"/>
    <w:rsid w:val="00241783"/>
    <w:rsid w:val="0024179B"/>
    <w:rsid w:val="002425EE"/>
    <w:rsid w:val="00242713"/>
    <w:rsid w:val="002434BA"/>
    <w:rsid w:val="002444AB"/>
    <w:rsid w:val="002444E2"/>
    <w:rsid w:val="0024541F"/>
    <w:rsid w:val="00245523"/>
    <w:rsid w:val="00245ABC"/>
    <w:rsid w:val="00246089"/>
    <w:rsid w:val="00246093"/>
    <w:rsid w:val="00246702"/>
    <w:rsid w:val="00246C22"/>
    <w:rsid w:val="002476C6"/>
    <w:rsid w:val="00247C59"/>
    <w:rsid w:val="00247DBC"/>
    <w:rsid w:val="00247F2E"/>
    <w:rsid w:val="00250ADC"/>
    <w:rsid w:val="00250B07"/>
    <w:rsid w:val="00252603"/>
    <w:rsid w:val="00252CF9"/>
    <w:rsid w:val="00252F69"/>
    <w:rsid w:val="00253596"/>
    <w:rsid w:val="002541EB"/>
    <w:rsid w:val="002542D5"/>
    <w:rsid w:val="0025489F"/>
    <w:rsid w:val="00254B72"/>
    <w:rsid w:val="00256464"/>
    <w:rsid w:val="00256F94"/>
    <w:rsid w:val="0025752D"/>
    <w:rsid w:val="00257553"/>
    <w:rsid w:val="00260FB2"/>
    <w:rsid w:val="002611DA"/>
    <w:rsid w:val="00262128"/>
    <w:rsid w:val="002662E9"/>
    <w:rsid w:val="002674ED"/>
    <w:rsid w:val="00267A40"/>
    <w:rsid w:val="0027041B"/>
    <w:rsid w:val="0027165D"/>
    <w:rsid w:val="00272A47"/>
    <w:rsid w:val="00272BD5"/>
    <w:rsid w:val="00272F06"/>
    <w:rsid w:val="00273018"/>
    <w:rsid w:val="00273CEB"/>
    <w:rsid w:val="00274653"/>
    <w:rsid w:val="0027538A"/>
    <w:rsid w:val="00280AE9"/>
    <w:rsid w:val="00281C89"/>
    <w:rsid w:val="0028282F"/>
    <w:rsid w:val="00282DBA"/>
    <w:rsid w:val="00283061"/>
    <w:rsid w:val="002834BF"/>
    <w:rsid w:val="002837C5"/>
    <w:rsid w:val="0028395E"/>
    <w:rsid w:val="00283EA8"/>
    <w:rsid w:val="00284188"/>
    <w:rsid w:val="002858B1"/>
    <w:rsid w:val="00290E20"/>
    <w:rsid w:val="00292276"/>
    <w:rsid w:val="002925AD"/>
    <w:rsid w:val="002933F6"/>
    <w:rsid w:val="002939D7"/>
    <w:rsid w:val="00293AE6"/>
    <w:rsid w:val="00293F6D"/>
    <w:rsid w:val="00294885"/>
    <w:rsid w:val="0029593B"/>
    <w:rsid w:val="00295CD9"/>
    <w:rsid w:val="002962C8"/>
    <w:rsid w:val="00297FC5"/>
    <w:rsid w:val="002A0417"/>
    <w:rsid w:val="002A0442"/>
    <w:rsid w:val="002A07A5"/>
    <w:rsid w:val="002A09F3"/>
    <w:rsid w:val="002A16D8"/>
    <w:rsid w:val="002A1BC8"/>
    <w:rsid w:val="002A2107"/>
    <w:rsid w:val="002A2768"/>
    <w:rsid w:val="002A309C"/>
    <w:rsid w:val="002A33C1"/>
    <w:rsid w:val="002A3608"/>
    <w:rsid w:val="002A3EF2"/>
    <w:rsid w:val="002A45CA"/>
    <w:rsid w:val="002A68B2"/>
    <w:rsid w:val="002A7718"/>
    <w:rsid w:val="002A7762"/>
    <w:rsid w:val="002A7B14"/>
    <w:rsid w:val="002A7CBD"/>
    <w:rsid w:val="002B0031"/>
    <w:rsid w:val="002B072A"/>
    <w:rsid w:val="002B0DED"/>
    <w:rsid w:val="002B1279"/>
    <w:rsid w:val="002B1382"/>
    <w:rsid w:val="002B19A2"/>
    <w:rsid w:val="002B1EC5"/>
    <w:rsid w:val="002B2869"/>
    <w:rsid w:val="002B381A"/>
    <w:rsid w:val="002B474C"/>
    <w:rsid w:val="002B4FCC"/>
    <w:rsid w:val="002B4FE8"/>
    <w:rsid w:val="002B5F06"/>
    <w:rsid w:val="002B7408"/>
    <w:rsid w:val="002B7CFD"/>
    <w:rsid w:val="002C02C5"/>
    <w:rsid w:val="002C0D45"/>
    <w:rsid w:val="002C210F"/>
    <w:rsid w:val="002C29BD"/>
    <w:rsid w:val="002C2C95"/>
    <w:rsid w:val="002C33EC"/>
    <w:rsid w:val="002C4B60"/>
    <w:rsid w:val="002C5CD4"/>
    <w:rsid w:val="002C632C"/>
    <w:rsid w:val="002C75D2"/>
    <w:rsid w:val="002D0475"/>
    <w:rsid w:val="002D06AC"/>
    <w:rsid w:val="002D0BC5"/>
    <w:rsid w:val="002D1239"/>
    <w:rsid w:val="002D2DF9"/>
    <w:rsid w:val="002D3075"/>
    <w:rsid w:val="002D3600"/>
    <w:rsid w:val="002D36B2"/>
    <w:rsid w:val="002D48FE"/>
    <w:rsid w:val="002D5B1B"/>
    <w:rsid w:val="002D5C1A"/>
    <w:rsid w:val="002D6990"/>
    <w:rsid w:val="002E0237"/>
    <w:rsid w:val="002E2772"/>
    <w:rsid w:val="002E3007"/>
    <w:rsid w:val="002E3FBD"/>
    <w:rsid w:val="002E4B6D"/>
    <w:rsid w:val="002E4DDC"/>
    <w:rsid w:val="002E7DFC"/>
    <w:rsid w:val="002F08A2"/>
    <w:rsid w:val="002F11C3"/>
    <w:rsid w:val="002F24EB"/>
    <w:rsid w:val="002F35A1"/>
    <w:rsid w:val="002F4E47"/>
    <w:rsid w:val="002F51DC"/>
    <w:rsid w:val="002F5262"/>
    <w:rsid w:val="002F63FE"/>
    <w:rsid w:val="00300D2D"/>
    <w:rsid w:val="00302480"/>
    <w:rsid w:val="003028A8"/>
    <w:rsid w:val="00302B54"/>
    <w:rsid w:val="00302E23"/>
    <w:rsid w:val="00303F2E"/>
    <w:rsid w:val="00304900"/>
    <w:rsid w:val="00306633"/>
    <w:rsid w:val="00306CFC"/>
    <w:rsid w:val="00310C22"/>
    <w:rsid w:val="00312F8E"/>
    <w:rsid w:val="00313C44"/>
    <w:rsid w:val="0031494A"/>
    <w:rsid w:val="003165E6"/>
    <w:rsid w:val="00316BB5"/>
    <w:rsid w:val="00317106"/>
    <w:rsid w:val="003215B5"/>
    <w:rsid w:val="00321DEE"/>
    <w:rsid w:val="003221CF"/>
    <w:rsid w:val="003233ED"/>
    <w:rsid w:val="00324D9F"/>
    <w:rsid w:val="00325363"/>
    <w:rsid w:val="003257A4"/>
    <w:rsid w:val="00325ABF"/>
    <w:rsid w:val="00327948"/>
    <w:rsid w:val="0033000F"/>
    <w:rsid w:val="0033014B"/>
    <w:rsid w:val="003307E5"/>
    <w:rsid w:val="00332011"/>
    <w:rsid w:val="00332518"/>
    <w:rsid w:val="00332925"/>
    <w:rsid w:val="003332ED"/>
    <w:rsid w:val="0033585B"/>
    <w:rsid w:val="003368DC"/>
    <w:rsid w:val="003374E4"/>
    <w:rsid w:val="00340B9A"/>
    <w:rsid w:val="00340BC5"/>
    <w:rsid w:val="00341DB4"/>
    <w:rsid w:val="00341F72"/>
    <w:rsid w:val="00343454"/>
    <w:rsid w:val="00343C2E"/>
    <w:rsid w:val="00343CAA"/>
    <w:rsid w:val="00345927"/>
    <w:rsid w:val="00345B8B"/>
    <w:rsid w:val="00346C6C"/>
    <w:rsid w:val="00346D04"/>
    <w:rsid w:val="00346D5B"/>
    <w:rsid w:val="00350584"/>
    <w:rsid w:val="00350ECD"/>
    <w:rsid w:val="003515CB"/>
    <w:rsid w:val="0035174E"/>
    <w:rsid w:val="00351857"/>
    <w:rsid w:val="00353F76"/>
    <w:rsid w:val="00354339"/>
    <w:rsid w:val="003545E8"/>
    <w:rsid w:val="00360FF0"/>
    <w:rsid w:val="003610E1"/>
    <w:rsid w:val="003611B6"/>
    <w:rsid w:val="00362A12"/>
    <w:rsid w:val="00363483"/>
    <w:rsid w:val="0036419B"/>
    <w:rsid w:val="003653E7"/>
    <w:rsid w:val="00366127"/>
    <w:rsid w:val="003662A2"/>
    <w:rsid w:val="0036675D"/>
    <w:rsid w:val="00366BEF"/>
    <w:rsid w:val="00367082"/>
    <w:rsid w:val="003671BE"/>
    <w:rsid w:val="00367623"/>
    <w:rsid w:val="003701F8"/>
    <w:rsid w:val="00370784"/>
    <w:rsid w:val="003720ED"/>
    <w:rsid w:val="003722EB"/>
    <w:rsid w:val="00372485"/>
    <w:rsid w:val="00372732"/>
    <w:rsid w:val="00372B5E"/>
    <w:rsid w:val="00373200"/>
    <w:rsid w:val="003733B4"/>
    <w:rsid w:val="00373727"/>
    <w:rsid w:val="00373EC7"/>
    <w:rsid w:val="00374C5F"/>
    <w:rsid w:val="00374D94"/>
    <w:rsid w:val="00375EF5"/>
    <w:rsid w:val="003767A5"/>
    <w:rsid w:val="003770DB"/>
    <w:rsid w:val="00377316"/>
    <w:rsid w:val="003778A0"/>
    <w:rsid w:val="003800B7"/>
    <w:rsid w:val="00380D4E"/>
    <w:rsid w:val="00381A65"/>
    <w:rsid w:val="00381D15"/>
    <w:rsid w:val="00382210"/>
    <w:rsid w:val="003840A1"/>
    <w:rsid w:val="003851CB"/>
    <w:rsid w:val="00385254"/>
    <w:rsid w:val="00386726"/>
    <w:rsid w:val="00387686"/>
    <w:rsid w:val="00391A1D"/>
    <w:rsid w:val="00392BAE"/>
    <w:rsid w:val="00395FBB"/>
    <w:rsid w:val="00397209"/>
    <w:rsid w:val="00397C6C"/>
    <w:rsid w:val="003A04DB"/>
    <w:rsid w:val="003A0AEB"/>
    <w:rsid w:val="003A1981"/>
    <w:rsid w:val="003A20D2"/>
    <w:rsid w:val="003A3B30"/>
    <w:rsid w:val="003A3C6D"/>
    <w:rsid w:val="003A569B"/>
    <w:rsid w:val="003A5880"/>
    <w:rsid w:val="003A5F5B"/>
    <w:rsid w:val="003A6147"/>
    <w:rsid w:val="003A789A"/>
    <w:rsid w:val="003A7B70"/>
    <w:rsid w:val="003A7EF1"/>
    <w:rsid w:val="003B0DE3"/>
    <w:rsid w:val="003B12EC"/>
    <w:rsid w:val="003B1531"/>
    <w:rsid w:val="003B1DF4"/>
    <w:rsid w:val="003B3229"/>
    <w:rsid w:val="003B4012"/>
    <w:rsid w:val="003B48C7"/>
    <w:rsid w:val="003B4AF0"/>
    <w:rsid w:val="003B5BFE"/>
    <w:rsid w:val="003B6C9C"/>
    <w:rsid w:val="003B77B1"/>
    <w:rsid w:val="003B7A3C"/>
    <w:rsid w:val="003C0301"/>
    <w:rsid w:val="003C0926"/>
    <w:rsid w:val="003C0A57"/>
    <w:rsid w:val="003C0E79"/>
    <w:rsid w:val="003C3AAA"/>
    <w:rsid w:val="003C4630"/>
    <w:rsid w:val="003C4B90"/>
    <w:rsid w:val="003C50B6"/>
    <w:rsid w:val="003C6814"/>
    <w:rsid w:val="003C77E0"/>
    <w:rsid w:val="003C7DA2"/>
    <w:rsid w:val="003D1184"/>
    <w:rsid w:val="003D17D7"/>
    <w:rsid w:val="003D1DE8"/>
    <w:rsid w:val="003D2678"/>
    <w:rsid w:val="003D467D"/>
    <w:rsid w:val="003D503D"/>
    <w:rsid w:val="003D5D3D"/>
    <w:rsid w:val="003D6E97"/>
    <w:rsid w:val="003D71A3"/>
    <w:rsid w:val="003E0119"/>
    <w:rsid w:val="003E01E2"/>
    <w:rsid w:val="003E038D"/>
    <w:rsid w:val="003E1A4E"/>
    <w:rsid w:val="003E1E6B"/>
    <w:rsid w:val="003E298C"/>
    <w:rsid w:val="003E2B8A"/>
    <w:rsid w:val="003E3B2D"/>
    <w:rsid w:val="003E4276"/>
    <w:rsid w:val="003E6121"/>
    <w:rsid w:val="003E762E"/>
    <w:rsid w:val="003E7BB3"/>
    <w:rsid w:val="003E7FDC"/>
    <w:rsid w:val="003F06D6"/>
    <w:rsid w:val="003F10EE"/>
    <w:rsid w:val="003F11CE"/>
    <w:rsid w:val="003F16F6"/>
    <w:rsid w:val="003F1BED"/>
    <w:rsid w:val="003F3EBF"/>
    <w:rsid w:val="003F4460"/>
    <w:rsid w:val="003F45D5"/>
    <w:rsid w:val="003F4DC7"/>
    <w:rsid w:val="003F5235"/>
    <w:rsid w:val="003F641E"/>
    <w:rsid w:val="003F6F8A"/>
    <w:rsid w:val="003F765F"/>
    <w:rsid w:val="003F7E8A"/>
    <w:rsid w:val="004023AC"/>
    <w:rsid w:val="004027E4"/>
    <w:rsid w:val="00404ACE"/>
    <w:rsid w:val="00405433"/>
    <w:rsid w:val="00407618"/>
    <w:rsid w:val="0041071D"/>
    <w:rsid w:val="00410F68"/>
    <w:rsid w:val="00411BA0"/>
    <w:rsid w:val="00412968"/>
    <w:rsid w:val="00412F17"/>
    <w:rsid w:val="00413324"/>
    <w:rsid w:val="00414411"/>
    <w:rsid w:val="004146EA"/>
    <w:rsid w:val="00414AFC"/>
    <w:rsid w:val="004151A7"/>
    <w:rsid w:val="00415310"/>
    <w:rsid w:val="004165AD"/>
    <w:rsid w:val="00417303"/>
    <w:rsid w:val="00417888"/>
    <w:rsid w:val="00421709"/>
    <w:rsid w:val="00422F14"/>
    <w:rsid w:val="00423763"/>
    <w:rsid w:val="00424513"/>
    <w:rsid w:val="0042604E"/>
    <w:rsid w:val="00426EEA"/>
    <w:rsid w:val="0042762F"/>
    <w:rsid w:val="00427DC7"/>
    <w:rsid w:val="00430949"/>
    <w:rsid w:val="00431613"/>
    <w:rsid w:val="00431792"/>
    <w:rsid w:val="0043297A"/>
    <w:rsid w:val="00432EB2"/>
    <w:rsid w:val="0043447C"/>
    <w:rsid w:val="004351C0"/>
    <w:rsid w:val="00435F6C"/>
    <w:rsid w:val="004364EE"/>
    <w:rsid w:val="004365B5"/>
    <w:rsid w:val="00436EBB"/>
    <w:rsid w:val="0043714F"/>
    <w:rsid w:val="004409C8"/>
    <w:rsid w:val="0044283C"/>
    <w:rsid w:val="00443187"/>
    <w:rsid w:val="004438B5"/>
    <w:rsid w:val="00445A72"/>
    <w:rsid w:val="00447037"/>
    <w:rsid w:val="004500C8"/>
    <w:rsid w:val="004507D8"/>
    <w:rsid w:val="0045113C"/>
    <w:rsid w:val="0045124D"/>
    <w:rsid w:val="00452CE6"/>
    <w:rsid w:val="00453A9F"/>
    <w:rsid w:val="00454596"/>
    <w:rsid w:val="004547B3"/>
    <w:rsid w:val="004552C8"/>
    <w:rsid w:val="0045605D"/>
    <w:rsid w:val="00456B5D"/>
    <w:rsid w:val="0045744C"/>
    <w:rsid w:val="00457EA9"/>
    <w:rsid w:val="0046135B"/>
    <w:rsid w:val="00461D47"/>
    <w:rsid w:val="00461FDE"/>
    <w:rsid w:val="00462CFF"/>
    <w:rsid w:val="004638C1"/>
    <w:rsid w:val="0046520A"/>
    <w:rsid w:val="004669CD"/>
    <w:rsid w:val="004672EA"/>
    <w:rsid w:val="0047083F"/>
    <w:rsid w:val="00470BB7"/>
    <w:rsid w:val="00471429"/>
    <w:rsid w:val="004718CC"/>
    <w:rsid w:val="0047221F"/>
    <w:rsid w:val="00473672"/>
    <w:rsid w:val="00474050"/>
    <w:rsid w:val="004751C2"/>
    <w:rsid w:val="00475587"/>
    <w:rsid w:val="0047558C"/>
    <w:rsid w:val="0047585A"/>
    <w:rsid w:val="00475F05"/>
    <w:rsid w:val="004761F0"/>
    <w:rsid w:val="004763BD"/>
    <w:rsid w:val="004773B6"/>
    <w:rsid w:val="004774C3"/>
    <w:rsid w:val="004774CC"/>
    <w:rsid w:val="00477D54"/>
    <w:rsid w:val="004806F4"/>
    <w:rsid w:val="00480B4C"/>
    <w:rsid w:val="00480D1A"/>
    <w:rsid w:val="00480E49"/>
    <w:rsid w:val="00481695"/>
    <w:rsid w:val="0048299E"/>
    <w:rsid w:val="00483DF4"/>
    <w:rsid w:val="00484495"/>
    <w:rsid w:val="00485025"/>
    <w:rsid w:val="00487A31"/>
    <w:rsid w:val="00490250"/>
    <w:rsid w:val="004931FE"/>
    <w:rsid w:val="0049455A"/>
    <w:rsid w:val="00495A5D"/>
    <w:rsid w:val="00495A96"/>
    <w:rsid w:val="00495BB3"/>
    <w:rsid w:val="00496ECB"/>
    <w:rsid w:val="00497352"/>
    <w:rsid w:val="004A082F"/>
    <w:rsid w:val="004A0E3C"/>
    <w:rsid w:val="004A2D97"/>
    <w:rsid w:val="004A300A"/>
    <w:rsid w:val="004A44E3"/>
    <w:rsid w:val="004A49AD"/>
    <w:rsid w:val="004A56BB"/>
    <w:rsid w:val="004A69B6"/>
    <w:rsid w:val="004A6AB7"/>
    <w:rsid w:val="004A6C2A"/>
    <w:rsid w:val="004B0C22"/>
    <w:rsid w:val="004B1751"/>
    <w:rsid w:val="004B20F4"/>
    <w:rsid w:val="004B2100"/>
    <w:rsid w:val="004B2C13"/>
    <w:rsid w:val="004B349D"/>
    <w:rsid w:val="004B4504"/>
    <w:rsid w:val="004B50BA"/>
    <w:rsid w:val="004B6813"/>
    <w:rsid w:val="004C0253"/>
    <w:rsid w:val="004C11C8"/>
    <w:rsid w:val="004C1522"/>
    <w:rsid w:val="004C289E"/>
    <w:rsid w:val="004C3047"/>
    <w:rsid w:val="004C4EEB"/>
    <w:rsid w:val="004C52D6"/>
    <w:rsid w:val="004C5F06"/>
    <w:rsid w:val="004C6339"/>
    <w:rsid w:val="004C6C8D"/>
    <w:rsid w:val="004C78A4"/>
    <w:rsid w:val="004C79F0"/>
    <w:rsid w:val="004D0E25"/>
    <w:rsid w:val="004D2611"/>
    <w:rsid w:val="004D2A6D"/>
    <w:rsid w:val="004D3C8E"/>
    <w:rsid w:val="004D45B3"/>
    <w:rsid w:val="004D490C"/>
    <w:rsid w:val="004D56FF"/>
    <w:rsid w:val="004D5DC0"/>
    <w:rsid w:val="004D6255"/>
    <w:rsid w:val="004D6FF9"/>
    <w:rsid w:val="004D7ED7"/>
    <w:rsid w:val="004E2549"/>
    <w:rsid w:val="004E39D3"/>
    <w:rsid w:val="004E508A"/>
    <w:rsid w:val="004E5197"/>
    <w:rsid w:val="004E616D"/>
    <w:rsid w:val="004E71F7"/>
    <w:rsid w:val="004F1BDE"/>
    <w:rsid w:val="004F2CEE"/>
    <w:rsid w:val="004F2E54"/>
    <w:rsid w:val="004F3CFB"/>
    <w:rsid w:val="004F4DB0"/>
    <w:rsid w:val="004F556E"/>
    <w:rsid w:val="004F591C"/>
    <w:rsid w:val="004F68E7"/>
    <w:rsid w:val="004F6CAA"/>
    <w:rsid w:val="004F7D20"/>
    <w:rsid w:val="004F7F44"/>
    <w:rsid w:val="005004E3"/>
    <w:rsid w:val="00502531"/>
    <w:rsid w:val="00502CA7"/>
    <w:rsid w:val="005037B4"/>
    <w:rsid w:val="00504AF0"/>
    <w:rsid w:val="00504D37"/>
    <w:rsid w:val="00506999"/>
    <w:rsid w:val="005079BF"/>
    <w:rsid w:val="00507EC8"/>
    <w:rsid w:val="00511626"/>
    <w:rsid w:val="0051269A"/>
    <w:rsid w:val="00513393"/>
    <w:rsid w:val="005135C0"/>
    <w:rsid w:val="005151DB"/>
    <w:rsid w:val="0051523E"/>
    <w:rsid w:val="00515940"/>
    <w:rsid w:val="00517660"/>
    <w:rsid w:val="00517682"/>
    <w:rsid w:val="0051783C"/>
    <w:rsid w:val="00517AA6"/>
    <w:rsid w:val="00517AB3"/>
    <w:rsid w:val="0052026D"/>
    <w:rsid w:val="00520D6E"/>
    <w:rsid w:val="005219E7"/>
    <w:rsid w:val="00521A85"/>
    <w:rsid w:val="005222B0"/>
    <w:rsid w:val="00523427"/>
    <w:rsid w:val="00524DD0"/>
    <w:rsid w:val="005262A0"/>
    <w:rsid w:val="005263EB"/>
    <w:rsid w:val="00526745"/>
    <w:rsid w:val="00527B21"/>
    <w:rsid w:val="00527EA7"/>
    <w:rsid w:val="00530364"/>
    <w:rsid w:val="00530B38"/>
    <w:rsid w:val="005312A2"/>
    <w:rsid w:val="00531B9A"/>
    <w:rsid w:val="00531D15"/>
    <w:rsid w:val="005358D9"/>
    <w:rsid w:val="00535C13"/>
    <w:rsid w:val="00536803"/>
    <w:rsid w:val="005372C3"/>
    <w:rsid w:val="00537462"/>
    <w:rsid w:val="00537604"/>
    <w:rsid w:val="005401C1"/>
    <w:rsid w:val="00540844"/>
    <w:rsid w:val="00541324"/>
    <w:rsid w:val="005413B7"/>
    <w:rsid w:val="00541CDE"/>
    <w:rsid w:val="00542377"/>
    <w:rsid w:val="005462D6"/>
    <w:rsid w:val="00546F56"/>
    <w:rsid w:val="005476EB"/>
    <w:rsid w:val="00547B10"/>
    <w:rsid w:val="0055063B"/>
    <w:rsid w:val="00551782"/>
    <w:rsid w:val="00551C6E"/>
    <w:rsid w:val="00551EC1"/>
    <w:rsid w:val="00552BB9"/>
    <w:rsid w:val="00552BD4"/>
    <w:rsid w:val="0055357E"/>
    <w:rsid w:val="0055362C"/>
    <w:rsid w:val="00553949"/>
    <w:rsid w:val="0055440F"/>
    <w:rsid w:val="0055535C"/>
    <w:rsid w:val="005555DF"/>
    <w:rsid w:val="00556507"/>
    <w:rsid w:val="00562074"/>
    <w:rsid w:val="00563EF1"/>
    <w:rsid w:val="00564957"/>
    <w:rsid w:val="0056554F"/>
    <w:rsid w:val="00565FF9"/>
    <w:rsid w:val="00566AB4"/>
    <w:rsid w:val="0056751D"/>
    <w:rsid w:val="00567E50"/>
    <w:rsid w:val="00570E9D"/>
    <w:rsid w:val="0057236B"/>
    <w:rsid w:val="00572566"/>
    <w:rsid w:val="005742E3"/>
    <w:rsid w:val="00574F47"/>
    <w:rsid w:val="00575AC5"/>
    <w:rsid w:val="0057605D"/>
    <w:rsid w:val="00577251"/>
    <w:rsid w:val="005777D5"/>
    <w:rsid w:val="00577E8A"/>
    <w:rsid w:val="005809AF"/>
    <w:rsid w:val="00580E0D"/>
    <w:rsid w:val="00581347"/>
    <w:rsid w:val="00581AC9"/>
    <w:rsid w:val="0058224E"/>
    <w:rsid w:val="00582BE5"/>
    <w:rsid w:val="005837B0"/>
    <w:rsid w:val="005849F8"/>
    <w:rsid w:val="00587D42"/>
    <w:rsid w:val="00590559"/>
    <w:rsid w:val="0059096F"/>
    <w:rsid w:val="00591A3E"/>
    <w:rsid w:val="00592CCB"/>
    <w:rsid w:val="005938DF"/>
    <w:rsid w:val="0059428B"/>
    <w:rsid w:val="00594E9C"/>
    <w:rsid w:val="005956FF"/>
    <w:rsid w:val="00595BE6"/>
    <w:rsid w:val="005A021D"/>
    <w:rsid w:val="005A099B"/>
    <w:rsid w:val="005A0FB3"/>
    <w:rsid w:val="005A1BD4"/>
    <w:rsid w:val="005A1DD2"/>
    <w:rsid w:val="005A2407"/>
    <w:rsid w:val="005A25CF"/>
    <w:rsid w:val="005A2D9C"/>
    <w:rsid w:val="005A3217"/>
    <w:rsid w:val="005A4930"/>
    <w:rsid w:val="005A55FE"/>
    <w:rsid w:val="005A61FE"/>
    <w:rsid w:val="005A6A11"/>
    <w:rsid w:val="005B0004"/>
    <w:rsid w:val="005B2FCA"/>
    <w:rsid w:val="005B35B4"/>
    <w:rsid w:val="005B4BDB"/>
    <w:rsid w:val="005B5CDC"/>
    <w:rsid w:val="005B70BD"/>
    <w:rsid w:val="005C0298"/>
    <w:rsid w:val="005C1AF1"/>
    <w:rsid w:val="005C20A1"/>
    <w:rsid w:val="005C20F0"/>
    <w:rsid w:val="005C3594"/>
    <w:rsid w:val="005C39B2"/>
    <w:rsid w:val="005C3FDA"/>
    <w:rsid w:val="005C4847"/>
    <w:rsid w:val="005C50DA"/>
    <w:rsid w:val="005C5AC5"/>
    <w:rsid w:val="005C696A"/>
    <w:rsid w:val="005C6D32"/>
    <w:rsid w:val="005C7746"/>
    <w:rsid w:val="005C7C4E"/>
    <w:rsid w:val="005C7E5B"/>
    <w:rsid w:val="005D1CFE"/>
    <w:rsid w:val="005D2502"/>
    <w:rsid w:val="005D2F6A"/>
    <w:rsid w:val="005D3350"/>
    <w:rsid w:val="005D3568"/>
    <w:rsid w:val="005D40BB"/>
    <w:rsid w:val="005D47F3"/>
    <w:rsid w:val="005D49BF"/>
    <w:rsid w:val="005D4AA5"/>
    <w:rsid w:val="005D5272"/>
    <w:rsid w:val="005D538B"/>
    <w:rsid w:val="005D6F4E"/>
    <w:rsid w:val="005D735C"/>
    <w:rsid w:val="005D7C73"/>
    <w:rsid w:val="005E0773"/>
    <w:rsid w:val="005E176A"/>
    <w:rsid w:val="005E28D7"/>
    <w:rsid w:val="005E35EA"/>
    <w:rsid w:val="005E386E"/>
    <w:rsid w:val="005E3ACD"/>
    <w:rsid w:val="005E3E08"/>
    <w:rsid w:val="005E54BB"/>
    <w:rsid w:val="005E5E25"/>
    <w:rsid w:val="005E664A"/>
    <w:rsid w:val="005E6689"/>
    <w:rsid w:val="005E71A2"/>
    <w:rsid w:val="005E7226"/>
    <w:rsid w:val="005E7A57"/>
    <w:rsid w:val="005F008E"/>
    <w:rsid w:val="005F2285"/>
    <w:rsid w:val="005F24B0"/>
    <w:rsid w:val="005F39B8"/>
    <w:rsid w:val="005F443E"/>
    <w:rsid w:val="005F4C23"/>
    <w:rsid w:val="005F4CB1"/>
    <w:rsid w:val="005F539A"/>
    <w:rsid w:val="005F5FBE"/>
    <w:rsid w:val="005F61C1"/>
    <w:rsid w:val="005F62B6"/>
    <w:rsid w:val="005F6D60"/>
    <w:rsid w:val="006010B1"/>
    <w:rsid w:val="00601AFB"/>
    <w:rsid w:val="00603635"/>
    <w:rsid w:val="00604315"/>
    <w:rsid w:val="006043C7"/>
    <w:rsid w:val="00604E26"/>
    <w:rsid w:val="006052CF"/>
    <w:rsid w:val="006055F1"/>
    <w:rsid w:val="00606579"/>
    <w:rsid w:val="00607A40"/>
    <w:rsid w:val="00607B8D"/>
    <w:rsid w:val="00610001"/>
    <w:rsid w:val="006110DE"/>
    <w:rsid w:val="00611535"/>
    <w:rsid w:val="00611F5C"/>
    <w:rsid w:val="0061336A"/>
    <w:rsid w:val="00613A73"/>
    <w:rsid w:val="0061450D"/>
    <w:rsid w:val="0061529F"/>
    <w:rsid w:val="00616564"/>
    <w:rsid w:val="00616AE1"/>
    <w:rsid w:val="00616E09"/>
    <w:rsid w:val="00616F55"/>
    <w:rsid w:val="0061772C"/>
    <w:rsid w:val="00620A56"/>
    <w:rsid w:val="0062118E"/>
    <w:rsid w:val="00622A3B"/>
    <w:rsid w:val="00622EEA"/>
    <w:rsid w:val="006236B3"/>
    <w:rsid w:val="0062396C"/>
    <w:rsid w:val="00623C46"/>
    <w:rsid w:val="00623FF9"/>
    <w:rsid w:val="0062428D"/>
    <w:rsid w:val="006242ED"/>
    <w:rsid w:val="00625600"/>
    <w:rsid w:val="00625FFE"/>
    <w:rsid w:val="00627D4E"/>
    <w:rsid w:val="00630EB9"/>
    <w:rsid w:val="0063110D"/>
    <w:rsid w:val="00631A26"/>
    <w:rsid w:val="00632B89"/>
    <w:rsid w:val="0063308D"/>
    <w:rsid w:val="00633DE3"/>
    <w:rsid w:val="00634478"/>
    <w:rsid w:val="006356E7"/>
    <w:rsid w:val="006361C2"/>
    <w:rsid w:val="006366C2"/>
    <w:rsid w:val="006367E3"/>
    <w:rsid w:val="006371C4"/>
    <w:rsid w:val="00640247"/>
    <w:rsid w:val="00640878"/>
    <w:rsid w:val="006416A9"/>
    <w:rsid w:val="006420EE"/>
    <w:rsid w:val="00642B2B"/>
    <w:rsid w:val="00642ECD"/>
    <w:rsid w:val="006436C4"/>
    <w:rsid w:val="00644373"/>
    <w:rsid w:val="006449A4"/>
    <w:rsid w:val="00645915"/>
    <w:rsid w:val="00645FE1"/>
    <w:rsid w:val="00646400"/>
    <w:rsid w:val="00646635"/>
    <w:rsid w:val="006479B5"/>
    <w:rsid w:val="00647A71"/>
    <w:rsid w:val="006501BD"/>
    <w:rsid w:val="006519C3"/>
    <w:rsid w:val="006529FC"/>
    <w:rsid w:val="00652A37"/>
    <w:rsid w:val="00652B30"/>
    <w:rsid w:val="00654C8B"/>
    <w:rsid w:val="00654DB3"/>
    <w:rsid w:val="006550CF"/>
    <w:rsid w:val="00655907"/>
    <w:rsid w:val="00655D2D"/>
    <w:rsid w:val="00656345"/>
    <w:rsid w:val="006566EA"/>
    <w:rsid w:val="00656DC6"/>
    <w:rsid w:val="00660EC6"/>
    <w:rsid w:val="00661000"/>
    <w:rsid w:val="00661245"/>
    <w:rsid w:val="00662AE0"/>
    <w:rsid w:val="00664110"/>
    <w:rsid w:val="00664543"/>
    <w:rsid w:val="006649E9"/>
    <w:rsid w:val="00664D17"/>
    <w:rsid w:val="00665FFA"/>
    <w:rsid w:val="00666239"/>
    <w:rsid w:val="00666520"/>
    <w:rsid w:val="00666597"/>
    <w:rsid w:val="006667D7"/>
    <w:rsid w:val="00666FC5"/>
    <w:rsid w:val="00667C5B"/>
    <w:rsid w:val="0067193E"/>
    <w:rsid w:val="00671FFC"/>
    <w:rsid w:val="00672867"/>
    <w:rsid w:val="00672C7A"/>
    <w:rsid w:val="00675B39"/>
    <w:rsid w:val="00680983"/>
    <w:rsid w:val="0068175B"/>
    <w:rsid w:val="00682DC2"/>
    <w:rsid w:val="00685EDC"/>
    <w:rsid w:val="00686A05"/>
    <w:rsid w:val="00687F43"/>
    <w:rsid w:val="0069032D"/>
    <w:rsid w:val="00691EB8"/>
    <w:rsid w:val="00692CDE"/>
    <w:rsid w:val="00693073"/>
    <w:rsid w:val="0069319B"/>
    <w:rsid w:val="00694D4C"/>
    <w:rsid w:val="006977FF"/>
    <w:rsid w:val="006A01FA"/>
    <w:rsid w:val="006A0E9E"/>
    <w:rsid w:val="006A1808"/>
    <w:rsid w:val="006A1D2C"/>
    <w:rsid w:val="006A2176"/>
    <w:rsid w:val="006A25C7"/>
    <w:rsid w:val="006A2CC8"/>
    <w:rsid w:val="006A3B29"/>
    <w:rsid w:val="006A45DC"/>
    <w:rsid w:val="006A4AAD"/>
    <w:rsid w:val="006A6DA2"/>
    <w:rsid w:val="006A7AB2"/>
    <w:rsid w:val="006A7F85"/>
    <w:rsid w:val="006B0D09"/>
    <w:rsid w:val="006B2193"/>
    <w:rsid w:val="006B22C1"/>
    <w:rsid w:val="006B30C8"/>
    <w:rsid w:val="006B42E2"/>
    <w:rsid w:val="006B5717"/>
    <w:rsid w:val="006B582F"/>
    <w:rsid w:val="006B58B3"/>
    <w:rsid w:val="006B5AE7"/>
    <w:rsid w:val="006B5CFC"/>
    <w:rsid w:val="006B5EB2"/>
    <w:rsid w:val="006B6478"/>
    <w:rsid w:val="006B711A"/>
    <w:rsid w:val="006B7A4A"/>
    <w:rsid w:val="006B7BBC"/>
    <w:rsid w:val="006C0548"/>
    <w:rsid w:val="006C0CEB"/>
    <w:rsid w:val="006C1631"/>
    <w:rsid w:val="006C1AC4"/>
    <w:rsid w:val="006C1F20"/>
    <w:rsid w:val="006C3B1E"/>
    <w:rsid w:val="006C3E3C"/>
    <w:rsid w:val="006C47FD"/>
    <w:rsid w:val="006C57DA"/>
    <w:rsid w:val="006C5886"/>
    <w:rsid w:val="006C5C19"/>
    <w:rsid w:val="006C6E01"/>
    <w:rsid w:val="006C70A0"/>
    <w:rsid w:val="006C7774"/>
    <w:rsid w:val="006D0855"/>
    <w:rsid w:val="006D0D36"/>
    <w:rsid w:val="006D1294"/>
    <w:rsid w:val="006D1F65"/>
    <w:rsid w:val="006D27CB"/>
    <w:rsid w:val="006D2BBB"/>
    <w:rsid w:val="006D2F08"/>
    <w:rsid w:val="006D2F16"/>
    <w:rsid w:val="006D4354"/>
    <w:rsid w:val="006D4F8D"/>
    <w:rsid w:val="006D56F1"/>
    <w:rsid w:val="006D576C"/>
    <w:rsid w:val="006D5865"/>
    <w:rsid w:val="006D5C5D"/>
    <w:rsid w:val="006D5D88"/>
    <w:rsid w:val="006D6259"/>
    <w:rsid w:val="006D651B"/>
    <w:rsid w:val="006D6CAF"/>
    <w:rsid w:val="006D6E39"/>
    <w:rsid w:val="006D74BD"/>
    <w:rsid w:val="006D777E"/>
    <w:rsid w:val="006D77C6"/>
    <w:rsid w:val="006D7ADC"/>
    <w:rsid w:val="006E0B0C"/>
    <w:rsid w:val="006E1A26"/>
    <w:rsid w:val="006E22B5"/>
    <w:rsid w:val="006E3411"/>
    <w:rsid w:val="006E4B1B"/>
    <w:rsid w:val="006E50B7"/>
    <w:rsid w:val="006E5445"/>
    <w:rsid w:val="006E55CD"/>
    <w:rsid w:val="006E6E35"/>
    <w:rsid w:val="006E7411"/>
    <w:rsid w:val="006E7D93"/>
    <w:rsid w:val="006F0270"/>
    <w:rsid w:val="006F04D4"/>
    <w:rsid w:val="006F115C"/>
    <w:rsid w:val="006F130A"/>
    <w:rsid w:val="006F1ECC"/>
    <w:rsid w:val="006F2B4C"/>
    <w:rsid w:val="006F61F6"/>
    <w:rsid w:val="006F75EB"/>
    <w:rsid w:val="006F77A7"/>
    <w:rsid w:val="007003C9"/>
    <w:rsid w:val="007012E2"/>
    <w:rsid w:val="00701F8D"/>
    <w:rsid w:val="007029A3"/>
    <w:rsid w:val="00705304"/>
    <w:rsid w:val="00706E4E"/>
    <w:rsid w:val="0070791C"/>
    <w:rsid w:val="00711310"/>
    <w:rsid w:val="00712CFA"/>
    <w:rsid w:val="0071383C"/>
    <w:rsid w:val="0071410C"/>
    <w:rsid w:val="007141A7"/>
    <w:rsid w:val="0071542B"/>
    <w:rsid w:val="00715722"/>
    <w:rsid w:val="0071576B"/>
    <w:rsid w:val="007165AF"/>
    <w:rsid w:val="0071670C"/>
    <w:rsid w:val="00717908"/>
    <w:rsid w:val="00720666"/>
    <w:rsid w:val="00720B83"/>
    <w:rsid w:val="00721032"/>
    <w:rsid w:val="00721B55"/>
    <w:rsid w:val="00724401"/>
    <w:rsid w:val="00724B30"/>
    <w:rsid w:val="00725084"/>
    <w:rsid w:val="00726756"/>
    <w:rsid w:val="007268E7"/>
    <w:rsid w:val="00726CE4"/>
    <w:rsid w:val="00726D6D"/>
    <w:rsid w:val="007300F5"/>
    <w:rsid w:val="007323C8"/>
    <w:rsid w:val="00732D82"/>
    <w:rsid w:val="00733709"/>
    <w:rsid w:val="00734143"/>
    <w:rsid w:val="00734A1E"/>
    <w:rsid w:val="00734E51"/>
    <w:rsid w:val="0073505E"/>
    <w:rsid w:val="007353D9"/>
    <w:rsid w:val="00737E47"/>
    <w:rsid w:val="0074037A"/>
    <w:rsid w:val="00740802"/>
    <w:rsid w:val="00740EAC"/>
    <w:rsid w:val="00741E08"/>
    <w:rsid w:val="00742678"/>
    <w:rsid w:val="0074285C"/>
    <w:rsid w:val="00742C61"/>
    <w:rsid w:val="007446CC"/>
    <w:rsid w:val="00744956"/>
    <w:rsid w:val="00744A3C"/>
    <w:rsid w:val="00745A5C"/>
    <w:rsid w:val="0074605F"/>
    <w:rsid w:val="00746AC8"/>
    <w:rsid w:val="00746CEE"/>
    <w:rsid w:val="00747E94"/>
    <w:rsid w:val="00750729"/>
    <w:rsid w:val="0075107F"/>
    <w:rsid w:val="00753211"/>
    <w:rsid w:val="0075379B"/>
    <w:rsid w:val="007539FF"/>
    <w:rsid w:val="00754C83"/>
    <w:rsid w:val="00754C95"/>
    <w:rsid w:val="007553AD"/>
    <w:rsid w:val="007567A6"/>
    <w:rsid w:val="007574D4"/>
    <w:rsid w:val="00760B7E"/>
    <w:rsid w:val="0076119F"/>
    <w:rsid w:val="00761414"/>
    <w:rsid w:val="00761E5C"/>
    <w:rsid w:val="007624B1"/>
    <w:rsid w:val="00764402"/>
    <w:rsid w:val="0076550C"/>
    <w:rsid w:val="00765DF8"/>
    <w:rsid w:val="00765ED4"/>
    <w:rsid w:val="00766749"/>
    <w:rsid w:val="00767C1B"/>
    <w:rsid w:val="007714A9"/>
    <w:rsid w:val="00771AE2"/>
    <w:rsid w:val="00772022"/>
    <w:rsid w:val="0077218F"/>
    <w:rsid w:val="00772339"/>
    <w:rsid w:val="007747D3"/>
    <w:rsid w:val="00774F88"/>
    <w:rsid w:val="00774FDB"/>
    <w:rsid w:val="00775C4A"/>
    <w:rsid w:val="00777BA2"/>
    <w:rsid w:val="00781408"/>
    <w:rsid w:val="0078347C"/>
    <w:rsid w:val="00784F7F"/>
    <w:rsid w:val="00785C72"/>
    <w:rsid w:val="0078702B"/>
    <w:rsid w:val="007878BD"/>
    <w:rsid w:val="00787ECC"/>
    <w:rsid w:val="00791BF3"/>
    <w:rsid w:val="00791DA0"/>
    <w:rsid w:val="00791DFC"/>
    <w:rsid w:val="00793665"/>
    <w:rsid w:val="0079461A"/>
    <w:rsid w:val="00794804"/>
    <w:rsid w:val="0079544D"/>
    <w:rsid w:val="007955D5"/>
    <w:rsid w:val="00796F25"/>
    <w:rsid w:val="007A0C6A"/>
    <w:rsid w:val="007A1A3B"/>
    <w:rsid w:val="007A2E98"/>
    <w:rsid w:val="007A3516"/>
    <w:rsid w:val="007A3BA3"/>
    <w:rsid w:val="007A41FD"/>
    <w:rsid w:val="007A4B01"/>
    <w:rsid w:val="007A6CC0"/>
    <w:rsid w:val="007A7B7B"/>
    <w:rsid w:val="007A7FEC"/>
    <w:rsid w:val="007B1499"/>
    <w:rsid w:val="007B18DB"/>
    <w:rsid w:val="007B1BBF"/>
    <w:rsid w:val="007B2960"/>
    <w:rsid w:val="007B2D07"/>
    <w:rsid w:val="007B355D"/>
    <w:rsid w:val="007B3C94"/>
    <w:rsid w:val="007B510B"/>
    <w:rsid w:val="007B62A8"/>
    <w:rsid w:val="007B70BD"/>
    <w:rsid w:val="007B766D"/>
    <w:rsid w:val="007B7980"/>
    <w:rsid w:val="007C0C9E"/>
    <w:rsid w:val="007C0DEF"/>
    <w:rsid w:val="007C4350"/>
    <w:rsid w:val="007C5270"/>
    <w:rsid w:val="007C55C9"/>
    <w:rsid w:val="007C5D5A"/>
    <w:rsid w:val="007C607F"/>
    <w:rsid w:val="007C79DD"/>
    <w:rsid w:val="007D15C0"/>
    <w:rsid w:val="007D1A97"/>
    <w:rsid w:val="007D1CF8"/>
    <w:rsid w:val="007D1DF5"/>
    <w:rsid w:val="007D20C7"/>
    <w:rsid w:val="007D2824"/>
    <w:rsid w:val="007D2CD6"/>
    <w:rsid w:val="007D3063"/>
    <w:rsid w:val="007D3CEB"/>
    <w:rsid w:val="007D3F4C"/>
    <w:rsid w:val="007D5D9B"/>
    <w:rsid w:val="007D5E28"/>
    <w:rsid w:val="007D6F7D"/>
    <w:rsid w:val="007E0AB5"/>
    <w:rsid w:val="007E239A"/>
    <w:rsid w:val="007E2571"/>
    <w:rsid w:val="007E2E41"/>
    <w:rsid w:val="007E5209"/>
    <w:rsid w:val="007E7683"/>
    <w:rsid w:val="007E7AB1"/>
    <w:rsid w:val="007E7CEE"/>
    <w:rsid w:val="007F0297"/>
    <w:rsid w:val="007F160B"/>
    <w:rsid w:val="007F25DB"/>
    <w:rsid w:val="007F2F8A"/>
    <w:rsid w:val="007F386F"/>
    <w:rsid w:val="007F3E0E"/>
    <w:rsid w:val="007F49FA"/>
    <w:rsid w:val="007F54C4"/>
    <w:rsid w:val="007F6E9A"/>
    <w:rsid w:val="007F6EFE"/>
    <w:rsid w:val="007F758E"/>
    <w:rsid w:val="008005AB"/>
    <w:rsid w:val="00800750"/>
    <w:rsid w:val="00803749"/>
    <w:rsid w:val="00804211"/>
    <w:rsid w:val="008044D4"/>
    <w:rsid w:val="0080472D"/>
    <w:rsid w:val="00804A34"/>
    <w:rsid w:val="0080500F"/>
    <w:rsid w:val="008054B0"/>
    <w:rsid w:val="008061D7"/>
    <w:rsid w:val="008109D0"/>
    <w:rsid w:val="00810AB4"/>
    <w:rsid w:val="008148DF"/>
    <w:rsid w:val="00815423"/>
    <w:rsid w:val="00816240"/>
    <w:rsid w:val="00816633"/>
    <w:rsid w:val="0081790E"/>
    <w:rsid w:val="00817991"/>
    <w:rsid w:val="00817B56"/>
    <w:rsid w:val="008201BD"/>
    <w:rsid w:val="00821A88"/>
    <w:rsid w:val="00821B92"/>
    <w:rsid w:val="00822019"/>
    <w:rsid w:val="008232D0"/>
    <w:rsid w:val="00823EC3"/>
    <w:rsid w:val="00824253"/>
    <w:rsid w:val="0082495D"/>
    <w:rsid w:val="00825030"/>
    <w:rsid w:val="008264FE"/>
    <w:rsid w:val="00826E96"/>
    <w:rsid w:val="00827A7C"/>
    <w:rsid w:val="00830E78"/>
    <w:rsid w:val="00830EBD"/>
    <w:rsid w:val="008319AC"/>
    <w:rsid w:val="00831AC3"/>
    <w:rsid w:val="00835C34"/>
    <w:rsid w:val="00836038"/>
    <w:rsid w:val="00836ADE"/>
    <w:rsid w:val="008408FF"/>
    <w:rsid w:val="00841256"/>
    <w:rsid w:val="00843106"/>
    <w:rsid w:val="008450BA"/>
    <w:rsid w:val="0084580E"/>
    <w:rsid w:val="00850A77"/>
    <w:rsid w:val="00851F3F"/>
    <w:rsid w:val="00853CF9"/>
    <w:rsid w:val="00854508"/>
    <w:rsid w:val="008550A4"/>
    <w:rsid w:val="00856EDC"/>
    <w:rsid w:val="00857416"/>
    <w:rsid w:val="008575CD"/>
    <w:rsid w:val="00860FEE"/>
    <w:rsid w:val="00861C78"/>
    <w:rsid w:val="008623B5"/>
    <w:rsid w:val="00862C41"/>
    <w:rsid w:val="0086418B"/>
    <w:rsid w:val="00864F48"/>
    <w:rsid w:val="0086643E"/>
    <w:rsid w:val="00870A15"/>
    <w:rsid w:val="00870ABA"/>
    <w:rsid w:val="008710E1"/>
    <w:rsid w:val="008716E5"/>
    <w:rsid w:val="00871D9D"/>
    <w:rsid w:val="00872111"/>
    <w:rsid w:val="0087307D"/>
    <w:rsid w:val="0087342D"/>
    <w:rsid w:val="00873EFB"/>
    <w:rsid w:val="008745B6"/>
    <w:rsid w:val="0087461A"/>
    <w:rsid w:val="00874AF3"/>
    <w:rsid w:val="0087588C"/>
    <w:rsid w:val="00881C2E"/>
    <w:rsid w:val="00881CA9"/>
    <w:rsid w:val="00882615"/>
    <w:rsid w:val="008829DE"/>
    <w:rsid w:val="00883628"/>
    <w:rsid w:val="00883A09"/>
    <w:rsid w:val="00883F9B"/>
    <w:rsid w:val="00884720"/>
    <w:rsid w:val="00885544"/>
    <w:rsid w:val="008858C5"/>
    <w:rsid w:val="0088634E"/>
    <w:rsid w:val="00887D1E"/>
    <w:rsid w:val="00887F5E"/>
    <w:rsid w:val="00890261"/>
    <w:rsid w:val="008908E6"/>
    <w:rsid w:val="00891BDA"/>
    <w:rsid w:val="00891C80"/>
    <w:rsid w:val="0089219E"/>
    <w:rsid w:val="008922E9"/>
    <w:rsid w:val="00892396"/>
    <w:rsid w:val="008939C5"/>
    <w:rsid w:val="00893AAF"/>
    <w:rsid w:val="00893AB8"/>
    <w:rsid w:val="00894C0B"/>
    <w:rsid w:val="00895A4D"/>
    <w:rsid w:val="00895B56"/>
    <w:rsid w:val="00896136"/>
    <w:rsid w:val="00896381"/>
    <w:rsid w:val="008A04C8"/>
    <w:rsid w:val="008A0957"/>
    <w:rsid w:val="008A0B6D"/>
    <w:rsid w:val="008A277C"/>
    <w:rsid w:val="008A2BCA"/>
    <w:rsid w:val="008A39D1"/>
    <w:rsid w:val="008A3FBB"/>
    <w:rsid w:val="008A60E9"/>
    <w:rsid w:val="008A6913"/>
    <w:rsid w:val="008A7192"/>
    <w:rsid w:val="008A754B"/>
    <w:rsid w:val="008A7DEA"/>
    <w:rsid w:val="008B00AE"/>
    <w:rsid w:val="008B0774"/>
    <w:rsid w:val="008B20DD"/>
    <w:rsid w:val="008B25F3"/>
    <w:rsid w:val="008B2C6C"/>
    <w:rsid w:val="008B41C3"/>
    <w:rsid w:val="008B4470"/>
    <w:rsid w:val="008B473F"/>
    <w:rsid w:val="008B5491"/>
    <w:rsid w:val="008B5684"/>
    <w:rsid w:val="008B6330"/>
    <w:rsid w:val="008B70F3"/>
    <w:rsid w:val="008B71C4"/>
    <w:rsid w:val="008B76DF"/>
    <w:rsid w:val="008B7926"/>
    <w:rsid w:val="008C10F4"/>
    <w:rsid w:val="008C12BC"/>
    <w:rsid w:val="008C15A6"/>
    <w:rsid w:val="008C164E"/>
    <w:rsid w:val="008C20B0"/>
    <w:rsid w:val="008C2402"/>
    <w:rsid w:val="008C245F"/>
    <w:rsid w:val="008C3FB0"/>
    <w:rsid w:val="008C4659"/>
    <w:rsid w:val="008C55E9"/>
    <w:rsid w:val="008C5A25"/>
    <w:rsid w:val="008C5CCB"/>
    <w:rsid w:val="008C65F7"/>
    <w:rsid w:val="008C67F8"/>
    <w:rsid w:val="008C7683"/>
    <w:rsid w:val="008C799B"/>
    <w:rsid w:val="008C7C79"/>
    <w:rsid w:val="008D1E64"/>
    <w:rsid w:val="008D2032"/>
    <w:rsid w:val="008D2405"/>
    <w:rsid w:val="008D25E8"/>
    <w:rsid w:val="008D3CE1"/>
    <w:rsid w:val="008D3E45"/>
    <w:rsid w:val="008D4045"/>
    <w:rsid w:val="008D541A"/>
    <w:rsid w:val="008D5AF5"/>
    <w:rsid w:val="008D611B"/>
    <w:rsid w:val="008D74E0"/>
    <w:rsid w:val="008D7A24"/>
    <w:rsid w:val="008D7F99"/>
    <w:rsid w:val="008E09E2"/>
    <w:rsid w:val="008E0BA3"/>
    <w:rsid w:val="008E2037"/>
    <w:rsid w:val="008E2079"/>
    <w:rsid w:val="008E42CC"/>
    <w:rsid w:val="008E4767"/>
    <w:rsid w:val="008E592A"/>
    <w:rsid w:val="008E787F"/>
    <w:rsid w:val="008E7907"/>
    <w:rsid w:val="008E7A8C"/>
    <w:rsid w:val="008E7F3E"/>
    <w:rsid w:val="008F175B"/>
    <w:rsid w:val="008F1E7C"/>
    <w:rsid w:val="008F2B80"/>
    <w:rsid w:val="008F2CBD"/>
    <w:rsid w:val="008F34B6"/>
    <w:rsid w:val="008F697F"/>
    <w:rsid w:val="0090099A"/>
    <w:rsid w:val="009009E2"/>
    <w:rsid w:val="00900F27"/>
    <w:rsid w:val="00901E5C"/>
    <w:rsid w:val="0090201D"/>
    <w:rsid w:val="00902F49"/>
    <w:rsid w:val="00903285"/>
    <w:rsid w:val="00903D38"/>
    <w:rsid w:val="009047E2"/>
    <w:rsid w:val="009052AA"/>
    <w:rsid w:val="00906F40"/>
    <w:rsid w:val="0090731E"/>
    <w:rsid w:val="00911183"/>
    <w:rsid w:val="00911F32"/>
    <w:rsid w:val="00912523"/>
    <w:rsid w:val="00914CDD"/>
    <w:rsid w:val="00915144"/>
    <w:rsid w:val="00915B1C"/>
    <w:rsid w:val="00915B39"/>
    <w:rsid w:val="009174F3"/>
    <w:rsid w:val="0091797D"/>
    <w:rsid w:val="00921A49"/>
    <w:rsid w:val="00922396"/>
    <w:rsid w:val="00923925"/>
    <w:rsid w:val="00923CBA"/>
    <w:rsid w:val="00924B9E"/>
    <w:rsid w:val="009251FA"/>
    <w:rsid w:val="009253A5"/>
    <w:rsid w:val="00925496"/>
    <w:rsid w:val="00925F90"/>
    <w:rsid w:val="00926703"/>
    <w:rsid w:val="00926809"/>
    <w:rsid w:val="009272C4"/>
    <w:rsid w:val="00927535"/>
    <w:rsid w:val="00927691"/>
    <w:rsid w:val="00927A5F"/>
    <w:rsid w:val="0093328B"/>
    <w:rsid w:val="00933CD8"/>
    <w:rsid w:val="00933DCF"/>
    <w:rsid w:val="00934966"/>
    <w:rsid w:val="00934E14"/>
    <w:rsid w:val="00935B63"/>
    <w:rsid w:val="0094078F"/>
    <w:rsid w:val="00940FA3"/>
    <w:rsid w:val="00941FB0"/>
    <w:rsid w:val="009426D4"/>
    <w:rsid w:val="00942DEC"/>
    <w:rsid w:val="009435D6"/>
    <w:rsid w:val="009455E2"/>
    <w:rsid w:val="009467C2"/>
    <w:rsid w:val="00946D44"/>
    <w:rsid w:val="00947DC6"/>
    <w:rsid w:val="00947F25"/>
    <w:rsid w:val="00950159"/>
    <w:rsid w:val="009505C6"/>
    <w:rsid w:val="00950983"/>
    <w:rsid w:val="0095149B"/>
    <w:rsid w:val="00951F55"/>
    <w:rsid w:val="00952C66"/>
    <w:rsid w:val="009536E3"/>
    <w:rsid w:val="00953DD2"/>
    <w:rsid w:val="00954570"/>
    <w:rsid w:val="0095490B"/>
    <w:rsid w:val="009555DF"/>
    <w:rsid w:val="009558DE"/>
    <w:rsid w:val="00956690"/>
    <w:rsid w:val="00956D9D"/>
    <w:rsid w:val="009607C4"/>
    <w:rsid w:val="0096093F"/>
    <w:rsid w:val="00960A33"/>
    <w:rsid w:val="00960D1F"/>
    <w:rsid w:val="00960D3C"/>
    <w:rsid w:val="009611D8"/>
    <w:rsid w:val="00961698"/>
    <w:rsid w:val="00961D84"/>
    <w:rsid w:val="00962CA2"/>
    <w:rsid w:val="009641EB"/>
    <w:rsid w:val="009668B3"/>
    <w:rsid w:val="00967367"/>
    <w:rsid w:val="00971914"/>
    <w:rsid w:val="00972A9B"/>
    <w:rsid w:val="00972E43"/>
    <w:rsid w:val="009741C4"/>
    <w:rsid w:val="00974363"/>
    <w:rsid w:val="00974DD5"/>
    <w:rsid w:val="00977415"/>
    <w:rsid w:val="00980332"/>
    <w:rsid w:val="00980D5C"/>
    <w:rsid w:val="00981898"/>
    <w:rsid w:val="00982FB0"/>
    <w:rsid w:val="00983083"/>
    <w:rsid w:val="009849B4"/>
    <w:rsid w:val="00984C4B"/>
    <w:rsid w:val="00985734"/>
    <w:rsid w:val="009876EE"/>
    <w:rsid w:val="00987912"/>
    <w:rsid w:val="0099013B"/>
    <w:rsid w:val="0099123D"/>
    <w:rsid w:val="0099227E"/>
    <w:rsid w:val="0099291D"/>
    <w:rsid w:val="00995602"/>
    <w:rsid w:val="0099577C"/>
    <w:rsid w:val="00995CC8"/>
    <w:rsid w:val="00996570"/>
    <w:rsid w:val="00996690"/>
    <w:rsid w:val="00996920"/>
    <w:rsid w:val="00996C52"/>
    <w:rsid w:val="009970C1"/>
    <w:rsid w:val="00997738"/>
    <w:rsid w:val="009A0B3B"/>
    <w:rsid w:val="009A2F96"/>
    <w:rsid w:val="009A3B6D"/>
    <w:rsid w:val="009A407D"/>
    <w:rsid w:val="009A4B0C"/>
    <w:rsid w:val="009A673F"/>
    <w:rsid w:val="009B11D5"/>
    <w:rsid w:val="009B2601"/>
    <w:rsid w:val="009B2673"/>
    <w:rsid w:val="009B34AE"/>
    <w:rsid w:val="009B397D"/>
    <w:rsid w:val="009B3C82"/>
    <w:rsid w:val="009B4290"/>
    <w:rsid w:val="009B440E"/>
    <w:rsid w:val="009B4E9E"/>
    <w:rsid w:val="009B6037"/>
    <w:rsid w:val="009B6E36"/>
    <w:rsid w:val="009B7D76"/>
    <w:rsid w:val="009C0D02"/>
    <w:rsid w:val="009C1690"/>
    <w:rsid w:val="009C19BA"/>
    <w:rsid w:val="009C1AC4"/>
    <w:rsid w:val="009C1BCD"/>
    <w:rsid w:val="009C2235"/>
    <w:rsid w:val="009C2B2D"/>
    <w:rsid w:val="009C3945"/>
    <w:rsid w:val="009C42B2"/>
    <w:rsid w:val="009C42F2"/>
    <w:rsid w:val="009C438F"/>
    <w:rsid w:val="009C51AB"/>
    <w:rsid w:val="009C6881"/>
    <w:rsid w:val="009C6D38"/>
    <w:rsid w:val="009C7759"/>
    <w:rsid w:val="009C775D"/>
    <w:rsid w:val="009C7E53"/>
    <w:rsid w:val="009D043D"/>
    <w:rsid w:val="009D07C8"/>
    <w:rsid w:val="009D14F8"/>
    <w:rsid w:val="009D20F1"/>
    <w:rsid w:val="009D2518"/>
    <w:rsid w:val="009D2754"/>
    <w:rsid w:val="009D4134"/>
    <w:rsid w:val="009D6315"/>
    <w:rsid w:val="009D67DE"/>
    <w:rsid w:val="009D6C71"/>
    <w:rsid w:val="009D7D2F"/>
    <w:rsid w:val="009E0503"/>
    <w:rsid w:val="009E0631"/>
    <w:rsid w:val="009E0E49"/>
    <w:rsid w:val="009E16D0"/>
    <w:rsid w:val="009E2499"/>
    <w:rsid w:val="009E38FD"/>
    <w:rsid w:val="009E4330"/>
    <w:rsid w:val="009E4D09"/>
    <w:rsid w:val="009E5236"/>
    <w:rsid w:val="009E5778"/>
    <w:rsid w:val="009E5DAE"/>
    <w:rsid w:val="009E63CE"/>
    <w:rsid w:val="009E7847"/>
    <w:rsid w:val="009F13D6"/>
    <w:rsid w:val="009F177F"/>
    <w:rsid w:val="009F2AC6"/>
    <w:rsid w:val="009F36E4"/>
    <w:rsid w:val="009F4C6B"/>
    <w:rsid w:val="009F4F26"/>
    <w:rsid w:val="009F5D1F"/>
    <w:rsid w:val="009F69AD"/>
    <w:rsid w:val="009F78A8"/>
    <w:rsid w:val="00A01927"/>
    <w:rsid w:val="00A02AD6"/>
    <w:rsid w:val="00A0309C"/>
    <w:rsid w:val="00A03B2C"/>
    <w:rsid w:val="00A0461E"/>
    <w:rsid w:val="00A06656"/>
    <w:rsid w:val="00A07096"/>
    <w:rsid w:val="00A07318"/>
    <w:rsid w:val="00A0753E"/>
    <w:rsid w:val="00A11370"/>
    <w:rsid w:val="00A11E3C"/>
    <w:rsid w:val="00A129BD"/>
    <w:rsid w:val="00A148F5"/>
    <w:rsid w:val="00A162FB"/>
    <w:rsid w:val="00A17022"/>
    <w:rsid w:val="00A170E0"/>
    <w:rsid w:val="00A20AA6"/>
    <w:rsid w:val="00A21933"/>
    <w:rsid w:val="00A224CE"/>
    <w:rsid w:val="00A22522"/>
    <w:rsid w:val="00A22689"/>
    <w:rsid w:val="00A23207"/>
    <w:rsid w:val="00A23C6B"/>
    <w:rsid w:val="00A23E8A"/>
    <w:rsid w:val="00A2426E"/>
    <w:rsid w:val="00A2455C"/>
    <w:rsid w:val="00A24605"/>
    <w:rsid w:val="00A24AFD"/>
    <w:rsid w:val="00A24B58"/>
    <w:rsid w:val="00A24F5C"/>
    <w:rsid w:val="00A25714"/>
    <w:rsid w:val="00A271BB"/>
    <w:rsid w:val="00A3066A"/>
    <w:rsid w:val="00A31B82"/>
    <w:rsid w:val="00A32A35"/>
    <w:rsid w:val="00A32F96"/>
    <w:rsid w:val="00A34859"/>
    <w:rsid w:val="00A35481"/>
    <w:rsid w:val="00A362CC"/>
    <w:rsid w:val="00A36C6A"/>
    <w:rsid w:val="00A36F4D"/>
    <w:rsid w:val="00A405C4"/>
    <w:rsid w:val="00A40871"/>
    <w:rsid w:val="00A412AB"/>
    <w:rsid w:val="00A4193E"/>
    <w:rsid w:val="00A43505"/>
    <w:rsid w:val="00A440E0"/>
    <w:rsid w:val="00A442EF"/>
    <w:rsid w:val="00A448A1"/>
    <w:rsid w:val="00A44DE0"/>
    <w:rsid w:val="00A46097"/>
    <w:rsid w:val="00A46931"/>
    <w:rsid w:val="00A46FF7"/>
    <w:rsid w:val="00A474FB"/>
    <w:rsid w:val="00A508D8"/>
    <w:rsid w:val="00A51D1A"/>
    <w:rsid w:val="00A51E50"/>
    <w:rsid w:val="00A5307C"/>
    <w:rsid w:val="00A53B86"/>
    <w:rsid w:val="00A5418D"/>
    <w:rsid w:val="00A5474E"/>
    <w:rsid w:val="00A548BD"/>
    <w:rsid w:val="00A54E38"/>
    <w:rsid w:val="00A55352"/>
    <w:rsid w:val="00A55B59"/>
    <w:rsid w:val="00A55C4C"/>
    <w:rsid w:val="00A56AF4"/>
    <w:rsid w:val="00A56D22"/>
    <w:rsid w:val="00A57C12"/>
    <w:rsid w:val="00A601F5"/>
    <w:rsid w:val="00A64234"/>
    <w:rsid w:val="00A66C79"/>
    <w:rsid w:val="00A66EBB"/>
    <w:rsid w:val="00A67BDA"/>
    <w:rsid w:val="00A70ADF"/>
    <w:rsid w:val="00A70C6F"/>
    <w:rsid w:val="00A70F7C"/>
    <w:rsid w:val="00A71430"/>
    <w:rsid w:val="00A71466"/>
    <w:rsid w:val="00A72219"/>
    <w:rsid w:val="00A72D3F"/>
    <w:rsid w:val="00A74B5E"/>
    <w:rsid w:val="00A74E36"/>
    <w:rsid w:val="00A75E97"/>
    <w:rsid w:val="00A7615F"/>
    <w:rsid w:val="00A765C6"/>
    <w:rsid w:val="00A76802"/>
    <w:rsid w:val="00A76E90"/>
    <w:rsid w:val="00A806A2"/>
    <w:rsid w:val="00A80AE9"/>
    <w:rsid w:val="00A814ED"/>
    <w:rsid w:val="00A81AFF"/>
    <w:rsid w:val="00A81BED"/>
    <w:rsid w:val="00A81EC4"/>
    <w:rsid w:val="00A822C0"/>
    <w:rsid w:val="00A843EF"/>
    <w:rsid w:val="00A84DAE"/>
    <w:rsid w:val="00A85D61"/>
    <w:rsid w:val="00A87DDF"/>
    <w:rsid w:val="00A901FA"/>
    <w:rsid w:val="00A90BD9"/>
    <w:rsid w:val="00A916DC"/>
    <w:rsid w:val="00A91A13"/>
    <w:rsid w:val="00A94A82"/>
    <w:rsid w:val="00A95558"/>
    <w:rsid w:val="00A958FD"/>
    <w:rsid w:val="00A95979"/>
    <w:rsid w:val="00A95F57"/>
    <w:rsid w:val="00A967FD"/>
    <w:rsid w:val="00A96D0E"/>
    <w:rsid w:val="00A978E4"/>
    <w:rsid w:val="00AA0D00"/>
    <w:rsid w:val="00AA1611"/>
    <w:rsid w:val="00AA1719"/>
    <w:rsid w:val="00AA2BF3"/>
    <w:rsid w:val="00AA2DE5"/>
    <w:rsid w:val="00AA45F9"/>
    <w:rsid w:val="00AA4AF8"/>
    <w:rsid w:val="00AA5FB1"/>
    <w:rsid w:val="00AA74FE"/>
    <w:rsid w:val="00AA7712"/>
    <w:rsid w:val="00AA78A4"/>
    <w:rsid w:val="00AB0807"/>
    <w:rsid w:val="00AB0E27"/>
    <w:rsid w:val="00AB156C"/>
    <w:rsid w:val="00AB44D4"/>
    <w:rsid w:val="00AB64E6"/>
    <w:rsid w:val="00AB6814"/>
    <w:rsid w:val="00AB74A5"/>
    <w:rsid w:val="00AB7CF8"/>
    <w:rsid w:val="00AC04BA"/>
    <w:rsid w:val="00AC0821"/>
    <w:rsid w:val="00AC0D08"/>
    <w:rsid w:val="00AC0E39"/>
    <w:rsid w:val="00AC2E4C"/>
    <w:rsid w:val="00AC2F83"/>
    <w:rsid w:val="00AC399D"/>
    <w:rsid w:val="00AC514C"/>
    <w:rsid w:val="00AC5ED0"/>
    <w:rsid w:val="00AC639C"/>
    <w:rsid w:val="00AC688F"/>
    <w:rsid w:val="00AC6AA2"/>
    <w:rsid w:val="00AC7743"/>
    <w:rsid w:val="00AD212F"/>
    <w:rsid w:val="00AD226C"/>
    <w:rsid w:val="00AD2271"/>
    <w:rsid w:val="00AD3082"/>
    <w:rsid w:val="00AD31D7"/>
    <w:rsid w:val="00AD32B4"/>
    <w:rsid w:val="00AD4202"/>
    <w:rsid w:val="00AD45C7"/>
    <w:rsid w:val="00AD4AD0"/>
    <w:rsid w:val="00AD4C8E"/>
    <w:rsid w:val="00AD4C9E"/>
    <w:rsid w:val="00AD5436"/>
    <w:rsid w:val="00AD5E92"/>
    <w:rsid w:val="00AD60CD"/>
    <w:rsid w:val="00AD6C8C"/>
    <w:rsid w:val="00AD7530"/>
    <w:rsid w:val="00AE084A"/>
    <w:rsid w:val="00AE091D"/>
    <w:rsid w:val="00AE0DA7"/>
    <w:rsid w:val="00AE2742"/>
    <w:rsid w:val="00AE3B60"/>
    <w:rsid w:val="00AE5389"/>
    <w:rsid w:val="00AE53A1"/>
    <w:rsid w:val="00AE5AE4"/>
    <w:rsid w:val="00AE5D30"/>
    <w:rsid w:val="00AE7488"/>
    <w:rsid w:val="00AE7C67"/>
    <w:rsid w:val="00AF0DF6"/>
    <w:rsid w:val="00AF121A"/>
    <w:rsid w:val="00AF17B5"/>
    <w:rsid w:val="00AF17BC"/>
    <w:rsid w:val="00AF2484"/>
    <w:rsid w:val="00AF3013"/>
    <w:rsid w:val="00AF34A2"/>
    <w:rsid w:val="00AF3712"/>
    <w:rsid w:val="00AF3D16"/>
    <w:rsid w:val="00AF5EA9"/>
    <w:rsid w:val="00AF63E7"/>
    <w:rsid w:val="00AF6E17"/>
    <w:rsid w:val="00AF7EEE"/>
    <w:rsid w:val="00B014C6"/>
    <w:rsid w:val="00B0165D"/>
    <w:rsid w:val="00B01B60"/>
    <w:rsid w:val="00B031F3"/>
    <w:rsid w:val="00B0390B"/>
    <w:rsid w:val="00B04021"/>
    <w:rsid w:val="00B052A4"/>
    <w:rsid w:val="00B1028F"/>
    <w:rsid w:val="00B10873"/>
    <w:rsid w:val="00B113A1"/>
    <w:rsid w:val="00B119EA"/>
    <w:rsid w:val="00B125DE"/>
    <w:rsid w:val="00B1306B"/>
    <w:rsid w:val="00B13EB7"/>
    <w:rsid w:val="00B13FDD"/>
    <w:rsid w:val="00B14485"/>
    <w:rsid w:val="00B15542"/>
    <w:rsid w:val="00B157B6"/>
    <w:rsid w:val="00B16E42"/>
    <w:rsid w:val="00B201F9"/>
    <w:rsid w:val="00B21CCC"/>
    <w:rsid w:val="00B21EBE"/>
    <w:rsid w:val="00B22E92"/>
    <w:rsid w:val="00B22EB2"/>
    <w:rsid w:val="00B2447E"/>
    <w:rsid w:val="00B27077"/>
    <w:rsid w:val="00B27442"/>
    <w:rsid w:val="00B27C38"/>
    <w:rsid w:val="00B30EA3"/>
    <w:rsid w:val="00B31004"/>
    <w:rsid w:val="00B31022"/>
    <w:rsid w:val="00B31167"/>
    <w:rsid w:val="00B317E1"/>
    <w:rsid w:val="00B329D8"/>
    <w:rsid w:val="00B32BB9"/>
    <w:rsid w:val="00B33AE1"/>
    <w:rsid w:val="00B34634"/>
    <w:rsid w:val="00B364FD"/>
    <w:rsid w:val="00B37749"/>
    <w:rsid w:val="00B37C38"/>
    <w:rsid w:val="00B37C55"/>
    <w:rsid w:val="00B37E43"/>
    <w:rsid w:val="00B40947"/>
    <w:rsid w:val="00B40BD9"/>
    <w:rsid w:val="00B41195"/>
    <w:rsid w:val="00B4288C"/>
    <w:rsid w:val="00B43262"/>
    <w:rsid w:val="00B43F6A"/>
    <w:rsid w:val="00B44100"/>
    <w:rsid w:val="00B4415F"/>
    <w:rsid w:val="00B44E2B"/>
    <w:rsid w:val="00B44FC7"/>
    <w:rsid w:val="00B45141"/>
    <w:rsid w:val="00B46CBA"/>
    <w:rsid w:val="00B46F94"/>
    <w:rsid w:val="00B47B89"/>
    <w:rsid w:val="00B508EC"/>
    <w:rsid w:val="00B51B63"/>
    <w:rsid w:val="00B52015"/>
    <w:rsid w:val="00B52419"/>
    <w:rsid w:val="00B546FB"/>
    <w:rsid w:val="00B5482F"/>
    <w:rsid w:val="00B55FA6"/>
    <w:rsid w:val="00B6003C"/>
    <w:rsid w:val="00B612AA"/>
    <w:rsid w:val="00B61F03"/>
    <w:rsid w:val="00B62551"/>
    <w:rsid w:val="00B626E4"/>
    <w:rsid w:val="00B62C8F"/>
    <w:rsid w:val="00B630DF"/>
    <w:rsid w:val="00B63768"/>
    <w:rsid w:val="00B63B1B"/>
    <w:rsid w:val="00B64ABA"/>
    <w:rsid w:val="00B65BF7"/>
    <w:rsid w:val="00B66A37"/>
    <w:rsid w:val="00B67478"/>
    <w:rsid w:val="00B6777E"/>
    <w:rsid w:val="00B67C6E"/>
    <w:rsid w:val="00B71190"/>
    <w:rsid w:val="00B711C1"/>
    <w:rsid w:val="00B71D13"/>
    <w:rsid w:val="00B721C9"/>
    <w:rsid w:val="00B724F2"/>
    <w:rsid w:val="00B72F4A"/>
    <w:rsid w:val="00B73129"/>
    <w:rsid w:val="00B737F7"/>
    <w:rsid w:val="00B74692"/>
    <w:rsid w:val="00B74BF0"/>
    <w:rsid w:val="00B75BDA"/>
    <w:rsid w:val="00B8017E"/>
    <w:rsid w:val="00B8342B"/>
    <w:rsid w:val="00B83C27"/>
    <w:rsid w:val="00B84541"/>
    <w:rsid w:val="00B84BC3"/>
    <w:rsid w:val="00B84BDD"/>
    <w:rsid w:val="00B84CB2"/>
    <w:rsid w:val="00B851BB"/>
    <w:rsid w:val="00B87744"/>
    <w:rsid w:val="00B87D63"/>
    <w:rsid w:val="00B87E8B"/>
    <w:rsid w:val="00B91494"/>
    <w:rsid w:val="00B9152A"/>
    <w:rsid w:val="00B916D6"/>
    <w:rsid w:val="00B92812"/>
    <w:rsid w:val="00B95600"/>
    <w:rsid w:val="00B963CC"/>
    <w:rsid w:val="00B96D7B"/>
    <w:rsid w:val="00B96F18"/>
    <w:rsid w:val="00B96FCA"/>
    <w:rsid w:val="00B9756E"/>
    <w:rsid w:val="00BA1AA0"/>
    <w:rsid w:val="00BA1FD9"/>
    <w:rsid w:val="00BA2283"/>
    <w:rsid w:val="00BA3FAC"/>
    <w:rsid w:val="00BA56C5"/>
    <w:rsid w:val="00BA5807"/>
    <w:rsid w:val="00BA6ECE"/>
    <w:rsid w:val="00BA70E8"/>
    <w:rsid w:val="00BB1486"/>
    <w:rsid w:val="00BB327B"/>
    <w:rsid w:val="00BB3E16"/>
    <w:rsid w:val="00BB45A1"/>
    <w:rsid w:val="00BB515E"/>
    <w:rsid w:val="00BB70C9"/>
    <w:rsid w:val="00BB7517"/>
    <w:rsid w:val="00BB7686"/>
    <w:rsid w:val="00BC086E"/>
    <w:rsid w:val="00BC0A50"/>
    <w:rsid w:val="00BC1437"/>
    <w:rsid w:val="00BC17D2"/>
    <w:rsid w:val="00BC1F5B"/>
    <w:rsid w:val="00BC23F9"/>
    <w:rsid w:val="00BC3421"/>
    <w:rsid w:val="00BC37C1"/>
    <w:rsid w:val="00BC429A"/>
    <w:rsid w:val="00BC732C"/>
    <w:rsid w:val="00BC7D2B"/>
    <w:rsid w:val="00BD26F2"/>
    <w:rsid w:val="00BD37CC"/>
    <w:rsid w:val="00BD3F32"/>
    <w:rsid w:val="00BD456E"/>
    <w:rsid w:val="00BD480F"/>
    <w:rsid w:val="00BD4CC0"/>
    <w:rsid w:val="00BD58E1"/>
    <w:rsid w:val="00BD7D94"/>
    <w:rsid w:val="00BE022B"/>
    <w:rsid w:val="00BE0C8D"/>
    <w:rsid w:val="00BE0ECB"/>
    <w:rsid w:val="00BE15AB"/>
    <w:rsid w:val="00BE207B"/>
    <w:rsid w:val="00BE2580"/>
    <w:rsid w:val="00BE266D"/>
    <w:rsid w:val="00BE28E3"/>
    <w:rsid w:val="00BE3938"/>
    <w:rsid w:val="00BE4C11"/>
    <w:rsid w:val="00BE4C92"/>
    <w:rsid w:val="00BE583F"/>
    <w:rsid w:val="00BE5FED"/>
    <w:rsid w:val="00BE6C88"/>
    <w:rsid w:val="00BE71C0"/>
    <w:rsid w:val="00BE732E"/>
    <w:rsid w:val="00BE7EC1"/>
    <w:rsid w:val="00BF1B5A"/>
    <w:rsid w:val="00BF215F"/>
    <w:rsid w:val="00BF2DD6"/>
    <w:rsid w:val="00BF3DEA"/>
    <w:rsid w:val="00BF45D5"/>
    <w:rsid w:val="00BF46DF"/>
    <w:rsid w:val="00BF4D55"/>
    <w:rsid w:val="00BF52F4"/>
    <w:rsid w:val="00BF581D"/>
    <w:rsid w:val="00BF610C"/>
    <w:rsid w:val="00BF7044"/>
    <w:rsid w:val="00C00074"/>
    <w:rsid w:val="00C00584"/>
    <w:rsid w:val="00C0060B"/>
    <w:rsid w:val="00C00E6C"/>
    <w:rsid w:val="00C0277D"/>
    <w:rsid w:val="00C028AC"/>
    <w:rsid w:val="00C053A1"/>
    <w:rsid w:val="00C05729"/>
    <w:rsid w:val="00C06E4D"/>
    <w:rsid w:val="00C070A8"/>
    <w:rsid w:val="00C077F4"/>
    <w:rsid w:val="00C07C49"/>
    <w:rsid w:val="00C12454"/>
    <w:rsid w:val="00C1277C"/>
    <w:rsid w:val="00C128B5"/>
    <w:rsid w:val="00C137A0"/>
    <w:rsid w:val="00C13B07"/>
    <w:rsid w:val="00C14CE0"/>
    <w:rsid w:val="00C16198"/>
    <w:rsid w:val="00C163A8"/>
    <w:rsid w:val="00C16D85"/>
    <w:rsid w:val="00C17E08"/>
    <w:rsid w:val="00C2083D"/>
    <w:rsid w:val="00C21CCC"/>
    <w:rsid w:val="00C23A44"/>
    <w:rsid w:val="00C24280"/>
    <w:rsid w:val="00C246BF"/>
    <w:rsid w:val="00C24718"/>
    <w:rsid w:val="00C24A53"/>
    <w:rsid w:val="00C25B67"/>
    <w:rsid w:val="00C2705E"/>
    <w:rsid w:val="00C30E93"/>
    <w:rsid w:val="00C3241E"/>
    <w:rsid w:val="00C327FA"/>
    <w:rsid w:val="00C33A97"/>
    <w:rsid w:val="00C33CD0"/>
    <w:rsid w:val="00C34A05"/>
    <w:rsid w:val="00C34DAD"/>
    <w:rsid w:val="00C351B3"/>
    <w:rsid w:val="00C3653B"/>
    <w:rsid w:val="00C36D0A"/>
    <w:rsid w:val="00C370D9"/>
    <w:rsid w:val="00C375D7"/>
    <w:rsid w:val="00C4032F"/>
    <w:rsid w:val="00C4041E"/>
    <w:rsid w:val="00C40A4E"/>
    <w:rsid w:val="00C42789"/>
    <w:rsid w:val="00C44047"/>
    <w:rsid w:val="00C448B4"/>
    <w:rsid w:val="00C45155"/>
    <w:rsid w:val="00C45DE4"/>
    <w:rsid w:val="00C4679F"/>
    <w:rsid w:val="00C50BEB"/>
    <w:rsid w:val="00C528D1"/>
    <w:rsid w:val="00C53106"/>
    <w:rsid w:val="00C5498F"/>
    <w:rsid w:val="00C55235"/>
    <w:rsid w:val="00C55CB7"/>
    <w:rsid w:val="00C56768"/>
    <w:rsid w:val="00C56AEC"/>
    <w:rsid w:val="00C57236"/>
    <w:rsid w:val="00C60187"/>
    <w:rsid w:val="00C613ED"/>
    <w:rsid w:val="00C617CA"/>
    <w:rsid w:val="00C6329D"/>
    <w:rsid w:val="00C64CD0"/>
    <w:rsid w:val="00C659EC"/>
    <w:rsid w:val="00C6684F"/>
    <w:rsid w:val="00C700B9"/>
    <w:rsid w:val="00C70B47"/>
    <w:rsid w:val="00C70E70"/>
    <w:rsid w:val="00C70F31"/>
    <w:rsid w:val="00C71DE6"/>
    <w:rsid w:val="00C71F1B"/>
    <w:rsid w:val="00C73397"/>
    <w:rsid w:val="00C73A9E"/>
    <w:rsid w:val="00C74C32"/>
    <w:rsid w:val="00C75F8D"/>
    <w:rsid w:val="00C76A99"/>
    <w:rsid w:val="00C76B57"/>
    <w:rsid w:val="00C77380"/>
    <w:rsid w:val="00C80970"/>
    <w:rsid w:val="00C80AB0"/>
    <w:rsid w:val="00C81207"/>
    <w:rsid w:val="00C82AC5"/>
    <w:rsid w:val="00C84138"/>
    <w:rsid w:val="00C8487E"/>
    <w:rsid w:val="00C84D56"/>
    <w:rsid w:val="00C84F79"/>
    <w:rsid w:val="00C85F73"/>
    <w:rsid w:val="00C87F2E"/>
    <w:rsid w:val="00C90DD7"/>
    <w:rsid w:val="00C95230"/>
    <w:rsid w:val="00C97736"/>
    <w:rsid w:val="00CA0163"/>
    <w:rsid w:val="00CA1B6D"/>
    <w:rsid w:val="00CA2C4A"/>
    <w:rsid w:val="00CA3041"/>
    <w:rsid w:val="00CA345A"/>
    <w:rsid w:val="00CA3CF0"/>
    <w:rsid w:val="00CA5BA4"/>
    <w:rsid w:val="00CA7068"/>
    <w:rsid w:val="00CA7EA5"/>
    <w:rsid w:val="00CB08CC"/>
    <w:rsid w:val="00CB0C3B"/>
    <w:rsid w:val="00CB1E82"/>
    <w:rsid w:val="00CB2CAE"/>
    <w:rsid w:val="00CB2FE7"/>
    <w:rsid w:val="00CB303F"/>
    <w:rsid w:val="00CB45B2"/>
    <w:rsid w:val="00CB4BA8"/>
    <w:rsid w:val="00CB52D7"/>
    <w:rsid w:val="00CB6C17"/>
    <w:rsid w:val="00CB723B"/>
    <w:rsid w:val="00CB77B1"/>
    <w:rsid w:val="00CC0568"/>
    <w:rsid w:val="00CC06AD"/>
    <w:rsid w:val="00CC0F38"/>
    <w:rsid w:val="00CC27C8"/>
    <w:rsid w:val="00CC2AF7"/>
    <w:rsid w:val="00CC547F"/>
    <w:rsid w:val="00CC6732"/>
    <w:rsid w:val="00CD146A"/>
    <w:rsid w:val="00CD1925"/>
    <w:rsid w:val="00CD197F"/>
    <w:rsid w:val="00CD32D1"/>
    <w:rsid w:val="00CD5E24"/>
    <w:rsid w:val="00CD6695"/>
    <w:rsid w:val="00CD7142"/>
    <w:rsid w:val="00CE136B"/>
    <w:rsid w:val="00CE19AC"/>
    <w:rsid w:val="00CE30FC"/>
    <w:rsid w:val="00CE3C96"/>
    <w:rsid w:val="00CE4C03"/>
    <w:rsid w:val="00CE4FDA"/>
    <w:rsid w:val="00CE51A8"/>
    <w:rsid w:val="00CE67A1"/>
    <w:rsid w:val="00CE6BDA"/>
    <w:rsid w:val="00CE6DF6"/>
    <w:rsid w:val="00CE713C"/>
    <w:rsid w:val="00CE717A"/>
    <w:rsid w:val="00CE730E"/>
    <w:rsid w:val="00CE7A85"/>
    <w:rsid w:val="00CE7D96"/>
    <w:rsid w:val="00CF1808"/>
    <w:rsid w:val="00CF1D2E"/>
    <w:rsid w:val="00CF23D9"/>
    <w:rsid w:val="00CF29A8"/>
    <w:rsid w:val="00CF369B"/>
    <w:rsid w:val="00CF5447"/>
    <w:rsid w:val="00CF56DE"/>
    <w:rsid w:val="00CF5C92"/>
    <w:rsid w:val="00D00505"/>
    <w:rsid w:val="00D00AE8"/>
    <w:rsid w:val="00D00E28"/>
    <w:rsid w:val="00D0133E"/>
    <w:rsid w:val="00D0220E"/>
    <w:rsid w:val="00D0269E"/>
    <w:rsid w:val="00D02CF4"/>
    <w:rsid w:val="00D02EF9"/>
    <w:rsid w:val="00D031C8"/>
    <w:rsid w:val="00D03296"/>
    <w:rsid w:val="00D03350"/>
    <w:rsid w:val="00D0574D"/>
    <w:rsid w:val="00D05D6C"/>
    <w:rsid w:val="00D06FCA"/>
    <w:rsid w:val="00D102AB"/>
    <w:rsid w:val="00D10A14"/>
    <w:rsid w:val="00D12253"/>
    <w:rsid w:val="00D12466"/>
    <w:rsid w:val="00D1247F"/>
    <w:rsid w:val="00D12AC8"/>
    <w:rsid w:val="00D12C34"/>
    <w:rsid w:val="00D15810"/>
    <w:rsid w:val="00D15A33"/>
    <w:rsid w:val="00D165E7"/>
    <w:rsid w:val="00D16D4E"/>
    <w:rsid w:val="00D16F4F"/>
    <w:rsid w:val="00D16FE3"/>
    <w:rsid w:val="00D2129E"/>
    <w:rsid w:val="00D227BA"/>
    <w:rsid w:val="00D237D0"/>
    <w:rsid w:val="00D2460C"/>
    <w:rsid w:val="00D27F41"/>
    <w:rsid w:val="00D30568"/>
    <w:rsid w:val="00D318A3"/>
    <w:rsid w:val="00D32F7E"/>
    <w:rsid w:val="00D3490C"/>
    <w:rsid w:val="00D36441"/>
    <w:rsid w:val="00D36606"/>
    <w:rsid w:val="00D378DE"/>
    <w:rsid w:val="00D4064E"/>
    <w:rsid w:val="00D41556"/>
    <w:rsid w:val="00D43466"/>
    <w:rsid w:val="00D44E9B"/>
    <w:rsid w:val="00D454AE"/>
    <w:rsid w:val="00D45509"/>
    <w:rsid w:val="00D45BF6"/>
    <w:rsid w:val="00D46191"/>
    <w:rsid w:val="00D47AEB"/>
    <w:rsid w:val="00D504DA"/>
    <w:rsid w:val="00D50DB9"/>
    <w:rsid w:val="00D50FF8"/>
    <w:rsid w:val="00D510A4"/>
    <w:rsid w:val="00D51302"/>
    <w:rsid w:val="00D51460"/>
    <w:rsid w:val="00D5214C"/>
    <w:rsid w:val="00D52C43"/>
    <w:rsid w:val="00D53A95"/>
    <w:rsid w:val="00D53AFE"/>
    <w:rsid w:val="00D55417"/>
    <w:rsid w:val="00D5601F"/>
    <w:rsid w:val="00D60D55"/>
    <w:rsid w:val="00D6292E"/>
    <w:rsid w:val="00D635EF"/>
    <w:rsid w:val="00D63ACA"/>
    <w:rsid w:val="00D647A5"/>
    <w:rsid w:val="00D6507F"/>
    <w:rsid w:val="00D662A3"/>
    <w:rsid w:val="00D66B1A"/>
    <w:rsid w:val="00D66F87"/>
    <w:rsid w:val="00D71E9D"/>
    <w:rsid w:val="00D72198"/>
    <w:rsid w:val="00D72483"/>
    <w:rsid w:val="00D730BC"/>
    <w:rsid w:val="00D73912"/>
    <w:rsid w:val="00D73C0C"/>
    <w:rsid w:val="00D77E36"/>
    <w:rsid w:val="00D80B4E"/>
    <w:rsid w:val="00D817CD"/>
    <w:rsid w:val="00D81DDE"/>
    <w:rsid w:val="00D81F60"/>
    <w:rsid w:val="00D81F73"/>
    <w:rsid w:val="00D82BDB"/>
    <w:rsid w:val="00D835CE"/>
    <w:rsid w:val="00D8383A"/>
    <w:rsid w:val="00D84848"/>
    <w:rsid w:val="00D84899"/>
    <w:rsid w:val="00D85226"/>
    <w:rsid w:val="00D852FB"/>
    <w:rsid w:val="00D872AB"/>
    <w:rsid w:val="00D8736E"/>
    <w:rsid w:val="00D879BB"/>
    <w:rsid w:val="00D87B94"/>
    <w:rsid w:val="00D87C11"/>
    <w:rsid w:val="00D90AF5"/>
    <w:rsid w:val="00D90E00"/>
    <w:rsid w:val="00D90E97"/>
    <w:rsid w:val="00D90FCD"/>
    <w:rsid w:val="00D910C6"/>
    <w:rsid w:val="00D92D49"/>
    <w:rsid w:val="00D92EC1"/>
    <w:rsid w:val="00D93215"/>
    <w:rsid w:val="00D93715"/>
    <w:rsid w:val="00D94B15"/>
    <w:rsid w:val="00D95549"/>
    <w:rsid w:val="00D964A8"/>
    <w:rsid w:val="00D96DEA"/>
    <w:rsid w:val="00DA007C"/>
    <w:rsid w:val="00DA1D24"/>
    <w:rsid w:val="00DA2572"/>
    <w:rsid w:val="00DA2F03"/>
    <w:rsid w:val="00DA3234"/>
    <w:rsid w:val="00DA3F9D"/>
    <w:rsid w:val="00DA4E41"/>
    <w:rsid w:val="00DA5697"/>
    <w:rsid w:val="00DA6A4B"/>
    <w:rsid w:val="00DA6BC0"/>
    <w:rsid w:val="00DA7FAB"/>
    <w:rsid w:val="00DB1010"/>
    <w:rsid w:val="00DB117A"/>
    <w:rsid w:val="00DB174A"/>
    <w:rsid w:val="00DB29C5"/>
    <w:rsid w:val="00DB2D26"/>
    <w:rsid w:val="00DB5173"/>
    <w:rsid w:val="00DB59DC"/>
    <w:rsid w:val="00DB74D9"/>
    <w:rsid w:val="00DB7873"/>
    <w:rsid w:val="00DC0358"/>
    <w:rsid w:val="00DC05D5"/>
    <w:rsid w:val="00DC0CC1"/>
    <w:rsid w:val="00DC128D"/>
    <w:rsid w:val="00DC187B"/>
    <w:rsid w:val="00DC1993"/>
    <w:rsid w:val="00DC3B6B"/>
    <w:rsid w:val="00DC4277"/>
    <w:rsid w:val="00DC470A"/>
    <w:rsid w:val="00DC4DCB"/>
    <w:rsid w:val="00DC6473"/>
    <w:rsid w:val="00DC656B"/>
    <w:rsid w:val="00DD1A43"/>
    <w:rsid w:val="00DD22AB"/>
    <w:rsid w:val="00DD22EA"/>
    <w:rsid w:val="00DD2E3D"/>
    <w:rsid w:val="00DD3310"/>
    <w:rsid w:val="00DD336F"/>
    <w:rsid w:val="00DD4177"/>
    <w:rsid w:val="00DD4563"/>
    <w:rsid w:val="00DD4CD7"/>
    <w:rsid w:val="00DD6E21"/>
    <w:rsid w:val="00DD73C2"/>
    <w:rsid w:val="00DD7A89"/>
    <w:rsid w:val="00DE12EE"/>
    <w:rsid w:val="00DE2D20"/>
    <w:rsid w:val="00DE319B"/>
    <w:rsid w:val="00DE3675"/>
    <w:rsid w:val="00DE49BF"/>
    <w:rsid w:val="00DE5F1D"/>
    <w:rsid w:val="00DE6355"/>
    <w:rsid w:val="00DE7451"/>
    <w:rsid w:val="00DE7B73"/>
    <w:rsid w:val="00DE7BDB"/>
    <w:rsid w:val="00DF0050"/>
    <w:rsid w:val="00DF34FE"/>
    <w:rsid w:val="00DF4586"/>
    <w:rsid w:val="00DF47C2"/>
    <w:rsid w:val="00DF56AA"/>
    <w:rsid w:val="00DF56AF"/>
    <w:rsid w:val="00DF5CBE"/>
    <w:rsid w:val="00DF6DE0"/>
    <w:rsid w:val="00DF78E7"/>
    <w:rsid w:val="00DF7D64"/>
    <w:rsid w:val="00E003D9"/>
    <w:rsid w:val="00E00A22"/>
    <w:rsid w:val="00E00EAA"/>
    <w:rsid w:val="00E015B2"/>
    <w:rsid w:val="00E0184D"/>
    <w:rsid w:val="00E01C94"/>
    <w:rsid w:val="00E01CE9"/>
    <w:rsid w:val="00E02500"/>
    <w:rsid w:val="00E026A5"/>
    <w:rsid w:val="00E02FE0"/>
    <w:rsid w:val="00E042D9"/>
    <w:rsid w:val="00E06227"/>
    <w:rsid w:val="00E102CD"/>
    <w:rsid w:val="00E110E0"/>
    <w:rsid w:val="00E127DC"/>
    <w:rsid w:val="00E12BCB"/>
    <w:rsid w:val="00E144E7"/>
    <w:rsid w:val="00E149D1"/>
    <w:rsid w:val="00E15371"/>
    <w:rsid w:val="00E16264"/>
    <w:rsid w:val="00E16729"/>
    <w:rsid w:val="00E16AFF"/>
    <w:rsid w:val="00E16B89"/>
    <w:rsid w:val="00E2385A"/>
    <w:rsid w:val="00E24104"/>
    <w:rsid w:val="00E246E5"/>
    <w:rsid w:val="00E27427"/>
    <w:rsid w:val="00E27A72"/>
    <w:rsid w:val="00E302D0"/>
    <w:rsid w:val="00E325A7"/>
    <w:rsid w:val="00E3450A"/>
    <w:rsid w:val="00E34EFA"/>
    <w:rsid w:val="00E35707"/>
    <w:rsid w:val="00E35F15"/>
    <w:rsid w:val="00E36AA1"/>
    <w:rsid w:val="00E36DA7"/>
    <w:rsid w:val="00E3709C"/>
    <w:rsid w:val="00E4130E"/>
    <w:rsid w:val="00E415FC"/>
    <w:rsid w:val="00E419C1"/>
    <w:rsid w:val="00E41ECB"/>
    <w:rsid w:val="00E4442A"/>
    <w:rsid w:val="00E46614"/>
    <w:rsid w:val="00E4700D"/>
    <w:rsid w:val="00E47A14"/>
    <w:rsid w:val="00E50210"/>
    <w:rsid w:val="00E51486"/>
    <w:rsid w:val="00E51900"/>
    <w:rsid w:val="00E52288"/>
    <w:rsid w:val="00E52329"/>
    <w:rsid w:val="00E530EA"/>
    <w:rsid w:val="00E533F1"/>
    <w:rsid w:val="00E536F9"/>
    <w:rsid w:val="00E539C2"/>
    <w:rsid w:val="00E5462D"/>
    <w:rsid w:val="00E54FDB"/>
    <w:rsid w:val="00E5617D"/>
    <w:rsid w:val="00E563D7"/>
    <w:rsid w:val="00E56A88"/>
    <w:rsid w:val="00E56B08"/>
    <w:rsid w:val="00E57153"/>
    <w:rsid w:val="00E61A44"/>
    <w:rsid w:val="00E61FEA"/>
    <w:rsid w:val="00E62026"/>
    <w:rsid w:val="00E63375"/>
    <w:rsid w:val="00E63A48"/>
    <w:rsid w:val="00E642DC"/>
    <w:rsid w:val="00E6470F"/>
    <w:rsid w:val="00E650C7"/>
    <w:rsid w:val="00E66148"/>
    <w:rsid w:val="00E663F4"/>
    <w:rsid w:val="00E665CF"/>
    <w:rsid w:val="00E666A2"/>
    <w:rsid w:val="00E666F2"/>
    <w:rsid w:val="00E66CE4"/>
    <w:rsid w:val="00E66DD4"/>
    <w:rsid w:val="00E70990"/>
    <w:rsid w:val="00E7291C"/>
    <w:rsid w:val="00E73C05"/>
    <w:rsid w:val="00E748CC"/>
    <w:rsid w:val="00E75415"/>
    <w:rsid w:val="00E775B1"/>
    <w:rsid w:val="00E776EC"/>
    <w:rsid w:val="00E807FB"/>
    <w:rsid w:val="00E81310"/>
    <w:rsid w:val="00E8152A"/>
    <w:rsid w:val="00E829F9"/>
    <w:rsid w:val="00E84458"/>
    <w:rsid w:val="00E8619D"/>
    <w:rsid w:val="00E86C5D"/>
    <w:rsid w:val="00E87DB5"/>
    <w:rsid w:val="00E90A2F"/>
    <w:rsid w:val="00E92368"/>
    <w:rsid w:val="00E9280E"/>
    <w:rsid w:val="00E92DA9"/>
    <w:rsid w:val="00E93629"/>
    <w:rsid w:val="00E93B10"/>
    <w:rsid w:val="00E93B5C"/>
    <w:rsid w:val="00E94CEC"/>
    <w:rsid w:val="00E94E9A"/>
    <w:rsid w:val="00E9570E"/>
    <w:rsid w:val="00E9623F"/>
    <w:rsid w:val="00EA03DB"/>
    <w:rsid w:val="00EA04EF"/>
    <w:rsid w:val="00EA0BD7"/>
    <w:rsid w:val="00EA15E0"/>
    <w:rsid w:val="00EA3288"/>
    <w:rsid w:val="00EA43EE"/>
    <w:rsid w:val="00EA48EA"/>
    <w:rsid w:val="00EA4E68"/>
    <w:rsid w:val="00EA5268"/>
    <w:rsid w:val="00EA6F19"/>
    <w:rsid w:val="00EA702F"/>
    <w:rsid w:val="00EB0219"/>
    <w:rsid w:val="00EB0488"/>
    <w:rsid w:val="00EB1704"/>
    <w:rsid w:val="00EB2F29"/>
    <w:rsid w:val="00EB33DA"/>
    <w:rsid w:val="00EB4838"/>
    <w:rsid w:val="00EB4E0D"/>
    <w:rsid w:val="00EB59E9"/>
    <w:rsid w:val="00EB5FF9"/>
    <w:rsid w:val="00EB63C0"/>
    <w:rsid w:val="00EB7090"/>
    <w:rsid w:val="00EB7C87"/>
    <w:rsid w:val="00EC125B"/>
    <w:rsid w:val="00EC1BBE"/>
    <w:rsid w:val="00EC21FF"/>
    <w:rsid w:val="00EC2849"/>
    <w:rsid w:val="00EC34DB"/>
    <w:rsid w:val="00EC3D6F"/>
    <w:rsid w:val="00EC415F"/>
    <w:rsid w:val="00EC464D"/>
    <w:rsid w:val="00EC4E3B"/>
    <w:rsid w:val="00EC50D2"/>
    <w:rsid w:val="00EC5CD7"/>
    <w:rsid w:val="00EC7372"/>
    <w:rsid w:val="00ED04EE"/>
    <w:rsid w:val="00ED231A"/>
    <w:rsid w:val="00ED26E1"/>
    <w:rsid w:val="00ED2A7A"/>
    <w:rsid w:val="00ED2BDF"/>
    <w:rsid w:val="00ED3246"/>
    <w:rsid w:val="00ED3276"/>
    <w:rsid w:val="00ED3E15"/>
    <w:rsid w:val="00ED66A2"/>
    <w:rsid w:val="00ED767C"/>
    <w:rsid w:val="00ED771C"/>
    <w:rsid w:val="00EE00DD"/>
    <w:rsid w:val="00EE24E9"/>
    <w:rsid w:val="00EE34E1"/>
    <w:rsid w:val="00EE4A8A"/>
    <w:rsid w:val="00EE5411"/>
    <w:rsid w:val="00EE5FB3"/>
    <w:rsid w:val="00EE66D5"/>
    <w:rsid w:val="00EE7F79"/>
    <w:rsid w:val="00EF0677"/>
    <w:rsid w:val="00EF134B"/>
    <w:rsid w:val="00EF2656"/>
    <w:rsid w:val="00EF3384"/>
    <w:rsid w:val="00EF4801"/>
    <w:rsid w:val="00EF58CD"/>
    <w:rsid w:val="00EF5AC1"/>
    <w:rsid w:val="00EF715A"/>
    <w:rsid w:val="00EF7265"/>
    <w:rsid w:val="00EF7ACF"/>
    <w:rsid w:val="00F00C5F"/>
    <w:rsid w:val="00F0259F"/>
    <w:rsid w:val="00F037C3"/>
    <w:rsid w:val="00F041CF"/>
    <w:rsid w:val="00F046CF"/>
    <w:rsid w:val="00F04CED"/>
    <w:rsid w:val="00F06733"/>
    <w:rsid w:val="00F06BD7"/>
    <w:rsid w:val="00F06E14"/>
    <w:rsid w:val="00F11D92"/>
    <w:rsid w:val="00F120BE"/>
    <w:rsid w:val="00F129FF"/>
    <w:rsid w:val="00F12D86"/>
    <w:rsid w:val="00F12E45"/>
    <w:rsid w:val="00F1383C"/>
    <w:rsid w:val="00F13ABF"/>
    <w:rsid w:val="00F14226"/>
    <w:rsid w:val="00F14439"/>
    <w:rsid w:val="00F14757"/>
    <w:rsid w:val="00F14D27"/>
    <w:rsid w:val="00F14EF0"/>
    <w:rsid w:val="00F15E6E"/>
    <w:rsid w:val="00F16D11"/>
    <w:rsid w:val="00F179D4"/>
    <w:rsid w:val="00F2051E"/>
    <w:rsid w:val="00F20927"/>
    <w:rsid w:val="00F215D5"/>
    <w:rsid w:val="00F21852"/>
    <w:rsid w:val="00F21EAB"/>
    <w:rsid w:val="00F231E2"/>
    <w:rsid w:val="00F23F99"/>
    <w:rsid w:val="00F23FB5"/>
    <w:rsid w:val="00F2610E"/>
    <w:rsid w:val="00F26CE7"/>
    <w:rsid w:val="00F27287"/>
    <w:rsid w:val="00F273F8"/>
    <w:rsid w:val="00F315DA"/>
    <w:rsid w:val="00F324A7"/>
    <w:rsid w:val="00F3267B"/>
    <w:rsid w:val="00F3321E"/>
    <w:rsid w:val="00F33C56"/>
    <w:rsid w:val="00F33D76"/>
    <w:rsid w:val="00F33FDD"/>
    <w:rsid w:val="00F34058"/>
    <w:rsid w:val="00F347C7"/>
    <w:rsid w:val="00F34848"/>
    <w:rsid w:val="00F35442"/>
    <w:rsid w:val="00F357DE"/>
    <w:rsid w:val="00F35F2A"/>
    <w:rsid w:val="00F35F9C"/>
    <w:rsid w:val="00F40FFE"/>
    <w:rsid w:val="00F4202A"/>
    <w:rsid w:val="00F42D46"/>
    <w:rsid w:val="00F43FB1"/>
    <w:rsid w:val="00F4496C"/>
    <w:rsid w:val="00F44F3A"/>
    <w:rsid w:val="00F459E7"/>
    <w:rsid w:val="00F503D4"/>
    <w:rsid w:val="00F50D84"/>
    <w:rsid w:val="00F50F52"/>
    <w:rsid w:val="00F51F10"/>
    <w:rsid w:val="00F529A5"/>
    <w:rsid w:val="00F5327A"/>
    <w:rsid w:val="00F54494"/>
    <w:rsid w:val="00F548F1"/>
    <w:rsid w:val="00F55209"/>
    <w:rsid w:val="00F5541F"/>
    <w:rsid w:val="00F5546B"/>
    <w:rsid w:val="00F559D9"/>
    <w:rsid w:val="00F56B19"/>
    <w:rsid w:val="00F5742A"/>
    <w:rsid w:val="00F60554"/>
    <w:rsid w:val="00F60F00"/>
    <w:rsid w:val="00F614C0"/>
    <w:rsid w:val="00F622EE"/>
    <w:rsid w:val="00F624D0"/>
    <w:rsid w:val="00F62EAF"/>
    <w:rsid w:val="00F632AF"/>
    <w:rsid w:val="00F649F0"/>
    <w:rsid w:val="00F64DAB"/>
    <w:rsid w:val="00F64EA9"/>
    <w:rsid w:val="00F7295A"/>
    <w:rsid w:val="00F72BC9"/>
    <w:rsid w:val="00F73585"/>
    <w:rsid w:val="00F737D8"/>
    <w:rsid w:val="00F73D7A"/>
    <w:rsid w:val="00F747A1"/>
    <w:rsid w:val="00F747CE"/>
    <w:rsid w:val="00F74BAE"/>
    <w:rsid w:val="00F80547"/>
    <w:rsid w:val="00F80CAA"/>
    <w:rsid w:val="00F81CC1"/>
    <w:rsid w:val="00F81F16"/>
    <w:rsid w:val="00F81F5C"/>
    <w:rsid w:val="00F8205F"/>
    <w:rsid w:val="00F82818"/>
    <w:rsid w:val="00F82CC0"/>
    <w:rsid w:val="00F83848"/>
    <w:rsid w:val="00F8420E"/>
    <w:rsid w:val="00F854B8"/>
    <w:rsid w:val="00F85AB2"/>
    <w:rsid w:val="00F86361"/>
    <w:rsid w:val="00F873BC"/>
    <w:rsid w:val="00F87845"/>
    <w:rsid w:val="00F91904"/>
    <w:rsid w:val="00F92A35"/>
    <w:rsid w:val="00F92CCF"/>
    <w:rsid w:val="00F92DB1"/>
    <w:rsid w:val="00F93490"/>
    <w:rsid w:val="00F93D39"/>
    <w:rsid w:val="00F93F32"/>
    <w:rsid w:val="00F9405F"/>
    <w:rsid w:val="00F95E9A"/>
    <w:rsid w:val="00F96416"/>
    <w:rsid w:val="00F96516"/>
    <w:rsid w:val="00F975E9"/>
    <w:rsid w:val="00FA1AE4"/>
    <w:rsid w:val="00FA1B7D"/>
    <w:rsid w:val="00FA3134"/>
    <w:rsid w:val="00FA575B"/>
    <w:rsid w:val="00FA586E"/>
    <w:rsid w:val="00FA7FE1"/>
    <w:rsid w:val="00FB0E83"/>
    <w:rsid w:val="00FB1D4D"/>
    <w:rsid w:val="00FB467B"/>
    <w:rsid w:val="00FB4710"/>
    <w:rsid w:val="00FB47E5"/>
    <w:rsid w:val="00FB483E"/>
    <w:rsid w:val="00FB5A17"/>
    <w:rsid w:val="00FB5C52"/>
    <w:rsid w:val="00FB6284"/>
    <w:rsid w:val="00FB62B6"/>
    <w:rsid w:val="00FC07B9"/>
    <w:rsid w:val="00FC0EDF"/>
    <w:rsid w:val="00FC11B7"/>
    <w:rsid w:val="00FC1F58"/>
    <w:rsid w:val="00FC4CE6"/>
    <w:rsid w:val="00FC4E21"/>
    <w:rsid w:val="00FC5A65"/>
    <w:rsid w:val="00FC5F6D"/>
    <w:rsid w:val="00FC6236"/>
    <w:rsid w:val="00FD0107"/>
    <w:rsid w:val="00FD0A30"/>
    <w:rsid w:val="00FD293A"/>
    <w:rsid w:val="00FD2C2F"/>
    <w:rsid w:val="00FD3B31"/>
    <w:rsid w:val="00FD442D"/>
    <w:rsid w:val="00FD614C"/>
    <w:rsid w:val="00FD6246"/>
    <w:rsid w:val="00FD672D"/>
    <w:rsid w:val="00FD6DD9"/>
    <w:rsid w:val="00FD6EF1"/>
    <w:rsid w:val="00FD7131"/>
    <w:rsid w:val="00FE0810"/>
    <w:rsid w:val="00FE0F02"/>
    <w:rsid w:val="00FE1801"/>
    <w:rsid w:val="00FE1823"/>
    <w:rsid w:val="00FE1EC6"/>
    <w:rsid w:val="00FE2882"/>
    <w:rsid w:val="00FE2F03"/>
    <w:rsid w:val="00FE3406"/>
    <w:rsid w:val="00FE484C"/>
    <w:rsid w:val="00FE487A"/>
    <w:rsid w:val="00FE5F3F"/>
    <w:rsid w:val="00FE6C8A"/>
    <w:rsid w:val="00FE6D20"/>
    <w:rsid w:val="00FE753C"/>
    <w:rsid w:val="00FF02DC"/>
    <w:rsid w:val="00FF0569"/>
    <w:rsid w:val="00FF0AE5"/>
    <w:rsid w:val="00FF1200"/>
    <w:rsid w:val="00FF1A03"/>
    <w:rsid w:val="00FF206E"/>
    <w:rsid w:val="00FF2B96"/>
    <w:rsid w:val="00FF2F1D"/>
    <w:rsid w:val="00FF3C69"/>
    <w:rsid w:val="00FF45AD"/>
    <w:rsid w:val="00FF468F"/>
    <w:rsid w:val="00FF69E9"/>
    <w:rsid w:val="00FF69FD"/>
    <w:rsid w:val="00FF6E0A"/>
    <w:rsid w:val="046C090E"/>
    <w:rsid w:val="07EA0072"/>
    <w:rsid w:val="44C542AF"/>
    <w:rsid w:val="4A22C48E"/>
    <w:rsid w:val="614580F4"/>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26903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Followed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uiPriority w:val="99"/>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6C1631"/>
    <w:rPr>
      <w:rFonts w:ascii="Arial" w:hAnsi="Arial" w:cs="Arial"/>
      <w:b/>
      <w:bCs/>
      <w:iCs/>
      <w:sz w:val="28"/>
      <w:szCs w:val="28"/>
    </w:rPr>
  </w:style>
  <w:style w:type="character" w:customStyle="1" w:styleId="FootnoteTextChar">
    <w:name w:val="Footnote Text Char"/>
    <w:aliases w:val="ACMA Footnote Text Char"/>
    <w:basedOn w:val="DefaultParagraphFont"/>
    <w:link w:val="FootnoteText"/>
    <w:rsid w:val="00830E78"/>
    <w:rPr>
      <w:rFonts w:ascii="Arial" w:hAnsi="Arial"/>
      <w:sz w:val="16"/>
      <w:szCs w:val="16"/>
    </w:rPr>
  </w:style>
  <w:style w:type="paragraph" w:styleId="ListParagraph">
    <w:name w:val="List Paragraph"/>
    <w:basedOn w:val="Normal"/>
    <w:uiPriority w:val="34"/>
    <w:qFormat/>
    <w:rsid w:val="00830E78"/>
    <w:pPr>
      <w:spacing w:after="0" w:line="240" w:lineRule="auto"/>
      <w:ind w:left="720"/>
      <w:contextualSpacing/>
    </w:pPr>
    <w:rPr>
      <w:rFonts w:ascii="Calibri" w:eastAsiaTheme="minorHAnsi" w:hAnsi="Calibri"/>
      <w:sz w:val="22"/>
      <w:szCs w:val="22"/>
      <w:lang w:eastAsia="en-US"/>
    </w:rPr>
  </w:style>
  <w:style w:type="paragraph" w:styleId="BodyText">
    <w:name w:val="Body Text"/>
    <w:basedOn w:val="Normal"/>
    <w:link w:val="BodyTextChar"/>
    <w:uiPriority w:val="99"/>
    <w:semiHidden/>
    <w:unhideWhenUsed/>
    <w:rsid w:val="00830E78"/>
    <w:pPr>
      <w:spacing w:before="100" w:beforeAutospacing="1" w:after="100" w:afterAutospacing="1" w:line="240" w:lineRule="auto"/>
    </w:pPr>
    <w:rPr>
      <w:rFonts w:ascii="Times New Roman" w:hAnsi="Times New Roman"/>
      <w:sz w:val="24"/>
    </w:rPr>
  </w:style>
  <w:style w:type="character" w:customStyle="1" w:styleId="BodyTextChar">
    <w:name w:val="Body Text Char"/>
    <w:basedOn w:val="DefaultParagraphFont"/>
    <w:link w:val="BodyText"/>
    <w:uiPriority w:val="99"/>
    <w:semiHidden/>
    <w:rsid w:val="00830E78"/>
  </w:style>
  <w:style w:type="character" w:styleId="UnresolvedMention">
    <w:name w:val="Unresolved Mention"/>
    <w:basedOn w:val="DefaultParagraphFont"/>
    <w:uiPriority w:val="99"/>
    <w:semiHidden/>
    <w:unhideWhenUsed/>
    <w:rsid w:val="00830E78"/>
    <w:rPr>
      <w:color w:val="605E5C"/>
      <w:shd w:val="clear" w:color="auto" w:fill="E1DFDD"/>
    </w:rPr>
  </w:style>
  <w:style w:type="paragraph" w:customStyle="1" w:styleId="paragraph">
    <w:name w:val="paragraph"/>
    <w:basedOn w:val="Normal"/>
    <w:rsid w:val="00830E78"/>
    <w:pPr>
      <w:spacing w:before="100" w:beforeAutospacing="1" w:after="100" w:afterAutospacing="1" w:line="240" w:lineRule="auto"/>
    </w:pPr>
    <w:rPr>
      <w:rFonts w:ascii="Times New Roman" w:hAnsi="Times New Roman"/>
      <w:sz w:val="24"/>
    </w:rPr>
  </w:style>
  <w:style w:type="paragraph" w:customStyle="1" w:styleId="paragraphsub">
    <w:name w:val="paragraphsub"/>
    <w:basedOn w:val="Normal"/>
    <w:rsid w:val="00830E78"/>
    <w:pPr>
      <w:spacing w:before="100" w:beforeAutospacing="1" w:after="100" w:afterAutospacing="1" w:line="240" w:lineRule="auto"/>
    </w:pPr>
    <w:rPr>
      <w:rFonts w:ascii="Times New Roman" w:hAnsi="Times New Roman"/>
      <w:sz w:val="24"/>
    </w:rPr>
  </w:style>
  <w:style w:type="character" w:styleId="EndnoteReference">
    <w:name w:val="endnote reference"/>
    <w:basedOn w:val="DefaultParagraphFont"/>
    <w:semiHidden/>
    <w:unhideWhenUsed/>
    <w:rsid w:val="004C11C8"/>
    <w:rPr>
      <w:vertAlign w:val="superscript"/>
    </w:rPr>
  </w:style>
  <w:style w:type="paragraph" w:styleId="Revision">
    <w:name w:val="Revision"/>
    <w:hidden/>
    <w:semiHidden/>
    <w:rsid w:val="00D55417"/>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3884889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19-09/publication/five-year-spectrum-outlook-2019-23" TargetMode="External"/><Relationship Id="rId39" Type="http://schemas.openxmlformats.org/officeDocument/2006/relationships/hyperlink" Target="https://www.legislation.gov.au/Details/F2018L01185/Html/Text" TargetMode="Externa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hyperlink" Target="https://www.legislation.gov.au/Details/F2011L02761" TargetMode="External"/><Relationship Id="rId42" Type="http://schemas.openxmlformats.org/officeDocument/2006/relationships/hyperlink" Target="https://www.acma.gov.au/have-your-say" TargetMode="External"/><Relationship Id="rId47" Type="http://schemas.openxmlformats.org/officeDocument/2006/relationships/header" Target="header10.xml"/><Relationship Id="rId50" Type="http://schemas.openxmlformats.org/officeDocument/2006/relationships/header" Target="header1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yperlink" Target="https://www.legislation.gov.au/Details/F2011L02382" TargetMode="External"/><Relationship Id="rId38" Type="http://schemas.openxmlformats.org/officeDocument/2006/relationships/hyperlink" Target="https://www.legislation.gov.au/Details/F2018L00026" TargetMode="External"/><Relationship Id="rId46"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20C00057" TargetMode="External"/><Relationship Id="rId41" Type="http://schemas.openxmlformats.org/officeDocument/2006/relationships/hyperlink" Target="https://www.aph.gov.au/Parliamentary_Business/Committees/Senate/Regulations_and_Ordinanc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hyperlink" Target="https://www.legislation.gov.au/Details/F2010L00832" TargetMode="External"/><Relationship Id="rId37" Type="http://schemas.openxmlformats.org/officeDocument/2006/relationships/hyperlink" Target="https://www.legislation.gov.au/Details/F2019C00681" TargetMode="External"/><Relationship Id="rId40" Type="http://schemas.openxmlformats.org/officeDocument/2006/relationships/hyperlink" Target="https://www.pmc.gov.au/resource-centre/regulation/australian-government-guide-regulation" TargetMode="External"/><Relationship Id="rId45" Type="http://schemas.openxmlformats.org/officeDocument/2006/relationships/hyperlink" Target="https://www.acma.gov.au/privacy-policy"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hyperlink" Target="https://www.legislation.gov.au/Details/F2011L00346" TargetMode="External"/><Relationship Id="rId36" Type="http://schemas.openxmlformats.org/officeDocument/2006/relationships/hyperlink" Target="https://www.legislation.gov.au/Details/F2020C00057" TargetMode="External"/><Relationship Id="rId49"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18L00186" TargetMode="External"/><Relationship Id="rId44" Type="http://schemas.openxmlformats.org/officeDocument/2006/relationships/hyperlink" Target="https://www.acma.gov.au/publication-submissions"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hyperlink" Target="https://www.legislation.gov.au/Details/F2015C00848" TargetMode="External"/><Relationship Id="rId30" Type="http://schemas.openxmlformats.org/officeDocument/2006/relationships/hyperlink" Target="https://www.legislation.gov.au/Details/F2010L00821" TargetMode="External"/><Relationship Id="rId35" Type="http://schemas.openxmlformats.org/officeDocument/2006/relationships/hyperlink" Target="https://www.legislation.gov.au/Details/F2015L00041" TargetMode="External"/><Relationship Id="rId43" Type="http://schemas.openxmlformats.org/officeDocument/2006/relationships/hyperlink" Target="mailto:SLPSConsultations@acma.gov.au" TargetMode="External"/><Relationship Id="rId48" Type="http://schemas.openxmlformats.org/officeDocument/2006/relationships/footer" Target="footer7.xml"/><Relationship Id="rId8" Type="http://schemas.openxmlformats.org/officeDocument/2006/relationships/header" Target="header1.xml"/><Relationship Id="rId51"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acma.gov.au/publications/2019-09/publication/five-year-spectrum-outlook-2019-23" TargetMode="External"/><Relationship Id="rId13" Type="http://schemas.openxmlformats.org/officeDocument/2006/relationships/hyperlink" Target="https://www.legislation.gov.au/Details/F2019L00623" TargetMode="External"/><Relationship Id="rId18" Type="http://schemas.openxmlformats.org/officeDocument/2006/relationships/hyperlink" Target="https://www.acma.gov.au/consultations/2019-08/proposed-exemption-facilitate-australian-federal-police-afp-use-drone-jamming-devices-consultation-042019" TargetMode="External"/><Relationship Id="rId3" Type="http://schemas.openxmlformats.org/officeDocument/2006/relationships/hyperlink" Target="https://www.acma.gov.au/consultations/2019-08/proposed-exemption-facilitate-australian-federal-police-afp-use-drone-jamming-devices-consultation-042019" TargetMode="External"/><Relationship Id="rId7" Type="http://schemas.openxmlformats.org/officeDocument/2006/relationships/hyperlink" Target="https://www.cisco.com/c/en/us/solutions/collateral/service-provider/visual-networking-index-vni/white-paper-c11-738429.html" TargetMode="External"/><Relationship Id="rId12" Type="http://schemas.openxmlformats.org/officeDocument/2006/relationships/hyperlink" Target="https://www.legislation.gov.au/Details/F2016L01286/Explanatory%20Statement/Text" TargetMode="External"/><Relationship Id="rId17" Type="http://schemas.openxmlformats.org/officeDocument/2006/relationships/hyperlink" Target="https://www.legislation.gov.au/Details/F2018L01571" TargetMode="External"/><Relationship Id="rId2" Type="http://schemas.openxmlformats.org/officeDocument/2006/relationships/hyperlink" Target="https://www.acma.gov.au/consultations/2019-08/proposed-exemption-facilitate-australian-federal-police-afp-use-drone-jamming-devices-consultation-042019" TargetMode="External"/><Relationship Id="rId16" Type="http://schemas.openxmlformats.org/officeDocument/2006/relationships/hyperlink" Target="https://www.legislation.gov.au/Details/F2017L00438" TargetMode="External"/><Relationship Id="rId1" Type="http://schemas.openxmlformats.org/officeDocument/2006/relationships/hyperlink" Target="https://www.legislation.gov.au/Details/F2009C00077" TargetMode="External"/><Relationship Id="rId6" Type="http://schemas.openxmlformats.org/officeDocument/2006/relationships/hyperlink" Target="https://www.legislation.gov.au/Details/F2016L02001" TargetMode="External"/><Relationship Id="rId11" Type="http://schemas.openxmlformats.org/officeDocument/2006/relationships/hyperlink" Target="https://www.legislation.gov.au/Details/F2016L01286/Html/Text" TargetMode="External"/><Relationship Id="rId5" Type="http://schemas.openxmlformats.org/officeDocument/2006/relationships/hyperlink" Target="https://www.legislation.gov.au/Details/F2018L00186/Explanatory%20Statement/Text" TargetMode="External"/><Relationship Id="rId15" Type="http://schemas.openxmlformats.org/officeDocument/2006/relationships/hyperlink" Target="https://www.legislation.gov.au/Details/F2016L01179" TargetMode="External"/><Relationship Id="rId10" Type="http://schemas.openxmlformats.org/officeDocument/2006/relationships/hyperlink" Target="https://www.legislation.gov.au/Details/F2011L00346/Explanatory%20Statement/Text" TargetMode="External"/><Relationship Id="rId4" Type="http://schemas.openxmlformats.org/officeDocument/2006/relationships/hyperlink" Target="https://www.pc.gov.au/research/supporting/regulation-taskforce/report" TargetMode="External"/><Relationship Id="rId9" Type="http://schemas.openxmlformats.org/officeDocument/2006/relationships/hyperlink" Target="https://www.acma.gov.au/consultations/2019-08/proposed-exemption-facilitate-australian-federal-police-afp-use-drone-jamming-devices-consultation-042019" TargetMode="External"/><Relationship Id="rId14" Type="http://schemas.openxmlformats.org/officeDocument/2006/relationships/hyperlink" Target="https://www.acma.gov.au/consultations/2019-08/proposed-exemption-facilitate-australian-federal-police-afp-use-drone-jamming-devices-consultation-04201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B8EEB2-C75C-48D4-8006-5FF296A52F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6714</Words>
  <Characters>38275</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44900</CharactersWithSpaces>
  <SharedDoc>false</SharedDoc>
  <HyperlinkBase/>
  <HLinks>
    <vt:vector size="240" baseType="variant">
      <vt:variant>
        <vt:i4>2097192</vt:i4>
      </vt:variant>
      <vt:variant>
        <vt:i4>147</vt:i4>
      </vt:variant>
      <vt:variant>
        <vt:i4>0</vt:i4>
      </vt:variant>
      <vt:variant>
        <vt:i4>5</vt:i4>
      </vt:variant>
      <vt:variant>
        <vt:lpwstr>https://www.acma.gov.au/privacy-policy</vt:lpwstr>
      </vt:variant>
      <vt:variant>
        <vt:lpwstr/>
      </vt:variant>
      <vt:variant>
        <vt:i4>3473455</vt:i4>
      </vt:variant>
      <vt:variant>
        <vt:i4>144</vt:i4>
      </vt:variant>
      <vt:variant>
        <vt:i4>0</vt:i4>
      </vt:variant>
      <vt:variant>
        <vt:i4>5</vt:i4>
      </vt:variant>
      <vt:variant>
        <vt:lpwstr>https://www.acma.gov.au/publication-submissions</vt:lpwstr>
      </vt:variant>
      <vt:variant>
        <vt:lpwstr/>
      </vt:variant>
      <vt:variant>
        <vt:i4>1245297</vt:i4>
      </vt:variant>
      <vt:variant>
        <vt:i4>141</vt:i4>
      </vt:variant>
      <vt:variant>
        <vt:i4>0</vt:i4>
      </vt:variant>
      <vt:variant>
        <vt:i4>5</vt:i4>
      </vt:variant>
      <vt:variant>
        <vt:lpwstr>mailto:SLPSConsultations@acma.gov.au</vt:lpwstr>
      </vt:variant>
      <vt:variant>
        <vt:lpwstr/>
      </vt:variant>
      <vt:variant>
        <vt:i4>5308427</vt:i4>
      </vt:variant>
      <vt:variant>
        <vt:i4>138</vt:i4>
      </vt:variant>
      <vt:variant>
        <vt:i4>0</vt:i4>
      </vt:variant>
      <vt:variant>
        <vt:i4>5</vt:i4>
      </vt:variant>
      <vt:variant>
        <vt:lpwstr>https://www.acma.gov.au/have-your-say</vt:lpwstr>
      </vt:variant>
      <vt:variant>
        <vt:lpwstr/>
      </vt:variant>
      <vt:variant>
        <vt:i4>2424846</vt:i4>
      </vt:variant>
      <vt:variant>
        <vt:i4>135</vt:i4>
      </vt:variant>
      <vt:variant>
        <vt:i4>0</vt:i4>
      </vt:variant>
      <vt:variant>
        <vt:i4>5</vt:i4>
      </vt:variant>
      <vt:variant>
        <vt:lpwstr>https://www.aph.gov.au/Parliamentary_Business/Committees/Senate/Regulations_and_Ordinances</vt:lpwstr>
      </vt:variant>
      <vt:variant>
        <vt:lpwstr/>
      </vt:variant>
      <vt:variant>
        <vt:i4>6029323</vt:i4>
      </vt:variant>
      <vt:variant>
        <vt:i4>132</vt:i4>
      </vt:variant>
      <vt:variant>
        <vt:i4>0</vt:i4>
      </vt:variant>
      <vt:variant>
        <vt:i4>5</vt:i4>
      </vt:variant>
      <vt:variant>
        <vt:lpwstr>https://www.pmc.gov.au/resource-centre/regulation/australian-government-guide-regulation</vt:lpwstr>
      </vt:variant>
      <vt:variant>
        <vt:lpwstr/>
      </vt:variant>
      <vt:variant>
        <vt:i4>4325403</vt:i4>
      </vt:variant>
      <vt:variant>
        <vt:i4>129</vt:i4>
      </vt:variant>
      <vt:variant>
        <vt:i4>0</vt:i4>
      </vt:variant>
      <vt:variant>
        <vt:i4>5</vt:i4>
      </vt:variant>
      <vt:variant>
        <vt:lpwstr>https://www.legislation.gov.au/Details/F2018L01185/Html/Text</vt:lpwstr>
      </vt:variant>
      <vt:variant>
        <vt:lpwstr/>
      </vt:variant>
      <vt:variant>
        <vt:i4>8060971</vt:i4>
      </vt:variant>
      <vt:variant>
        <vt:i4>126</vt:i4>
      </vt:variant>
      <vt:variant>
        <vt:i4>0</vt:i4>
      </vt:variant>
      <vt:variant>
        <vt:i4>5</vt:i4>
      </vt:variant>
      <vt:variant>
        <vt:lpwstr>https://www.legislation.gov.au/Details/F2018L00026</vt:lpwstr>
      </vt:variant>
      <vt:variant>
        <vt:lpwstr/>
      </vt:variant>
      <vt:variant>
        <vt:i4>8060974</vt:i4>
      </vt:variant>
      <vt:variant>
        <vt:i4>123</vt:i4>
      </vt:variant>
      <vt:variant>
        <vt:i4>0</vt:i4>
      </vt:variant>
      <vt:variant>
        <vt:i4>5</vt:i4>
      </vt:variant>
      <vt:variant>
        <vt:lpwstr>https://www.legislation.gov.au/Details/F2019C00681</vt:lpwstr>
      </vt:variant>
      <vt:variant>
        <vt:lpwstr/>
      </vt:variant>
      <vt:variant>
        <vt:i4>7471136</vt:i4>
      </vt:variant>
      <vt:variant>
        <vt:i4>120</vt:i4>
      </vt:variant>
      <vt:variant>
        <vt:i4>0</vt:i4>
      </vt:variant>
      <vt:variant>
        <vt:i4>5</vt:i4>
      </vt:variant>
      <vt:variant>
        <vt:lpwstr>https://www.legislation.gov.au/Details/F2020C00057</vt:lpwstr>
      </vt:variant>
      <vt:variant>
        <vt:lpwstr/>
      </vt:variant>
      <vt:variant>
        <vt:i4>7405613</vt:i4>
      </vt:variant>
      <vt:variant>
        <vt:i4>117</vt:i4>
      </vt:variant>
      <vt:variant>
        <vt:i4>0</vt:i4>
      </vt:variant>
      <vt:variant>
        <vt:i4>5</vt:i4>
      </vt:variant>
      <vt:variant>
        <vt:lpwstr>https://www.legislation.gov.au/Details/F2015L00041</vt:lpwstr>
      </vt:variant>
      <vt:variant>
        <vt:lpwstr/>
      </vt:variant>
      <vt:variant>
        <vt:i4>7471149</vt:i4>
      </vt:variant>
      <vt:variant>
        <vt:i4>114</vt:i4>
      </vt:variant>
      <vt:variant>
        <vt:i4>0</vt:i4>
      </vt:variant>
      <vt:variant>
        <vt:i4>5</vt:i4>
      </vt:variant>
      <vt:variant>
        <vt:lpwstr>https://www.legislation.gov.au/Details/F2011L02761</vt:lpwstr>
      </vt:variant>
      <vt:variant>
        <vt:lpwstr/>
      </vt:variant>
      <vt:variant>
        <vt:i4>7667747</vt:i4>
      </vt:variant>
      <vt:variant>
        <vt:i4>111</vt:i4>
      </vt:variant>
      <vt:variant>
        <vt:i4>0</vt:i4>
      </vt:variant>
      <vt:variant>
        <vt:i4>5</vt:i4>
      </vt:variant>
      <vt:variant>
        <vt:lpwstr>https://www.legislation.gov.au/Details/F2011L02382</vt:lpwstr>
      </vt:variant>
      <vt:variant>
        <vt:lpwstr/>
      </vt:variant>
      <vt:variant>
        <vt:i4>8323114</vt:i4>
      </vt:variant>
      <vt:variant>
        <vt:i4>108</vt:i4>
      </vt:variant>
      <vt:variant>
        <vt:i4>0</vt:i4>
      </vt:variant>
      <vt:variant>
        <vt:i4>5</vt:i4>
      </vt:variant>
      <vt:variant>
        <vt:lpwstr>https://www.legislation.gov.au/Details/F2010L00832</vt:lpwstr>
      </vt:variant>
      <vt:variant>
        <vt:lpwstr/>
      </vt:variant>
      <vt:variant>
        <vt:i4>7995425</vt:i4>
      </vt:variant>
      <vt:variant>
        <vt:i4>105</vt:i4>
      </vt:variant>
      <vt:variant>
        <vt:i4>0</vt:i4>
      </vt:variant>
      <vt:variant>
        <vt:i4>5</vt:i4>
      </vt:variant>
      <vt:variant>
        <vt:lpwstr>https://www.legislation.gov.au/Details/F2018L00186</vt:lpwstr>
      </vt:variant>
      <vt:variant>
        <vt:lpwstr/>
      </vt:variant>
      <vt:variant>
        <vt:i4>8126507</vt:i4>
      </vt:variant>
      <vt:variant>
        <vt:i4>102</vt:i4>
      </vt:variant>
      <vt:variant>
        <vt:i4>0</vt:i4>
      </vt:variant>
      <vt:variant>
        <vt:i4>5</vt:i4>
      </vt:variant>
      <vt:variant>
        <vt:lpwstr>https://www.legislation.gov.au/Details/F2010L00821</vt:lpwstr>
      </vt:variant>
      <vt:variant>
        <vt:lpwstr/>
      </vt:variant>
      <vt:variant>
        <vt:i4>7471136</vt:i4>
      </vt:variant>
      <vt:variant>
        <vt:i4>99</vt:i4>
      </vt:variant>
      <vt:variant>
        <vt:i4>0</vt:i4>
      </vt:variant>
      <vt:variant>
        <vt:i4>5</vt:i4>
      </vt:variant>
      <vt:variant>
        <vt:lpwstr>https://www.legislation.gov.au/Details/F2020C00057</vt:lpwstr>
      </vt:variant>
      <vt:variant>
        <vt:lpwstr/>
      </vt:variant>
      <vt:variant>
        <vt:i4>7405613</vt:i4>
      </vt:variant>
      <vt:variant>
        <vt:i4>96</vt:i4>
      </vt:variant>
      <vt:variant>
        <vt:i4>0</vt:i4>
      </vt:variant>
      <vt:variant>
        <vt:i4>5</vt:i4>
      </vt:variant>
      <vt:variant>
        <vt:lpwstr>https://www.legislation.gov.au/Details/F2011L00346</vt:lpwstr>
      </vt:variant>
      <vt:variant>
        <vt:lpwstr/>
      </vt:variant>
      <vt:variant>
        <vt:i4>7340066</vt:i4>
      </vt:variant>
      <vt:variant>
        <vt:i4>93</vt:i4>
      </vt:variant>
      <vt:variant>
        <vt:i4>0</vt:i4>
      </vt:variant>
      <vt:variant>
        <vt:i4>5</vt:i4>
      </vt:variant>
      <vt:variant>
        <vt:lpwstr>https://www.legislation.gov.au/Details/F2015C00848</vt:lpwstr>
      </vt:variant>
      <vt:variant>
        <vt:lpwstr/>
      </vt:variant>
      <vt:variant>
        <vt:i4>8192056</vt:i4>
      </vt:variant>
      <vt:variant>
        <vt:i4>90</vt:i4>
      </vt:variant>
      <vt:variant>
        <vt:i4>0</vt:i4>
      </vt:variant>
      <vt:variant>
        <vt:i4>5</vt:i4>
      </vt:variant>
      <vt:variant>
        <vt:lpwstr>https://www.acma.gov.au/publications/2019-09/publication/five-year-spectrum-outlook-2019-23</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4128879</vt:i4>
      </vt:variant>
      <vt:variant>
        <vt:i4>51</vt:i4>
      </vt:variant>
      <vt:variant>
        <vt:i4>0</vt:i4>
      </vt:variant>
      <vt:variant>
        <vt:i4>5</vt:i4>
      </vt:variant>
      <vt:variant>
        <vt:lpwstr>https://www.acma.gov.au/consultations/2019-08/proposed-exemption-facilitate-australian-federal-police-afp-use-drone-jamming-devices-consultation-042019</vt:lpwstr>
      </vt:variant>
      <vt:variant>
        <vt:lpwstr/>
      </vt:variant>
      <vt:variant>
        <vt:i4>7929903</vt:i4>
      </vt:variant>
      <vt:variant>
        <vt:i4>48</vt:i4>
      </vt:variant>
      <vt:variant>
        <vt:i4>0</vt:i4>
      </vt:variant>
      <vt:variant>
        <vt:i4>5</vt:i4>
      </vt:variant>
      <vt:variant>
        <vt:lpwstr>https://www.legislation.gov.au/Details/F2018L01571</vt:lpwstr>
      </vt:variant>
      <vt:variant>
        <vt:lpwstr/>
      </vt:variant>
      <vt:variant>
        <vt:i4>8257578</vt:i4>
      </vt:variant>
      <vt:variant>
        <vt:i4>45</vt:i4>
      </vt:variant>
      <vt:variant>
        <vt:i4>0</vt:i4>
      </vt:variant>
      <vt:variant>
        <vt:i4>5</vt:i4>
      </vt:variant>
      <vt:variant>
        <vt:lpwstr>https://www.legislation.gov.au/Details/F2017L00438</vt:lpwstr>
      </vt:variant>
      <vt:variant>
        <vt:lpwstr/>
      </vt:variant>
      <vt:variant>
        <vt:i4>8060975</vt:i4>
      </vt:variant>
      <vt:variant>
        <vt:i4>42</vt:i4>
      </vt:variant>
      <vt:variant>
        <vt:i4>0</vt:i4>
      </vt:variant>
      <vt:variant>
        <vt:i4>5</vt:i4>
      </vt:variant>
      <vt:variant>
        <vt:lpwstr>https://www.legislation.gov.au/Details/F2016L01179</vt:lpwstr>
      </vt:variant>
      <vt:variant>
        <vt:lpwstr/>
      </vt:variant>
      <vt:variant>
        <vt:i4>4128879</vt:i4>
      </vt:variant>
      <vt:variant>
        <vt:i4>39</vt:i4>
      </vt:variant>
      <vt:variant>
        <vt:i4>0</vt:i4>
      </vt:variant>
      <vt:variant>
        <vt:i4>5</vt:i4>
      </vt:variant>
      <vt:variant>
        <vt:lpwstr>https://www.acma.gov.au/consultations/2019-08/proposed-exemption-facilitate-australian-federal-police-afp-use-drone-jamming-devices-consultation-042019</vt:lpwstr>
      </vt:variant>
      <vt:variant>
        <vt:lpwstr/>
      </vt:variant>
      <vt:variant>
        <vt:i4>7929899</vt:i4>
      </vt:variant>
      <vt:variant>
        <vt:i4>36</vt:i4>
      </vt:variant>
      <vt:variant>
        <vt:i4>0</vt:i4>
      </vt:variant>
      <vt:variant>
        <vt:i4>5</vt:i4>
      </vt:variant>
      <vt:variant>
        <vt:lpwstr>https://www.legislation.gov.au/Details/F2019L00623</vt:lpwstr>
      </vt:variant>
      <vt:variant>
        <vt:lpwstr/>
      </vt:variant>
      <vt:variant>
        <vt:i4>1966106</vt:i4>
      </vt:variant>
      <vt:variant>
        <vt:i4>33</vt:i4>
      </vt:variant>
      <vt:variant>
        <vt:i4>0</vt:i4>
      </vt:variant>
      <vt:variant>
        <vt:i4>5</vt:i4>
      </vt:variant>
      <vt:variant>
        <vt:lpwstr>https://www.legislation.gov.au/Details/F2016L01286/Explanatory Statement/Text</vt:lpwstr>
      </vt:variant>
      <vt:variant>
        <vt:lpwstr/>
      </vt:variant>
      <vt:variant>
        <vt:i4>4980763</vt:i4>
      </vt:variant>
      <vt:variant>
        <vt:i4>30</vt:i4>
      </vt:variant>
      <vt:variant>
        <vt:i4>0</vt:i4>
      </vt:variant>
      <vt:variant>
        <vt:i4>5</vt:i4>
      </vt:variant>
      <vt:variant>
        <vt:lpwstr>https://www.legislation.gov.au/Details/F2016L01286/Html/Text</vt:lpwstr>
      </vt:variant>
      <vt:variant>
        <vt:lpwstr/>
      </vt:variant>
      <vt:variant>
        <vt:i4>1572887</vt:i4>
      </vt:variant>
      <vt:variant>
        <vt:i4>27</vt:i4>
      </vt:variant>
      <vt:variant>
        <vt:i4>0</vt:i4>
      </vt:variant>
      <vt:variant>
        <vt:i4>5</vt:i4>
      </vt:variant>
      <vt:variant>
        <vt:lpwstr>https://www.legislation.gov.au/Details/F2011L00346/Explanatory Statement/Text</vt:lpwstr>
      </vt:variant>
      <vt:variant>
        <vt:lpwstr/>
      </vt:variant>
      <vt:variant>
        <vt:i4>4128879</vt:i4>
      </vt:variant>
      <vt:variant>
        <vt:i4>24</vt:i4>
      </vt:variant>
      <vt:variant>
        <vt:i4>0</vt:i4>
      </vt:variant>
      <vt:variant>
        <vt:i4>5</vt:i4>
      </vt:variant>
      <vt:variant>
        <vt:lpwstr>https://www.acma.gov.au/consultations/2019-08/proposed-exemption-facilitate-australian-federal-police-afp-use-drone-jamming-devices-consultation-042019</vt:lpwstr>
      </vt:variant>
      <vt:variant>
        <vt:lpwstr/>
      </vt:variant>
      <vt:variant>
        <vt:i4>8192056</vt:i4>
      </vt:variant>
      <vt:variant>
        <vt:i4>21</vt:i4>
      </vt:variant>
      <vt:variant>
        <vt:i4>0</vt:i4>
      </vt:variant>
      <vt:variant>
        <vt:i4>5</vt:i4>
      </vt:variant>
      <vt:variant>
        <vt:lpwstr>https://www.acma.gov.au/publications/2019-09/publication/five-year-spectrum-outlook-2019-23</vt:lpwstr>
      </vt:variant>
      <vt:variant>
        <vt:lpwstr/>
      </vt:variant>
      <vt:variant>
        <vt:i4>2621543</vt:i4>
      </vt:variant>
      <vt:variant>
        <vt:i4>18</vt:i4>
      </vt:variant>
      <vt:variant>
        <vt:i4>0</vt:i4>
      </vt:variant>
      <vt:variant>
        <vt:i4>5</vt:i4>
      </vt:variant>
      <vt:variant>
        <vt:lpwstr>https://www.cisco.com/c/en/us/solutions/collateral/service-provider/visual-networking-index-vni/white-paper-c11-738429.html</vt:lpwstr>
      </vt:variant>
      <vt:variant>
        <vt:lpwstr/>
      </vt:variant>
      <vt:variant>
        <vt:i4>7471147</vt:i4>
      </vt:variant>
      <vt:variant>
        <vt:i4>15</vt:i4>
      </vt:variant>
      <vt:variant>
        <vt:i4>0</vt:i4>
      </vt:variant>
      <vt:variant>
        <vt:i4>5</vt:i4>
      </vt:variant>
      <vt:variant>
        <vt:lpwstr>https://www.legislation.gov.au/Details/F2016L02001</vt:lpwstr>
      </vt:variant>
      <vt:variant>
        <vt:lpwstr/>
      </vt:variant>
      <vt:variant>
        <vt:i4>1245211</vt:i4>
      </vt:variant>
      <vt:variant>
        <vt:i4>12</vt:i4>
      </vt:variant>
      <vt:variant>
        <vt:i4>0</vt:i4>
      </vt:variant>
      <vt:variant>
        <vt:i4>5</vt:i4>
      </vt:variant>
      <vt:variant>
        <vt:lpwstr>https://www.legislation.gov.au/Details/F2018L00186/Explanatory Statement/Text</vt:lpwstr>
      </vt:variant>
      <vt:variant>
        <vt:lpwstr/>
      </vt:variant>
      <vt:variant>
        <vt:i4>4653075</vt:i4>
      </vt:variant>
      <vt:variant>
        <vt:i4>9</vt:i4>
      </vt:variant>
      <vt:variant>
        <vt:i4>0</vt:i4>
      </vt:variant>
      <vt:variant>
        <vt:i4>5</vt:i4>
      </vt:variant>
      <vt:variant>
        <vt:lpwstr>https://www.pc.gov.au/research/supporting/regulation-taskforce/report</vt:lpwstr>
      </vt:variant>
      <vt:variant>
        <vt:lpwstr/>
      </vt:variant>
      <vt:variant>
        <vt:i4>4128879</vt:i4>
      </vt:variant>
      <vt:variant>
        <vt:i4>6</vt:i4>
      </vt:variant>
      <vt:variant>
        <vt:i4>0</vt:i4>
      </vt:variant>
      <vt:variant>
        <vt:i4>5</vt:i4>
      </vt:variant>
      <vt:variant>
        <vt:lpwstr>https://www.acma.gov.au/consultations/2019-08/proposed-exemption-facilitate-australian-federal-police-afp-use-drone-jamming-devices-consultation-042019</vt:lpwstr>
      </vt:variant>
      <vt:variant>
        <vt:lpwstr/>
      </vt:variant>
      <vt:variant>
        <vt:i4>4128879</vt:i4>
      </vt:variant>
      <vt:variant>
        <vt:i4>3</vt:i4>
      </vt:variant>
      <vt:variant>
        <vt:i4>0</vt:i4>
      </vt:variant>
      <vt:variant>
        <vt:i4>5</vt:i4>
      </vt:variant>
      <vt:variant>
        <vt:lpwstr>https://www.acma.gov.au/consultations/2019-08/proposed-exemption-facilitate-australian-federal-police-afp-use-drone-jamming-devices-consultation-042019</vt:lpwstr>
      </vt:variant>
      <vt:variant>
        <vt:lpwstr/>
      </vt:variant>
      <vt:variant>
        <vt:i4>8060960</vt:i4>
      </vt:variant>
      <vt:variant>
        <vt:i4>0</vt:i4>
      </vt:variant>
      <vt:variant>
        <vt:i4>0</vt:i4>
      </vt:variant>
      <vt:variant>
        <vt:i4>5</vt:i4>
      </vt:variant>
      <vt:variant>
        <vt:lpwstr>https://www.legislation.gov.au/Details/F2009C00077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2020-05-14T05:47:00Z</dcterms:created>
  <dcterms:modified xsi:type="dcterms:W3CDTF">2020-05-14T05:47:00Z</dcterms:modified>
  <cp:category/>
</cp:coreProperties>
</file>