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59B6802" w14:textId="28272FD1" w:rsidR="00900E6D" w:rsidRPr="00A51D1A" w:rsidRDefault="00900E6D" w:rsidP="00900E6D">
      <w:pPr>
        <w:pStyle w:val="Reporttitle"/>
      </w:pPr>
      <w:r>
        <w:t>Radiocommunications exemption</w:t>
      </w:r>
      <w:r w:rsidR="007418E1">
        <w:t>s</w:t>
      </w:r>
      <w:r>
        <w:t xml:space="preserve"> </w:t>
      </w:r>
      <w:r w:rsidR="007418E1">
        <w:br/>
      </w:r>
      <w:r>
        <w:t xml:space="preserve">for law enforcement use of drone </w:t>
      </w:r>
      <w:r w:rsidR="007418E1">
        <w:br/>
      </w:r>
      <w:r>
        <w:t>jamming devices</w:t>
      </w:r>
    </w:p>
    <w:p w14:paraId="25F1D564" w14:textId="77777777" w:rsidR="00F06E14" w:rsidRDefault="00770B3F" w:rsidP="00F06E14">
      <w:pPr>
        <w:pStyle w:val="Reportsubtitle"/>
      </w:pPr>
      <w:r>
        <w:t xml:space="preserve">Consultation </w:t>
      </w:r>
      <w:r w:rsidR="00900E6D">
        <w:t>paper</w:t>
      </w:r>
    </w:p>
    <w:p w14:paraId="49942DCD" w14:textId="15872578" w:rsidR="00C97736" w:rsidRPr="000D76E0" w:rsidRDefault="00DE3D0C" w:rsidP="00EC2B68">
      <w:pPr>
        <w:pStyle w:val="Reportdate"/>
        <w:spacing w:after="720"/>
        <w:rPr>
          <w:rFonts w:cs="Arial"/>
        </w:rPr>
        <w:sectPr w:rsidR="00C97736" w:rsidRPr="000D76E0" w:rsidSect="0021426C">
          <w:headerReference w:type="default" r:id="rId8"/>
          <w:footerReference w:type="default" r:id="rId9"/>
          <w:headerReference w:type="first" r:id="rId10"/>
          <w:pgSz w:w="11906" w:h="16838" w:code="9"/>
          <w:pgMar w:top="3924" w:right="992" w:bottom="1440" w:left="1134" w:header="709" w:footer="454" w:gutter="0"/>
          <w:cols w:space="708"/>
          <w:docGrid w:linePitch="360"/>
        </w:sectPr>
      </w:pPr>
      <w:r>
        <w:t>May</w:t>
      </w:r>
      <w:r w:rsidR="003E585A">
        <w:t xml:space="preserve"> </w:t>
      </w:r>
      <w:r w:rsidR="00BD4421">
        <w:t>20</w:t>
      </w:r>
      <w:r w:rsidR="008E0428">
        <w:t>20</w:t>
      </w:r>
    </w:p>
    <w:p w14:paraId="54ADEE75" w14:textId="77777777" w:rsidR="0005011A" w:rsidRPr="00F44F3A" w:rsidRDefault="0005011A" w:rsidP="00FC07B9">
      <w:pPr>
        <w:pStyle w:val="ACMACorporateAddressHeader"/>
      </w:pPr>
      <w:r w:rsidRPr="00F44F3A">
        <w:lastRenderedPageBreak/>
        <w:t>Canberra</w:t>
      </w:r>
    </w:p>
    <w:p w14:paraId="2FA1E84E"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7159BE17" w14:textId="77777777" w:rsidR="0005011A" w:rsidRPr="00FC07B9" w:rsidRDefault="0005011A" w:rsidP="00FC07B9">
      <w:pPr>
        <w:pStyle w:val="ACMACorporateAddresses"/>
      </w:pPr>
      <w:r w:rsidRPr="00FC07B9">
        <w:t>PO Box 78</w:t>
      </w:r>
      <w:r w:rsidRPr="00FC07B9">
        <w:br/>
        <w:t>Belconnen ACT 2616</w:t>
      </w:r>
    </w:p>
    <w:p w14:paraId="1ADE7CAE"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6461F0A8" w14:textId="77777777" w:rsidR="0005011A" w:rsidRPr="00F44F3A" w:rsidRDefault="0005011A" w:rsidP="00FC07B9">
      <w:pPr>
        <w:pStyle w:val="ACMACorporateAddressHeader"/>
      </w:pPr>
      <w:r w:rsidRPr="00F44F3A">
        <w:t>Melbourne</w:t>
      </w:r>
    </w:p>
    <w:p w14:paraId="1C5A47E2"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4E845D53"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46FD2A25"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7946A3FB" w14:textId="77777777" w:rsidR="0005011A" w:rsidRPr="00F44F3A" w:rsidRDefault="0005011A" w:rsidP="00FC07B9">
      <w:pPr>
        <w:pStyle w:val="ACMACorporateAddressHeader"/>
      </w:pPr>
      <w:r w:rsidRPr="00F44F3A">
        <w:t>Sydney</w:t>
      </w:r>
    </w:p>
    <w:p w14:paraId="260DCC85"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7A6BD95D"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167EB6D4"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1638A82D" w14:textId="77777777" w:rsidR="00140318" w:rsidRPr="006D46E5" w:rsidRDefault="00140318" w:rsidP="00FC07B9">
      <w:pPr>
        <w:pStyle w:val="ACMACopyrightHeader"/>
      </w:pPr>
      <w:r w:rsidRPr="00140318">
        <w:t>Copyright notice</w:t>
      </w:r>
    </w:p>
    <w:p w14:paraId="169892ED" w14:textId="77777777" w:rsidR="00140318" w:rsidRPr="006D46E5" w:rsidRDefault="00623FF9" w:rsidP="00623FF9">
      <w:pPr>
        <w:pStyle w:val="ACMACClogo"/>
      </w:pPr>
      <w:r w:rsidRPr="00623FF9">
        <w:rPr>
          <w:noProof/>
        </w:rPr>
        <w:drawing>
          <wp:inline distT="0" distB="0" distL="0" distR="0" wp14:anchorId="398F7775" wp14:editId="4FE693E7">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764959FF" w14:textId="77777777" w:rsidR="00AA2DE5" w:rsidRDefault="00443AB1" w:rsidP="00AA2DE5">
      <w:pPr>
        <w:pStyle w:val="ACMACorporateAddresses"/>
        <w:rPr>
          <w:rStyle w:val="Hyperlink"/>
        </w:rPr>
      </w:pPr>
      <w:hyperlink r:id="rId13" w:history="1">
        <w:r w:rsidR="00AA2DE5">
          <w:rPr>
            <w:rStyle w:val="Hyperlink"/>
          </w:rPr>
          <w:t>https://creativecommons.org/licenses/by/4.0/</w:t>
        </w:r>
      </w:hyperlink>
    </w:p>
    <w:p w14:paraId="770E8BE9" w14:textId="77777777" w:rsidR="00AA2DE5" w:rsidRDefault="00AA2DE5" w:rsidP="00AA2DE5">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041A68A7" w14:textId="77777777" w:rsidR="00AA2DE5" w:rsidRDefault="00AA2DE5" w:rsidP="00AA2DE5">
      <w:pPr>
        <w:pStyle w:val="ACMACorporateAddresses"/>
      </w:pPr>
      <w:r>
        <w:t>We request attribution as © Commonwealth of Australia (Australian Communications and Media Authority) 20</w:t>
      </w:r>
      <w:r w:rsidR="00C41F21">
        <w:t>20</w:t>
      </w:r>
      <w:r>
        <w:t>.</w:t>
      </w:r>
    </w:p>
    <w:p w14:paraId="042D7DA7" w14:textId="77777777" w:rsidR="00AA2DE5" w:rsidRDefault="00AA2DE5" w:rsidP="00AA2DE5">
      <w:pPr>
        <w:pStyle w:val="ACMACorporateAddresses"/>
      </w:pPr>
      <w:r>
        <w:t>All other rights are reserved.</w:t>
      </w:r>
    </w:p>
    <w:p w14:paraId="603A1EDF"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30BF3B7C" w14:textId="77777777" w:rsidR="00AA2DE5" w:rsidRDefault="00AA2DE5" w:rsidP="00AA2DE5">
      <w:pPr>
        <w:pStyle w:val="ACMACorporateAddresses"/>
      </w:pPr>
      <w:r>
        <w:t>Written enquiries may be sent to:</w:t>
      </w:r>
    </w:p>
    <w:p w14:paraId="3359E228"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4" w:history="1">
        <w:r>
          <w:rPr>
            <w:rStyle w:val="Hyperlink"/>
          </w:rPr>
          <w:t>info@acma.gov.au</w:t>
        </w:r>
      </w:hyperlink>
    </w:p>
    <w:p w14:paraId="1A45F7C5" w14:textId="77777777" w:rsidR="00D16FE3" w:rsidRDefault="00D16FE3" w:rsidP="00D16FE3">
      <w:pPr>
        <w:pStyle w:val="ACMACorporateAddresses"/>
        <w:rPr>
          <w:rStyle w:val="Hyperlink"/>
        </w:rPr>
      </w:pPr>
    </w:p>
    <w:p w14:paraId="093EEEE0" w14:textId="77777777" w:rsidR="00D16FE3" w:rsidRPr="00D16FE3" w:rsidRDefault="00D16FE3" w:rsidP="00D16FE3">
      <w:pPr>
        <w:pStyle w:val="ACMACorporateAddresses"/>
        <w:sectPr w:rsidR="00D16FE3" w:rsidRPr="00D16FE3">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000C08D4" w14:textId="68725CBA" w:rsidR="002B4D3F" w:rsidRDefault="00C65F61">
      <w:pPr>
        <w:pStyle w:val="TOC1"/>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"1-2" \t "Exec summary heading,1" </w:instrText>
      </w:r>
      <w:r>
        <w:rPr>
          <w:rFonts w:cs="Arial"/>
          <w:b w:val="0"/>
        </w:rPr>
        <w:fldChar w:fldCharType="separate"/>
      </w:r>
      <w:r w:rsidR="002B4D3F">
        <w:t>Executive summary</w:t>
      </w:r>
      <w:r w:rsidR="002B4D3F">
        <w:tab/>
      </w:r>
      <w:r w:rsidR="002B4D3F">
        <w:fldChar w:fldCharType="begin"/>
      </w:r>
      <w:r w:rsidR="002B4D3F">
        <w:instrText xml:space="preserve"> PAGEREF _Toc40264336 \h </w:instrText>
      </w:r>
      <w:r w:rsidR="002B4D3F">
        <w:fldChar w:fldCharType="separate"/>
      </w:r>
      <w:r w:rsidR="002B4D3F">
        <w:t>1</w:t>
      </w:r>
      <w:r w:rsidR="002B4D3F">
        <w:fldChar w:fldCharType="end"/>
      </w:r>
    </w:p>
    <w:p w14:paraId="68BB5B3F" w14:textId="22CA784A" w:rsidR="002B4D3F" w:rsidRDefault="002B4D3F">
      <w:pPr>
        <w:pStyle w:val="TOC1"/>
        <w:rPr>
          <w:rFonts w:asciiTheme="minorHAnsi" w:eastAsiaTheme="minorEastAsia" w:hAnsiTheme="minorHAnsi" w:cstheme="minorBidi"/>
          <w:b w:val="0"/>
          <w:spacing w:val="0"/>
          <w:sz w:val="22"/>
          <w:szCs w:val="22"/>
        </w:rPr>
      </w:pPr>
      <w:r>
        <w:t>Issues for comment</w:t>
      </w:r>
      <w:r>
        <w:tab/>
      </w:r>
      <w:r>
        <w:fldChar w:fldCharType="begin"/>
      </w:r>
      <w:r>
        <w:instrText xml:space="preserve"> PAGEREF _Toc40264337 \h </w:instrText>
      </w:r>
      <w:r>
        <w:fldChar w:fldCharType="separate"/>
      </w:r>
      <w:r>
        <w:t>3</w:t>
      </w:r>
      <w:r>
        <w:fldChar w:fldCharType="end"/>
      </w:r>
    </w:p>
    <w:p w14:paraId="76A85C7F" w14:textId="04E1B8E9" w:rsidR="002B4D3F" w:rsidRDefault="002B4D3F">
      <w:pPr>
        <w:pStyle w:val="TOC1"/>
        <w:rPr>
          <w:rFonts w:asciiTheme="minorHAnsi" w:eastAsiaTheme="minorEastAsia" w:hAnsiTheme="minorHAnsi" w:cstheme="minorBidi"/>
          <w:b w:val="0"/>
          <w:spacing w:val="0"/>
          <w:sz w:val="22"/>
          <w:szCs w:val="22"/>
        </w:rPr>
      </w:pPr>
      <w:r>
        <w:t>Legislative framework</w:t>
      </w:r>
      <w:r>
        <w:tab/>
      </w:r>
      <w:r>
        <w:fldChar w:fldCharType="begin"/>
      </w:r>
      <w:r>
        <w:instrText xml:space="preserve"> PAGEREF _Toc40264338 \h </w:instrText>
      </w:r>
      <w:r>
        <w:fldChar w:fldCharType="separate"/>
      </w:r>
      <w:r>
        <w:t>4</w:t>
      </w:r>
      <w:r>
        <w:fldChar w:fldCharType="end"/>
      </w:r>
    </w:p>
    <w:p w14:paraId="33F16F18" w14:textId="46C12E29" w:rsidR="002B4D3F" w:rsidRDefault="002B4D3F">
      <w:pPr>
        <w:pStyle w:val="TOC2"/>
        <w:rPr>
          <w:rFonts w:asciiTheme="minorHAnsi" w:eastAsiaTheme="minorEastAsia" w:hAnsiTheme="minorHAnsi" w:cstheme="minorBidi"/>
          <w:spacing w:val="0"/>
          <w:sz w:val="22"/>
          <w:szCs w:val="22"/>
        </w:rPr>
      </w:pPr>
      <w:r>
        <w:t>Drones and counter-drone technologies</w:t>
      </w:r>
      <w:r>
        <w:tab/>
      </w:r>
      <w:r>
        <w:fldChar w:fldCharType="begin"/>
      </w:r>
      <w:r>
        <w:instrText xml:space="preserve"> PAGEREF _Toc40264339 \h </w:instrText>
      </w:r>
      <w:r>
        <w:fldChar w:fldCharType="separate"/>
      </w:r>
      <w:r>
        <w:t>4</w:t>
      </w:r>
      <w:r>
        <w:fldChar w:fldCharType="end"/>
      </w:r>
    </w:p>
    <w:p w14:paraId="503FC868" w14:textId="080E9333" w:rsidR="002B4D3F" w:rsidRDefault="002B4D3F">
      <w:pPr>
        <w:pStyle w:val="TOC2"/>
        <w:rPr>
          <w:rFonts w:asciiTheme="minorHAnsi" w:eastAsiaTheme="minorEastAsia" w:hAnsiTheme="minorHAnsi" w:cstheme="minorBidi"/>
          <w:spacing w:val="0"/>
          <w:sz w:val="22"/>
          <w:szCs w:val="22"/>
        </w:rPr>
      </w:pPr>
      <w:r>
        <w:t>Devices prohibited by the ACMA</w:t>
      </w:r>
      <w:r>
        <w:tab/>
      </w:r>
      <w:r>
        <w:fldChar w:fldCharType="begin"/>
      </w:r>
      <w:r>
        <w:instrText xml:space="preserve"> PAGEREF _Toc40264340 \h </w:instrText>
      </w:r>
      <w:r>
        <w:fldChar w:fldCharType="separate"/>
      </w:r>
      <w:r>
        <w:t>4</w:t>
      </w:r>
      <w:r>
        <w:fldChar w:fldCharType="end"/>
      </w:r>
    </w:p>
    <w:p w14:paraId="39F80BB5" w14:textId="30C701A6" w:rsidR="002B4D3F" w:rsidRDefault="002B4D3F">
      <w:pPr>
        <w:pStyle w:val="TOC2"/>
        <w:rPr>
          <w:rFonts w:asciiTheme="minorHAnsi" w:eastAsiaTheme="minorEastAsia" w:hAnsiTheme="minorHAnsi" w:cstheme="minorBidi"/>
          <w:spacing w:val="0"/>
          <w:sz w:val="22"/>
          <w:szCs w:val="22"/>
        </w:rPr>
      </w:pPr>
      <w:r>
        <w:t>Exemptions determined by the ACMA</w:t>
      </w:r>
      <w:r>
        <w:tab/>
      </w:r>
      <w:r>
        <w:fldChar w:fldCharType="begin"/>
      </w:r>
      <w:r>
        <w:instrText xml:space="preserve"> PAGEREF _Toc40264341 \h </w:instrText>
      </w:r>
      <w:r>
        <w:fldChar w:fldCharType="separate"/>
      </w:r>
      <w:r>
        <w:t>5</w:t>
      </w:r>
      <w:r>
        <w:fldChar w:fldCharType="end"/>
      </w:r>
    </w:p>
    <w:p w14:paraId="7BE5F4FE" w14:textId="7F54E4C8" w:rsidR="002B4D3F" w:rsidRDefault="002B4D3F">
      <w:pPr>
        <w:pStyle w:val="TOC2"/>
        <w:rPr>
          <w:rFonts w:asciiTheme="minorHAnsi" w:eastAsiaTheme="minorEastAsia" w:hAnsiTheme="minorHAnsi" w:cstheme="minorBidi"/>
          <w:spacing w:val="0"/>
          <w:sz w:val="22"/>
          <w:szCs w:val="22"/>
        </w:rPr>
      </w:pPr>
      <w:r>
        <w:t>Existing exemption arrangements for the AFP</w:t>
      </w:r>
      <w:r>
        <w:tab/>
      </w:r>
      <w:r>
        <w:fldChar w:fldCharType="begin"/>
      </w:r>
      <w:r>
        <w:instrText xml:space="preserve"> PAGEREF _Toc40264342 \h </w:instrText>
      </w:r>
      <w:r>
        <w:fldChar w:fldCharType="separate"/>
      </w:r>
      <w:r>
        <w:t>5</w:t>
      </w:r>
      <w:r>
        <w:fldChar w:fldCharType="end"/>
      </w:r>
    </w:p>
    <w:p w14:paraId="3FF4B719" w14:textId="3ACB1B02" w:rsidR="002B4D3F" w:rsidRDefault="002B4D3F">
      <w:pPr>
        <w:pStyle w:val="TOC1"/>
        <w:rPr>
          <w:rFonts w:asciiTheme="minorHAnsi" w:eastAsiaTheme="minorEastAsia" w:hAnsiTheme="minorHAnsi" w:cstheme="minorBidi"/>
          <w:b w:val="0"/>
          <w:spacing w:val="0"/>
          <w:sz w:val="22"/>
          <w:szCs w:val="22"/>
        </w:rPr>
      </w:pPr>
      <w:r>
        <w:t>Relevant considerations</w:t>
      </w:r>
      <w:r>
        <w:tab/>
      </w:r>
      <w:r>
        <w:fldChar w:fldCharType="begin"/>
      </w:r>
      <w:r>
        <w:instrText xml:space="preserve"> PAGEREF _Toc40264343 \h </w:instrText>
      </w:r>
      <w:r>
        <w:fldChar w:fldCharType="separate"/>
      </w:r>
      <w:r>
        <w:t>6</w:t>
      </w:r>
      <w:r>
        <w:fldChar w:fldCharType="end"/>
      </w:r>
    </w:p>
    <w:p w14:paraId="2A21199E" w14:textId="0180FA27" w:rsidR="002B4D3F" w:rsidRDefault="002B4D3F">
      <w:pPr>
        <w:pStyle w:val="TOC2"/>
        <w:rPr>
          <w:rFonts w:asciiTheme="minorHAnsi" w:eastAsiaTheme="minorEastAsia" w:hAnsiTheme="minorHAnsi" w:cstheme="minorBidi"/>
          <w:spacing w:val="0"/>
          <w:sz w:val="22"/>
          <w:szCs w:val="22"/>
        </w:rPr>
      </w:pPr>
      <w:r>
        <w:t>Policy considerations</w:t>
      </w:r>
      <w:r>
        <w:tab/>
      </w:r>
      <w:r>
        <w:fldChar w:fldCharType="begin"/>
      </w:r>
      <w:r>
        <w:instrText xml:space="preserve"> PAGEREF _Toc40264344 \h </w:instrText>
      </w:r>
      <w:r>
        <w:fldChar w:fldCharType="separate"/>
      </w:r>
      <w:r>
        <w:t>6</w:t>
      </w:r>
      <w:r>
        <w:fldChar w:fldCharType="end"/>
      </w:r>
    </w:p>
    <w:p w14:paraId="52E08C94" w14:textId="691EE1F2" w:rsidR="002B4D3F" w:rsidRDefault="002B4D3F">
      <w:pPr>
        <w:pStyle w:val="TOC1"/>
        <w:rPr>
          <w:rFonts w:asciiTheme="minorHAnsi" w:eastAsiaTheme="minorEastAsia" w:hAnsiTheme="minorHAnsi" w:cstheme="minorBidi"/>
          <w:b w:val="0"/>
          <w:spacing w:val="0"/>
          <w:sz w:val="22"/>
          <w:szCs w:val="22"/>
        </w:rPr>
      </w:pPr>
      <w:r>
        <w:t>Proposed exemption arrangements</w:t>
      </w:r>
      <w:r>
        <w:tab/>
      </w:r>
      <w:r>
        <w:fldChar w:fldCharType="begin"/>
      </w:r>
      <w:r>
        <w:instrText xml:space="preserve"> PAGEREF _Toc40264345 \h </w:instrText>
      </w:r>
      <w:r>
        <w:fldChar w:fldCharType="separate"/>
      </w:r>
      <w:r>
        <w:t>8</w:t>
      </w:r>
      <w:r>
        <w:fldChar w:fldCharType="end"/>
      </w:r>
    </w:p>
    <w:p w14:paraId="0B7DDCDD" w14:textId="21CEB664" w:rsidR="002B4D3F" w:rsidRDefault="002B4D3F">
      <w:pPr>
        <w:pStyle w:val="TOC2"/>
        <w:rPr>
          <w:rFonts w:asciiTheme="minorHAnsi" w:eastAsiaTheme="minorEastAsia" w:hAnsiTheme="minorHAnsi" w:cstheme="minorBidi"/>
          <w:spacing w:val="0"/>
          <w:sz w:val="22"/>
          <w:szCs w:val="22"/>
        </w:rPr>
      </w:pPr>
      <w:r>
        <w:t>Persons to whom the proposed determination will apply</w:t>
      </w:r>
      <w:r>
        <w:tab/>
      </w:r>
      <w:r>
        <w:fldChar w:fldCharType="begin"/>
      </w:r>
      <w:r>
        <w:instrText xml:space="preserve"> PAGEREF _Toc40264346 \h </w:instrText>
      </w:r>
      <w:r>
        <w:fldChar w:fldCharType="separate"/>
      </w:r>
      <w:r>
        <w:t>8</w:t>
      </w:r>
      <w:r>
        <w:fldChar w:fldCharType="end"/>
      </w:r>
    </w:p>
    <w:p w14:paraId="768ECE9E" w14:textId="6C998D50" w:rsidR="002B4D3F" w:rsidRDefault="002B4D3F">
      <w:pPr>
        <w:pStyle w:val="TOC2"/>
        <w:rPr>
          <w:rFonts w:asciiTheme="minorHAnsi" w:eastAsiaTheme="minorEastAsia" w:hAnsiTheme="minorHAnsi" w:cstheme="minorBidi"/>
          <w:spacing w:val="0"/>
          <w:sz w:val="22"/>
          <w:szCs w:val="22"/>
        </w:rPr>
      </w:pPr>
      <w:r>
        <w:t>Circumstances in which the proposed determination will apply</w:t>
      </w:r>
      <w:r>
        <w:tab/>
      </w:r>
      <w:r>
        <w:fldChar w:fldCharType="begin"/>
      </w:r>
      <w:r>
        <w:instrText xml:space="preserve"> PAGEREF _Toc40264347 \h </w:instrText>
      </w:r>
      <w:r>
        <w:fldChar w:fldCharType="separate"/>
      </w:r>
      <w:r>
        <w:t>8</w:t>
      </w:r>
      <w:r>
        <w:fldChar w:fldCharType="end"/>
      </w:r>
    </w:p>
    <w:p w14:paraId="5F997669" w14:textId="4ACB89A7" w:rsidR="002B4D3F" w:rsidRDefault="002B4D3F">
      <w:pPr>
        <w:pStyle w:val="TOC2"/>
        <w:rPr>
          <w:rFonts w:asciiTheme="minorHAnsi" w:eastAsiaTheme="minorEastAsia" w:hAnsiTheme="minorHAnsi" w:cstheme="minorBidi"/>
          <w:spacing w:val="0"/>
          <w:sz w:val="22"/>
          <w:szCs w:val="22"/>
        </w:rPr>
      </w:pPr>
      <w:r>
        <w:t>Period for which the proposed determination will apply</w:t>
      </w:r>
      <w:r>
        <w:tab/>
      </w:r>
      <w:r>
        <w:fldChar w:fldCharType="begin"/>
      </w:r>
      <w:r>
        <w:instrText xml:space="preserve"> PAGEREF _Toc40264348 \h </w:instrText>
      </w:r>
      <w:r>
        <w:fldChar w:fldCharType="separate"/>
      </w:r>
      <w:r>
        <w:t>8</w:t>
      </w:r>
      <w:r>
        <w:fldChar w:fldCharType="end"/>
      </w:r>
    </w:p>
    <w:p w14:paraId="1D609375" w14:textId="6C6DDBC9" w:rsidR="002B4D3F" w:rsidRDefault="002B4D3F">
      <w:pPr>
        <w:pStyle w:val="TOC2"/>
        <w:rPr>
          <w:rFonts w:asciiTheme="minorHAnsi" w:eastAsiaTheme="minorEastAsia" w:hAnsiTheme="minorHAnsi" w:cstheme="minorBidi"/>
          <w:spacing w:val="0"/>
          <w:sz w:val="22"/>
          <w:szCs w:val="22"/>
        </w:rPr>
      </w:pPr>
      <w:r>
        <w:t>Impact on other radiocommunications users</w:t>
      </w:r>
      <w:r>
        <w:tab/>
      </w:r>
      <w:r>
        <w:fldChar w:fldCharType="begin"/>
      </w:r>
      <w:r>
        <w:instrText xml:space="preserve"> PAGEREF _Toc40264349 \h </w:instrText>
      </w:r>
      <w:r>
        <w:fldChar w:fldCharType="separate"/>
      </w:r>
      <w:r>
        <w:t>9</w:t>
      </w:r>
      <w:r>
        <w:fldChar w:fldCharType="end"/>
      </w:r>
    </w:p>
    <w:p w14:paraId="1D05A5E8" w14:textId="7CF4576A" w:rsidR="002B4D3F" w:rsidRDefault="002B4D3F">
      <w:pPr>
        <w:pStyle w:val="TOC1"/>
        <w:rPr>
          <w:rFonts w:asciiTheme="minorHAnsi" w:eastAsiaTheme="minorEastAsia" w:hAnsiTheme="minorHAnsi" w:cstheme="minorBidi"/>
          <w:b w:val="0"/>
          <w:spacing w:val="0"/>
          <w:sz w:val="22"/>
          <w:szCs w:val="22"/>
        </w:rPr>
      </w:pPr>
      <w:r>
        <w:t>Invitation to comment</w:t>
      </w:r>
      <w:r>
        <w:tab/>
      </w:r>
      <w:r>
        <w:fldChar w:fldCharType="begin"/>
      </w:r>
      <w:r>
        <w:instrText xml:space="preserve"> PAGEREF _Toc40264350 \h </w:instrText>
      </w:r>
      <w:r>
        <w:fldChar w:fldCharType="separate"/>
      </w:r>
      <w:r>
        <w:t>11</w:t>
      </w:r>
      <w:r>
        <w:fldChar w:fldCharType="end"/>
      </w:r>
    </w:p>
    <w:p w14:paraId="7CBA63CF" w14:textId="341B5149" w:rsidR="002B4D3F" w:rsidRDefault="002B4D3F">
      <w:pPr>
        <w:pStyle w:val="TOC2"/>
        <w:rPr>
          <w:rFonts w:asciiTheme="minorHAnsi" w:eastAsiaTheme="minorEastAsia" w:hAnsiTheme="minorHAnsi" w:cstheme="minorBidi"/>
          <w:spacing w:val="0"/>
          <w:sz w:val="22"/>
          <w:szCs w:val="22"/>
        </w:rPr>
      </w:pPr>
      <w:r>
        <w:t>Making a submission</w:t>
      </w:r>
      <w:r>
        <w:tab/>
      </w:r>
      <w:r>
        <w:fldChar w:fldCharType="begin"/>
      </w:r>
      <w:r>
        <w:instrText xml:space="preserve"> PAGEREF _Toc40264351 \h </w:instrText>
      </w:r>
      <w:r>
        <w:fldChar w:fldCharType="separate"/>
      </w:r>
      <w:r>
        <w:t>11</w:t>
      </w:r>
      <w:r>
        <w:fldChar w:fldCharType="end"/>
      </w:r>
    </w:p>
    <w:p w14:paraId="7FB9C6FA" w14:textId="1593F4B0" w:rsidR="004D56FF" w:rsidRPr="000D76E0" w:rsidRDefault="00C65F61">
      <w:pPr>
        <w:rPr>
          <w:rFonts w:cs="Arial"/>
        </w:rPr>
        <w:sectPr w:rsidR="004D56FF" w:rsidRPr="000D76E0"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Pr>
          <w:rFonts w:cs="Arial"/>
          <w:b/>
          <w:noProof/>
          <w:spacing w:val="-14"/>
          <w:sz w:val="28"/>
        </w:rPr>
        <w:fldChar w:fldCharType="end"/>
      </w:r>
    </w:p>
    <w:p w14:paraId="15135A03" w14:textId="77777777" w:rsidR="009D6C71" w:rsidRPr="009174F3" w:rsidRDefault="009D6C71" w:rsidP="00A52906">
      <w:pPr>
        <w:pStyle w:val="Execsummaryheading"/>
        <w:spacing w:after="600"/>
      </w:pPr>
      <w:bookmarkStart w:id="0" w:name="_Toc40264336"/>
      <w:r w:rsidRPr="009174F3">
        <w:lastRenderedPageBreak/>
        <w:t>Executive summary</w:t>
      </w:r>
      <w:bookmarkEnd w:id="0"/>
    </w:p>
    <w:p w14:paraId="2270F2F1" w14:textId="77777777" w:rsidR="00900E6D" w:rsidRDefault="00900E6D" w:rsidP="00900E6D">
      <w:pPr>
        <w:pStyle w:val="Paragraph"/>
      </w:pPr>
      <w:r>
        <w:t xml:space="preserve">Rapid innovation in the drone technology environment has led to drones becoming increasingly easy to use and access. </w:t>
      </w:r>
      <w:r w:rsidRPr="00A024D0">
        <w:rPr>
          <w:u w:color="0000FF"/>
        </w:rPr>
        <w:t>Australia is well placed to benefit</w:t>
      </w:r>
      <w:r>
        <w:t xml:space="preserve"> from the global uptake of drones across a range of industries, including manufacturing, agriculture, defence and health.</w:t>
      </w:r>
      <w:r w:rsidRPr="60506B67">
        <w:rPr>
          <w:rStyle w:val="CommentReference"/>
          <w:rFonts w:cs="Times New Roman"/>
        </w:rPr>
        <w:t xml:space="preserve"> </w:t>
      </w:r>
      <w:r>
        <w:t xml:space="preserve">This has the capacity to enhance a wide range of existing services and enable new applications, but with the prevalence and accessibility of inexpensive drones comes the potential for drones to be used for malicious purposes. </w:t>
      </w:r>
    </w:p>
    <w:p w14:paraId="6224D6D3" w14:textId="7237C8CD" w:rsidR="00900E6D" w:rsidRDefault="00900E6D" w:rsidP="00900E6D">
      <w:pPr>
        <w:pStyle w:val="Paragraph"/>
      </w:pPr>
      <w:r>
        <w:t xml:space="preserve">In Australia, a </w:t>
      </w:r>
      <w:hyperlink r:id="rId24" w:history="1">
        <w:r w:rsidRPr="00E5505E">
          <w:rPr>
            <w:rStyle w:val="Hyperlink"/>
          </w:rPr>
          <w:t>Senate inquiry into drone regulation</w:t>
        </w:r>
      </w:hyperlink>
      <w:r>
        <w:t xml:space="preserve"> and the </w:t>
      </w:r>
      <w:hyperlink r:id="rId25" w:history="1">
        <w:r w:rsidR="002E3CE2">
          <w:rPr>
            <w:rStyle w:val="Hyperlink"/>
          </w:rPr>
          <w:t>g</w:t>
        </w:r>
        <w:r w:rsidRPr="00E5505E">
          <w:rPr>
            <w:rStyle w:val="Hyperlink"/>
          </w:rPr>
          <w:t>overnment’s response</w:t>
        </w:r>
      </w:hyperlink>
      <w:r>
        <w:t xml:space="preserve"> to that inquiry identified the need to implement steps to manage the safety and security risks that drones can pose. They</w:t>
      </w:r>
      <w:r w:rsidDel="00266677">
        <w:t xml:space="preserve"> </w:t>
      </w:r>
      <w:r>
        <w:t>also identified that management of these risks can maximise the economic and social benefits of drones. Governments around the world have recognised the need to manage the risks associated with drones—which may include facilitating use of radiofrequency jamming devices or other countermeasures—while also managing the incidental risks that these countermeasures may pose. Jamming devices exploit the reliance of drones on spectrum, and deployment of these devices has the potential to adversely affect licensed radiocommunications services.</w:t>
      </w:r>
    </w:p>
    <w:p w14:paraId="3A523D3C" w14:textId="77777777" w:rsidR="00900E6D" w:rsidRDefault="00900E6D" w:rsidP="00900E6D">
      <w:pPr>
        <w:pStyle w:val="Paragraph"/>
      </w:pPr>
      <w:r>
        <w:t xml:space="preserve">In December 2018, the Council of Australian Governments (COAG) acknowledged the need to combat the unlawful use of drones and </w:t>
      </w:r>
      <w:hyperlink r:id="rId26" w:history="1">
        <w:r w:rsidRPr="00DD1ABF">
          <w:rPr>
            <w:rStyle w:val="Hyperlink"/>
          </w:rPr>
          <w:t>agreed to develop both short and long-term measures</w:t>
        </w:r>
      </w:hyperlink>
      <w:r>
        <w:t xml:space="preserve"> to support law enforcement in deploying counter-drone capabilities. To facilitate this agreement, we have been working closely with the</w:t>
      </w:r>
      <w:r w:rsidRPr="000B4905">
        <w:t xml:space="preserve"> </w:t>
      </w:r>
      <w:r w:rsidRPr="00E5505E">
        <w:rPr>
          <w:u w:color="0000FF"/>
        </w:rPr>
        <w:t>Australia-New Zealand Counter-Terrorism Committee</w:t>
      </w:r>
      <w:r w:rsidRPr="00E5505E">
        <w:rPr>
          <w:u w:color="0000FF"/>
          <w:vertAlign w:val="superscript"/>
        </w:rPr>
        <w:footnoteReference w:id="2"/>
      </w:r>
      <w:r>
        <w:t xml:space="preserve"> (ANZCTC) and relevant government agencies on the development and implementation of the short-term national capability framework. To support initial deployment of short-term arrangements, in April 2019 we made the </w:t>
      </w:r>
      <w:hyperlink r:id="rId27" w:history="1">
        <w:r w:rsidRPr="000B4905">
          <w:rPr>
            <w:rStyle w:val="Hyperlink"/>
          </w:rPr>
          <w:t>Radiocommunications (Unmanned Aircraft and Unmanned Aircraft Systems) Exemption Determination 2019</w:t>
        </w:r>
      </w:hyperlink>
      <w:r w:rsidRPr="000B4905" w:rsidDel="000B4905">
        <w:t xml:space="preserve"> </w:t>
      </w:r>
      <w:r>
        <w:t xml:space="preserve">under subsection 27(2) of the </w:t>
      </w:r>
      <w:r w:rsidRPr="009F4541">
        <w:rPr>
          <w:i/>
          <w:iCs/>
        </w:rPr>
        <w:t>Radiocommunications Act 1992</w:t>
      </w:r>
      <w:r>
        <w:t xml:space="preserve"> (the Act) to facilitate access to and use of a defined counter-drone capability by the Australian Federal Police (AFP). </w:t>
      </w:r>
    </w:p>
    <w:p w14:paraId="000405CF" w14:textId="77777777" w:rsidR="00900E6D" w:rsidRDefault="00900E6D" w:rsidP="00900E6D">
      <w:pPr>
        <w:pStyle w:val="Paragraph"/>
      </w:pPr>
      <w:r>
        <w:t xml:space="preserve">In the intervening period, we have worked closely with the ANZCTC and relevant agencies to progress further short-term counter-drone arrangements, with a view to facilitating access by law enforcement agencies to </w:t>
      </w:r>
      <w:r w:rsidRPr="00DD1ABF">
        <w:t xml:space="preserve">counter-drone capabilities in a </w:t>
      </w:r>
      <w:r>
        <w:t xml:space="preserve">nationally </w:t>
      </w:r>
      <w:r w:rsidRPr="00DD1ABF">
        <w:t xml:space="preserve">consistent </w:t>
      </w:r>
      <w:r>
        <w:t xml:space="preserve">way that </w:t>
      </w:r>
      <w:r w:rsidRPr="00DD1ABF">
        <w:t xml:space="preserve">aligns with the Australian </w:t>
      </w:r>
      <w:r>
        <w:t>G</w:t>
      </w:r>
      <w:r w:rsidRPr="00DD1ABF">
        <w:t>overnment’s drone security policy aims</w:t>
      </w:r>
      <w:r w:rsidRPr="003C01BC">
        <w:t xml:space="preserve">. </w:t>
      </w:r>
    </w:p>
    <w:p w14:paraId="355F95F7" w14:textId="4D78D855" w:rsidR="00900E6D" w:rsidRDefault="00900E6D" w:rsidP="00900E6D">
      <w:pPr>
        <w:pStyle w:val="Paragraph"/>
      </w:pPr>
      <w:r>
        <w:t xml:space="preserve">We are proposing to make the </w:t>
      </w:r>
      <w:r w:rsidRPr="00CB2A68">
        <w:t>Radiocommunications (Police Forces – Disruption of Unmanned Aircraft) Exemption Determination 2020</w:t>
      </w:r>
      <w:r>
        <w:t xml:space="preserve"> (a draft instrument </w:t>
      </w:r>
      <w:r w:rsidR="002E3CE2">
        <w:t>available in the key documents section of this consultation</w:t>
      </w:r>
      <w:r>
        <w:t xml:space="preserve">), which would apply on a national basis to Australian </w:t>
      </w:r>
      <w:r w:rsidR="002E3CE2">
        <w:t>f</w:t>
      </w:r>
      <w:r>
        <w:t xml:space="preserve">ederal, </w:t>
      </w:r>
      <w:r w:rsidR="002E3CE2">
        <w:t>s</w:t>
      </w:r>
      <w:r>
        <w:t xml:space="preserve">tate and </w:t>
      </w:r>
      <w:r w:rsidR="002E3CE2">
        <w:t>t</w:t>
      </w:r>
      <w:r>
        <w:t>erritory police forces. If made, the proposed determination would exempt relevant persons with respect to the possession, operation and supply of drone</w:t>
      </w:r>
      <w:r w:rsidR="00BF58B4">
        <w:t xml:space="preserve"> </w:t>
      </w:r>
      <w:r>
        <w:t xml:space="preserve">jamming devices in the circumstances specified. It </w:t>
      </w:r>
      <w:r w:rsidR="002E3CE2">
        <w:t xml:space="preserve">would </w:t>
      </w:r>
      <w:r>
        <w:t xml:space="preserve">have the practical effect of authorising police to deploy drone jamming devices to protect critical infrastructure, at major events and for other law enforcement operations, including where counter-drone capability is required at short notice. </w:t>
      </w:r>
    </w:p>
    <w:p w14:paraId="30100BF2" w14:textId="036CA087" w:rsidR="00426C5D" w:rsidRDefault="00426C5D" w:rsidP="00CC69BA">
      <w:pPr>
        <w:pStyle w:val="Paragraph"/>
        <w:spacing w:after="80"/>
      </w:pPr>
      <w:r>
        <w:lastRenderedPageBreak/>
        <w:t xml:space="preserve">In releasing this consultation </w:t>
      </w:r>
      <w:r w:rsidR="00F20EB2">
        <w:t>paper,</w:t>
      </w:r>
      <w:r>
        <w:t xml:space="preserve"> we are also</w:t>
      </w:r>
      <w:r w:rsidR="009E217C">
        <w:t xml:space="preserve"> initiating two other </w:t>
      </w:r>
      <w:r w:rsidR="00980322">
        <w:t>public consultations on related matters</w:t>
      </w:r>
      <w:r w:rsidR="00264024">
        <w:t xml:space="preserve"> under the radiocommunications prohibitions and exemptions framework</w:t>
      </w:r>
      <w:r w:rsidR="00980322">
        <w:t>:</w:t>
      </w:r>
    </w:p>
    <w:p w14:paraId="2056CA5C" w14:textId="0DF6C057" w:rsidR="00980322" w:rsidRDefault="00EE45BE" w:rsidP="00CC69BA">
      <w:pPr>
        <w:pStyle w:val="Bulletlevel1"/>
      </w:pPr>
      <w:r w:rsidRPr="00EE45BE">
        <w:t xml:space="preserve">In the </w:t>
      </w:r>
      <w:hyperlink r:id="rId28" w:history="1">
        <w:r w:rsidRPr="00AA1B05">
          <w:rPr>
            <w:rStyle w:val="Hyperlink"/>
          </w:rPr>
          <w:t>Five-year spectrum outlook 2019–23</w:t>
        </w:r>
      </w:hyperlink>
      <w:r w:rsidRPr="00EE45BE">
        <w:t xml:space="preserve">, we committed to conduct a review of prohibition declarations and exemption determinations under the Act. </w:t>
      </w:r>
      <w:r w:rsidR="00983044" w:rsidRPr="00DC58F0">
        <w:t xml:space="preserve">As the first step in our review, </w:t>
      </w:r>
      <w:r w:rsidR="00887B9C">
        <w:t>we seek the views of</w:t>
      </w:r>
      <w:r w:rsidR="003A50AE">
        <w:t xml:space="preserve"> industry, government and consumers about emerging technologies, changing policy and operational requirements</w:t>
      </w:r>
      <w:r w:rsidR="00B925A6">
        <w:t>, and the impact that the framework has on their activities</w:t>
      </w:r>
    </w:p>
    <w:p w14:paraId="51252898" w14:textId="424D2B02" w:rsidR="00B925A6" w:rsidRDefault="00B925A6" w:rsidP="00CC69BA">
      <w:pPr>
        <w:pStyle w:val="Bulletlevel1last"/>
      </w:pPr>
      <w:r>
        <w:t xml:space="preserve">We seek views on </w:t>
      </w:r>
      <w:r w:rsidR="007172BC">
        <w:t>a proposal</w:t>
      </w:r>
      <w:r>
        <w:t xml:space="preserve"> to </w:t>
      </w:r>
      <w:r w:rsidR="00F20EB2" w:rsidRPr="00F20EB2">
        <w:t xml:space="preserve">facilitate trials of radionavigation-satellite service (RNSS) repeaters to provide Global Positioning System (GPS) coverage in tunnels across the road network, which involves </w:t>
      </w:r>
      <w:r w:rsidR="007172BC">
        <w:t>making an amendment to</w:t>
      </w:r>
      <w:r w:rsidR="00F20EB2" w:rsidRPr="00F20EB2">
        <w:t xml:space="preserve"> the </w:t>
      </w:r>
      <w:hyperlink r:id="rId29" w:history="1">
        <w:r w:rsidR="00F20EB2" w:rsidRPr="0093734B">
          <w:rPr>
            <w:rStyle w:val="Hyperlink"/>
          </w:rPr>
          <w:t>Radiocommunications (Prohibited Device) (RNSS Jamming Devices) Declaration 2014</w:t>
        </w:r>
      </w:hyperlink>
      <w:r w:rsidR="00F20EB2">
        <w:t>.</w:t>
      </w:r>
    </w:p>
    <w:p w14:paraId="3926CD5F" w14:textId="77777777" w:rsidR="00715722" w:rsidRDefault="00715722" w:rsidP="00715722">
      <w:pPr>
        <w:pStyle w:val="Heading1"/>
      </w:pPr>
      <w:bookmarkStart w:id="1" w:name="_Toc433122125"/>
      <w:bookmarkStart w:id="2" w:name="_Toc40264337"/>
      <w:r>
        <w:lastRenderedPageBreak/>
        <w:t>Issu</w:t>
      </w:r>
      <w:r w:rsidR="007418E1">
        <w:t>es</w:t>
      </w:r>
      <w:r>
        <w:t xml:space="preserve"> for comment</w:t>
      </w:r>
      <w:bookmarkEnd w:id="1"/>
      <w:bookmarkEnd w:id="2"/>
    </w:p>
    <w:p w14:paraId="20A19948" w14:textId="77777777" w:rsidR="00900E6D" w:rsidRPr="009D4C85" w:rsidRDefault="00900E6D" w:rsidP="00900E6D">
      <w:pPr>
        <w:pStyle w:val="ListNumber"/>
        <w:numPr>
          <w:ilvl w:val="0"/>
          <w:numId w:val="0"/>
        </w:numPr>
      </w:pPr>
      <w:r>
        <w:t>This consultation does not ask specific questions. However, the ACMA welcomes comment from interested stakeholders on the issues raised in this consultation or any other issues relevant to r</w:t>
      </w:r>
      <w:r w:rsidRPr="00B7255E">
        <w:t>adiocommunications exemption arrangements for Australian law enforcement use of drone jamming devices</w:t>
      </w:r>
      <w:r>
        <w:t>.</w:t>
      </w:r>
    </w:p>
    <w:p w14:paraId="72822031" w14:textId="77777777" w:rsidR="00900E6D" w:rsidRDefault="00900E6D" w:rsidP="00900E6D">
      <w:pPr>
        <w:pStyle w:val="Numberlistlevel1"/>
        <w:numPr>
          <w:ilvl w:val="0"/>
          <w:numId w:val="0"/>
        </w:numPr>
      </w:pPr>
    </w:p>
    <w:p w14:paraId="0519EB1F" w14:textId="77777777" w:rsidR="005E250B" w:rsidRPr="00C35CCE" w:rsidRDefault="00900E6D" w:rsidP="002C0530">
      <w:pPr>
        <w:pStyle w:val="Heading1"/>
      </w:pPr>
      <w:bookmarkStart w:id="3" w:name="_Toc26272790"/>
      <w:bookmarkStart w:id="4" w:name="_Toc40264338"/>
      <w:r>
        <w:lastRenderedPageBreak/>
        <w:t>Legislative framework</w:t>
      </w:r>
      <w:bookmarkEnd w:id="3"/>
      <w:bookmarkEnd w:id="4"/>
      <w:r w:rsidRPr="002C0530">
        <w:t xml:space="preserve"> </w:t>
      </w:r>
    </w:p>
    <w:p w14:paraId="4E5DA65B" w14:textId="77777777" w:rsidR="00900E6D" w:rsidRPr="00791C19" w:rsidRDefault="00900E6D" w:rsidP="00900E6D">
      <w:pPr>
        <w:pStyle w:val="Heading2"/>
      </w:pPr>
      <w:bookmarkStart w:id="5" w:name="_Toc26272791"/>
      <w:bookmarkStart w:id="6" w:name="_Toc40264339"/>
      <w:r>
        <w:t>Drones and counter</w:t>
      </w:r>
      <w:r w:rsidRPr="00791C19">
        <w:t>-drone technologies</w:t>
      </w:r>
      <w:bookmarkEnd w:id="5"/>
      <w:bookmarkEnd w:id="6"/>
    </w:p>
    <w:p w14:paraId="79C3BD55" w14:textId="77777777" w:rsidR="00900E6D" w:rsidRDefault="00900E6D" w:rsidP="00900E6D">
      <w:pPr>
        <w:pStyle w:val="Paragraph"/>
      </w:pPr>
      <w:r w:rsidRPr="00791C19">
        <w:t>Drones are commonly referred to as remotely piloted aircraft systems (RPAS), unmanned aircraft (UA</w:t>
      </w:r>
      <w:r>
        <w:t xml:space="preserve">) or </w:t>
      </w:r>
      <w:r w:rsidRPr="00791C19">
        <w:t>unmanned aircraft systems (UAS).</w:t>
      </w:r>
      <w:r>
        <w:t xml:space="preserve"> Drone systems—which mainly comprise the aircraft and a remote control—rely on access to radiofrequency spectrum to wirelessly control the aircraft and to receive or transmit data. The use of radiofrequency spectrum is regulated by the ACMA under the Act.  </w:t>
      </w:r>
    </w:p>
    <w:p w14:paraId="654362A2" w14:textId="0AD6312E" w:rsidR="00900E6D" w:rsidRPr="00791C19" w:rsidRDefault="00900E6D" w:rsidP="00900E6D">
      <w:pPr>
        <w:pStyle w:val="Paragraph"/>
      </w:pPr>
      <w:r>
        <w:t xml:space="preserve">Counter-drone technologies include </w:t>
      </w:r>
      <w:r w:rsidRPr="00791C19">
        <w:t xml:space="preserve">scanners </w:t>
      </w:r>
      <w:r>
        <w:t xml:space="preserve">that use radar, audio, visual, infrared or radiofrequencies to </w:t>
      </w:r>
      <w:r w:rsidRPr="00791C19">
        <w:t>detect a drone</w:t>
      </w:r>
      <w:r>
        <w:t>; g</w:t>
      </w:r>
      <w:r w:rsidRPr="00791C19">
        <w:t>eofences</w:t>
      </w:r>
      <w:r>
        <w:t xml:space="preserve"> that establish </w:t>
      </w:r>
      <w:r w:rsidRPr="00791C19">
        <w:t>virtual barriers</w:t>
      </w:r>
      <w:r>
        <w:t xml:space="preserve"> to</w:t>
      </w:r>
      <w:r w:rsidRPr="00791C19">
        <w:t xml:space="preserve"> prevent drones from entering certain locations</w:t>
      </w:r>
      <w:r w:rsidR="007E0FFE">
        <w:t>,</w:t>
      </w:r>
      <w:r>
        <w:t xml:space="preserve"> and transmitting devices like drone jamming devices that actively </w:t>
      </w:r>
      <w:r w:rsidRPr="00791C19">
        <w:t>inter</w:t>
      </w:r>
      <w:r>
        <w:t xml:space="preserve">fere with </w:t>
      </w:r>
      <w:r w:rsidRPr="00791C19">
        <w:t>a drone</w:t>
      </w:r>
      <w:r>
        <w:t xml:space="preserve">’s operations. </w:t>
      </w:r>
    </w:p>
    <w:p w14:paraId="652BCB53" w14:textId="256C4C10" w:rsidR="00900E6D" w:rsidRDefault="00900E6D" w:rsidP="00900E6D">
      <w:pPr>
        <w:pStyle w:val="Paragraph"/>
      </w:pPr>
      <w:r>
        <w:t>Drone jamming devices are designed to operate on the same frequencies used by drones and disrupt the target by interfering with the control signals between a drone and its operator. Disrupting these communications commonly results in the drone returning to its point of origin or landing on the spot.</w:t>
      </w:r>
      <w:r w:rsidRPr="00DA6317">
        <w:t xml:space="preserve"> </w:t>
      </w:r>
    </w:p>
    <w:p w14:paraId="5C240D43" w14:textId="6D63DB4E" w:rsidR="00900E6D" w:rsidRDefault="00900E6D" w:rsidP="00900E6D">
      <w:pPr>
        <w:pStyle w:val="Paragraph"/>
      </w:pPr>
      <w:r>
        <w:t>The use of jamming and other devices to disrupt</w:t>
      </w:r>
      <w:r w:rsidR="007E0FFE">
        <w:t xml:space="preserve">, </w:t>
      </w:r>
      <w:r>
        <w:t xml:space="preserve">disturb, or cause interference to radiocommunications may amount to the commission of a criminal offence, noting that Part 4.2 of the Act establishes a range of offences related to </w:t>
      </w:r>
      <w:r w:rsidR="001F62A1">
        <w:t xml:space="preserve">deliberately </w:t>
      </w:r>
      <w:r>
        <w:t xml:space="preserve">causing interference. </w:t>
      </w:r>
    </w:p>
    <w:p w14:paraId="6E1DA292" w14:textId="77777777" w:rsidR="00900E6D" w:rsidRDefault="00900E6D" w:rsidP="00900E6D">
      <w:pPr>
        <w:pStyle w:val="Paragraph"/>
      </w:pPr>
      <w:r>
        <w:t>Drones are remotely piloted aircraft for the purposes of the aviation regulatory framework, and the use of counter-drone capabilities would also be subject to regulatory arrangements made by the Civil Aviation Safety Authority (CASA).</w:t>
      </w:r>
    </w:p>
    <w:p w14:paraId="01F2B613" w14:textId="77777777" w:rsidR="00900E6D" w:rsidRDefault="00900E6D" w:rsidP="00900E6D">
      <w:pPr>
        <w:pStyle w:val="Heading2"/>
      </w:pPr>
      <w:bookmarkStart w:id="7" w:name="_Toc26272792"/>
      <w:bookmarkStart w:id="8" w:name="_Toc40264340"/>
      <w:r>
        <w:t>Devices prohibited by the ACMA</w:t>
      </w:r>
      <w:bookmarkEnd w:id="7"/>
      <w:bookmarkEnd w:id="8"/>
    </w:p>
    <w:p w14:paraId="573FB444" w14:textId="77777777" w:rsidR="00900E6D" w:rsidRDefault="00900E6D" w:rsidP="00900E6D">
      <w:pPr>
        <w:pStyle w:val="Paragraph"/>
      </w:pPr>
      <w:r>
        <w:t xml:space="preserve">The ACMA has made two declarations under section 190 of the Act, which have the effect of prohibiting the operation or supply, and possession for purpose of operation or supply, of two types of jamming devices. These are the </w:t>
      </w:r>
      <w:hyperlink r:id="rId30" w:history="1">
        <w:r>
          <w:rPr>
            <w:rStyle w:val="Hyperlink"/>
          </w:rPr>
          <w:t>Radiocommunications (Prohibited Device) (RNSS Jamming Devices) Declaration 2014</w:t>
        </w:r>
      </w:hyperlink>
      <w:r>
        <w:rPr>
          <w:lang w:val="en-GB"/>
        </w:rPr>
        <w:t xml:space="preserve"> (RNSS Jamming Device Prohibition) </w:t>
      </w:r>
      <w:r>
        <w:t xml:space="preserve">and the </w:t>
      </w:r>
      <w:hyperlink r:id="rId31" w:history="1">
        <w:r>
          <w:rPr>
            <w:rStyle w:val="Hyperlink"/>
          </w:rPr>
          <w:t>Radiocommunications (Prohibition of PMTS Jamming Devices) Declaration 2011</w:t>
        </w:r>
      </w:hyperlink>
      <w:r>
        <w:rPr>
          <w:i/>
          <w:iCs/>
          <w:lang w:val="en-GB"/>
        </w:rPr>
        <w:t xml:space="preserve"> </w:t>
      </w:r>
      <w:r>
        <w:rPr>
          <w:lang w:val="en-GB"/>
        </w:rPr>
        <w:t xml:space="preserve">(PMTS Jamming Device Prohibition). </w:t>
      </w:r>
    </w:p>
    <w:p w14:paraId="41F38BD7" w14:textId="77777777" w:rsidR="00900E6D" w:rsidRPr="00D5515D" w:rsidRDefault="00900E6D" w:rsidP="00900E6D">
      <w:pPr>
        <w:pStyle w:val="Paragraph"/>
        <w:rPr>
          <w:lang w:val="en-GB"/>
        </w:rPr>
      </w:pPr>
      <w:r w:rsidRPr="00D5515D">
        <w:t>The radionavigation-satellite service (</w:t>
      </w:r>
      <w:r w:rsidRPr="00D5515D">
        <w:rPr>
          <w:lang w:val="en-GB"/>
        </w:rPr>
        <w:t xml:space="preserve">RNSS) is a system of satellites which—together with supporting infrastructure—provides accurate positioning, velocity and timing data. The most well-known RNSS is the Global Positioning System (GPS). </w:t>
      </w:r>
      <w:r w:rsidRPr="00D5515D">
        <w:t>A device is an RNSS jamming device if it is designed to have an adverse effect on radiocommunications</w:t>
      </w:r>
      <w:r>
        <w:t>,</w:t>
      </w:r>
      <w:r w:rsidRPr="00D5515D">
        <w:t xml:space="preserve"> or would be likely to substantially interfere with, disrupt or disturb radiocommunications transmitted on RNSS frequencies.</w:t>
      </w:r>
    </w:p>
    <w:p w14:paraId="3748A09B" w14:textId="4C6ECC99" w:rsidR="00900E6D" w:rsidRDefault="00900E6D" w:rsidP="00900E6D">
      <w:pPr>
        <w:pStyle w:val="Paragraph"/>
      </w:pPr>
      <w:r w:rsidRPr="00D5515D">
        <w:t>A public mobile telecommunications service (PMTS) jamming device is commonly known as a mobile phone jammer.</w:t>
      </w:r>
      <w:r w:rsidRPr="00D5515D">
        <w:rPr>
          <w:vertAlign w:val="superscript"/>
        </w:rPr>
        <w:footnoteReference w:id="3"/>
      </w:r>
      <w:r w:rsidRPr="00D5515D">
        <w:t xml:space="preserve"> A device is a PMTS jamming device if it is designed to have an adverse effect on radiocommunications</w:t>
      </w:r>
      <w:r>
        <w:t>—</w:t>
      </w:r>
      <w:r w:rsidRPr="00D5515D">
        <w:t>or would be likely to</w:t>
      </w:r>
      <w:r w:rsidR="00BF5903">
        <w:t> </w:t>
      </w:r>
      <w:r w:rsidRPr="00D5515D">
        <w:t>substantially interfere with, disrupt or disturb radiocommunications</w:t>
      </w:r>
      <w:r>
        <w:t>—</w:t>
      </w:r>
      <w:r w:rsidRPr="00D5515D">
        <w:t>and operat</w:t>
      </w:r>
      <w:r w:rsidR="00BF5903">
        <w:t>e</w:t>
      </w:r>
      <w:r w:rsidRPr="00D5515D">
        <w:t>s</w:t>
      </w:r>
      <w:r w:rsidR="00BF5903">
        <w:t> </w:t>
      </w:r>
      <w:r w:rsidRPr="00D5515D">
        <w:t xml:space="preserve">within one or more frequency bands used for a public mobile telecommunications service. </w:t>
      </w:r>
    </w:p>
    <w:p w14:paraId="78462A8E" w14:textId="77777777" w:rsidR="00900E6D" w:rsidRDefault="00900E6D" w:rsidP="00900E6D">
      <w:pPr>
        <w:pStyle w:val="Paragraph"/>
      </w:pPr>
      <w:r>
        <w:lastRenderedPageBreak/>
        <w:t xml:space="preserve">Under subregulation 4(2) of the </w:t>
      </w:r>
      <w:hyperlink r:id="rId32" w:history="1">
        <w:r w:rsidRPr="00D5515D">
          <w:rPr>
            <w:rStyle w:val="Hyperlink"/>
            <w:iCs/>
          </w:rPr>
          <w:t>Customs (Prohibited Imports) Regulations 1956</w:t>
        </w:r>
      </w:hyperlink>
      <w:r>
        <w:t>, the importation of specified items is prohibited. These include devices whose operation or supply—or whose possession for the purpose of operation or supply—is prohibited by a declaration under section 190 of the Act.</w:t>
      </w:r>
    </w:p>
    <w:p w14:paraId="36DB7808" w14:textId="77777777" w:rsidR="00900E6D" w:rsidRDefault="00900E6D" w:rsidP="00900E6D">
      <w:pPr>
        <w:pStyle w:val="Paragraph"/>
      </w:pPr>
      <w:r w:rsidRPr="00D5515D">
        <w:t xml:space="preserve">Drone jamming devices that have the </w:t>
      </w:r>
      <w:r>
        <w:t>capacity</w:t>
      </w:r>
      <w:r w:rsidRPr="00D5515D">
        <w:t xml:space="preserve"> to jam RNSS or PMTS</w:t>
      </w:r>
      <w:r>
        <w:t xml:space="preserve"> </w:t>
      </w:r>
      <w:r w:rsidRPr="00D5515D">
        <w:t xml:space="preserve">frequencies </w:t>
      </w:r>
      <w:r>
        <w:t xml:space="preserve">would be, </w:t>
      </w:r>
      <w:r w:rsidRPr="00D5515D">
        <w:t xml:space="preserve">for the purposes of the RNSS and PMTS </w:t>
      </w:r>
      <w:r>
        <w:t>J</w:t>
      </w:r>
      <w:r w:rsidRPr="00D5515D">
        <w:t xml:space="preserve">amming </w:t>
      </w:r>
      <w:r>
        <w:t>D</w:t>
      </w:r>
      <w:r w:rsidRPr="00D5515D">
        <w:t xml:space="preserve">evice </w:t>
      </w:r>
      <w:r>
        <w:t>P</w:t>
      </w:r>
      <w:r w:rsidRPr="00D5515D">
        <w:t>rohibitions</w:t>
      </w:r>
      <w:r>
        <w:t xml:space="preserve">, </w:t>
      </w:r>
      <w:r w:rsidRPr="00D5515D">
        <w:t>RNSS or PMTS jamming devices</w:t>
      </w:r>
      <w:r>
        <w:t>.</w:t>
      </w:r>
    </w:p>
    <w:p w14:paraId="1C989ADB" w14:textId="77777777" w:rsidR="00900E6D" w:rsidRDefault="00900E6D" w:rsidP="00900E6D">
      <w:pPr>
        <w:pStyle w:val="Heading2"/>
      </w:pPr>
      <w:bookmarkStart w:id="9" w:name="_Toc26272793"/>
      <w:bookmarkStart w:id="10" w:name="_Toc40264341"/>
      <w:r>
        <w:t>Exemptions determined by the ACMA</w:t>
      </w:r>
      <w:bookmarkEnd w:id="9"/>
      <w:bookmarkEnd w:id="10"/>
    </w:p>
    <w:p w14:paraId="25799622" w14:textId="77777777" w:rsidR="00900E6D" w:rsidRDefault="00900E6D" w:rsidP="00900E6D">
      <w:r>
        <w:t>Under subsection 27(2) of the Act, the ACMA may determine that acts or omissions by members of a class of persons to whom section 27 applies are exempt from any or all of Parts 3.1, 4.1 and 4.2 of the Act, or from specified provisions of those Parts.</w:t>
      </w:r>
    </w:p>
    <w:p w14:paraId="44815045" w14:textId="77777777" w:rsidR="00900E6D" w:rsidRDefault="00900E6D" w:rsidP="00A82E27">
      <w:pPr>
        <w:pStyle w:val="Paragraphbeforelist"/>
      </w:pPr>
      <w:r>
        <w:t>Section 27 provides that the ACMA may provide exemptions through written determinations for:</w:t>
      </w:r>
    </w:p>
    <w:p w14:paraId="2FF15091" w14:textId="77777777" w:rsidR="00900E6D" w:rsidRPr="00867AAA" w:rsidRDefault="00900E6D" w:rsidP="00A82E27">
      <w:pPr>
        <w:pStyle w:val="Bulletlevel1"/>
      </w:pPr>
      <w:r>
        <w:t>p</w:t>
      </w:r>
      <w:r w:rsidRPr="00867AAA">
        <w:t>ersons performing certain functions or duties in relation to defence, security or international relations</w:t>
      </w:r>
    </w:p>
    <w:p w14:paraId="57AC9AEC" w14:textId="77777777" w:rsidR="00900E6D" w:rsidRPr="00867AAA" w:rsidRDefault="00900E6D" w:rsidP="00A82E27">
      <w:pPr>
        <w:pStyle w:val="Bulletlevel1last"/>
      </w:pPr>
      <w:r>
        <w:t>p</w:t>
      </w:r>
      <w:r w:rsidRPr="00867AAA">
        <w:t xml:space="preserve">ersons performing certain functions or duties in relation to a limited number of specified bodies, concerned with defence, law enforcement and emergency services. </w:t>
      </w:r>
    </w:p>
    <w:p w14:paraId="13C03E2F" w14:textId="77777777" w:rsidR="00900E6D" w:rsidRDefault="00900E6D" w:rsidP="00A82E27">
      <w:pPr>
        <w:pStyle w:val="Paragraphbeforelist"/>
      </w:pPr>
      <w:r>
        <w:t>There are a range of scenarios in which use of jamming devices may be warranted. The ACMA previously has determined a number of exemptions, which exempt specified persons from parts, or specified provisions of parts, of the Act in relation to operation (and supply) of prohibited or unlicensed devices, and to causing interference in specified circumstances. Examples of such determinations include:</w:t>
      </w:r>
    </w:p>
    <w:p w14:paraId="511E3A82" w14:textId="77777777" w:rsidR="00900E6D" w:rsidRPr="009C4FDC" w:rsidRDefault="00443AB1" w:rsidP="00900E6D">
      <w:pPr>
        <w:pStyle w:val="ListParagraph"/>
        <w:numPr>
          <w:ilvl w:val="0"/>
          <w:numId w:val="18"/>
        </w:numPr>
        <w:spacing w:after="80" w:line="240" w:lineRule="atLeast"/>
        <w:ind w:left="284" w:hanging="284"/>
        <w:rPr>
          <w:rFonts w:ascii="Arial" w:hAnsi="Arial" w:cs="Arial"/>
          <w:sz w:val="20"/>
        </w:rPr>
      </w:pPr>
      <w:hyperlink r:id="rId33" w:history="1">
        <w:r w:rsidR="00900E6D" w:rsidRPr="00437AAA">
          <w:rPr>
            <w:rStyle w:val="Hyperlink"/>
            <w:rFonts w:ascii="Arial" w:hAnsi="Arial" w:cs="Arial"/>
            <w:iCs/>
            <w:sz w:val="20"/>
          </w:rPr>
          <w:t>Radiocommunications (Use by Corrective Services NSW of PMTS Jamming Devices at Lithgow Correctional Centre) Exemption Determination 2018</w:t>
        </w:r>
      </w:hyperlink>
    </w:p>
    <w:p w14:paraId="0FB7783A" w14:textId="77777777" w:rsidR="00900E6D" w:rsidRPr="009C4FDC" w:rsidRDefault="00443AB1" w:rsidP="00900E6D">
      <w:pPr>
        <w:pStyle w:val="ListBullet"/>
        <w:numPr>
          <w:ilvl w:val="0"/>
          <w:numId w:val="17"/>
        </w:numPr>
        <w:tabs>
          <w:tab w:val="num" w:pos="295"/>
        </w:tabs>
        <w:ind w:left="295" w:hanging="295"/>
        <w:rPr>
          <w:rFonts w:cs="Arial"/>
        </w:rPr>
      </w:pPr>
      <w:hyperlink r:id="rId34" w:history="1">
        <w:r w:rsidR="00900E6D" w:rsidRPr="009C4FDC">
          <w:rPr>
            <w:rStyle w:val="Hyperlink"/>
            <w:rFonts w:cs="Arial"/>
          </w:rPr>
          <w:t>Radiocommunications (Prohibited Device) (RNSS Jamming Devices) Exemption Determination 2014</w:t>
        </w:r>
      </w:hyperlink>
    </w:p>
    <w:p w14:paraId="0C8C0B3C" w14:textId="77777777" w:rsidR="00900E6D" w:rsidRPr="00052162" w:rsidRDefault="00443AB1" w:rsidP="00900E6D">
      <w:pPr>
        <w:pStyle w:val="ListParagraph"/>
        <w:numPr>
          <w:ilvl w:val="0"/>
          <w:numId w:val="18"/>
        </w:numPr>
        <w:spacing w:after="80" w:line="240" w:lineRule="atLeast"/>
        <w:ind w:left="284" w:hanging="284"/>
        <w:rPr>
          <w:rStyle w:val="Hyperlink"/>
          <w:rFonts w:ascii="Arial" w:hAnsi="Arial" w:cs="Arial"/>
          <w:i/>
          <w:iCs/>
          <w:sz w:val="20"/>
        </w:rPr>
      </w:pPr>
      <w:hyperlink r:id="rId35" w:history="1">
        <w:r w:rsidR="00900E6D" w:rsidRPr="009C4FDC">
          <w:rPr>
            <w:rStyle w:val="Hyperlink"/>
            <w:rFonts w:ascii="Arial" w:hAnsi="Arial" w:cs="Arial"/>
            <w:iCs/>
            <w:sz w:val="20"/>
          </w:rPr>
          <w:t>Radiocommunications (Prohibited Devices) (Use of Electronic Counter Measures for Bomb Disposal Activities) Exemption Determination 2010</w:t>
        </w:r>
      </w:hyperlink>
      <w:r w:rsidR="00900E6D">
        <w:rPr>
          <w:rFonts w:ascii="Arial" w:hAnsi="Arial" w:cs="Arial"/>
          <w:sz w:val="20"/>
        </w:rPr>
        <w:t>.</w:t>
      </w:r>
    </w:p>
    <w:p w14:paraId="7397BF2E" w14:textId="77777777" w:rsidR="00900E6D" w:rsidRDefault="00900E6D" w:rsidP="00900E6D">
      <w:pPr>
        <w:pStyle w:val="Heading2"/>
      </w:pPr>
      <w:bookmarkStart w:id="11" w:name="_Toc26272794"/>
      <w:bookmarkStart w:id="12" w:name="_Toc40264342"/>
      <w:r>
        <w:t>Existing exemption arrangements for the AFP</w:t>
      </w:r>
      <w:bookmarkEnd w:id="11"/>
      <w:bookmarkEnd w:id="12"/>
    </w:p>
    <w:p w14:paraId="1F8E455E" w14:textId="32BB7732" w:rsidR="00900E6D" w:rsidRDefault="00900E6D" w:rsidP="00900E6D">
      <w:pPr>
        <w:pStyle w:val="Paragraph"/>
      </w:pPr>
      <w:r>
        <w:t xml:space="preserve">In April 2019 the ACMA made the </w:t>
      </w:r>
      <w:hyperlink r:id="rId36" w:history="1">
        <w:r w:rsidRPr="00175B59">
          <w:rPr>
            <w:rStyle w:val="Hyperlink"/>
          </w:rPr>
          <w:t>Radiocommunications (Unmanned Aircraft and Unmanned Aircraft Systems) Exemption Determination 2019</w:t>
        </w:r>
      </w:hyperlink>
      <w:r>
        <w:t xml:space="preserve"> under subsection 27(2) of the Act to facilitate use by AFP of drone jamming devices and support the AFP’s development and maintenance of counter-drone capability. </w:t>
      </w:r>
    </w:p>
    <w:p w14:paraId="3007F227" w14:textId="19EBA27A" w:rsidR="00900E6D" w:rsidRDefault="00900E6D" w:rsidP="00900E6D">
      <w:pPr>
        <w:pStyle w:val="Paragraph"/>
      </w:pPr>
      <w:r>
        <w:t>The determination exempts possession and operation of jamming devices by specified AFP persons and related contractors to facilitate training, testing and maintenance activities in relation to the jamming devices. The determination authorises AFP use of drone jamming devices on the 2.4 GHz and 5.8 GHz frequency bands.</w:t>
      </w:r>
      <w:r w:rsidR="00A14459">
        <w:t xml:space="preserve"> The determination is due to</w:t>
      </w:r>
      <w:r w:rsidR="003B10EE">
        <w:t xml:space="preserve"> expire in April 2021, two years after it was made.</w:t>
      </w:r>
    </w:p>
    <w:p w14:paraId="3BE19530" w14:textId="77777777" w:rsidR="00900E6D" w:rsidRDefault="00900E6D" w:rsidP="00900E6D">
      <w:pPr>
        <w:pStyle w:val="Paragraph"/>
        <w:rPr>
          <w:lang w:val="en-GB"/>
        </w:rPr>
      </w:pPr>
    </w:p>
    <w:p w14:paraId="5825362A" w14:textId="77777777" w:rsidR="00900E6D" w:rsidRDefault="00900E6D" w:rsidP="00900E6D">
      <w:pPr>
        <w:pStyle w:val="Heading1"/>
      </w:pPr>
      <w:bookmarkStart w:id="13" w:name="_Toc26272795"/>
      <w:bookmarkStart w:id="14" w:name="_Toc40264343"/>
      <w:r>
        <w:lastRenderedPageBreak/>
        <w:t>Relevant considerations</w:t>
      </w:r>
      <w:bookmarkEnd w:id="13"/>
      <w:bookmarkEnd w:id="14"/>
    </w:p>
    <w:p w14:paraId="269BE065" w14:textId="77777777" w:rsidR="00900E6D" w:rsidRDefault="00900E6D" w:rsidP="00900E6D">
      <w:pPr>
        <w:pStyle w:val="Paragraph"/>
      </w:pPr>
      <w:r>
        <w:t xml:space="preserve">We have considered the proposed national counter-drone exemption arrangements in light of the technological, regulatory and policy landscape for drones that is still evolving in Australia and internationally, and against the ACMA’s </w:t>
      </w:r>
      <w:hyperlink r:id="rId37" w:history="1">
        <w:r w:rsidRPr="00DC4D6C">
          <w:rPr>
            <w:rStyle w:val="Hyperlink"/>
          </w:rPr>
          <w:t>Principles for Spectrum Management</w:t>
        </w:r>
      </w:hyperlink>
      <w:r>
        <w:t xml:space="preserve">. </w:t>
      </w:r>
    </w:p>
    <w:p w14:paraId="44FC5530" w14:textId="77777777" w:rsidR="00900E6D" w:rsidRDefault="00900E6D" w:rsidP="00900E6D">
      <w:pPr>
        <w:pStyle w:val="Heading2"/>
      </w:pPr>
      <w:bookmarkStart w:id="15" w:name="_Toc26272796"/>
      <w:bookmarkStart w:id="16" w:name="_Toc40264344"/>
      <w:r>
        <w:t>Policy considerations</w:t>
      </w:r>
      <w:bookmarkEnd w:id="15"/>
      <w:bookmarkEnd w:id="16"/>
    </w:p>
    <w:p w14:paraId="1F5CEBC1" w14:textId="77777777" w:rsidR="00900E6D" w:rsidRDefault="00900E6D" w:rsidP="00900E6D">
      <w:pPr>
        <w:pStyle w:val="Heading3"/>
      </w:pPr>
      <w:r>
        <w:t>Domestic policy context</w:t>
      </w:r>
    </w:p>
    <w:p w14:paraId="4ACD125F" w14:textId="7EC18A6A" w:rsidR="00900E6D" w:rsidRDefault="00900E6D" w:rsidP="00900E6D">
      <w:pPr>
        <w:pStyle w:val="Paragraph"/>
      </w:pPr>
      <w:r>
        <w:t xml:space="preserve">In July 2018, the Senate Standing Committee on Rural and Regional Affairs and Transport released the </w:t>
      </w:r>
      <w:hyperlink r:id="rId38" w:history="1">
        <w:r w:rsidRPr="00DD1ABF">
          <w:rPr>
            <w:rStyle w:val="Hyperlink"/>
          </w:rPr>
          <w:t>results of its inquiry</w:t>
        </w:r>
      </w:hyperlink>
      <w:r>
        <w:t xml:space="preserve"> into the current and future regulatory requirements for drones. The </w:t>
      </w:r>
      <w:r w:rsidR="00A65A5F">
        <w:t>c</w:t>
      </w:r>
      <w:r>
        <w:t xml:space="preserve">ommittee acknowledged that the growth of commercial, scientific and security applications of drone technology has facilitated the innovative use of drones across a range of industries, and that this growth presents opportunities for the Australian community. The </w:t>
      </w:r>
      <w:r w:rsidR="00A65A5F">
        <w:t>c</w:t>
      </w:r>
      <w:r>
        <w:t xml:space="preserve">ommittee also identified that the increasing application of drone technology, together with the growth in the number of drone systems purchased and used in Australia, raises fundamental questions about safety, privacy and security. </w:t>
      </w:r>
    </w:p>
    <w:p w14:paraId="38469663" w14:textId="17846076" w:rsidR="00900E6D" w:rsidRDefault="00900E6D" w:rsidP="00900E6D">
      <w:pPr>
        <w:pStyle w:val="Paragraph"/>
      </w:pPr>
      <w:r>
        <w:t xml:space="preserve">In its November 2018 </w:t>
      </w:r>
      <w:hyperlink r:id="rId39" w:history="1">
        <w:r w:rsidRPr="007C1919">
          <w:rPr>
            <w:rStyle w:val="Hyperlink"/>
          </w:rPr>
          <w:t>response</w:t>
        </w:r>
      </w:hyperlink>
      <w:r>
        <w:t xml:space="preserve"> to the inquiry</w:t>
      </w:r>
      <w:r w:rsidRPr="00DF7177">
        <w:t xml:space="preserve">, </w:t>
      </w:r>
      <w:r w:rsidRPr="00DF7177">
        <w:rPr>
          <w:rStyle w:val="Hyperlink"/>
          <w:iCs/>
          <w:color w:val="auto"/>
          <w:u w:val="none"/>
        </w:rPr>
        <w:t>t</w:t>
      </w:r>
      <w:r w:rsidRPr="00DF7177">
        <w:rPr>
          <w:iCs/>
        </w:rPr>
        <w:t>he</w:t>
      </w:r>
      <w:r w:rsidRPr="00DF7177">
        <w:t xml:space="preserve"> </w:t>
      </w:r>
      <w:r>
        <w:t xml:space="preserve">Australian </w:t>
      </w:r>
      <w:r w:rsidR="00A65A5F">
        <w:t>G</w:t>
      </w:r>
      <w:r>
        <w:t xml:space="preserve">overnment agreed in principle with the </w:t>
      </w:r>
      <w:r w:rsidR="00A65A5F">
        <w:t>c</w:t>
      </w:r>
      <w:r>
        <w:t>ommittee’s recommendation that CASA, in cooperation with the AFP and other relevant authorities, prohibit the use of drones in the airspace about significant public buildings, critical infrastructure and other vulnerable areas. The exemption determination made in April</w:t>
      </w:r>
      <w:r w:rsidR="006978AE">
        <w:t xml:space="preserve"> 2019</w:t>
      </w:r>
      <w:r>
        <w:t xml:space="preserve"> in favour of the AFP has a role in facilitating outcomes associated with that recommendation, by providing the AFP with access to certain drone jamming devices.</w:t>
      </w:r>
    </w:p>
    <w:p w14:paraId="07041F92" w14:textId="62C26463" w:rsidR="00900E6D" w:rsidRDefault="007C7C02" w:rsidP="00900E6D">
      <w:pPr>
        <w:pStyle w:val="Paragraph"/>
      </w:pPr>
      <w:r>
        <w:t>In recent</w:t>
      </w:r>
      <w:r w:rsidR="00900E6D">
        <w:t xml:space="preserve"> years, the ACMA has been working closely with law enforcement to facilitate the deployment of counter-drone capability in certain circumstances. </w:t>
      </w:r>
      <w:r w:rsidR="00A85E33">
        <w:t>In 2018,</w:t>
      </w:r>
      <w:r w:rsidR="00CC69BA">
        <w:t xml:space="preserve"> </w:t>
      </w:r>
      <w:r w:rsidR="00900E6D">
        <w:t xml:space="preserve">the ACMA made the </w:t>
      </w:r>
      <w:hyperlink r:id="rId40" w:history="1">
        <w:r w:rsidR="00900E6D" w:rsidRPr="00723C2F">
          <w:rPr>
            <w:rStyle w:val="Hyperlink"/>
          </w:rPr>
          <w:t>Radiocommunications (Commonwealth Games Anti-Drone Technology/RNSS Jamming Devices) Exemption Determination 2018</w:t>
        </w:r>
      </w:hyperlink>
      <w:r w:rsidR="00900E6D">
        <w:t xml:space="preserve"> and the </w:t>
      </w:r>
      <w:hyperlink r:id="rId41" w:history="1">
        <w:r w:rsidR="00900E6D" w:rsidRPr="00723C2F">
          <w:rPr>
            <w:rStyle w:val="Hyperlink"/>
          </w:rPr>
          <w:t>Radiocommunications (Invictus Games Anti-Drone Technology/RNSS Jamming Devices) Exemption Determination 2018</w:t>
        </w:r>
      </w:hyperlink>
      <w:r w:rsidR="00900E6D">
        <w:t xml:space="preserve">. These instruments facilitated the use of drone jamming devices by the Queensland Police Service and the Australian Federal Police at specific major events, with the determinations ceasing to have effect after the event concluded. </w:t>
      </w:r>
    </w:p>
    <w:p w14:paraId="443BE214" w14:textId="27C5345E" w:rsidR="00900E6D" w:rsidRDefault="00900E6D" w:rsidP="00900E6D">
      <w:pPr>
        <w:pStyle w:val="Paragraph"/>
      </w:pPr>
      <w:r>
        <w:t>The proposed national exemption arrangements form the radiocommunications aspect of a framework that enables Australian police to access and deploy counter</w:t>
      </w:r>
      <w:r w:rsidR="00A65A5F">
        <w:t>-</w:t>
      </w:r>
      <w:r>
        <w:t>drone technologies, including drone</w:t>
      </w:r>
      <w:r w:rsidR="00BF58B4">
        <w:t xml:space="preserve"> </w:t>
      </w:r>
      <w:r>
        <w:t>jamming devices, consistent with policies agreed to by COAG and supported by the t</w:t>
      </w:r>
      <w:r w:rsidRPr="60506B67">
        <w:rPr>
          <w:lang w:val="en-GB"/>
        </w:rPr>
        <w:t xml:space="preserve">he Department of Home Affairs. </w:t>
      </w:r>
    </w:p>
    <w:p w14:paraId="485D0264" w14:textId="77777777" w:rsidR="00900E6D" w:rsidRDefault="00900E6D" w:rsidP="000841C7">
      <w:pPr>
        <w:pStyle w:val="Heading3"/>
      </w:pPr>
      <w:r w:rsidRPr="60506B67">
        <w:t>International policy context</w:t>
      </w:r>
    </w:p>
    <w:p w14:paraId="33318A19" w14:textId="77777777" w:rsidR="00900E6D" w:rsidRDefault="00900E6D" w:rsidP="00900E6D">
      <w:pPr>
        <w:pStyle w:val="Paragraph"/>
      </w:pPr>
      <w:r>
        <w:t xml:space="preserve">Overseas, incidents such as the </w:t>
      </w:r>
      <w:hyperlink r:id="rId42" w:history="1">
        <w:r>
          <w:rPr>
            <w:rStyle w:val="Hyperlink"/>
          </w:rPr>
          <w:t>major disruptions at Gatwick Airport, UK</w:t>
        </w:r>
      </w:hyperlink>
      <w:r>
        <w:t xml:space="preserve"> in December 2018, and </w:t>
      </w:r>
      <w:hyperlink r:id="rId43" w:history="1">
        <w:r w:rsidRPr="008D34D7">
          <w:rPr>
            <w:rStyle w:val="Hyperlink"/>
          </w:rPr>
          <w:t>threats to shut down Heathrow Airport</w:t>
        </w:r>
      </w:hyperlink>
      <w:r>
        <w:t xml:space="preserve"> several months later highlight disruptions and risks that drones could pose to the safety of passengers and aviation operations. The September 2019 drone attacks at two Saudi Arabia oil processing facilities highlighted the extreme risks associated with malicious drone use. </w:t>
      </w:r>
    </w:p>
    <w:p w14:paraId="0E8BBDC6" w14:textId="77777777" w:rsidR="00900E6D" w:rsidRDefault="00900E6D" w:rsidP="00900E6D">
      <w:pPr>
        <w:pStyle w:val="Paragraph"/>
      </w:pPr>
      <w:r>
        <w:t xml:space="preserve">In early 2018, the </w:t>
      </w:r>
      <w:hyperlink r:id="rId44" w:history="1">
        <w:r w:rsidRPr="008D34D7">
          <w:rPr>
            <w:rStyle w:val="Hyperlink"/>
          </w:rPr>
          <w:t xml:space="preserve">UK </w:t>
        </w:r>
        <w:r>
          <w:rPr>
            <w:rStyle w:val="Hyperlink"/>
          </w:rPr>
          <w:t>G</w:t>
        </w:r>
        <w:r w:rsidRPr="008D34D7">
          <w:rPr>
            <w:rStyle w:val="Hyperlink"/>
          </w:rPr>
          <w:t>overnment</w:t>
        </w:r>
      </w:hyperlink>
      <w:r>
        <w:t xml:space="preserve"> announced it is undertaking detailed policy work to develop standards and safeguards for authorising use of counter-drone technology in the UK.</w:t>
      </w:r>
      <w:r w:rsidDel="005F353E">
        <w:t xml:space="preserve"> </w:t>
      </w:r>
    </w:p>
    <w:p w14:paraId="21FBFC7E" w14:textId="77777777" w:rsidR="00900E6D" w:rsidRDefault="00900E6D" w:rsidP="00900E6D">
      <w:pPr>
        <w:pStyle w:val="Paragraph"/>
      </w:pPr>
      <w:r>
        <w:lastRenderedPageBreak/>
        <w:t xml:space="preserve">The United States has enacted the </w:t>
      </w:r>
      <w:hyperlink r:id="rId45" w:history="1">
        <w:r w:rsidRPr="00172E6F">
          <w:rPr>
            <w:rStyle w:val="Hyperlink"/>
          </w:rPr>
          <w:t>Preventing Emerging Threats Act 2018</w:t>
        </w:r>
      </w:hyperlink>
      <w:r>
        <w:t>, which authorises the Department of Homeland Security and the Department of Justice to deploy counter-drone technologies, including the use of radiofrequency jamming, in circumstances where a drone threatens public safety or national security.</w:t>
      </w:r>
    </w:p>
    <w:p w14:paraId="5B124404" w14:textId="6F210B4F" w:rsidR="00900E6D" w:rsidRDefault="00900E6D" w:rsidP="00900E6D">
      <w:pPr>
        <w:pStyle w:val="Paragraph"/>
      </w:pPr>
      <w:r>
        <w:t>The Global Counterterrorism Forum, of which Australia is a member</w:t>
      </w:r>
      <w:r w:rsidR="00DF10F3">
        <w:t>,</w:t>
      </w:r>
      <w:r>
        <w:t xml:space="preserve"> has released the </w:t>
      </w:r>
      <w:hyperlink r:id="rId46" w:history="1">
        <w:r w:rsidRPr="00576F32">
          <w:rPr>
            <w:rStyle w:val="Hyperlink"/>
          </w:rPr>
          <w:t>Berlin Memorandum on Good Practices for Countering Terrorist Use of Unmanned Aerial Systems</w:t>
        </w:r>
      </w:hyperlink>
      <w:r>
        <w:t xml:space="preserve">. The Memorandum recommended that governments explore and implement regulations and policies that minimise the potential for the misuse of drones and ensure that law enforcement </w:t>
      </w:r>
      <w:r w:rsidR="00DF10F3">
        <w:t xml:space="preserve">is </w:t>
      </w:r>
      <w:r>
        <w:t>supported through regulation and policy to effectively counter malicious drone threats. It also promotes a risk-based approach to managing drone threats, in order to balance the risks and unintended consequences that use of counter-drone measures can pose to public safety, property or services.</w:t>
      </w:r>
    </w:p>
    <w:p w14:paraId="66C829EA" w14:textId="77777777" w:rsidR="00900E6D" w:rsidRDefault="00900E6D" w:rsidP="00900E6D">
      <w:pPr>
        <w:rPr>
          <w:rFonts w:cs="Arial"/>
        </w:rPr>
      </w:pPr>
    </w:p>
    <w:p w14:paraId="27FCD565" w14:textId="77777777" w:rsidR="00900E6D" w:rsidRPr="00C35CCE" w:rsidRDefault="00900E6D" w:rsidP="00900E6D">
      <w:pPr>
        <w:pStyle w:val="Heading1"/>
      </w:pPr>
      <w:bookmarkStart w:id="17" w:name="_Toc26272797"/>
      <w:bookmarkStart w:id="18" w:name="_Toc40264345"/>
      <w:r>
        <w:lastRenderedPageBreak/>
        <w:t>Proposed exemption arrangements</w:t>
      </w:r>
      <w:bookmarkEnd w:id="17"/>
      <w:bookmarkEnd w:id="18"/>
    </w:p>
    <w:p w14:paraId="29933FEF" w14:textId="77777777" w:rsidR="00900E6D" w:rsidRDefault="00900E6D" w:rsidP="00900E6D">
      <w:pPr>
        <w:pStyle w:val="Paragraph"/>
      </w:pPr>
      <w:r>
        <w:t xml:space="preserve">We have considered the context above, and ANZCTC’s strategic and operational requirements. </w:t>
      </w:r>
    </w:p>
    <w:p w14:paraId="11088F2A" w14:textId="4F60D492" w:rsidR="00900E6D" w:rsidRDefault="00900E6D" w:rsidP="00900E6D">
      <w:pPr>
        <w:pStyle w:val="Paragraph"/>
      </w:pPr>
      <w:r>
        <w:t>We recognise the public interest in facilitating counter-drone capability for law enforcement purposes</w:t>
      </w:r>
      <w:r w:rsidR="00B07D4C">
        <w:t>,</w:t>
      </w:r>
      <w:r>
        <w:t xml:space="preserve"> including the response to immediate threats, providing ongoing protection of critical infrastructure, and for the provision of security and public safety at major events. </w:t>
      </w:r>
    </w:p>
    <w:p w14:paraId="106901D9" w14:textId="50C7CEC3" w:rsidR="00900E6D" w:rsidRDefault="00900E6D" w:rsidP="00900E6D">
      <w:pPr>
        <w:pStyle w:val="Paragraph"/>
      </w:pPr>
      <w:r>
        <w:t xml:space="preserve">We are proposing to make the </w:t>
      </w:r>
      <w:r w:rsidRPr="00B824F4">
        <w:t>Radiocommunications (Police Forces – Disruption of Unmanned Aircraft) Exemption Determination 2020</w:t>
      </w:r>
      <w:r>
        <w:t>, which would have the characteristics set out below. We have also considered the risks that use of counter-drone technology poses to licensed radiocommunications users</w:t>
      </w:r>
      <w:r w:rsidR="00B07D4C">
        <w:t>.</w:t>
      </w:r>
    </w:p>
    <w:p w14:paraId="27788F2A" w14:textId="77777777" w:rsidR="00900E6D" w:rsidRDefault="00900E6D" w:rsidP="00900E6D">
      <w:pPr>
        <w:pStyle w:val="Heading2"/>
      </w:pPr>
      <w:bookmarkStart w:id="19" w:name="_Toc26272798"/>
      <w:bookmarkStart w:id="20" w:name="_Toc40264346"/>
      <w:r>
        <w:t>Persons to whom the proposed determination will apply</w:t>
      </w:r>
      <w:bookmarkEnd w:id="19"/>
      <w:bookmarkEnd w:id="20"/>
    </w:p>
    <w:p w14:paraId="571913FA" w14:textId="2C287812" w:rsidR="00900E6D" w:rsidRDefault="00900E6D" w:rsidP="00900E6D">
      <w:pPr>
        <w:pStyle w:val="Paragraph"/>
      </w:pPr>
      <w:r>
        <w:t xml:space="preserve">Under subsection 27(2) of the Act, the ACMA may determine exemptions in favour of members of a class of persons to whom section 27 applies. Section 27 applies to persons (among others) who perform a function or duty in relation to the AFP or the police force of a </w:t>
      </w:r>
      <w:r w:rsidR="00B07D4C">
        <w:t>s</w:t>
      </w:r>
      <w:r>
        <w:t xml:space="preserve">tate or </w:t>
      </w:r>
      <w:r w:rsidR="00B07D4C">
        <w:t>t</w:t>
      </w:r>
      <w:r>
        <w:t xml:space="preserve">erritory (paragraph 27(1)(b)). </w:t>
      </w:r>
    </w:p>
    <w:p w14:paraId="38F95A93" w14:textId="77777777" w:rsidR="00974F68" w:rsidRDefault="00900E6D" w:rsidP="00B25B49">
      <w:pPr>
        <w:pStyle w:val="Paragraphbeforelist"/>
      </w:pPr>
      <w:r>
        <w:t xml:space="preserve">The proposed exemption determination would apply only to ‘relevant persons’—those persons being a member of the AFP or a </w:t>
      </w:r>
      <w:r w:rsidR="00B07D4C">
        <w:t>s</w:t>
      </w:r>
      <w:r>
        <w:t xml:space="preserve">tate or </w:t>
      </w:r>
      <w:r w:rsidR="00B07D4C">
        <w:t>t</w:t>
      </w:r>
      <w:r>
        <w:t xml:space="preserve">erritory police force </w:t>
      </w:r>
      <w:r w:rsidR="004E3A6F">
        <w:t>and</w:t>
      </w:r>
      <w:r w:rsidR="00B07D4C">
        <w:t xml:space="preserve"> </w:t>
      </w:r>
      <w:r>
        <w:t xml:space="preserve">a </w:t>
      </w:r>
      <w:r w:rsidR="00CE277D">
        <w:t>relevant contractor</w:t>
      </w:r>
      <w:r w:rsidR="00974F68">
        <w:t xml:space="preserve">. </w:t>
      </w:r>
    </w:p>
    <w:p w14:paraId="78202FDD" w14:textId="07FE7F89" w:rsidR="00900E6D" w:rsidRDefault="00974F68" w:rsidP="00B25B49">
      <w:pPr>
        <w:pStyle w:val="Paragraphbeforelist"/>
      </w:pPr>
      <w:r>
        <w:t xml:space="preserve">A relevant contractor is defined in this case as </w:t>
      </w:r>
      <w:r w:rsidR="00A43826">
        <w:t xml:space="preserve">a </w:t>
      </w:r>
      <w:r w:rsidR="00900E6D">
        <w:t xml:space="preserve">person who has entered into a contract with the AFP or a </w:t>
      </w:r>
      <w:r w:rsidR="00B07D4C">
        <w:t>s</w:t>
      </w:r>
      <w:r w:rsidR="00900E6D">
        <w:t xml:space="preserve">tate or </w:t>
      </w:r>
      <w:r w:rsidR="00B07D4C">
        <w:t>t</w:t>
      </w:r>
      <w:r w:rsidR="00900E6D">
        <w:t xml:space="preserve">erritory police force to perform a function or duty in relation to the AFP or a </w:t>
      </w:r>
      <w:r w:rsidR="00B07D4C">
        <w:t>s</w:t>
      </w:r>
      <w:r w:rsidR="00900E6D">
        <w:t xml:space="preserve">tate or </w:t>
      </w:r>
      <w:r w:rsidR="00B07D4C">
        <w:t>t</w:t>
      </w:r>
      <w:r w:rsidR="00900E6D">
        <w:t>erritory police force that consists of one or more of the following:</w:t>
      </w:r>
    </w:p>
    <w:p w14:paraId="05D92D85" w14:textId="66DB2F25" w:rsidR="00900E6D" w:rsidRDefault="00B07D4C" w:rsidP="00900E6D">
      <w:pPr>
        <w:pStyle w:val="Bulletlevel1"/>
      </w:pPr>
      <w:r>
        <w:t>t</w:t>
      </w:r>
      <w:r w:rsidR="00900E6D">
        <w:t>esting of a drone jamming device</w:t>
      </w:r>
    </w:p>
    <w:p w14:paraId="77B40115" w14:textId="01AC9AC0" w:rsidR="00900E6D" w:rsidRDefault="00B07D4C" w:rsidP="00900E6D">
      <w:pPr>
        <w:pStyle w:val="Bulletlevel1last"/>
      </w:pPr>
      <w:r>
        <w:t>m</w:t>
      </w:r>
      <w:r w:rsidR="00900E6D">
        <w:t>aintenance of a drone jamming device.</w:t>
      </w:r>
    </w:p>
    <w:p w14:paraId="4F9A848E" w14:textId="60BCC6DC" w:rsidR="00900E6D" w:rsidRDefault="00900E6D" w:rsidP="00900E6D">
      <w:pPr>
        <w:pStyle w:val="Heading2"/>
      </w:pPr>
      <w:bookmarkStart w:id="21" w:name="_Toc26272799"/>
      <w:bookmarkStart w:id="22" w:name="_Toc40264347"/>
      <w:r>
        <w:t>Circumstances in which the proposed determination will</w:t>
      </w:r>
      <w:r w:rsidR="00B07D4C">
        <w:t> </w:t>
      </w:r>
      <w:r>
        <w:t>apply</w:t>
      </w:r>
      <w:bookmarkEnd w:id="21"/>
      <w:bookmarkEnd w:id="22"/>
    </w:p>
    <w:p w14:paraId="75DC1439" w14:textId="716E918E" w:rsidR="00900E6D" w:rsidRDefault="00900E6D" w:rsidP="00900E6D">
      <w:pPr>
        <w:pStyle w:val="Paragraph"/>
      </w:pPr>
      <w:r>
        <w:t xml:space="preserve">The proposed determination would apply to members of the AFP, members of a </w:t>
      </w:r>
      <w:r w:rsidR="00B07D4C">
        <w:t>s</w:t>
      </w:r>
      <w:r>
        <w:t xml:space="preserve">tate or </w:t>
      </w:r>
      <w:r w:rsidR="00B07D4C">
        <w:t>t</w:t>
      </w:r>
      <w:r>
        <w:t xml:space="preserve">erritory police force, </w:t>
      </w:r>
      <w:r w:rsidR="004E3A6F">
        <w:t>and</w:t>
      </w:r>
      <w:r w:rsidR="00B07D4C">
        <w:t xml:space="preserve"> </w:t>
      </w:r>
      <w:r>
        <w:t xml:space="preserve">a person who has entered into a contract with the AFP or a </w:t>
      </w:r>
      <w:r w:rsidR="00B07D4C">
        <w:t>s</w:t>
      </w:r>
      <w:r>
        <w:t xml:space="preserve">tate or </w:t>
      </w:r>
      <w:r w:rsidR="00B07D4C">
        <w:t>t</w:t>
      </w:r>
      <w:r>
        <w:t xml:space="preserve">erritory police force, in circumstances involving testing and maintenance of drone jamming devices. </w:t>
      </w:r>
    </w:p>
    <w:p w14:paraId="1700CA57" w14:textId="49C02D27" w:rsidR="00900E6D" w:rsidRPr="00DC592E" w:rsidRDefault="00900E6D" w:rsidP="00900E6D">
      <w:pPr>
        <w:pStyle w:val="Paragraph"/>
      </w:pPr>
      <w:r>
        <w:t xml:space="preserve">The proposed determination would also apply to members of the AFP or of a </w:t>
      </w:r>
      <w:r w:rsidR="00B07D4C">
        <w:t>s</w:t>
      </w:r>
      <w:r>
        <w:t xml:space="preserve">tate or </w:t>
      </w:r>
      <w:r w:rsidR="00B07D4C">
        <w:t>t</w:t>
      </w:r>
      <w:r>
        <w:t>erritory police force operating the device in order to disrupt or disable a drone.</w:t>
      </w:r>
    </w:p>
    <w:p w14:paraId="145F3A5C" w14:textId="77777777" w:rsidR="00900E6D" w:rsidRDefault="00900E6D" w:rsidP="00900E6D">
      <w:pPr>
        <w:pStyle w:val="Heading2"/>
      </w:pPr>
      <w:bookmarkStart w:id="23" w:name="_Toc26272800"/>
      <w:bookmarkStart w:id="24" w:name="_Toc40264348"/>
      <w:r>
        <w:t>Period for which the proposed determination will apply</w:t>
      </w:r>
      <w:bookmarkEnd w:id="23"/>
      <w:bookmarkEnd w:id="24"/>
    </w:p>
    <w:p w14:paraId="244E8B3A" w14:textId="689276F1" w:rsidR="00900E6D" w:rsidRDefault="00900E6D" w:rsidP="00900E6D">
      <w:pPr>
        <w:pStyle w:val="Paragraph"/>
      </w:pPr>
      <w:r>
        <w:t xml:space="preserve">The proposed instrument would expire </w:t>
      </w:r>
      <w:r w:rsidR="00A06A16">
        <w:t xml:space="preserve">two years after it is </w:t>
      </w:r>
      <w:r w:rsidR="00E9769D">
        <w:t>made</w:t>
      </w:r>
      <w:r w:rsidR="006A5C59">
        <w:t xml:space="preserve">, </w:t>
      </w:r>
      <w:r w:rsidR="00803D2C">
        <w:t>a</w:t>
      </w:r>
      <w:r w:rsidR="006A5C59">
        <w:t xml:space="preserve"> duration </w:t>
      </w:r>
      <w:r w:rsidR="00803D2C">
        <w:t xml:space="preserve">that </w:t>
      </w:r>
      <w:r w:rsidR="00437066">
        <w:t>reflects</w:t>
      </w:r>
      <w:r w:rsidR="006A5C59">
        <w:t xml:space="preserve"> the </w:t>
      </w:r>
      <w:r w:rsidR="00502C27">
        <w:t xml:space="preserve">implementation of </w:t>
      </w:r>
      <w:r w:rsidR="006A5C59">
        <w:t xml:space="preserve">short-term arrangements endorsed by </w:t>
      </w:r>
      <w:r w:rsidR="00502C27">
        <w:t xml:space="preserve">COAG. </w:t>
      </w:r>
      <w:r w:rsidR="00D433D2">
        <w:t xml:space="preserve">During this period, we will </w:t>
      </w:r>
      <w:r w:rsidR="00D01C7A">
        <w:t xml:space="preserve">continue to </w:t>
      </w:r>
      <w:r w:rsidR="00A953A0">
        <w:t xml:space="preserve">work with relevant agencies to </w:t>
      </w:r>
      <w:r w:rsidR="002F700F">
        <w:t>establish</w:t>
      </w:r>
      <w:r w:rsidR="00A953A0">
        <w:t xml:space="preserve"> </w:t>
      </w:r>
      <w:r w:rsidR="00F5335B">
        <w:t xml:space="preserve">long-term arrangements for </w:t>
      </w:r>
      <w:r w:rsidR="00D01C7A">
        <w:t>law enforcement counter-drone capability</w:t>
      </w:r>
      <w:r w:rsidR="00B113EE">
        <w:t xml:space="preserve">. This is </w:t>
      </w:r>
      <w:r w:rsidR="00167415">
        <w:t xml:space="preserve">part of a body of work led by the </w:t>
      </w:r>
      <w:r w:rsidR="008E63DE" w:rsidRPr="008E63DE">
        <w:t>Department of Infrastructure, Transport, Regional Development and Communications</w:t>
      </w:r>
      <w:r w:rsidR="00167415">
        <w:t xml:space="preserve"> to develop a whole</w:t>
      </w:r>
      <w:r w:rsidR="00B113EE">
        <w:t>-</w:t>
      </w:r>
      <w:r w:rsidR="00167415">
        <w:t>of</w:t>
      </w:r>
      <w:r w:rsidR="00B113EE">
        <w:t>-</w:t>
      </w:r>
      <w:r w:rsidR="00167415">
        <w:t>government policy to manage drones</w:t>
      </w:r>
      <w:r w:rsidR="00A953A0">
        <w:t xml:space="preserve">. </w:t>
      </w:r>
    </w:p>
    <w:p w14:paraId="74400590" w14:textId="77777777" w:rsidR="00900E6D" w:rsidRDefault="00900E6D" w:rsidP="001E4272">
      <w:pPr>
        <w:pStyle w:val="Heading2"/>
        <w:keepLines/>
      </w:pPr>
      <w:bookmarkStart w:id="25" w:name="_Toc26272801"/>
      <w:bookmarkStart w:id="26" w:name="_Toc40264349"/>
      <w:r>
        <w:lastRenderedPageBreak/>
        <w:t>Impact on other radiocommunications users</w:t>
      </w:r>
      <w:bookmarkEnd w:id="25"/>
      <w:bookmarkEnd w:id="26"/>
      <w:r>
        <w:t xml:space="preserve"> </w:t>
      </w:r>
    </w:p>
    <w:p w14:paraId="572248D1" w14:textId="0026F4F1" w:rsidR="00900E6D" w:rsidRDefault="00900E6D" w:rsidP="001E4272">
      <w:pPr>
        <w:pStyle w:val="Paragraph"/>
        <w:keepNext/>
        <w:keepLines/>
      </w:pPr>
      <w:r>
        <w:t>In considering making the proposed determination, we have weighed the benefits of law enforcement having access to counter-drone capability against the potential impact on other spectrum users, noting the low likelihood of drone jamming devices being activated</w:t>
      </w:r>
      <w:bookmarkStart w:id="27" w:name="_Hlk23321868"/>
      <w:r>
        <w:t xml:space="preserve">. </w:t>
      </w:r>
      <w:bookmarkEnd w:id="27"/>
    </w:p>
    <w:p w14:paraId="59505C28" w14:textId="77777777" w:rsidR="00900E6D" w:rsidRDefault="00900E6D" w:rsidP="001E4272">
      <w:pPr>
        <w:pStyle w:val="Paragraph"/>
        <w:keepNext/>
        <w:keepLines/>
      </w:pPr>
      <w:r w:rsidRPr="00DC592E">
        <w:t xml:space="preserve">We take the view that the public benefit associated with operating a jamming device to deal with a drone that poses a risk to public safety would outweigh the adverse effects and consequences associated with incidental interference </w:t>
      </w:r>
      <w:r>
        <w:t xml:space="preserve">of a short duration </w:t>
      </w:r>
      <w:r w:rsidRPr="00DC592E">
        <w:t>being caused to the devices and services operating in the relevant bands.</w:t>
      </w:r>
      <w:r>
        <w:t xml:space="preserve"> </w:t>
      </w:r>
    </w:p>
    <w:p w14:paraId="7AEC4963" w14:textId="3C08E46C" w:rsidR="00900E6D" w:rsidRDefault="00900E6D" w:rsidP="00900E6D">
      <w:pPr>
        <w:rPr>
          <w:rFonts w:cs="Arial"/>
        </w:rPr>
      </w:pPr>
      <w:r>
        <w:t xml:space="preserve">The majority of drones operate in the 2.4 GHz and 5.8 GHz bands, and the activation of drone jamming devices in these frequency bands may potentially adversely affect a wide range of services authorised under the </w:t>
      </w:r>
      <w:hyperlink r:id="rId47" w:history="1">
        <w:r w:rsidRPr="00F66A23">
          <w:rPr>
            <w:rStyle w:val="Hyperlink"/>
          </w:rPr>
          <w:t>Radiocommunications (Low Interference Potential Devices) Class Licence 2015</w:t>
        </w:r>
      </w:hyperlink>
      <w:r>
        <w:t xml:space="preserve"> (the Class Licence), including </w:t>
      </w:r>
      <w:r w:rsidR="00167359">
        <w:t>w</w:t>
      </w:r>
      <w:r>
        <w:t>i-</w:t>
      </w:r>
      <w:r w:rsidR="00167359">
        <w:t>f</w:t>
      </w:r>
      <w:r>
        <w:t>i.</w:t>
      </w:r>
      <w:r w:rsidDel="00124C8A">
        <w:t xml:space="preserve"> </w:t>
      </w:r>
      <w:r>
        <w:rPr>
          <w:rFonts w:cs="Arial"/>
        </w:rPr>
        <w:t xml:space="preserve">However, spectrum requirements for drones are becoming more varied, and the pace of technological change and innovation could see </w:t>
      </w:r>
      <w:r w:rsidR="00167359">
        <w:rPr>
          <w:rFonts w:cs="Arial"/>
        </w:rPr>
        <w:t>unexpected changes</w:t>
      </w:r>
      <w:r>
        <w:rPr>
          <w:rFonts w:cs="Arial"/>
        </w:rPr>
        <w:t xml:space="preserve">. Currently, drones could also conceivably operate across a number of frequency bands provided for under the Class Licence. Additionally, drones manufactured overseas may be configured to comply with overseas spectrum regulatory arrangements which are not always the same as those implemented in Australia. </w:t>
      </w:r>
    </w:p>
    <w:p w14:paraId="55C85985" w14:textId="5FF9D3CA" w:rsidR="00900E6D" w:rsidRDefault="00900E6D" w:rsidP="00900E6D">
      <w:pPr>
        <w:rPr>
          <w:rFonts w:cs="Arial"/>
        </w:rPr>
      </w:pPr>
      <w:r>
        <w:rPr>
          <w:rFonts w:cs="Arial"/>
        </w:rPr>
        <w:t xml:space="preserve">The proposed determination would authorise operation of drone jamming devices across a set of frequencies set out in the Class Licence, and frequencies available for use on a shared basis by </w:t>
      </w:r>
      <w:r w:rsidR="00212FCD">
        <w:rPr>
          <w:rFonts w:cs="Arial"/>
        </w:rPr>
        <w:t>i</w:t>
      </w:r>
      <w:r>
        <w:rPr>
          <w:rFonts w:cs="Arial"/>
        </w:rPr>
        <w:t>ndustrial</w:t>
      </w:r>
      <w:r w:rsidR="00212FCD">
        <w:rPr>
          <w:rFonts w:cs="Arial"/>
        </w:rPr>
        <w:t>,</w:t>
      </w:r>
      <w:r>
        <w:rPr>
          <w:rFonts w:cs="Arial"/>
        </w:rPr>
        <w:t xml:space="preserve"> </w:t>
      </w:r>
      <w:r w:rsidR="00212FCD">
        <w:rPr>
          <w:rFonts w:cs="Arial"/>
        </w:rPr>
        <w:t>s</w:t>
      </w:r>
      <w:r>
        <w:rPr>
          <w:rFonts w:cs="Arial"/>
        </w:rPr>
        <w:t xml:space="preserve">cientific and </w:t>
      </w:r>
      <w:r w:rsidR="00212FCD">
        <w:rPr>
          <w:rFonts w:cs="Arial"/>
        </w:rPr>
        <w:t>m</w:t>
      </w:r>
      <w:r>
        <w:rPr>
          <w:rFonts w:cs="Arial"/>
        </w:rPr>
        <w:t>edical (ISM) devices.</w:t>
      </w:r>
    </w:p>
    <w:p w14:paraId="021F1538" w14:textId="77777777" w:rsidR="00900E6D" w:rsidRPr="005B5A82" w:rsidRDefault="00900E6D" w:rsidP="00900E6D">
      <w:r w:rsidRPr="00C36FDC">
        <w:rPr>
          <w:rFonts w:cs="Arial"/>
        </w:rPr>
        <w:t xml:space="preserve">We have considered the consequences associated with </w:t>
      </w:r>
      <w:r>
        <w:rPr>
          <w:rFonts w:cs="Arial"/>
        </w:rPr>
        <w:t>class licensed</w:t>
      </w:r>
      <w:r w:rsidRPr="00C36FDC">
        <w:rPr>
          <w:rFonts w:cs="Arial"/>
        </w:rPr>
        <w:t xml:space="preserve"> services suffering incidental interference</w:t>
      </w:r>
      <w:r>
        <w:rPr>
          <w:rFonts w:cs="Arial"/>
        </w:rPr>
        <w:t xml:space="preserve"> from drone jamming devices</w:t>
      </w:r>
      <w:r w:rsidRPr="00C36FDC">
        <w:rPr>
          <w:rFonts w:cs="Arial"/>
        </w:rPr>
        <w:t xml:space="preserve">. </w:t>
      </w:r>
      <w:r>
        <w:rPr>
          <w:rFonts w:cs="Arial"/>
        </w:rPr>
        <w:t xml:space="preserve">Although a </w:t>
      </w:r>
      <w:r w:rsidRPr="00C36FDC">
        <w:rPr>
          <w:rFonts w:cs="Arial"/>
        </w:rPr>
        <w:t xml:space="preserve">device operated under the </w:t>
      </w:r>
      <w:r>
        <w:rPr>
          <w:rFonts w:cs="Arial"/>
        </w:rPr>
        <w:t>Class Licence</w:t>
      </w:r>
      <w:r w:rsidRPr="00C36FDC">
        <w:rPr>
          <w:rFonts w:cs="Arial"/>
        </w:rPr>
        <w:t xml:space="preserve"> is generally not expected to suffer interference</w:t>
      </w:r>
      <w:r>
        <w:rPr>
          <w:rFonts w:cs="Arial"/>
        </w:rPr>
        <w:t xml:space="preserve"> (and</w:t>
      </w:r>
      <w:r w:rsidRPr="00C36FDC">
        <w:rPr>
          <w:rFonts w:cs="Arial"/>
        </w:rPr>
        <w:t xml:space="preserve"> </w:t>
      </w:r>
      <w:r>
        <w:rPr>
          <w:rFonts w:cs="Arial"/>
        </w:rPr>
        <w:t>o</w:t>
      </w:r>
      <w:r w:rsidRPr="00C36FDC">
        <w:rPr>
          <w:rFonts w:cs="Arial"/>
        </w:rPr>
        <w:t>ffences under the Act relating to causing interference would be relevant to causing interference to class-licensed services</w:t>
      </w:r>
      <w:r>
        <w:rPr>
          <w:rFonts w:cs="Arial"/>
        </w:rPr>
        <w:t xml:space="preserve">), the ACMA has a ‘no protection’ policy regarding the Class Licence. </w:t>
      </w:r>
    </w:p>
    <w:p w14:paraId="7D7DA6E9" w14:textId="1CCDE1C6" w:rsidR="00900E6D" w:rsidRPr="005B5A82" w:rsidRDefault="00900E6D" w:rsidP="00900E6D">
      <w:r>
        <w:rPr>
          <w:rFonts w:cs="Arial"/>
        </w:rPr>
        <w:t>Under the ACMA’s no protection policy,</w:t>
      </w:r>
      <w:r>
        <w:t xml:space="preserve"> </w:t>
      </w:r>
      <w:r w:rsidRPr="008C5F64">
        <w:t>device</w:t>
      </w:r>
      <w:r>
        <w:t>s</w:t>
      </w:r>
      <w:r w:rsidRPr="008C5F64">
        <w:t xml:space="preserve"> </w:t>
      </w:r>
      <w:r>
        <w:t>operating under the Class Licence are</w:t>
      </w:r>
      <w:r w:rsidRPr="008C5F64">
        <w:t xml:space="preserve"> not afforded protection from interference that may be caused by </w:t>
      </w:r>
      <w:r>
        <w:t xml:space="preserve">ISM </w:t>
      </w:r>
      <w:r w:rsidRPr="008C5F64">
        <w:t>applications in the ISM ban</w:t>
      </w:r>
      <w:r>
        <w:t xml:space="preserve">ds. The ISM bands also overlap with the frequencies on which a drone jamming device would be authorised to operate under the proposed determination. </w:t>
      </w:r>
      <w:r>
        <w:rPr>
          <w:rFonts w:cs="Arial"/>
        </w:rPr>
        <w:t>W</w:t>
      </w:r>
      <w:r w:rsidRPr="00C36FDC">
        <w:rPr>
          <w:rFonts w:cs="Arial"/>
        </w:rPr>
        <w:t xml:space="preserve">e consider that because people deploying radiocommunications services under the </w:t>
      </w:r>
      <w:r>
        <w:rPr>
          <w:rFonts w:cs="Arial"/>
        </w:rPr>
        <w:t>Class Licence</w:t>
      </w:r>
      <w:r w:rsidRPr="00C36FDC">
        <w:rPr>
          <w:rFonts w:cs="Arial"/>
        </w:rPr>
        <w:t xml:space="preserve"> should do so with regard to the ‘no protection’ policy, there is a good understanding that the relevant frequency bands should not be exclusively relied upon for safety and security-critical services.</w:t>
      </w:r>
    </w:p>
    <w:p w14:paraId="587920DF" w14:textId="0DBC7577" w:rsidR="00900E6D" w:rsidRDefault="00900E6D" w:rsidP="00900E6D">
      <w:pPr>
        <w:pStyle w:val="Paragraph"/>
      </w:pPr>
      <w:r>
        <w:t>In proposing these arrangements, we have considered that counter-drone operations typically involve the deployment of a combination of technologies and methodologies, designed to discourage, detect and—where necessary—cease, behaviours that pose a risk to public safety and security. The activation of jamming devices is a proportional response to scenarios where the risks of not</w:t>
      </w:r>
      <w:r w:rsidR="003D5FCF">
        <w:t xml:space="preserve"> </w:t>
      </w:r>
      <w:r>
        <w:t xml:space="preserve">intervening are likely to be unacceptable from a public safety or security stance. </w:t>
      </w:r>
    </w:p>
    <w:p w14:paraId="39EEEEE4" w14:textId="77777777" w:rsidR="00900E6D" w:rsidRDefault="00900E6D" w:rsidP="00900E6D">
      <w:pPr>
        <w:rPr>
          <w:rFonts w:cs="Arial"/>
        </w:rPr>
      </w:pPr>
      <w:r>
        <w:t>Law enforcement has considerable strategic and operational experience in the management of risks associated with the deployment of counter-drone measures, and we note that the Queensland Police Service and the AFP have effectively deployed drone jamming devices at major events without incidents of interference to radiocommunications. This indicates that police methods for identifying and managing the risks posed by drones—including by drone pilots posing risks unintentionally—are effective.</w:t>
      </w:r>
      <w:r w:rsidRPr="00D95A2D">
        <w:rPr>
          <w:rFonts w:cs="Arial"/>
        </w:rPr>
        <w:t xml:space="preserve"> </w:t>
      </w:r>
      <w:r>
        <w:rPr>
          <w:rFonts w:cs="Arial"/>
        </w:rPr>
        <w:t xml:space="preserve">We have also considered that police have extensive experience in the </w:t>
      </w:r>
      <w:r>
        <w:rPr>
          <w:rFonts w:cs="Arial"/>
        </w:rPr>
        <w:lastRenderedPageBreak/>
        <w:t xml:space="preserve">management and deployment of jamming devices that support bomb disposal activities, under the </w:t>
      </w:r>
      <w:hyperlink r:id="rId48" w:history="1">
        <w:r w:rsidRPr="000163B8">
          <w:rPr>
            <w:rStyle w:val="Hyperlink"/>
          </w:rPr>
          <w:t>Radiocommunications (Prohibited Devices) (Use of Electronic Counter Measures for Bomb Disposal Activities) Exemption Determination 2010</w:t>
        </w:r>
      </w:hyperlink>
      <w:r>
        <w:t xml:space="preserve">. </w:t>
      </w:r>
    </w:p>
    <w:p w14:paraId="1E4F7F8A" w14:textId="11F2FC5F" w:rsidR="00900E6D" w:rsidRDefault="00900E6D" w:rsidP="00900E6D">
      <w:pPr>
        <w:pStyle w:val="Paragraph"/>
      </w:pPr>
      <w:r>
        <w:t>The deployment of national arrangements has drawn on, and will continue to enhance this expertise, which includes the development and implementation of nationally agreed policy and operational frameworks to manage any potential adverse effects posed by the use of jamming devices.</w:t>
      </w:r>
    </w:p>
    <w:p w14:paraId="6ADC9B62" w14:textId="77777777" w:rsidR="00900E6D" w:rsidRDefault="00900E6D" w:rsidP="00900E6D">
      <w:pPr>
        <w:pStyle w:val="Paragraph"/>
      </w:pPr>
      <w:r>
        <w:t xml:space="preserve">We also note that public awareness campaigns and event-specific airspace arrangements that restrict the operation of drones are typically in force at major events, reducing accidental, reckless or negligent drone use, deterring malicious actors, and limiting the need to use countermeasures, including jamming devices. </w:t>
      </w:r>
    </w:p>
    <w:p w14:paraId="2C41FF08" w14:textId="77777777" w:rsidR="006C1631" w:rsidRDefault="006C1631" w:rsidP="006C1631">
      <w:pPr>
        <w:pStyle w:val="Heading1"/>
      </w:pPr>
      <w:bookmarkStart w:id="28" w:name="_Toc40264350"/>
      <w:r>
        <w:lastRenderedPageBreak/>
        <w:t>Invitation to comment</w:t>
      </w:r>
      <w:bookmarkEnd w:id="28"/>
    </w:p>
    <w:p w14:paraId="7AE19644" w14:textId="77777777" w:rsidR="00900E6D" w:rsidRDefault="00900E6D" w:rsidP="00900E6D">
      <w:pPr>
        <w:pStyle w:val="Heading2"/>
      </w:pPr>
      <w:bookmarkStart w:id="29" w:name="_Toc433122131"/>
      <w:bookmarkStart w:id="30" w:name="_Toc348105637"/>
      <w:bookmarkStart w:id="31" w:name="_Toc300909556"/>
      <w:bookmarkStart w:id="32" w:name="_Toc298924673"/>
      <w:bookmarkStart w:id="33" w:name="_Toc26272803"/>
      <w:bookmarkStart w:id="34" w:name="_Toc40264351"/>
      <w:bookmarkStart w:id="35" w:name="_Toc348105638"/>
      <w:bookmarkStart w:id="36" w:name="_Toc300909557"/>
      <w:bookmarkStart w:id="37" w:name="_Toc298924674"/>
      <w:bookmarkStart w:id="38" w:name="_Toc274296357"/>
      <w:r>
        <w:t>Making a submission</w:t>
      </w:r>
      <w:bookmarkEnd w:id="29"/>
      <w:bookmarkEnd w:id="30"/>
      <w:bookmarkEnd w:id="31"/>
      <w:bookmarkEnd w:id="32"/>
      <w:bookmarkEnd w:id="33"/>
      <w:bookmarkEnd w:id="34"/>
    </w:p>
    <w:p w14:paraId="3B4EB008" w14:textId="77777777" w:rsidR="00900E6D" w:rsidRDefault="00900E6D" w:rsidP="00900E6D">
      <w:r>
        <w:t xml:space="preserve">The ACMA invites comments on the issues set out in this consultation paper. </w:t>
      </w:r>
    </w:p>
    <w:p w14:paraId="54C3EA2A" w14:textId="1201788B" w:rsidR="00900E6D" w:rsidRDefault="00443AB1" w:rsidP="00900E6D">
      <w:pPr>
        <w:pStyle w:val="Bulletlevel1"/>
      </w:pPr>
      <w:hyperlink r:id="rId49" w:history="1">
        <w:r w:rsidR="00900E6D">
          <w:rPr>
            <w:rStyle w:val="Hyperlink"/>
          </w:rPr>
          <w:t>Online submissions</w:t>
        </w:r>
      </w:hyperlink>
      <w:r w:rsidR="00900E6D">
        <w:t xml:space="preserve"> can be made via the comment function or by </w:t>
      </w:r>
      <w:r w:rsidR="00900E6D" w:rsidRPr="0070133D">
        <w:t>uploading</w:t>
      </w:r>
      <w:r w:rsidR="00900E6D">
        <w:t xml:space="preserve"> a document. Submissions in Microsoft Word or Rich Text Format are preferred.</w:t>
      </w:r>
    </w:p>
    <w:p w14:paraId="7AFB1D21" w14:textId="77777777" w:rsidR="00900E6D" w:rsidRPr="00B90073" w:rsidRDefault="00900E6D" w:rsidP="00900E6D">
      <w:pPr>
        <w:pStyle w:val="Bulletlevel1"/>
      </w:pPr>
      <w:r w:rsidRPr="00B90073">
        <w:t xml:space="preserve">Submissions by post can be sent to: </w:t>
      </w:r>
    </w:p>
    <w:p w14:paraId="0E996CF5" w14:textId="77777777" w:rsidR="00900E6D" w:rsidRPr="00B90073" w:rsidRDefault="00900E6D" w:rsidP="00900E6D">
      <w:pPr>
        <w:tabs>
          <w:tab w:val="num" w:pos="295"/>
        </w:tabs>
        <w:spacing w:after="0"/>
        <w:ind w:left="295"/>
        <w:rPr>
          <w:szCs w:val="20"/>
        </w:rPr>
      </w:pPr>
      <w:r w:rsidRPr="00B90073">
        <w:rPr>
          <w:szCs w:val="20"/>
        </w:rPr>
        <w:t>The Manager</w:t>
      </w:r>
    </w:p>
    <w:p w14:paraId="2EF5B11F" w14:textId="77777777" w:rsidR="00900E6D" w:rsidRPr="00B90073" w:rsidRDefault="00900E6D" w:rsidP="00900E6D">
      <w:pPr>
        <w:spacing w:after="0"/>
        <w:ind w:left="295"/>
        <w:rPr>
          <w:szCs w:val="20"/>
        </w:rPr>
      </w:pPr>
      <w:r w:rsidRPr="00B90073">
        <w:rPr>
          <w:szCs w:val="20"/>
        </w:rPr>
        <w:t>Spectrum Licensing Policy</w:t>
      </w:r>
    </w:p>
    <w:p w14:paraId="2298BBFE" w14:textId="77777777" w:rsidR="00900E6D" w:rsidRPr="00B90073" w:rsidRDefault="00900E6D" w:rsidP="00900E6D">
      <w:pPr>
        <w:spacing w:after="0"/>
        <w:ind w:left="295"/>
        <w:rPr>
          <w:szCs w:val="20"/>
        </w:rPr>
      </w:pPr>
      <w:r w:rsidRPr="00B90073">
        <w:rPr>
          <w:szCs w:val="20"/>
        </w:rPr>
        <w:t>Australian Communications and Media Authority</w:t>
      </w:r>
    </w:p>
    <w:p w14:paraId="44212561" w14:textId="77777777" w:rsidR="009C65B0" w:rsidRDefault="00900E6D" w:rsidP="00900E6D">
      <w:pPr>
        <w:spacing w:after="0"/>
        <w:ind w:left="295"/>
        <w:rPr>
          <w:szCs w:val="20"/>
        </w:rPr>
      </w:pPr>
      <w:r w:rsidRPr="00B90073">
        <w:rPr>
          <w:szCs w:val="20"/>
        </w:rPr>
        <w:t xml:space="preserve">PO Box </w:t>
      </w:r>
      <w:r w:rsidR="004E0FBF">
        <w:rPr>
          <w:szCs w:val="20"/>
        </w:rPr>
        <w:t>13112</w:t>
      </w:r>
      <w:r w:rsidR="009C65B0">
        <w:rPr>
          <w:szCs w:val="20"/>
        </w:rPr>
        <w:t xml:space="preserve"> Law Courts</w:t>
      </w:r>
    </w:p>
    <w:p w14:paraId="18EDB0A3" w14:textId="77777777" w:rsidR="009C65B0" w:rsidRDefault="009C65B0" w:rsidP="00900E6D">
      <w:pPr>
        <w:spacing w:after="0"/>
        <w:ind w:left="295"/>
        <w:rPr>
          <w:szCs w:val="20"/>
        </w:rPr>
      </w:pPr>
      <w:r>
        <w:rPr>
          <w:szCs w:val="20"/>
        </w:rPr>
        <w:t>Melbourne Vic 8010</w:t>
      </w:r>
    </w:p>
    <w:p w14:paraId="5870CEEC" w14:textId="36F3EE2F" w:rsidR="00900E6D" w:rsidRPr="00B90073" w:rsidRDefault="00900E6D" w:rsidP="00900E6D">
      <w:pPr>
        <w:spacing w:after="0"/>
        <w:ind w:left="295"/>
        <w:rPr>
          <w:szCs w:val="20"/>
        </w:rPr>
      </w:pPr>
    </w:p>
    <w:p w14:paraId="0EF42C84" w14:textId="71578FCF" w:rsidR="00900E6D" w:rsidRDefault="00900E6D" w:rsidP="00900E6D">
      <w:r>
        <w:t xml:space="preserve">The closing date for submissions is COB, </w:t>
      </w:r>
      <w:r w:rsidR="00983044">
        <w:t>Monday 13 July 2020</w:t>
      </w:r>
      <w:r w:rsidR="00A8185A">
        <w:t>.</w:t>
      </w:r>
    </w:p>
    <w:p w14:paraId="485C85AA" w14:textId="77777777" w:rsidR="00900E6D" w:rsidRDefault="00900E6D" w:rsidP="00900E6D">
      <w:pPr>
        <w:rPr>
          <w:szCs w:val="20"/>
        </w:rPr>
      </w:pPr>
      <w:r>
        <w:t xml:space="preserve">Consultation enquiries can be emailed </w:t>
      </w:r>
      <w:r>
        <w:rPr>
          <w:szCs w:val="20"/>
        </w:rPr>
        <w:t xml:space="preserve">to </w:t>
      </w:r>
      <w:hyperlink r:id="rId50" w:history="1">
        <w:r w:rsidRPr="008B6EAB">
          <w:rPr>
            <w:rStyle w:val="Hyperlink"/>
            <w:szCs w:val="20"/>
          </w:rPr>
          <w:t>SLPSConsultations@acma.gov.au</w:t>
        </w:r>
      </w:hyperlink>
    </w:p>
    <w:p w14:paraId="2080B010" w14:textId="77777777" w:rsidR="00900E6D" w:rsidRDefault="00900E6D" w:rsidP="00900E6D">
      <w:pPr>
        <w:pStyle w:val="Heading4"/>
      </w:pPr>
      <w:bookmarkStart w:id="39" w:name="_Toc348105639"/>
      <w:bookmarkStart w:id="40" w:name="_Toc300909558"/>
      <w:bookmarkEnd w:id="35"/>
      <w:bookmarkEnd w:id="36"/>
      <w:r>
        <w:t xml:space="preserve">Publication of </w:t>
      </w:r>
      <w:r w:rsidRPr="005B2F0D">
        <w:t>submissions</w:t>
      </w:r>
      <w:bookmarkEnd w:id="37"/>
      <w:bookmarkEnd w:id="38"/>
      <w:bookmarkEnd w:id="39"/>
      <w:bookmarkEnd w:id="40"/>
    </w:p>
    <w:p w14:paraId="03EF1F79" w14:textId="77777777" w:rsidR="00900E6D" w:rsidRDefault="00900E6D" w:rsidP="00900E6D">
      <w:bookmarkStart w:id="41" w:name="_Toc348105640"/>
      <w:bookmarkStart w:id="42" w:name="_Toc300909559"/>
      <w:bookmarkStart w:id="43" w:name="_Toc265246234"/>
      <w:r>
        <w:t>The ACMA publishes submissions on our website</w:t>
      </w:r>
      <w:r>
        <w:rPr>
          <w:rFonts w:cs="Arial"/>
        </w:rPr>
        <w:t>, including personal information (such as names and contact details)</w:t>
      </w:r>
      <w:r>
        <w:t xml:space="preserve">, except for information that you have claimed (and we have accepted) is confidential. </w:t>
      </w:r>
    </w:p>
    <w:p w14:paraId="07970747" w14:textId="77777777" w:rsidR="00900E6D" w:rsidRDefault="00900E6D" w:rsidP="00900E6D">
      <w:r>
        <w:t>Confidential information will not be published or otherwise released unless required or authorised by law.</w:t>
      </w:r>
    </w:p>
    <w:p w14:paraId="47FEE99D" w14:textId="77777777" w:rsidR="00900E6D" w:rsidRDefault="00900E6D" w:rsidP="00900E6D">
      <w:pPr>
        <w:pStyle w:val="Heading4"/>
      </w:pPr>
      <w:r>
        <w:t>Privacy</w:t>
      </w:r>
    </w:p>
    <w:p w14:paraId="1954F611" w14:textId="215965C9" w:rsidR="00900E6D" w:rsidRDefault="00523662" w:rsidP="00900E6D">
      <w:pPr>
        <w:pStyle w:val="Paragraph"/>
      </w:pPr>
      <w:r>
        <w:t xml:space="preserve">View information about our policy on the </w:t>
      </w:r>
      <w:hyperlink r:id="rId51" w:history="1">
        <w:r w:rsidRPr="00A6658D">
          <w:rPr>
            <w:rStyle w:val="Hyperlink"/>
          </w:rPr>
          <w:t>publication of submissions</w:t>
        </w:r>
      </w:hyperlink>
      <w:r>
        <w:t xml:space="preserve">, including </w:t>
      </w:r>
      <w:r w:rsidR="00900E6D">
        <w:t>collection of personal information during consultation and how we handle that information.</w:t>
      </w:r>
    </w:p>
    <w:bookmarkEnd w:id="41"/>
    <w:bookmarkEnd w:id="42"/>
    <w:bookmarkEnd w:id="43"/>
    <w:p w14:paraId="61273E57" w14:textId="44E811CE" w:rsidR="00FF3C69" w:rsidRDefault="00900E6D" w:rsidP="00F92D92">
      <w:r>
        <w:t xml:space="preserve">Information on the </w:t>
      </w:r>
      <w:r>
        <w:rPr>
          <w:i/>
        </w:rPr>
        <w:t>Privacy Act 1988</w:t>
      </w:r>
      <w:r w:rsidR="00F92D92">
        <w:t>,</w:t>
      </w:r>
      <w:r>
        <w:t xml:space="preserve"> how to access or correct personal information, how to make a privacy complaint and how we will deal with the complaint is available </w:t>
      </w:r>
      <w:r w:rsidR="00F92D92">
        <w:t xml:space="preserve">in our </w:t>
      </w:r>
      <w:hyperlink r:id="rId52" w:history="1">
        <w:r w:rsidR="00F92D92" w:rsidRPr="00D2755A">
          <w:rPr>
            <w:rStyle w:val="Hyperlink"/>
          </w:rPr>
          <w:t>privacy policy</w:t>
        </w:r>
      </w:hyperlink>
      <w:r w:rsidR="00F92D92">
        <w:t>.</w:t>
      </w:r>
    </w:p>
    <w:sectPr w:rsidR="00FF3C69" w:rsidSect="00C77380">
      <w:headerReference w:type="even" r:id="rId53"/>
      <w:headerReference w:type="default" r:id="rId54"/>
      <w:footerReference w:type="even" r:id="rId55"/>
      <w:footerReference w:type="default" r:id="rId56"/>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FFAE437" w14:textId="77777777" w:rsidR="002554D5" w:rsidRDefault="002554D5">
      <w:r>
        <w:separator/>
      </w:r>
    </w:p>
  </w:endnote>
  <w:endnote w:type="continuationSeparator" w:id="0">
    <w:p w14:paraId="69D7D7AF" w14:textId="77777777" w:rsidR="002554D5" w:rsidRDefault="002554D5">
      <w:r>
        <w:continuationSeparator/>
      </w:r>
    </w:p>
  </w:endnote>
  <w:endnote w:type="continuationNotice" w:id="1">
    <w:p w14:paraId="286C43F5" w14:textId="77777777" w:rsidR="002554D5" w:rsidRDefault="002554D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HelveticaNeueLT Std Lt">
    <w:altName w:val="Malgun Gothic"/>
    <w:panose1 w:val="020B0403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altName w:val="Arial"/>
    <w:panose1 w:val="020B0604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03E9D7" w14:textId="77777777" w:rsidR="005E250B" w:rsidRDefault="005E250B" w:rsidP="005E250B">
    <w:pPr>
      <w:pStyle w:val="Footer"/>
      <w:jc w:val="right"/>
    </w:pPr>
    <w:r w:rsidRPr="005E250B">
      <w:rPr>
        <w:noProof/>
        <w:vertAlign w:val="subscript"/>
      </w:rPr>
      <w:drawing>
        <wp:inline distT="0" distB="0" distL="0" distR="0" wp14:anchorId="699DD3A7" wp14:editId="66CDAB78">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cma.gov.au">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CE92FD"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5052D5"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63F9E4"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147662E4"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A49461"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2CDCF64D"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2EB8C1" w14:textId="77777777" w:rsidR="00C053A1" w:rsidRPr="00622A3B" w:rsidRDefault="00C053A1"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DD1A43">
      <w:rPr>
        <w:noProof/>
        <w:color w:val="505050"/>
      </w:rPr>
      <w:t>iii</w:t>
    </w:r>
    <w:r w:rsidRPr="002E4DDC">
      <w:rPr>
        <w:color w:val="505050"/>
      </w:rPr>
      <w:fldChar w:fldCharType="end"/>
    </w:r>
  </w:p>
  <w:p w14:paraId="3F72AAFD" w14:textId="77777777" w:rsidR="00C053A1" w:rsidRPr="00A5474E" w:rsidRDefault="00C053A1"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A55298"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DD1A43">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575E8AFA" w14:textId="77777777" w:rsidR="00C053A1" w:rsidRPr="00A5474E" w:rsidRDefault="00C053A1"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60C3F2"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D1A43">
      <w:rPr>
        <w:noProof/>
        <w:color w:val="505050"/>
      </w:rPr>
      <w:t>1</w:t>
    </w:r>
    <w:r w:rsidRPr="00575AC5">
      <w:rPr>
        <w:color w:val="505050"/>
      </w:rPr>
      <w:fldChar w:fldCharType="end"/>
    </w:r>
  </w:p>
  <w:p w14:paraId="2B49EB2A" w14:textId="77777777" w:rsidR="00C053A1" w:rsidRPr="00A5474E" w:rsidRDefault="00C053A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6C49E73" w14:textId="77777777" w:rsidR="002554D5" w:rsidRDefault="002554D5">
      <w:r>
        <w:separator/>
      </w:r>
    </w:p>
  </w:footnote>
  <w:footnote w:type="continuationSeparator" w:id="0">
    <w:p w14:paraId="2CDC0D05" w14:textId="77777777" w:rsidR="002554D5" w:rsidRDefault="002554D5">
      <w:r>
        <w:continuationSeparator/>
      </w:r>
    </w:p>
  </w:footnote>
  <w:footnote w:type="continuationNotice" w:id="1">
    <w:p w14:paraId="54E9ABAD" w14:textId="77777777" w:rsidR="002554D5" w:rsidRDefault="002554D5">
      <w:pPr>
        <w:spacing w:after="0" w:line="240" w:lineRule="auto"/>
      </w:pPr>
    </w:p>
  </w:footnote>
  <w:footnote w:id="2">
    <w:p w14:paraId="7B3819D2" w14:textId="77777777" w:rsidR="00900E6D" w:rsidRDefault="00900E6D" w:rsidP="00900E6D">
      <w:pPr>
        <w:pStyle w:val="FootnoteText"/>
      </w:pPr>
      <w:r>
        <w:rPr>
          <w:rStyle w:val="FootnoteReference"/>
        </w:rPr>
        <w:footnoteRef/>
      </w:r>
      <w:r>
        <w:t xml:space="preserve"> The </w:t>
      </w:r>
      <w:hyperlink r:id="rId1" w:history="1">
        <w:r w:rsidRPr="00E5505E">
          <w:rPr>
            <w:rStyle w:val="Hyperlink"/>
          </w:rPr>
          <w:t>ANZCTC</w:t>
        </w:r>
      </w:hyperlink>
      <w:r>
        <w:t xml:space="preserve"> is a high-level body comprising representatives from the Australian Government, Australian state and territory governments and the New Zealand Government. It contributes to the security of Australia and New Zealand by coordinating effective nation-wide counter-terrorism capability, providing expert strategic and policy advice to heads of government and relevant ministers, and maintaining arrangements for the sharing of relevant intelligence and information. </w:t>
      </w:r>
    </w:p>
  </w:footnote>
  <w:footnote w:id="3">
    <w:p w14:paraId="32437777" w14:textId="77777777" w:rsidR="00900E6D" w:rsidRDefault="00900E6D" w:rsidP="00900E6D">
      <w:pPr>
        <w:pStyle w:val="FootnoteText"/>
      </w:pPr>
      <w:r>
        <w:rPr>
          <w:rStyle w:val="FootnoteReference"/>
        </w:rPr>
        <w:footnoteRef/>
      </w:r>
      <w:r>
        <w:t xml:space="preserve"> Public mobile telecommunications service has the meaning given by section 32 of the </w:t>
      </w:r>
      <w:r>
        <w:rPr>
          <w:i/>
        </w:rPr>
        <w:t xml:space="preserve">Telecommunications </w:t>
      </w:r>
      <w:r>
        <w:rPr>
          <w:i/>
        </w:rPr>
        <w:br/>
        <w:t>Act 1997</w:t>
      </w:r>
      <w: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03580C" w14:textId="77777777" w:rsidR="00C053A1" w:rsidRPr="00A5474E" w:rsidRDefault="0021426C" w:rsidP="00A5474E">
    <w:pPr>
      <w:pStyle w:val="Header"/>
    </w:pPr>
    <w:r>
      <w:rPr>
        <w:noProof/>
      </w:rPr>
      <w:drawing>
        <wp:inline distT="0" distB="0" distL="0" distR="0" wp14:anchorId="16C0B16B" wp14:editId="79631808">
          <wp:extent cx="6210300" cy="571134"/>
          <wp:effectExtent l="0" t="0" r="0"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10300" cy="571134"/>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02C392"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E1A31A"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40F4A0"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37945B4D" w14:textId="77777777" w:rsidTr="003B0421">
      <w:trPr>
        <w:trHeight w:hRule="exact" w:val="988"/>
      </w:trPr>
      <w:tc>
        <w:tcPr>
          <w:tcW w:w="7678" w:type="dxa"/>
          <w:shd w:val="clear" w:color="auto" w:fill="auto"/>
        </w:tcPr>
        <w:p w14:paraId="05AF77D2" w14:textId="77777777" w:rsidR="00971914" w:rsidRDefault="00971914" w:rsidP="00971914">
          <w:pPr>
            <w:pStyle w:val="Header"/>
          </w:pPr>
        </w:p>
      </w:tc>
    </w:tr>
    <w:tr w:rsidR="00971914" w14:paraId="215EA77F" w14:textId="77777777" w:rsidTr="003B0421">
      <w:tc>
        <w:tcPr>
          <w:tcW w:w="7678" w:type="dxa"/>
          <w:shd w:val="clear" w:color="auto" w:fill="auto"/>
        </w:tcPr>
        <w:p w14:paraId="517F72A9" w14:textId="77777777" w:rsidR="00971914" w:rsidRDefault="00971914" w:rsidP="00971914">
          <w:pPr>
            <w:pStyle w:val="GridTable31"/>
          </w:pPr>
          <w:r>
            <w:t xml:space="preserve">Contents </w:t>
          </w:r>
          <w:r w:rsidRPr="00915B1C">
            <w:rPr>
              <w:b w:val="0"/>
              <w:spacing w:val="0"/>
              <w:sz w:val="28"/>
              <w:szCs w:val="28"/>
            </w:rPr>
            <w:t>(Continued)</w:t>
          </w:r>
        </w:p>
      </w:tc>
    </w:tr>
    <w:tr w:rsidR="00971914" w14:paraId="5A345941" w14:textId="77777777" w:rsidTr="003B0421">
      <w:trPr>
        <w:trHeight w:val="1220"/>
      </w:trPr>
      <w:tc>
        <w:tcPr>
          <w:tcW w:w="7678" w:type="dxa"/>
          <w:shd w:val="clear" w:color="auto" w:fill="auto"/>
        </w:tcPr>
        <w:p w14:paraId="474C6E68" w14:textId="77777777" w:rsidR="00971914" w:rsidRDefault="00971914" w:rsidP="00971914"/>
      </w:tc>
    </w:tr>
  </w:tbl>
  <w:p w14:paraId="25510BC6"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7FB36E9E" w14:textId="77777777" w:rsidTr="003B0421">
      <w:trPr>
        <w:trHeight w:hRule="exact" w:val="988"/>
      </w:trPr>
      <w:tc>
        <w:tcPr>
          <w:tcW w:w="7678" w:type="dxa"/>
          <w:shd w:val="clear" w:color="auto" w:fill="auto"/>
        </w:tcPr>
        <w:p w14:paraId="1E74BE40" w14:textId="77777777" w:rsidR="00971914" w:rsidRDefault="00971914" w:rsidP="00971914">
          <w:pPr>
            <w:pStyle w:val="Header"/>
          </w:pPr>
        </w:p>
      </w:tc>
    </w:tr>
    <w:tr w:rsidR="00971914" w14:paraId="38BD4B5D" w14:textId="77777777" w:rsidTr="003B0421">
      <w:tc>
        <w:tcPr>
          <w:tcW w:w="7678" w:type="dxa"/>
          <w:shd w:val="clear" w:color="auto" w:fill="auto"/>
        </w:tcPr>
        <w:p w14:paraId="21A7ADA5" w14:textId="77777777" w:rsidR="00971914" w:rsidRDefault="00971914" w:rsidP="00971914">
          <w:pPr>
            <w:pStyle w:val="GridTable31"/>
          </w:pPr>
          <w:r>
            <w:t xml:space="preserve">Contents </w:t>
          </w:r>
          <w:r w:rsidRPr="00915B1C">
            <w:rPr>
              <w:b w:val="0"/>
              <w:spacing w:val="0"/>
              <w:sz w:val="28"/>
              <w:szCs w:val="28"/>
            </w:rPr>
            <w:t>(Continued)</w:t>
          </w:r>
        </w:p>
      </w:tc>
    </w:tr>
    <w:tr w:rsidR="00971914" w14:paraId="2E6A22AC" w14:textId="77777777" w:rsidTr="003B0421">
      <w:trPr>
        <w:trHeight w:val="1220"/>
      </w:trPr>
      <w:tc>
        <w:tcPr>
          <w:tcW w:w="7678" w:type="dxa"/>
          <w:shd w:val="clear" w:color="auto" w:fill="auto"/>
        </w:tcPr>
        <w:p w14:paraId="51010002" w14:textId="77777777" w:rsidR="00971914" w:rsidRDefault="00971914" w:rsidP="00971914"/>
      </w:tc>
    </w:tr>
  </w:tbl>
  <w:p w14:paraId="38C0E113"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5A8E4C"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932150"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3C36778E"/>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26959F2"/>
    <w:multiLevelType w:val="hybridMultilevel"/>
    <w:tmpl w:val="CC4C2A76"/>
    <w:lvl w:ilvl="0" w:tplc="494A246A">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7"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8" w15:restartNumberingAfterBreak="0">
    <w:nsid w:val="2F5A5080"/>
    <w:multiLevelType w:val="hybridMultilevel"/>
    <w:tmpl w:val="BE2AF6CE"/>
    <w:lvl w:ilvl="0" w:tplc="D05E2434">
      <w:start w:val="1"/>
      <w:numFmt w:val="bullet"/>
      <w:pStyle w:val="ACMABulletLevel1"/>
      <w:lvlText w:val="●"/>
      <w:lvlJc w:val="left"/>
      <w:pPr>
        <w:ind w:left="357" w:hanging="357"/>
      </w:pPr>
      <w:rPr>
        <w:rFonts w:ascii="Arial" w:hAnsi="Arial" w:cs="Arial" w:hint="default"/>
        <w:sz w:val="20"/>
        <w:szCs w:val="20"/>
      </w:rPr>
    </w:lvl>
    <w:lvl w:ilvl="1" w:tplc="04090003">
      <w:start w:val="1"/>
      <w:numFmt w:val="bullet"/>
      <w:lvlText w:val="o"/>
      <w:lvlJc w:val="left"/>
      <w:pPr>
        <w:tabs>
          <w:tab w:val="num" w:pos="1728"/>
        </w:tabs>
        <w:ind w:left="1728" w:hanging="360"/>
      </w:pPr>
      <w:rPr>
        <w:rFonts w:ascii="Courier New" w:hAnsi="Courier New" w:cs="Times New Roman" w:hint="default"/>
      </w:rPr>
    </w:lvl>
    <w:lvl w:ilvl="2" w:tplc="04090005">
      <w:start w:val="1"/>
      <w:numFmt w:val="bullet"/>
      <w:lvlText w:val=""/>
      <w:lvlJc w:val="left"/>
      <w:pPr>
        <w:tabs>
          <w:tab w:val="num" w:pos="2448"/>
        </w:tabs>
        <w:ind w:left="2448" w:hanging="360"/>
      </w:pPr>
      <w:rPr>
        <w:rFonts w:ascii="Wingdings" w:hAnsi="Wingdings" w:hint="default"/>
      </w:rPr>
    </w:lvl>
    <w:lvl w:ilvl="3" w:tplc="04090001">
      <w:start w:val="1"/>
      <w:numFmt w:val="bullet"/>
      <w:lvlText w:val=""/>
      <w:lvlJc w:val="left"/>
      <w:pPr>
        <w:tabs>
          <w:tab w:val="num" w:pos="3168"/>
        </w:tabs>
        <w:ind w:left="3168" w:hanging="360"/>
      </w:pPr>
      <w:rPr>
        <w:rFonts w:ascii="Symbol" w:hAnsi="Symbol" w:hint="default"/>
      </w:rPr>
    </w:lvl>
    <w:lvl w:ilvl="4" w:tplc="04090003">
      <w:start w:val="1"/>
      <w:numFmt w:val="bullet"/>
      <w:lvlText w:val="o"/>
      <w:lvlJc w:val="left"/>
      <w:pPr>
        <w:tabs>
          <w:tab w:val="num" w:pos="3888"/>
        </w:tabs>
        <w:ind w:left="3888" w:hanging="360"/>
      </w:pPr>
      <w:rPr>
        <w:rFonts w:ascii="Courier New" w:hAnsi="Courier New" w:cs="Times New Roman" w:hint="default"/>
      </w:rPr>
    </w:lvl>
    <w:lvl w:ilvl="5" w:tplc="04090005">
      <w:start w:val="1"/>
      <w:numFmt w:val="bullet"/>
      <w:lvlText w:val=""/>
      <w:lvlJc w:val="left"/>
      <w:pPr>
        <w:tabs>
          <w:tab w:val="num" w:pos="4608"/>
        </w:tabs>
        <w:ind w:left="4608" w:hanging="360"/>
      </w:pPr>
      <w:rPr>
        <w:rFonts w:ascii="Wingdings" w:hAnsi="Wingdings" w:hint="default"/>
      </w:rPr>
    </w:lvl>
    <w:lvl w:ilvl="6" w:tplc="04090001">
      <w:start w:val="1"/>
      <w:numFmt w:val="bullet"/>
      <w:lvlText w:val=""/>
      <w:lvlJc w:val="left"/>
      <w:pPr>
        <w:tabs>
          <w:tab w:val="num" w:pos="5328"/>
        </w:tabs>
        <w:ind w:left="5328" w:hanging="360"/>
      </w:pPr>
      <w:rPr>
        <w:rFonts w:ascii="Symbol" w:hAnsi="Symbol" w:hint="default"/>
      </w:rPr>
    </w:lvl>
    <w:lvl w:ilvl="7" w:tplc="04090003">
      <w:start w:val="1"/>
      <w:numFmt w:val="bullet"/>
      <w:lvlText w:val="o"/>
      <w:lvlJc w:val="left"/>
      <w:pPr>
        <w:tabs>
          <w:tab w:val="num" w:pos="6048"/>
        </w:tabs>
        <w:ind w:left="6048" w:hanging="360"/>
      </w:pPr>
      <w:rPr>
        <w:rFonts w:ascii="Courier New" w:hAnsi="Courier New" w:cs="Times New Roman" w:hint="default"/>
      </w:rPr>
    </w:lvl>
    <w:lvl w:ilvl="8" w:tplc="04090005">
      <w:start w:val="1"/>
      <w:numFmt w:val="bullet"/>
      <w:lvlText w:val=""/>
      <w:lvlJc w:val="left"/>
      <w:pPr>
        <w:tabs>
          <w:tab w:val="num" w:pos="6768"/>
        </w:tabs>
        <w:ind w:left="6768" w:hanging="360"/>
      </w:pPr>
      <w:rPr>
        <w:rFonts w:ascii="Wingdings" w:hAnsi="Wingdings" w:hint="default"/>
      </w:rPr>
    </w:lvl>
  </w:abstractNum>
  <w:abstractNum w:abstractNumId="9" w15:restartNumberingAfterBreak="0">
    <w:nsid w:val="41DD02AA"/>
    <w:multiLevelType w:val="hybridMultilevel"/>
    <w:tmpl w:val="D5582810"/>
    <w:lvl w:ilvl="0" w:tplc="494A246A">
      <w:start w:val="1"/>
      <w:numFmt w:val="bullet"/>
      <w:lvlText w:val=""/>
      <w:lvlJc w:val="left"/>
      <w:pPr>
        <w:ind w:left="720" w:hanging="360"/>
      </w:pPr>
      <w:rPr>
        <w:rFonts w:ascii="Symbol" w:hAnsi="Symbol" w:hint="default"/>
        <w:color w:val="auto"/>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0"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
  </w:num>
  <w:num w:numId="3">
    <w:abstractNumId w:val="2"/>
  </w:num>
  <w:num w:numId="4">
    <w:abstractNumId w:val="0"/>
  </w:num>
  <w:num w:numId="5">
    <w:abstractNumId w:val="7"/>
  </w:num>
  <w:num w:numId="6">
    <w:abstractNumId w:val="12"/>
  </w:num>
  <w:num w:numId="7">
    <w:abstractNumId w:val="10"/>
  </w:num>
  <w:num w:numId="8">
    <w:abstractNumId w:val="11"/>
  </w:num>
  <w:num w:numId="9">
    <w:abstractNumId w:val="13"/>
  </w:num>
  <w:num w:numId="10">
    <w:abstractNumId w:val="5"/>
  </w:num>
  <w:num w:numId="11">
    <w:abstractNumId w:val="4"/>
  </w:num>
  <w:num w:numId="12">
    <w:abstractNumId w:val="3"/>
  </w:num>
  <w:num w:numId="13">
    <w:abstractNumId w:val="2"/>
    <w:lvlOverride w:ilvl="0">
      <w:startOverride w:val="1"/>
    </w:lvlOverride>
  </w:num>
  <w:num w:numId="14">
    <w:abstractNumId w:val="2"/>
    <w:lvlOverride w:ilvl="0">
      <w:startOverride w:val="1"/>
    </w:lvlOverride>
  </w:num>
  <w:num w:numId="15">
    <w:abstractNumId w:val="2"/>
    <w:lvlOverride w:ilvl="0">
      <w:startOverride w:val="1"/>
    </w:lvlOverride>
  </w:num>
  <w:num w:numId="16">
    <w:abstractNumId w:val="8"/>
  </w:num>
  <w:num w:numId="17">
    <w:abstractNumId w:val="6"/>
  </w:num>
  <w:num w:numId="18">
    <w:abstractNumId w:val="9"/>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14337">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0E6D"/>
    <w:rsid w:val="000001D1"/>
    <w:rsid w:val="00010667"/>
    <w:rsid w:val="000129D5"/>
    <w:rsid w:val="00015AE7"/>
    <w:rsid w:val="00016E21"/>
    <w:rsid w:val="0001719C"/>
    <w:rsid w:val="00021A4A"/>
    <w:rsid w:val="0002224E"/>
    <w:rsid w:val="000245E5"/>
    <w:rsid w:val="000257B8"/>
    <w:rsid w:val="00026F91"/>
    <w:rsid w:val="000306AE"/>
    <w:rsid w:val="00032621"/>
    <w:rsid w:val="000375BD"/>
    <w:rsid w:val="000446F7"/>
    <w:rsid w:val="0004764C"/>
    <w:rsid w:val="0005011A"/>
    <w:rsid w:val="0005045A"/>
    <w:rsid w:val="00051C1E"/>
    <w:rsid w:val="000539F9"/>
    <w:rsid w:val="00054C27"/>
    <w:rsid w:val="00055EC3"/>
    <w:rsid w:val="000563CE"/>
    <w:rsid w:val="000632FF"/>
    <w:rsid w:val="000642AF"/>
    <w:rsid w:val="000659B6"/>
    <w:rsid w:val="0006686F"/>
    <w:rsid w:val="0006722A"/>
    <w:rsid w:val="000732CF"/>
    <w:rsid w:val="00075B96"/>
    <w:rsid w:val="0008196A"/>
    <w:rsid w:val="000841C7"/>
    <w:rsid w:val="000915ED"/>
    <w:rsid w:val="0009209D"/>
    <w:rsid w:val="0009463C"/>
    <w:rsid w:val="000969BD"/>
    <w:rsid w:val="000969BF"/>
    <w:rsid w:val="00096D41"/>
    <w:rsid w:val="000A0C22"/>
    <w:rsid w:val="000A1400"/>
    <w:rsid w:val="000A3C43"/>
    <w:rsid w:val="000A4A51"/>
    <w:rsid w:val="000A5D2B"/>
    <w:rsid w:val="000B4664"/>
    <w:rsid w:val="000B5DE3"/>
    <w:rsid w:val="000C0A57"/>
    <w:rsid w:val="000C230C"/>
    <w:rsid w:val="000C6AB4"/>
    <w:rsid w:val="000D71D9"/>
    <w:rsid w:val="000D76E0"/>
    <w:rsid w:val="000D7E8B"/>
    <w:rsid w:val="000E2167"/>
    <w:rsid w:val="000E4449"/>
    <w:rsid w:val="000E6097"/>
    <w:rsid w:val="00102C20"/>
    <w:rsid w:val="00103829"/>
    <w:rsid w:val="00107585"/>
    <w:rsid w:val="00111FCE"/>
    <w:rsid w:val="001229A5"/>
    <w:rsid w:val="0012489B"/>
    <w:rsid w:val="00130017"/>
    <w:rsid w:val="00130F68"/>
    <w:rsid w:val="00130F91"/>
    <w:rsid w:val="001349ED"/>
    <w:rsid w:val="0013714B"/>
    <w:rsid w:val="00137424"/>
    <w:rsid w:val="00140318"/>
    <w:rsid w:val="00141AD9"/>
    <w:rsid w:val="00146CE6"/>
    <w:rsid w:val="00152903"/>
    <w:rsid w:val="00153FD5"/>
    <w:rsid w:val="0015614F"/>
    <w:rsid w:val="001577C2"/>
    <w:rsid w:val="001633C4"/>
    <w:rsid w:val="00167359"/>
    <w:rsid w:val="00167415"/>
    <w:rsid w:val="0016795C"/>
    <w:rsid w:val="001704D5"/>
    <w:rsid w:val="00171591"/>
    <w:rsid w:val="00173981"/>
    <w:rsid w:val="0017719D"/>
    <w:rsid w:val="00183FD7"/>
    <w:rsid w:val="00185CAB"/>
    <w:rsid w:val="001875B7"/>
    <w:rsid w:val="00187CB3"/>
    <w:rsid w:val="0019050A"/>
    <w:rsid w:val="00190882"/>
    <w:rsid w:val="001910D4"/>
    <w:rsid w:val="00195F42"/>
    <w:rsid w:val="001976E3"/>
    <w:rsid w:val="001A44EC"/>
    <w:rsid w:val="001B58AA"/>
    <w:rsid w:val="001B7E48"/>
    <w:rsid w:val="001C17CE"/>
    <w:rsid w:val="001C36CA"/>
    <w:rsid w:val="001C44D1"/>
    <w:rsid w:val="001C4B78"/>
    <w:rsid w:val="001C6AEE"/>
    <w:rsid w:val="001C7630"/>
    <w:rsid w:val="001D6D15"/>
    <w:rsid w:val="001E4272"/>
    <w:rsid w:val="001E7316"/>
    <w:rsid w:val="001F50F7"/>
    <w:rsid w:val="001F62A1"/>
    <w:rsid w:val="001F7558"/>
    <w:rsid w:val="00201EE2"/>
    <w:rsid w:val="00205B57"/>
    <w:rsid w:val="00212454"/>
    <w:rsid w:val="00212FCD"/>
    <w:rsid w:val="0021426C"/>
    <w:rsid w:val="002157E0"/>
    <w:rsid w:val="00215B2F"/>
    <w:rsid w:val="00216A57"/>
    <w:rsid w:val="00217448"/>
    <w:rsid w:val="0022334F"/>
    <w:rsid w:val="00226819"/>
    <w:rsid w:val="00233101"/>
    <w:rsid w:val="00233817"/>
    <w:rsid w:val="0023440C"/>
    <w:rsid w:val="002367FF"/>
    <w:rsid w:val="00240CE9"/>
    <w:rsid w:val="002434BA"/>
    <w:rsid w:val="00246089"/>
    <w:rsid w:val="00246093"/>
    <w:rsid w:val="00246702"/>
    <w:rsid w:val="00246D7B"/>
    <w:rsid w:val="00247C59"/>
    <w:rsid w:val="00247F2E"/>
    <w:rsid w:val="00250ADC"/>
    <w:rsid w:val="00250B07"/>
    <w:rsid w:val="00253D7E"/>
    <w:rsid w:val="002554D5"/>
    <w:rsid w:val="00255813"/>
    <w:rsid w:val="00257553"/>
    <w:rsid w:val="00260FB2"/>
    <w:rsid w:val="00262128"/>
    <w:rsid w:val="00263672"/>
    <w:rsid w:val="00264024"/>
    <w:rsid w:val="0027165D"/>
    <w:rsid w:val="00273CEB"/>
    <w:rsid w:val="00280E3D"/>
    <w:rsid w:val="00281C89"/>
    <w:rsid w:val="0028282F"/>
    <w:rsid w:val="00285029"/>
    <w:rsid w:val="00294234"/>
    <w:rsid w:val="0029593B"/>
    <w:rsid w:val="00297FC5"/>
    <w:rsid w:val="002A0417"/>
    <w:rsid w:val="002A16D8"/>
    <w:rsid w:val="002A1BC8"/>
    <w:rsid w:val="002A3EF2"/>
    <w:rsid w:val="002B0DED"/>
    <w:rsid w:val="002B19A2"/>
    <w:rsid w:val="002B381A"/>
    <w:rsid w:val="002B4D3F"/>
    <w:rsid w:val="002B4FCC"/>
    <w:rsid w:val="002B7408"/>
    <w:rsid w:val="002B7CFD"/>
    <w:rsid w:val="002C0530"/>
    <w:rsid w:val="002C1DCA"/>
    <w:rsid w:val="002C210F"/>
    <w:rsid w:val="002D3600"/>
    <w:rsid w:val="002E3CE2"/>
    <w:rsid w:val="002E4DDC"/>
    <w:rsid w:val="002E5B7A"/>
    <w:rsid w:val="002F700F"/>
    <w:rsid w:val="002F70CA"/>
    <w:rsid w:val="003009AF"/>
    <w:rsid w:val="00302480"/>
    <w:rsid w:val="00302758"/>
    <w:rsid w:val="00303501"/>
    <w:rsid w:val="00305784"/>
    <w:rsid w:val="0030725D"/>
    <w:rsid w:val="003165E6"/>
    <w:rsid w:val="003215B5"/>
    <w:rsid w:val="003221CF"/>
    <w:rsid w:val="003233ED"/>
    <w:rsid w:val="00324D9F"/>
    <w:rsid w:val="00327948"/>
    <w:rsid w:val="0033000F"/>
    <w:rsid w:val="00332011"/>
    <w:rsid w:val="00332518"/>
    <w:rsid w:val="00332925"/>
    <w:rsid w:val="00332E3F"/>
    <w:rsid w:val="003332ED"/>
    <w:rsid w:val="003368DC"/>
    <w:rsid w:val="00345927"/>
    <w:rsid w:val="00350584"/>
    <w:rsid w:val="003508D1"/>
    <w:rsid w:val="00351857"/>
    <w:rsid w:val="003545E8"/>
    <w:rsid w:val="003610E1"/>
    <w:rsid w:val="003671BE"/>
    <w:rsid w:val="00372485"/>
    <w:rsid w:val="00373200"/>
    <w:rsid w:val="00375EF5"/>
    <w:rsid w:val="003767A5"/>
    <w:rsid w:val="00381D15"/>
    <w:rsid w:val="00385254"/>
    <w:rsid w:val="003933E8"/>
    <w:rsid w:val="00394031"/>
    <w:rsid w:val="0039680E"/>
    <w:rsid w:val="00396DC2"/>
    <w:rsid w:val="003A04DB"/>
    <w:rsid w:val="003A2251"/>
    <w:rsid w:val="003A50AE"/>
    <w:rsid w:val="003A5F5B"/>
    <w:rsid w:val="003A789A"/>
    <w:rsid w:val="003B10EE"/>
    <w:rsid w:val="003B12EC"/>
    <w:rsid w:val="003B34CA"/>
    <w:rsid w:val="003B3BB7"/>
    <w:rsid w:val="003B4D80"/>
    <w:rsid w:val="003C03B8"/>
    <w:rsid w:val="003C77E0"/>
    <w:rsid w:val="003D17D7"/>
    <w:rsid w:val="003D2678"/>
    <w:rsid w:val="003D3A94"/>
    <w:rsid w:val="003D5E59"/>
    <w:rsid w:val="003D5FCF"/>
    <w:rsid w:val="003D71A3"/>
    <w:rsid w:val="003E2B8A"/>
    <w:rsid w:val="003E35C3"/>
    <w:rsid w:val="003E585A"/>
    <w:rsid w:val="003F0085"/>
    <w:rsid w:val="003F10EE"/>
    <w:rsid w:val="003F16F6"/>
    <w:rsid w:val="003F4DC7"/>
    <w:rsid w:val="003F5235"/>
    <w:rsid w:val="003F5E13"/>
    <w:rsid w:val="004027E4"/>
    <w:rsid w:val="0040559A"/>
    <w:rsid w:val="0041071D"/>
    <w:rsid w:val="00414AFC"/>
    <w:rsid w:val="004151A7"/>
    <w:rsid w:val="00415310"/>
    <w:rsid w:val="00421709"/>
    <w:rsid w:val="00423763"/>
    <w:rsid w:val="00426C5D"/>
    <w:rsid w:val="0042762F"/>
    <w:rsid w:val="00427DC7"/>
    <w:rsid w:val="00431613"/>
    <w:rsid w:val="00431792"/>
    <w:rsid w:val="0043297A"/>
    <w:rsid w:val="00432EB2"/>
    <w:rsid w:val="00437066"/>
    <w:rsid w:val="0043714F"/>
    <w:rsid w:val="00441337"/>
    <w:rsid w:val="004438B5"/>
    <w:rsid w:val="00443AB1"/>
    <w:rsid w:val="00447037"/>
    <w:rsid w:val="0045124D"/>
    <w:rsid w:val="00454596"/>
    <w:rsid w:val="0045605D"/>
    <w:rsid w:val="0046135B"/>
    <w:rsid w:val="00461D47"/>
    <w:rsid w:val="00462DC8"/>
    <w:rsid w:val="004718CC"/>
    <w:rsid w:val="00475A8C"/>
    <w:rsid w:val="00481695"/>
    <w:rsid w:val="00486CEC"/>
    <w:rsid w:val="00492786"/>
    <w:rsid w:val="00495A96"/>
    <w:rsid w:val="00495BB3"/>
    <w:rsid w:val="004A56BB"/>
    <w:rsid w:val="004A70D6"/>
    <w:rsid w:val="004B0E34"/>
    <w:rsid w:val="004B1751"/>
    <w:rsid w:val="004B425D"/>
    <w:rsid w:val="004C0253"/>
    <w:rsid w:val="004D56FF"/>
    <w:rsid w:val="004E0FBF"/>
    <w:rsid w:val="004E39D3"/>
    <w:rsid w:val="004E3A6F"/>
    <w:rsid w:val="004E508A"/>
    <w:rsid w:val="004E616D"/>
    <w:rsid w:val="004F1BDE"/>
    <w:rsid w:val="004F2CEE"/>
    <w:rsid w:val="004F556E"/>
    <w:rsid w:val="004F591C"/>
    <w:rsid w:val="004F7F44"/>
    <w:rsid w:val="00500CF9"/>
    <w:rsid w:val="00502C27"/>
    <w:rsid w:val="005037B4"/>
    <w:rsid w:val="005079BF"/>
    <w:rsid w:val="0051269A"/>
    <w:rsid w:val="005134D8"/>
    <w:rsid w:val="005219E7"/>
    <w:rsid w:val="00523662"/>
    <w:rsid w:val="00531B9A"/>
    <w:rsid w:val="00531D15"/>
    <w:rsid w:val="00537604"/>
    <w:rsid w:val="00542377"/>
    <w:rsid w:val="00543101"/>
    <w:rsid w:val="005476EB"/>
    <w:rsid w:val="00551782"/>
    <w:rsid w:val="00562D6A"/>
    <w:rsid w:val="00563EF1"/>
    <w:rsid w:val="00566AB4"/>
    <w:rsid w:val="00573812"/>
    <w:rsid w:val="00575AC5"/>
    <w:rsid w:val="0057605D"/>
    <w:rsid w:val="00580B93"/>
    <w:rsid w:val="00581347"/>
    <w:rsid w:val="00581AC9"/>
    <w:rsid w:val="005849F8"/>
    <w:rsid w:val="005938DF"/>
    <w:rsid w:val="00594E9C"/>
    <w:rsid w:val="005A099B"/>
    <w:rsid w:val="005A2D9C"/>
    <w:rsid w:val="005A447B"/>
    <w:rsid w:val="005A55FE"/>
    <w:rsid w:val="005A6A11"/>
    <w:rsid w:val="005B2F0D"/>
    <w:rsid w:val="005C34EF"/>
    <w:rsid w:val="005D068E"/>
    <w:rsid w:val="005D2502"/>
    <w:rsid w:val="005D40BB"/>
    <w:rsid w:val="005D47F3"/>
    <w:rsid w:val="005D49BF"/>
    <w:rsid w:val="005D4AA5"/>
    <w:rsid w:val="005D6F4E"/>
    <w:rsid w:val="005D7C73"/>
    <w:rsid w:val="005E250B"/>
    <w:rsid w:val="005E3ACD"/>
    <w:rsid w:val="005E7226"/>
    <w:rsid w:val="005E7A57"/>
    <w:rsid w:val="005F24B0"/>
    <w:rsid w:val="00604315"/>
    <w:rsid w:val="006048EE"/>
    <w:rsid w:val="00604E26"/>
    <w:rsid w:val="0060523F"/>
    <w:rsid w:val="006052CF"/>
    <w:rsid w:val="00607B8D"/>
    <w:rsid w:val="00611F5C"/>
    <w:rsid w:val="006144CD"/>
    <w:rsid w:val="00616E09"/>
    <w:rsid w:val="00617741"/>
    <w:rsid w:val="00622A3B"/>
    <w:rsid w:val="00622EEA"/>
    <w:rsid w:val="0062396C"/>
    <w:rsid w:val="00623FF9"/>
    <w:rsid w:val="00626762"/>
    <w:rsid w:val="00627D07"/>
    <w:rsid w:val="00627D4E"/>
    <w:rsid w:val="00632B89"/>
    <w:rsid w:val="0063346D"/>
    <w:rsid w:val="00634478"/>
    <w:rsid w:val="00644373"/>
    <w:rsid w:val="00645915"/>
    <w:rsid w:val="00646CC4"/>
    <w:rsid w:val="006519C3"/>
    <w:rsid w:val="00652B30"/>
    <w:rsid w:val="00656345"/>
    <w:rsid w:val="00656DC6"/>
    <w:rsid w:val="00660EC6"/>
    <w:rsid w:val="00664110"/>
    <w:rsid w:val="00664D17"/>
    <w:rsid w:val="00666520"/>
    <w:rsid w:val="00667C5B"/>
    <w:rsid w:val="0068076A"/>
    <w:rsid w:val="00687992"/>
    <w:rsid w:val="00691EB8"/>
    <w:rsid w:val="00692388"/>
    <w:rsid w:val="00692CDE"/>
    <w:rsid w:val="00693073"/>
    <w:rsid w:val="00693D38"/>
    <w:rsid w:val="006977FF"/>
    <w:rsid w:val="006978AE"/>
    <w:rsid w:val="006A01FA"/>
    <w:rsid w:val="006A0CD8"/>
    <w:rsid w:val="006A0E9E"/>
    <w:rsid w:val="006A25C7"/>
    <w:rsid w:val="006A4AAD"/>
    <w:rsid w:val="006A4CCA"/>
    <w:rsid w:val="006A5C59"/>
    <w:rsid w:val="006A677D"/>
    <w:rsid w:val="006A6DA2"/>
    <w:rsid w:val="006A7AB2"/>
    <w:rsid w:val="006B52DE"/>
    <w:rsid w:val="006B5717"/>
    <w:rsid w:val="006B582F"/>
    <w:rsid w:val="006B5EB2"/>
    <w:rsid w:val="006C0CEB"/>
    <w:rsid w:val="006C1631"/>
    <w:rsid w:val="006C3B1E"/>
    <w:rsid w:val="006C47FD"/>
    <w:rsid w:val="006C5C19"/>
    <w:rsid w:val="006C70A0"/>
    <w:rsid w:val="006D27CB"/>
    <w:rsid w:val="006D2F08"/>
    <w:rsid w:val="006D576C"/>
    <w:rsid w:val="006D5865"/>
    <w:rsid w:val="006E0ED9"/>
    <w:rsid w:val="006E4B1B"/>
    <w:rsid w:val="006E5445"/>
    <w:rsid w:val="006E7D93"/>
    <w:rsid w:val="0070133D"/>
    <w:rsid w:val="007029A3"/>
    <w:rsid w:val="00703468"/>
    <w:rsid w:val="00706E4E"/>
    <w:rsid w:val="0070791C"/>
    <w:rsid w:val="0071383C"/>
    <w:rsid w:val="007141A7"/>
    <w:rsid w:val="00715722"/>
    <w:rsid w:val="00715BAF"/>
    <w:rsid w:val="007172BC"/>
    <w:rsid w:val="00721032"/>
    <w:rsid w:val="00721B55"/>
    <w:rsid w:val="0072292F"/>
    <w:rsid w:val="00726CE4"/>
    <w:rsid w:val="00734143"/>
    <w:rsid w:val="00737E47"/>
    <w:rsid w:val="00740EAC"/>
    <w:rsid w:val="007418E1"/>
    <w:rsid w:val="007419ED"/>
    <w:rsid w:val="00744956"/>
    <w:rsid w:val="00745A5C"/>
    <w:rsid w:val="0074605F"/>
    <w:rsid w:val="00747E94"/>
    <w:rsid w:val="00754C83"/>
    <w:rsid w:val="00761E5C"/>
    <w:rsid w:val="0076403A"/>
    <w:rsid w:val="00765DF8"/>
    <w:rsid w:val="00766749"/>
    <w:rsid w:val="00767C1B"/>
    <w:rsid w:val="00770B3F"/>
    <w:rsid w:val="007714A9"/>
    <w:rsid w:val="00774F88"/>
    <w:rsid w:val="00774FDB"/>
    <w:rsid w:val="00777BA2"/>
    <w:rsid w:val="00781408"/>
    <w:rsid w:val="00784F7F"/>
    <w:rsid w:val="007878BD"/>
    <w:rsid w:val="00796F25"/>
    <w:rsid w:val="007A2E98"/>
    <w:rsid w:val="007A3BA3"/>
    <w:rsid w:val="007A6CC0"/>
    <w:rsid w:val="007A7FEC"/>
    <w:rsid w:val="007B1499"/>
    <w:rsid w:val="007B1BBF"/>
    <w:rsid w:val="007B2960"/>
    <w:rsid w:val="007B3491"/>
    <w:rsid w:val="007B355D"/>
    <w:rsid w:val="007B7980"/>
    <w:rsid w:val="007C0DEF"/>
    <w:rsid w:val="007C5D5A"/>
    <w:rsid w:val="007C607F"/>
    <w:rsid w:val="007C79DD"/>
    <w:rsid w:val="007C7C02"/>
    <w:rsid w:val="007D1A97"/>
    <w:rsid w:val="007D2CD6"/>
    <w:rsid w:val="007D3063"/>
    <w:rsid w:val="007D3CEB"/>
    <w:rsid w:val="007E0EF7"/>
    <w:rsid w:val="007E0FFE"/>
    <w:rsid w:val="007E7683"/>
    <w:rsid w:val="007F49FA"/>
    <w:rsid w:val="007F54C4"/>
    <w:rsid w:val="007F6E9A"/>
    <w:rsid w:val="008001BD"/>
    <w:rsid w:val="00800470"/>
    <w:rsid w:val="00800CCD"/>
    <w:rsid w:val="00803D2C"/>
    <w:rsid w:val="008044D4"/>
    <w:rsid w:val="00810AB4"/>
    <w:rsid w:val="008164BF"/>
    <w:rsid w:val="00817B56"/>
    <w:rsid w:val="00821A88"/>
    <w:rsid w:val="0082322E"/>
    <w:rsid w:val="0082495D"/>
    <w:rsid w:val="008262FC"/>
    <w:rsid w:val="00831AC3"/>
    <w:rsid w:val="00833B5D"/>
    <w:rsid w:val="00834111"/>
    <w:rsid w:val="00835740"/>
    <w:rsid w:val="00836FCE"/>
    <w:rsid w:val="008408FF"/>
    <w:rsid w:val="00851F3F"/>
    <w:rsid w:val="00854DB4"/>
    <w:rsid w:val="00856EDC"/>
    <w:rsid w:val="008623B5"/>
    <w:rsid w:val="00870ABA"/>
    <w:rsid w:val="008710E1"/>
    <w:rsid w:val="008716E5"/>
    <w:rsid w:val="008731C4"/>
    <w:rsid w:val="008761BF"/>
    <w:rsid w:val="00881CA9"/>
    <w:rsid w:val="00883628"/>
    <w:rsid w:val="00885544"/>
    <w:rsid w:val="0088634E"/>
    <w:rsid w:val="00887B9C"/>
    <w:rsid w:val="00890C32"/>
    <w:rsid w:val="008931DE"/>
    <w:rsid w:val="00893AB8"/>
    <w:rsid w:val="008A04C8"/>
    <w:rsid w:val="008A6913"/>
    <w:rsid w:val="008B70F3"/>
    <w:rsid w:val="008B71C4"/>
    <w:rsid w:val="008B76DF"/>
    <w:rsid w:val="008C10F4"/>
    <w:rsid w:val="008C65F7"/>
    <w:rsid w:val="008D01C3"/>
    <w:rsid w:val="008E0428"/>
    <w:rsid w:val="008E252D"/>
    <w:rsid w:val="008E4767"/>
    <w:rsid w:val="008E63DE"/>
    <w:rsid w:val="008E7A8C"/>
    <w:rsid w:val="00900E6D"/>
    <w:rsid w:val="0090203B"/>
    <w:rsid w:val="00903285"/>
    <w:rsid w:val="00906F40"/>
    <w:rsid w:val="0090731E"/>
    <w:rsid w:val="00915B1C"/>
    <w:rsid w:val="009174F3"/>
    <w:rsid w:val="0091797D"/>
    <w:rsid w:val="00923CBA"/>
    <w:rsid w:val="00926703"/>
    <w:rsid w:val="00927691"/>
    <w:rsid w:val="00927A5F"/>
    <w:rsid w:val="00930510"/>
    <w:rsid w:val="00935B63"/>
    <w:rsid w:val="00936E95"/>
    <w:rsid w:val="0093734B"/>
    <w:rsid w:val="0094078F"/>
    <w:rsid w:val="00940FA3"/>
    <w:rsid w:val="00941FB0"/>
    <w:rsid w:val="009426D4"/>
    <w:rsid w:val="00947F25"/>
    <w:rsid w:val="00950159"/>
    <w:rsid w:val="0095490B"/>
    <w:rsid w:val="009565C2"/>
    <w:rsid w:val="00960A33"/>
    <w:rsid w:val="00965B2E"/>
    <w:rsid w:val="00966EDE"/>
    <w:rsid w:val="00971914"/>
    <w:rsid w:val="00974363"/>
    <w:rsid w:val="00974F68"/>
    <w:rsid w:val="00980322"/>
    <w:rsid w:val="00981898"/>
    <w:rsid w:val="00983044"/>
    <w:rsid w:val="00986C16"/>
    <w:rsid w:val="0099577C"/>
    <w:rsid w:val="009A021C"/>
    <w:rsid w:val="009A25CC"/>
    <w:rsid w:val="009B24A5"/>
    <w:rsid w:val="009B2601"/>
    <w:rsid w:val="009B4E9E"/>
    <w:rsid w:val="009C1690"/>
    <w:rsid w:val="009C568C"/>
    <w:rsid w:val="009C65B0"/>
    <w:rsid w:val="009C6881"/>
    <w:rsid w:val="009C7759"/>
    <w:rsid w:val="009D043D"/>
    <w:rsid w:val="009D07C8"/>
    <w:rsid w:val="009D1AAE"/>
    <w:rsid w:val="009D4C85"/>
    <w:rsid w:val="009D6C71"/>
    <w:rsid w:val="009E0631"/>
    <w:rsid w:val="009E16D0"/>
    <w:rsid w:val="009E2051"/>
    <w:rsid w:val="009E217C"/>
    <w:rsid w:val="009E2D5C"/>
    <w:rsid w:val="009E2ED6"/>
    <w:rsid w:val="009E38FD"/>
    <w:rsid w:val="009F13D6"/>
    <w:rsid w:val="009F4C6B"/>
    <w:rsid w:val="009F78A8"/>
    <w:rsid w:val="00A02AD6"/>
    <w:rsid w:val="00A06A16"/>
    <w:rsid w:val="00A07096"/>
    <w:rsid w:val="00A07318"/>
    <w:rsid w:val="00A11370"/>
    <w:rsid w:val="00A14459"/>
    <w:rsid w:val="00A224CE"/>
    <w:rsid w:val="00A22522"/>
    <w:rsid w:val="00A24AFD"/>
    <w:rsid w:val="00A24F5C"/>
    <w:rsid w:val="00A32F96"/>
    <w:rsid w:val="00A33E25"/>
    <w:rsid w:val="00A40871"/>
    <w:rsid w:val="00A412AB"/>
    <w:rsid w:val="00A4193E"/>
    <w:rsid w:val="00A43826"/>
    <w:rsid w:val="00A440E0"/>
    <w:rsid w:val="00A442EF"/>
    <w:rsid w:val="00A51D1A"/>
    <w:rsid w:val="00A52906"/>
    <w:rsid w:val="00A5418D"/>
    <w:rsid w:val="00A5474E"/>
    <w:rsid w:val="00A57738"/>
    <w:rsid w:val="00A63924"/>
    <w:rsid w:val="00A64234"/>
    <w:rsid w:val="00A65A5F"/>
    <w:rsid w:val="00A661A2"/>
    <w:rsid w:val="00A6658D"/>
    <w:rsid w:val="00A70ADF"/>
    <w:rsid w:val="00A71466"/>
    <w:rsid w:val="00A74B5E"/>
    <w:rsid w:val="00A8185A"/>
    <w:rsid w:val="00A81BED"/>
    <w:rsid w:val="00A81EC4"/>
    <w:rsid w:val="00A824E8"/>
    <w:rsid w:val="00A82661"/>
    <w:rsid w:val="00A82E27"/>
    <w:rsid w:val="00A85E33"/>
    <w:rsid w:val="00A918B5"/>
    <w:rsid w:val="00A953A0"/>
    <w:rsid w:val="00A967FD"/>
    <w:rsid w:val="00AA1B05"/>
    <w:rsid w:val="00AA2DE5"/>
    <w:rsid w:val="00AB156C"/>
    <w:rsid w:val="00AB6814"/>
    <w:rsid w:val="00AB7A3F"/>
    <w:rsid w:val="00AC04BA"/>
    <w:rsid w:val="00AC0E39"/>
    <w:rsid w:val="00AD3082"/>
    <w:rsid w:val="00AD32B4"/>
    <w:rsid w:val="00AD4AD0"/>
    <w:rsid w:val="00AD5436"/>
    <w:rsid w:val="00AD60CD"/>
    <w:rsid w:val="00AD6C8C"/>
    <w:rsid w:val="00AE091D"/>
    <w:rsid w:val="00AE2A75"/>
    <w:rsid w:val="00AE3B02"/>
    <w:rsid w:val="00AE3B60"/>
    <w:rsid w:val="00AE53A1"/>
    <w:rsid w:val="00AF2484"/>
    <w:rsid w:val="00AF3DC6"/>
    <w:rsid w:val="00AF60B7"/>
    <w:rsid w:val="00AF63E7"/>
    <w:rsid w:val="00AF6E17"/>
    <w:rsid w:val="00B0165D"/>
    <w:rsid w:val="00B01B60"/>
    <w:rsid w:val="00B031F3"/>
    <w:rsid w:val="00B052A4"/>
    <w:rsid w:val="00B05902"/>
    <w:rsid w:val="00B07D4C"/>
    <w:rsid w:val="00B10B60"/>
    <w:rsid w:val="00B113EE"/>
    <w:rsid w:val="00B125DE"/>
    <w:rsid w:val="00B13FDD"/>
    <w:rsid w:val="00B22EB2"/>
    <w:rsid w:val="00B25B49"/>
    <w:rsid w:val="00B27442"/>
    <w:rsid w:val="00B31167"/>
    <w:rsid w:val="00B329D8"/>
    <w:rsid w:val="00B32BB9"/>
    <w:rsid w:val="00B33AE1"/>
    <w:rsid w:val="00B37C38"/>
    <w:rsid w:val="00B4288C"/>
    <w:rsid w:val="00B43262"/>
    <w:rsid w:val="00B44100"/>
    <w:rsid w:val="00B4462D"/>
    <w:rsid w:val="00B46CBA"/>
    <w:rsid w:val="00B46F94"/>
    <w:rsid w:val="00B6003C"/>
    <w:rsid w:val="00B61F03"/>
    <w:rsid w:val="00B626E4"/>
    <w:rsid w:val="00B70F15"/>
    <w:rsid w:val="00B72F4A"/>
    <w:rsid w:val="00B75490"/>
    <w:rsid w:val="00B83C27"/>
    <w:rsid w:val="00B842BB"/>
    <w:rsid w:val="00B84BC3"/>
    <w:rsid w:val="00B84BDD"/>
    <w:rsid w:val="00B925A6"/>
    <w:rsid w:val="00B92812"/>
    <w:rsid w:val="00B92C18"/>
    <w:rsid w:val="00B95FEA"/>
    <w:rsid w:val="00BA2274"/>
    <w:rsid w:val="00BA35D4"/>
    <w:rsid w:val="00BB45A1"/>
    <w:rsid w:val="00BB6335"/>
    <w:rsid w:val="00BB7686"/>
    <w:rsid w:val="00BB7802"/>
    <w:rsid w:val="00BB7DA1"/>
    <w:rsid w:val="00BC0824"/>
    <w:rsid w:val="00BC23F9"/>
    <w:rsid w:val="00BC3421"/>
    <w:rsid w:val="00BC732C"/>
    <w:rsid w:val="00BD4421"/>
    <w:rsid w:val="00BE2580"/>
    <w:rsid w:val="00BE266D"/>
    <w:rsid w:val="00BE3938"/>
    <w:rsid w:val="00BE4C11"/>
    <w:rsid w:val="00BE5A30"/>
    <w:rsid w:val="00BE71C0"/>
    <w:rsid w:val="00BF275F"/>
    <w:rsid w:val="00BF58B4"/>
    <w:rsid w:val="00BF5903"/>
    <w:rsid w:val="00BF610C"/>
    <w:rsid w:val="00BF6BF0"/>
    <w:rsid w:val="00C0060B"/>
    <w:rsid w:val="00C01A6C"/>
    <w:rsid w:val="00C0277D"/>
    <w:rsid w:val="00C02F26"/>
    <w:rsid w:val="00C053A1"/>
    <w:rsid w:val="00C16198"/>
    <w:rsid w:val="00C2083D"/>
    <w:rsid w:val="00C24A53"/>
    <w:rsid w:val="00C348BD"/>
    <w:rsid w:val="00C34A05"/>
    <w:rsid w:val="00C35CCE"/>
    <w:rsid w:val="00C4032F"/>
    <w:rsid w:val="00C41F21"/>
    <w:rsid w:val="00C44047"/>
    <w:rsid w:val="00C45155"/>
    <w:rsid w:val="00C5498F"/>
    <w:rsid w:val="00C55235"/>
    <w:rsid w:val="00C64CD0"/>
    <w:rsid w:val="00C65F61"/>
    <w:rsid w:val="00C6684F"/>
    <w:rsid w:val="00C70E70"/>
    <w:rsid w:val="00C75F8D"/>
    <w:rsid w:val="00C77380"/>
    <w:rsid w:val="00C87E8A"/>
    <w:rsid w:val="00C913D6"/>
    <w:rsid w:val="00C92687"/>
    <w:rsid w:val="00C963D8"/>
    <w:rsid w:val="00C97736"/>
    <w:rsid w:val="00CA345A"/>
    <w:rsid w:val="00CB1E82"/>
    <w:rsid w:val="00CB2B75"/>
    <w:rsid w:val="00CB32DA"/>
    <w:rsid w:val="00CB4BA8"/>
    <w:rsid w:val="00CB52D7"/>
    <w:rsid w:val="00CC6732"/>
    <w:rsid w:val="00CC69BA"/>
    <w:rsid w:val="00CD14CA"/>
    <w:rsid w:val="00CD6ACF"/>
    <w:rsid w:val="00CE277D"/>
    <w:rsid w:val="00CE3C96"/>
    <w:rsid w:val="00CE51A8"/>
    <w:rsid w:val="00CF0BB7"/>
    <w:rsid w:val="00CF0BFE"/>
    <w:rsid w:val="00CF369B"/>
    <w:rsid w:val="00D00E28"/>
    <w:rsid w:val="00D01C7A"/>
    <w:rsid w:val="00D0269E"/>
    <w:rsid w:val="00D029E5"/>
    <w:rsid w:val="00D05D6C"/>
    <w:rsid w:val="00D11CFE"/>
    <w:rsid w:val="00D15810"/>
    <w:rsid w:val="00D16D4E"/>
    <w:rsid w:val="00D16FE3"/>
    <w:rsid w:val="00D23BD1"/>
    <w:rsid w:val="00D2755A"/>
    <w:rsid w:val="00D27F41"/>
    <w:rsid w:val="00D34D2B"/>
    <w:rsid w:val="00D36441"/>
    <w:rsid w:val="00D4064E"/>
    <w:rsid w:val="00D433D2"/>
    <w:rsid w:val="00D44E9B"/>
    <w:rsid w:val="00D47AEB"/>
    <w:rsid w:val="00D47E67"/>
    <w:rsid w:val="00D50DB9"/>
    <w:rsid w:val="00D51302"/>
    <w:rsid w:val="00D52C43"/>
    <w:rsid w:val="00D61243"/>
    <w:rsid w:val="00D6507F"/>
    <w:rsid w:val="00D730BC"/>
    <w:rsid w:val="00D73912"/>
    <w:rsid w:val="00D7794F"/>
    <w:rsid w:val="00D806B0"/>
    <w:rsid w:val="00D8370E"/>
    <w:rsid w:val="00D85226"/>
    <w:rsid w:val="00D87B94"/>
    <w:rsid w:val="00D92D49"/>
    <w:rsid w:val="00D92EC1"/>
    <w:rsid w:val="00D96DEA"/>
    <w:rsid w:val="00DA23F2"/>
    <w:rsid w:val="00DA4E41"/>
    <w:rsid w:val="00DB033A"/>
    <w:rsid w:val="00DB117A"/>
    <w:rsid w:val="00DB3391"/>
    <w:rsid w:val="00DB5173"/>
    <w:rsid w:val="00DB7873"/>
    <w:rsid w:val="00DC187B"/>
    <w:rsid w:val="00DC39A3"/>
    <w:rsid w:val="00DC447E"/>
    <w:rsid w:val="00DD1A43"/>
    <w:rsid w:val="00DD73C2"/>
    <w:rsid w:val="00DE319B"/>
    <w:rsid w:val="00DE3D0C"/>
    <w:rsid w:val="00DF10F3"/>
    <w:rsid w:val="00DF34FE"/>
    <w:rsid w:val="00DF56AA"/>
    <w:rsid w:val="00DF56AF"/>
    <w:rsid w:val="00DF78E7"/>
    <w:rsid w:val="00E110E0"/>
    <w:rsid w:val="00E15371"/>
    <w:rsid w:val="00E21056"/>
    <w:rsid w:val="00E24104"/>
    <w:rsid w:val="00E302D0"/>
    <w:rsid w:val="00E33A83"/>
    <w:rsid w:val="00E35707"/>
    <w:rsid w:val="00E36AA1"/>
    <w:rsid w:val="00E41ECB"/>
    <w:rsid w:val="00E42676"/>
    <w:rsid w:val="00E52371"/>
    <w:rsid w:val="00E54FDB"/>
    <w:rsid w:val="00E5617D"/>
    <w:rsid w:val="00E563D7"/>
    <w:rsid w:val="00E663F4"/>
    <w:rsid w:val="00E666F2"/>
    <w:rsid w:val="00E66DD4"/>
    <w:rsid w:val="00E71872"/>
    <w:rsid w:val="00E748CC"/>
    <w:rsid w:val="00E75415"/>
    <w:rsid w:val="00E775B1"/>
    <w:rsid w:val="00E810A7"/>
    <w:rsid w:val="00E8152A"/>
    <w:rsid w:val="00E93629"/>
    <w:rsid w:val="00E93B5C"/>
    <w:rsid w:val="00E94CEC"/>
    <w:rsid w:val="00E97181"/>
    <w:rsid w:val="00E9769D"/>
    <w:rsid w:val="00EA04EF"/>
    <w:rsid w:val="00EA6C79"/>
    <w:rsid w:val="00EA6F19"/>
    <w:rsid w:val="00EB7090"/>
    <w:rsid w:val="00EC18FC"/>
    <w:rsid w:val="00EC1BBE"/>
    <w:rsid w:val="00EC2B68"/>
    <w:rsid w:val="00EC3AEF"/>
    <w:rsid w:val="00EC5CD7"/>
    <w:rsid w:val="00EE45BE"/>
    <w:rsid w:val="00EE5FB3"/>
    <w:rsid w:val="00EE7F79"/>
    <w:rsid w:val="00EF715A"/>
    <w:rsid w:val="00F06E14"/>
    <w:rsid w:val="00F1256A"/>
    <w:rsid w:val="00F179D4"/>
    <w:rsid w:val="00F20EB2"/>
    <w:rsid w:val="00F22A23"/>
    <w:rsid w:val="00F276A3"/>
    <w:rsid w:val="00F278BC"/>
    <w:rsid w:val="00F33C56"/>
    <w:rsid w:val="00F347C7"/>
    <w:rsid w:val="00F34848"/>
    <w:rsid w:val="00F42D46"/>
    <w:rsid w:val="00F4496C"/>
    <w:rsid w:val="00F44F3A"/>
    <w:rsid w:val="00F453D1"/>
    <w:rsid w:val="00F51F10"/>
    <w:rsid w:val="00F529A5"/>
    <w:rsid w:val="00F5310D"/>
    <w:rsid w:val="00F5335B"/>
    <w:rsid w:val="00F60F00"/>
    <w:rsid w:val="00F614C0"/>
    <w:rsid w:val="00F83848"/>
    <w:rsid w:val="00F92D92"/>
    <w:rsid w:val="00F975E9"/>
    <w:rsid w:val="00FA1B7D"/>
    <w:rsid w:val="00FC07B9"/>
    <w:rsid w:val="00FC1B7C"/>
    <w:rsid w:val="00FC4E21"/>
    <w:rsid w:val="00FC5F6D"/>
    <w:rsid w:val="00FD0107"/>
    <w:rsid w:val="00FD2C2F"/>
    <w:rsid w:val="00FD3B31"/>
    <w:rsid w:val="00FE1823"/>
    <w:rsid w:val="00FE487A"/>
    <w:rsid w:val="00FF0569"/>
    <w:rsid w:val="00FF206E"/>
    <w:rsid w:val="00FF32F6"/>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4337">
      <o:colormru v:ext="edit" colors="red,#4d4d4f"/>
    </o:shapedefaults>
    <o:shapelayout v:ext="edit">
      <o:idmap v:ext="edit" data="1"/>
    </o:shapelayout>
  </w:shapeDefaults>
  <w:decimalSymbol w:val="."/>
  <w:listSeparator w:val=","/>
  <w14:docId w14:val="6FE1BE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uiPriority="1" w:qFormat="1"/>
    <w:lsdException w:name="heading 2" w:uiPriority="1" w:qFormat="1"/>
    <w:lsdException w:name="heading 3" w:uiPriority="2" w:qFormat="1"/>
    <w:lsdException w:name="heading 4" w:uiPriority="2"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5C34EF"/>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5B2F0D"/>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ACMA Footnote Text"/>
    <w:basedOn w:val="Normal"/>
    <w:rsid w:val="00D61243"/>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uiPriority w:val="99"/>
    <w:semiHidden/>
    <w:rsid w:val="00EE7F79"/>
    <w:pPr>
      <w:spacing w:line="240" w:lineRule="auto"/>
    </w:pPr>
    <w:rPr>
      <w:szCs w:val="20"/>
    </w:rPr>
  </w:style>
  <w:style w:type="character" w:customStyle="1" w:styleId="CommentTextChar">
    <w:name w:val="Comment Text Char"/>
    <w:basedOn w:val="DefaultParagraphFont"/>
    <w:link w:val="CommentText"/>
    <w:uiPriority w:val="99"/>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F5310D"/>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next w:val="Paragraph"/>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next w:val="Paragraph"/>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styleId="BalloonText">
    <w:name w:val="Balloon Text"/>
    <w:basedOn w:val="Normal"/>
    <w:link w:val="BalloonTextChar"/>
    <w:semiHidden/>
    <w:unhideWhenUsed/>
    <w:rsid w:val="003933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3933E8"/>
    <w:rPr>
      <w:rFonts w:ascii="Segoe UI" w:hAnsi="Segoe UI" w:cs="Segoe UI"/>
      <w:sz w:val="18"/>
      <w:szCs w:val="18"/>
    </w:rPr>
  </w:style>
  <w:style w:type="paragraph" w:customStyle="1" w:styleId="Note">
    <w:name w:val="Note"/>
    <w:basedOn w:val="ACMANotes"/>
    <w:uiPriority w:val="23"/>
    <w:semiHidden/>
    <w:qFormat/>
    <w:rsid w:val="00D61243"/>
  </w:style>
  <w:style w:type="paragraph" w:customStyle="1" w:styleId="ACMABulletLevel1">
    <w:name w:val="ACMA Bullet Level 1"/>
    <w:rsid w:val="005C34EF"/>
    <w:pPr>
      <w:numPr>
        <w:numId w:val="16"/>
      </w:numPr>
      <w:tabs>
        <w:tab w:val="num" w:pos="-31680"/>
      </w:tabs>
      <w:spacing w:after="120"/>
    </w:pPr>
    <w:rPr>
      <w:szCs w:val="20"/>
      <w:lang w:eastAsia="en-US"/>
    </w:rPr>
  </w:style>
  <w:style w:type="paragraph" w:customStyle="1" w:styleId="Protectivemarking">
    <w:name w:val="Protective marking"/>
    <w:basedOn w:val="ACMABulletLevel1"/>
    <w:uiPriority w:val="99"/>
    <w:qFormat/>
    <w:rsid w:val="005C34EF"/>
    <w:pPr>
      <w:numPr>
        <w:numId w:val="0"/>
      </w:numPr>
      <w:tabs>
        <w:tab w:val="left" w:pos="720"/>
      </w:tabs>
      <w:spacing w:after="0"/>
      <w:jc w:val="center"/>
    </w:pPr>
    <w:rPr>
      <w:rFonts w:ascii="Arial" w:hAnsi="Arial" w:cs="Arial"/>
      <w:b/>
      <w:bCs/>
      <w:color w:val="FF0000"/>
      <w:sz w:val="32"/>
      <w:szCs w:val="24"/>
    </w:rPr>
  </w:style>
  <w:style w:type="paragraph" w:styleId="ListParagraph">
    <w:name w:val="List Paragraph"/>
    <w:basedOn w:val="Normal"/>
    <w:uiPriority w:val="34"/>
    <w:qFormat/>
    <w:rsid w:val="00900E6D"/>
    <w:pPr>
      <w:spacing w:after="0" w:line="240" w:lineRule="auto"/>
      <w:ind w:left="720"/>
      <w:contextualSpacing/>
    </w:pPr>
    <w:rPr>
      <w:rFonts w:ascii="Calibri" w:eastAsiaTheme="minorHAnsi" w:hAnsi="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82813674">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yperlink" Target="https://www.coag.gov.au/sites/default/files/communique/coag-communique-dec-2018.pdf" TargetMode="External"/><Relationship Id="rId39" Type="http://schemas.openxmlformats.org/officeDocument/2006/relationships/hyperlink" Target="https://www.aph.gov.au/Parliamentary_Business/Committees/Senate/Rural_and_Regional_Affairs_and_Transport/Drones/Government_Response" TargetMode="External"/><Relationship Id="rId21" Type="http://schemas.openxmlformats.org/officeDocument/2006/relationships/footer" Target="footer4.xml"/><Relationship Id="rId34" Type="http://schemas.openxmlformats.org/officeDocument/2006/relationships/hyperlink" Target="https://www.legislation.gov.au/Details/F2015L00041" TargetMode="External"/><Relationship Id="rId42" Type="http://schemas.openxmlformats.org/officeDocument/2006/relationships/hyperlink" Target="https://theconversation.com/gatwick-drone-drama-shows-how-even-unarmed-uavs-can-cause-economic-chaos-and-risk-to-life-109187" TargetMode="External"/><Relationship Id="rId47" Type="http://schemas.openxmlformats.org/officeDocument/2006/relationships/hyperlink" Target="https://www.legislation.gov.au/Details/F2019C00681" TargetMode="External"/><Relationship Id="rId50" Type="http://schemas.openxmlformats.org/officeDocument/2006/relationships/hyperlink" Target="mailto:SLPSConsultations@acma.gov.au" TargetMode="External"/><Relationship Id="rId55" Type="http://schemas.openxmlformats.org/officeDocument/2006/relationships/footer" Target="footer7.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yperlink" Target="https://www.aph.gov.au/Parliamentary_Business/Committees/Senate/Rural_and_Regional_Affairs_and_Transport/Drones/Government_Response" TargetMode="External"/><Relationship Id="rId33" Type="http://schemas.openxmlformats.org/officeDocument/2006/relationships/hyperlink" Target="https://www.legislation.gov.au/Details/F2018L01185" TargetMode="External"/><Relationship Id="rId38" Type="http://schemas.openxmlformats.org/officeDocument/2006/relationships/hyperlink" Target="https://www.aph.gov.au/Parliamentary_Business/Committees/Senate/Rural_and_Regional_Affairs_and_Transport/Drones/Report" TargetMode="External"/><Relationship Id="rId46" Type="http://schemas.openxmlformats.org/officeDocument/2006/relationships/hyperlink" Target="https://www.thegctf.org/LinkClick.aspx?fileticket=j5gj4fSJ4fI%3d&amp;portalid=1" TargetMode="Externa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hyperlink" Target="https://www.legislation.gov.au/Details/F2015C00848" TargetMode="External"/><Relationship Id="rId41" Type="http://schemas.openxmlformats.org/officeDocument/2006/relationships/hyperlink" Target="https://www.legislation.gov.au/Details/F2018L01343" TargetMode="External"/><Relationship Id="rId54"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s://www.aph.gov.au/Parliamentary_Business/Committees/Senate/Rural_and_Regional_Affairs_and_Transport/Drones/Report" TargetMode="External"/><Relationship Id="rId32" Type="http://schemas.openxmlformats.org/officeDocument/2006/relationships/hyperlink" Target="https://www.legislation.gov.au/Series/F1996B03651" TargetMode="External"/><Relationship Id="rId37" Type="http://schemas.openxmlformats.org/officeDocument/2006/relationships/hyperlink" Target="https://www.acma.gov.au/rules-and-principles-manage-spectrum" TargetMode="External"/><Relationship Id="rId40" Type="http://schemas.openxmlformats.org/officeDocument/2006/relationships/hyperlink" Target="https://www.legislation.gov.au/Details/F2018L00248" TargetMode="External"/><Relationship Id="rId45" Type="http://schemas.openxmlformats.org/officeDocument/2006/relationships/hyperlink" Target="https://www.congress.gov/bill/115th-congress/senate-bill/2836" TargetMode="External"/><Relationship Id="rId53" Type="http://schemas.openxmlformats.org/officeDocument/2006/relationships/header" Target="header7.xml"/><Relationship Id="rId58"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hyperlink" Target="https://www.acma.gov.au/publications/2019-09/publication/five-year-spectrum-outlook-2019-23" TargetMode="External"/><Relationship Id="rId36" Type="http://schemas.openxmlformats.org/officeDocument/2006/relationships/hyperlink" Target="https://www.legislation.gov.au/Details/F2019L00623" TargetMode="External"/><Relationship Id="rId49" Type="http://schemas.openxmlformats.org/officeDocument/2006/relationships/hyperlink" Target="https://www.acma.gov.au/have-your-say" TargetMode="External"/><Relationship Id="rId57"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hyperlink" Target="https://www.legislation.gov.au/Details/F2011L00346" TargetMode="External"/><Relationship Id="rId44" Type="http://schemas.openxmlformats.org/officeDocument/2006/relationships/hyperlink" Target="https://assets.publishing.service.gov.uk/government/uploads/system/uploads/attachment_data/file/771673/future-of-drones-in-uk-consultation-response-web.pdf" TargetMode="External"/><Relationship Id="rId52" Type="http://schemas.openxmlformats.org/officeDocument/2006/relationships/hyperlink" Target="https://www.acma.gov.au/privacy-policy"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hyperlink" Target="https://www.legislation.gov.au/Details/F2019L00623" TargetMode="External"/><Relationship Id="rId30" Type="http://schemas.openxmlformats.org/officeDocument/2006/relationships/hyperlink" Target="https://www.legislation.gov.au/Details/F2015C00848" TargetMode="External"/><Relationship Id="rId35" Type="http://schemas.openxmlformats.org/officeDocument/2006/relationships/hyperlink" Target="https://www.legislation.gov.au/Details/F2010L00821" TargetMode="External"/><Relationship Id="rId43" Type="http://schemas.openxmlformats.org/officeDocument/2006/relationships/hyperlink" Target="https://www.bbc.com/news/uk-england-london-48470623" TargetMode="External"/><Relationship Id="rId48" Type="http://schemas.openxmlformats.org/officeDocument/2006/relationships/hyperlink" Target="https://www.legislation.gov.au/Details/F2010L00821" TargetMode="External"/><Relationship Id="rId56" Type="http://schemas.openxmlformats.org/officeDocument/2006/relationships/footer" Target="footer8.xml"/><Relationship Id="rId8" Type="http://schemas.openxmlformats.org/officeDocument/2006/relationships/header" Target="header1.xml"/><Relationship Id="rId51" Type="http://schemas.openxmlformats.org/officeDocument/2006/relationships/hyperlink" Target="https://www.acma.gov.au/publication-submissions" TargetMode="External"/><Relationship Id="rId3" Type="http://schemas.openxmlformats.org/officeDocument/2006/relationships/styles" Target="styles.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nationalsecurity.gov.au/WhatAustraliaisdoing/Pages/Australia-New-Zealand-Counter-Terrorism-Committee.asp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BB1EB2F-C6ED-433B-903F-504E7DB730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4123</Words>
  <Characters>23502</Characters>
  <Application>Microsoft Office Word</Application>
  <DocSecurity>0</DocSecurity>
  <Lines>195</Lines>
  <Paragraphs>55</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27570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2020-05-13T05:40:00Z</dcterms:created>
  <dcterms:modified xsi:type="dcterms:W3CDTF">2020-05-13T05:40:00Z</dcterms:modified>
  <cp:category/>
</cp:coreProperties>
</file>