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6E9A2D" w14:textId="1D5455D2" w:rsidR="00F06E14" w:rsidRPr="00A51D1A" w:rsidRDefault="00B62031" w:rsidP="00A51D1A">
      <w:pPr>
        <w:pStyle w:val="Reporttitle"/>
      </w:pPr>
      <w:r>
        <w:t xml:space="preserve">New </w:t>
      </w:r>
      <w:r w:rsidR="005E1DFD">
        <w:t>a</w:t>
      </w:r>
      <w:r>
        <w:t xml:space="preserve">pproaches to </w:t>
      </w:r>
      <w:r w:rsidR="005E1DFD">
        <w:t>s</w:t>
      </w:r>
      <w:r>
        <w:t xml:space="preserve">pectrum </w:t>
      </w:r>
      <w:r w:rsidR="005E1DFD">
        <w:t>s</w:t>
      </w:r>
      <w:r>
        <w:t>haring</w:t>
      </w:r>
    </w:p>
    <w:p w14:paraId="3C1D9307" w14:textId="77777777" w:rsidR="00F06E14" w:rsidRDefault="00B62031" w:rsidP="00F06E14">
      <w:pPr>
        <w:pStyle w:val="Reportsubtitle"/>
      </w:pPr>
      <w:r>
        <w:t>Next steps</w:t>
      </w:r>
    </w:p>
    <w:p w14:paraId="559E55D9" w14:textId="6261EEC7" w:rsidR="00C97736" w:rsidRPr="000D76E0" w:rsidRDefault="0087119D"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may</w:t>
      </w:r>
      <w:r w:rsidR="00BD4421">
        <w:t xml:space="preserve"> 20</w:t>
      </w:r>
      <w:r w:rsidR="008E0428">
        <w:t>20</w:t>
      </w:r>
    </w:p>
    <w:p w14:paraId="36504BA9" w14:textId="77777777" w:rsidR="0005011A" w:rsidRPr="00F44F3A" w:rsidRDefault="0005011A" w:rsidP="00FC07B9">
      <w:pPr>
        <w:pStyle w:val="ACMACorporateAddressHeader"/>
      </w:pPr>
      <w:r w:rsidRPr="00F44F3A">
        <w:lastRenderedPageBreak/>
        <w:t>Canberra</w:t>
      </w:r>
    </w:p>
    <w:p w14:paraId="41736677"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32EB56E" w14:textId="77777777" w:rsidR="0005011A" w:rsidRPr="00FC07B9" w:rsidRDefault="0005011A" w:rsidP="00FC07B9">
      <w:pPr>
        <w:pStyle w:val="ACMACorporateAddresses"/>
      </w:pPr>
      <w:r w:rsidRPr="00FC07B9">
        <w:t>PO Box 78</w:t>
      </w:r>
      <w:r w:rsidRPr="00FC07B9">
        <w:br/>
        <w:t>Belconnen ACT 2616</w:t>
      </w:r>
    </w:p>
    <w:p w14:paraId="31F2FA67"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17D1929" w14:textId="77777777" w:rsidR="0005011A" w:rsidRPr="00F44F3A" w:rsidRDefault="0005011A" w:rsidP="00FC07B9">
      <w:pPr>
        <w:pStyle w:val="ACMACorporateAddressHeader"/>
      </w:pPr>
      <w:r w:rsidRPr="00F44F3A">
        <w:t>Melbourne</w:t>
      </w:r>
    </w:p>
    <w:p w14:paraId="473B1F46"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22B910D"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C688AA6"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19BBD7F" w14:textId="77777777" w:rsidR="0005011A" w:rsidRPr="00F44F3A" w:rsidRDefault="0005011A" w:rsidP="00FC07B9">
      <w:pPr>
        <w:pStyle w:val="ACMACorporateAddressHeader"/>
      </w:pPr>
      <w:r w:rsidRPr="00F44F3A">
        <w:t>Sydney</w:t>
      </w:r>
    </w:p>
    <w:p w14:paraId="7EC19E0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4D789B7"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BCB2D56"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C971FBE" w14:textId="77777777" w:rsidR="00140318" w:rsidRPr="006D46E5" w:rsidRDefault="00140318" w:rsidP="00FC07B9">
      <w:pPr>
        <w:pStyle w:val="ACMACopyrightHeader"/>
      </w:pPr>
      <w:r w:rsidRPr="00140318">
        <w:t>Copyright notice</w:t>
      </w:r>
    </w:p>
    <w:p w14:paraId="4CA9C49E" w14:textId="77777777" w:rsidR="00140318" w:rsidRPr="006D46E5" w:rsidRDefault="00623FF9" w:rsidP="00623FF9">
      <w:pPr>
        <w:pStyle w:val="ACMACClogo"/>
      </w:pPr>
      <w:r w:rsidRPr="00623FF9">
        <w:rPr>
          <w:noProof/>
        </w:rPr>
        <w:drawing>
          <wp:inline distT="0" distB="0" distL="0" distR="0" wp14:anchorId="386EDBF6" wp14:editId="0FF94F47">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27E8C056" w14:textId="77777777" w:rsidR="00AA2DE5" w:rsidRDefault="00B1139E" w:rsidP="00AA2DE5">
      <w:pPr>
        <w:pStyle w:val="ACMACorporateAddresses"/>
        <w:rPr>
          <w:rStyle w:val="Hyperlink"/>
        </w:rPr>
      </w:pPr>
      <w:hyperlink r:id="rId13" w:history="1">
        <w:r w:rsidR="00AA2DE5">
          <w:rPr>
            <w:rStyle w:val="Hyperlink"/>
          </w:rPr>
          <w:t>https://creativecommons.org/licenses/by/4.0/</w:t>
        </w:r>
      </w:hyperlink>
    </w:p>
    <w:p w14:paraId="27275C0A"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2C02B956"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7F8CD993" w14:textId="77777777" w:rsidR="00AA2DE5" w:rsidRDefault="00AA2DE5" w:rsidP="00AA2DE5">
      <w:pPr>
        <w:pStyle w:val="ACMACorporateAddresses"/>
      </w:pPr>
      <w:r>
        <w:t>All other rights are reserved.</w:t>
      </w:r>
    </w:p>
    <w:p w14:paraId="5983EB97"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4F1DE31" w14:textId="77777777" w:rsidR="00AA2DE5" w:rsidRDefault="00AA2DE5" w:rsidP="00AA2DE5">
      <w:pPr>
        <w:pStyle w:val="ACMACorporateAddresses"/>
      </w:pPr>
      <w:r>
        <w:t>Written enquiries may be sent to:</w:t>
      </w:r>
    </w:p>
    <w:p w14:paraId="3DE5CB94"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33BFB513" w14:textId="77777777" w:rsidR="00D16FE3" w:rsidRDefault="00D16FE3" w:rsidP="00D16FE3">
      <w:pPr>
        <w:pStyle w:val="ACMACorporateAddresses"/>
        <w:rPr>
          <w:rStyle w:val="Hyperlink"/>
        </w:rPr>
      </w:pPr>
    </w:p>
    <w:p w14:paraId="5C92583E"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15427679" w14:textId="136D4277" w:rsidR="00AA2F6B"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AA2F6B">
        <w:t>Executive summary</w:t>
      </w:r>
      <w:r w:rsidR="00AA2F6B">
        <w:tab/>
      </w:r>
      <w:r w:rsidR="00AA2F6B">
        <w:fldChar w:fldCharType="begin"/>
      </w:r>
      <w:r w:rsidR="00AA2F6B">
        <w:instrText xml:space="preserve"> PAGEREF _Toc41055448 \h </w:instrText>
      </w:r>
      <w:r w:rsidR="00AA2F6B">
        <w:fldChar w:fldCharType="separate"/>
      </w:r>
      <w:r w:rsidR="00AA2F6B">
        <w:t>1</w:t>
      </w:r>
      <w:r w:rsidR="00AA2F6B">
        <w:fldChar w:fldCharType="end"/>
      </w:r>
    </w:p>
    <w:p w14:paraId="31C7CCC3" w14:textId="1D5F266D" w:rsidR="00AA2F6B" w:rsidRDefault="00AA2F6B">
      <w:pPr>
        <w:pStyle w:val="TOC2"/>
        <w:rPr>
          <w:rFonts w:asciiTheme="minorHAnsi" w:eastAsiaTheme="minorEastAsia" w:hAnsiTheme="minorHAnsi" w:cstheme="minorBidi"/>
          <w:spacing w:val="0"/>
          <w:sz w:val="22"/>
          <w:szCs w:val="22"/>
        </w:rPr>
      </w:pPr>
      <w:r w:rsidRPr="00E5144E">
        <w:rPr>
          <w:rFonts w:eastAsiaTheme="minorHAnsi"/>
        </w:rPr>
        <w:t>Traditional access arrangements</w:t>
      </w:r>
      <w:r>
        <w:tab/>
      </w:r>
      <w:r>
        <w:fldChar w:fldCharType="begin"/>
      </w:r>
      <w:r>
        <w:instrText xml:space="preserve"> PAGEREF _Toc41055449 \h </w:instrText>
      </w:r>
      <w:r>
        <w:fldChar w:fldCharType="separate"/>
      </w:r>
      <w:r>
        <w:t>2</w:t>
      </w:r>
      <w:r>
        <w:fldChar w:fldCharType="end"/>
      </w:r>
    </w:p>
    <w:p w14:paraId="59071DA6" w14:textId="18BDD6F3" w:rsidR="00AA2F6B" w:rsidRDefault="00AA2F6B">
      <w:pPr>
        <w:pStyle w:val="TOC2"/>
        <w:rPr>
          <w:rFonts w:asciiTheme="minorHAnsi" w:eastAsiaTheme="minorEastAsia" w:hAnsiTheme="minorHAnsi" w:cstheme="minorBidi"/>
          <w:spacing w:val="0"/>
          <w:sz w:val="22"/>
          <w:szCs w:val="22"/>
        </w:rPr>
      </w:pPr>
      <w:r w:rsidRPr="00E5144E">
        <w:rPr>
          <w:rFonts w:eastAsiaTheme="minorHAnsi"/>
        </w:rPr>
        <w:t>Dynamic Spectrum Access arrangements</w:t>
      </w:r>
      <w:r>
        <w:tab/>
      </w:r>
      <w:r>
        <w:fldChar w:fldCharType="begin"/>
      </w:r>
      <w:r>
        <w:instrText xml:space="preserve"> PAGEREF _Toc41055450 \h </w:instrText>
      </w:r>
      <w:r>
        <w:fldChar w:fldCharType="separate"/>
      </w:r>
      <w:r>
        <w:t>2</w:t>
      </w:r>
      <w:r>
        <w:fldChar w:fldCharType="end"/>
      </w:r>
    </w:p>
    <w:p w14:paraId="0109604C" w14:textId="5E26ECD8" w:rsidR="00AA2F6B" w:rsidRDefault="00AA2F6B">
      <w:pPr>
        <w:pStyle w:val="TOC2"/>
        <w:rPr>
          <w:rFonts w:asciiTheme="minorHAnsi" w:eastAsiaTheme="minorEastAsia" w:hAnsiTheme="minorHAnsi" w:cstheme="minorBidi"/>
          <w:spacing w:val="0"/>
          <w:sz w:val="22"/>
          <w:szCs w:val="22"/>
        </w:rPr>
      </w:pPr>
      <w:r w:rsidRPr="00E5144E">
        <w:rPr>
          <w:rFonts w:eastAsiaTheme="minorHAnsi"/>
        </w:rPr>
        <w:t>Access to wide-area licensed spectrum</w:t>
      </w:r>
      <w:r>
        <w:tab/>
      </w:r>
      <w:r>
        <w:fldChar w:fldCharType="begin"/>
      </w:r>
      <w:r>
        <w:instrText xml:space="preserve"> PAGEREF _Toc41055451 \h </w:instrText>
      </w:r>
      <w:r>
        <w:fldChar w:fldCharType="separate"/>
      </w:r>
      <w:r>
        <w:t>3</w:t>
      </w:r>
      <w:r>
        <w:fldChar w:fldCharType="end"/>
      </w:r>
    </w:p>
    <w:p w14:paraId="5FBFE1CE" w14:textId="0AAD170F" w:rsidR="00AA2F6B" w:rsidRDefault="00AA2F6B">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_Toc41055452 \h </w:instrText>
      </w:r>
      <w:r>
        <w:fldChar w:fldCharType="separate"/>
      </w:r>
      <w:r>
        <w:t>4</w:t>
      </w:r>
      <w:r>
        <w:fldChar w:fldCharType="end"/>
      </w:r>
    </w:p>
    <w:p w14:paraId="5F467D64" w14:textId="28FD0D65" w:rsidR="00AA2F6B" w:rsidRDefault="00AA2F6B">
      <w:pPr>
        <w:pStyle w:val="TOC2"/>
        <w:rPr>
          <w:rFonts w:asciiTheme="minorHAnsi" w:eastAsiaTheme="minorEastAsia" w:hAnsiTheme="minorHAnsi" w:cstheme="minorBidi"/>
          <w:spacing w:val="0"/>
          <w:sz w:val="22"/>
          <w:szCs w:val="22"/>
        </w:rPr>
      </w:pPr>
      <w:r>
        <w:t>Discussions to date</w:t>
      </w:r>
      <w:r>
        <w:tab/>
      </w:r>
      <w:r>
        <w:fldChar w:fldCharType="begin"/>
      </w:r>
      <w:r>
        <w:instrText xml:space="preserve"> PAGEREF _Toc41055453 \h </w:instrText>
      </w:r>
      <w:r>
        <w:fldChar w:fldCharType="separate"/>
      </w:r>
      <w:r>
        <w:t>4</w:t>
      </w:r>
      <w:r>
        <w:fldChar w:fldCharType="end"/>
      </w:r>
    </w:p>
    <w:p w14:paraId="2E455DAA" w14:textId="1BF383AF" w:rsidR="00AA2F6B" w:rsidRDefault="00AA2F6B">
      <w:pPr>
        <w:pStyle w:val="TOC1"/>
        <w:rPr>
          <w:rFonts w:asciiTheme="minorHAnsi" w:eastAsiaTheme="minorEastAsia" w:hAnsiTheme="minorHAnsi" w:cstheme="minorBidi"/>
          <w:b w:val="0"/>
          <w:spacing w:val="0"/>
          <w:sz w:val="22"/>
          <w:szCs w:val="22"/>
        </w:rPr>
      </w:pPr>
      <w:r>
        <w:t>Discussion</w:t>
      </w:r>
      <w:r>
        <w:tab/>
      </w:r>
      <w:r>
        <w:fldChar w:fldCharType="begin"/>
      </w:r>
      <w:r>
        <w:instrText xml:space="preserve"> PAGEREF _Toc41055454 \h </w:instrText>
      </w:r>
      <w:r>
        <w:fldChar w:fldCharType="separate"/>
      </w:r>
      <w:r>
        <w:t>8</w:t>
      </w:r>
      <w:r>
        <w:fldChar w:fldCharType="end"/>
      </w:r>
    </w:p>
    <w:p w14:paraId="362711A9" w14:textId="56ED6A30" w:rsidR="00AA2F6B" w:rsidRDefault="00AA2F6B">
      <w:pPr>
        <w:pStyle w:val="TOC2"/>
        <w:rPr>
          <w:rFonts w:asciiTheme="minorHAnsi" w:eastAsiaTheme="minorEastAsia" w:hAnsiTheme="minorHAnsi" w:cstheme="minorBidi"/>
          <w:spacing w:val="0"/>
          <w:sz w:val="22"/>
          <w:szCs w:val="22"/>
        </w:rPr>
      </w:pPr>
      <w:r>
        <w:t>Frequency bands proposed for new sharing approaches</w:t>
      </w:r>
      <w:r>
        <w:tab/>
      </w:r>
      <w:r>
        <w:fldChar w:fldCharType="begin"/>
      </w:r>
      <w:r>
        <w:instrText xml:space="preserve"> PAGEREF _Toc41055455 \h </w:instrText>
      </w:r>
      <w:r>
        <w:fldChar w:fldCharType="separate"/>
      </w:r>
      <w:r>
        <w:t>8</w:t>
      </w:r>
      <w:r>
        <w:fldChar w:fldCharType="end"/>
      </w:r>
    </w:p>
    <w:p w14:paraId="13DD3E23" w14:textId="5E227E48" w:rsidR="00AA2F6B" w:rsidRDefault="00AA2F6B">
      <w:pPr>
        <w:pStyle w:val="TOC2"/>
        <w:rPr>
          <w:rFonts w:asciiTheme="minorHAnsi" w:eastAsiaTheme="minorEastAsia" w:hAnsiTheme="minorHAnsi" w:cstheme="minorBidi"/>
          <w:spacing w:val="0"/>
          <w:sz w:val="22"/>
          <w:szCs w:val="22"/>
        </w:rPr>
      </w:pPr>
      <w:r>
        <w:t>Non-traditional DSA sharing arrangements</w:t>
      </w:r>
      <w:r>
        <w:tab/>
      </w:r>
      <w:r>
        <w:fldChar w:fldCharType="begin"/>
      </w:r>
      <w:r>
        <w:instrText xml:space="preserve"> PAGEREF _Toc41055456 \h </w:instrText>
      </w:r>
      <w:r>
        <w:fldChar w:fldCharType="separate"/>
      </w:r>
      <w:r>
        <w:t>9</w:t>
      </w:r>
      <w:r>
        <w:fldChar w:fldCharType="end"/>
      </w:r>
    </w:p>
    <w:p w14:paraId="29A591F8" w14:textId="60F88348" w:rsidR="00AA2F6B" w:rsidRDefault="00AA2F6B">
      <w:pPr>
        <w:pStyle w:val="TOC2"/>
        <w:rPr>
          <w:rFonts w:asciiTheme="minorHAnsi" w:eastAsiaTheme="minorEastAsia" w:hAnsiTheme="minorHAnsi" w:cstheme="minorBidi"/>
          <w:spacing w:val="0"/>
          <w:sz w:val="22"/>
          <w:szCs w:val="22"/>
        </w:rPr>
      </w:pPr>
      <w:r>
        <w:t>Increased access to bands licensed with a high degree of exclusivity</w:t>
      </w:r>
      <w:r>
        <w:tab/>
      </w:r>
      <w:r>
        <w:fldChar w:fldCharType="begin"/>
      </w:r>
      <w:r>
        <w:instrText xml:space="preserve"> PAGEREF _Toc41055457 \h </w:instrText>
      </w:r>
      <w:r>
        <w:fldChar w:fldCharType="separate"/>
      </w:r>
      <w:r>
        <w:t>10</w:t>
      </w:r>
      <w:r>
        <w:fldChar w:fldCharType="end"/>
      </w:r>
    </w:p>
    <w:p w14:paraId="4FDD94FC" w14:textId="53E74F6C" w:rsidR="00AA2F6B" w:rsidRDefault="00AA2F6B">
      <w:pPr>
        <w:pStyle w:val="TOC1"/>
        <w:rPr>
          <w:rFonts w:asciiTheme="minorHAnsi" w:eastAsiaTheme="minorEastAsia" w:hAnsiTheme="minorHAnsi" w:cstheme="minorBidi"/>
          <w:b w:val="0"/>
          <w:spacing w:val="0"/>
          <w:sz w:val="22"/>
          <w:szCs w:val="22"/>
        </w:rPr>
      </w:pPr>
      <w:r>
        <w:t>Next steps</w:t>
      </w:r>
      <w:r>
        <w:tab/>
      </w:r>
      <w:r>
        <w:fldChar w:fldCharType="begin"/>
      </w:r>
      <w:r>
        <w:instrText xml:space="preserve"> PAGEREF _Toc41055458 \h </w:instrText>
      </w:r>
      <w:r>
        <w:fldChar w:fldCharType="separate"/>
      </w:r>
      <w:r>
        <w:t>12</w:t>
      </w:r>
      <w:r>
        <w:fldChar w:fldCharType="end"/>
      </w:r>
    </w:p>
    <w:p w14:paraId="02A962BD" w14:textId="6A343C65" w:rsidR="00AA2F6B" w:rsidRDefault="00AA2F6B">
      <w:pPr>
        <w:pStyle w:val="TOC1"/>
        <w:rPr>
          <w:rFonts w:asciiTheme="minorHAnsi" w:eastAsiaTheme="minorEastAsia" w:hAnsiTheme="minorHAnsi" w:cstheme="minorBidi"/>
          <w:b w:val="0"/>
          <w:spacing w:val="0"/>
          <w:sz w:val="22"/>
          <w:szCs w:val="22"/>
        </w:rPr>
      </w:pPr>
      <w:r>
        <w:t>Appendix A: List of submissions to ‘New approaches to spectrum sharing’</w:t>
      </w:r>
      <w:r w:rsidRPr="00E5144E">
        <w:rPr>
          <w:i/>
          <w:iCs/>
        </w:rPr>
        <w:t xml:space="preserve"> </w:t>
      </w:r>
      <w:r>
        <w:t>consultation</w:t>
      </w:r>
      <w:r>
        <w:tab/>
      </w:r>
      <w:r>
        <w:fldChar w:fldCharType="begin"/>
      </w:r>
      <w:r>
        <w:instrText xml:space="preserve"> PAGEREF _Toc41055459 \h </w:instrText>
      </w:r>
      <w:r>
        <w:fldChar w:fldCharType="separate"/>
      </w:r>
      <w:r>
        <w:t>13</w:t>
      </w:r>
      <w:r>
        <w:fldChar w:fldCharType="end"/>
      </w:r>
    </w:p>
    <w:p w14:paraId="66F68EAD" w14:textId="373DA24F"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1BCC805B" w14:textId="77777777" w:rsidR="009D6C71" w:rsidRPr="009174F3" w:rsidRDefault="009D6C71" w:rsidP="009174F3">
      <w:pPr>
        <w:pStyle w:val="Execsummaryheading"/>
      </w:pPr>
      <w:bookmarkStart w:id="0" w:name="_Toc41055448"/>
      <w:r w:rsidRPr="009174F3">
        <w:lastRenderedPageBreak/>
        <w:t>Executive summary</w:t>
      </w:r>
      <w:bookmarkEnd w:id="0"/>
    </w:p>
    <w:p w14:paraId="0F64E00E" w14:textId="7C0DCA34" w:rsidR="00B62031" w:rsidRDefault="00B62031" w:rsidP="00B62031">
      <w:pPr>
        <w:pStyle w:val="Paragraph"/>
      </w:pPr>
      <w:r>
        <w:t xml:space="preserve">This paper sets out the next steps </w:t>
      </w:r>
      <w:r w:rsidR="005E1DFD">
        <w:t>as we</w:t>
      </w:r>
      <w:r>
        <w:t xml:space="preserve"> consider new approaches to spectrum sharing in Australia. It follows discussions with industry </w:t>
      </w:r>
      <w:r w:rsidR="00D2249A">
        <w:t xml:space="preserve">from </w:t>
      </w:r>
      <w:r>
        <w:t xml:space="preserve">the </w:t>
      </w:r>
      <w:hyperlink r:id="rId24" w:history="1">
        <w:r w:rsidRPr="00F13A8F">
          <w:rPr>
            <w:rStyle w:val="Hyperlink"/>
            <w:i/>
            <w:iCs/>
          </w:rPr>
          <w:t xml:space="preserve">New </w:t>
        </w:r>
        <w:r w:rsidR="005E1DFD" w:rsidRPr="005E1DFD">
          <w:rPr>
            <w:rStyle w:val="Hyperlink"/>
            <w:i/>
            <w:iCs/>
          </w:rPr>
          <w:t>a</w:t>
        </w:r>
        <w:r w:rsidRPr="00F13A8F">
          <w:rPr>
            <w:rStyle w:val="Hyperlink"/>
            <w:i/>
            <w:iCs/>
          </w:rPr>
          <w:t xml:space="preserve">pproaches </w:t>
        </w:r>
        <w:r w:rsidR="00BF789B">
          <w:rPr>
            <w:rStyle w:val="Hyperlink"/>
            <w:i/>
            <w:iCs/>
          </w:rPr>
          <w:br/>
        </w:r>
        <w:r w:rsidRPr="00F13A8F">
          <w:rPr>
            <w:rStyle w:val="Hyperlink"/>
            <w:i/>
            <w:iCs/>
          </w:rPr>
          <w:t xml:space="preserve">to </w:t>
        </w:r>
        <w:r w:rsidR="005E1DFD" w:rsidRPr="005E1DFD">
          <w:rPr>
            <w:rStyle w:val="Hyperlink"/>
            <w:i/>
            <w:iCs/>
          </w:rPr>
          <w:t>s</w:t>
        </w:r>
        <w:r w:rsidRPr="00F13A8F">
          <w:rPr>
            <w:rStyle w:val="Hyperlink"/>
            <w:i/>
            <w:iCs/>
          </w:rPr>
          <w:t xml:space="preserve">pectrum </w:t>
        </w:r>
        <w:r w:rsidR="005E1DFD" w:rsidRPr="005E1DFD">
          <w:rPr>
            <w:rStyle w:val="Hyperlink"/>
            <w:i/>
            <w:iCs/>
          </w:rPr>
          <w:t>s</w:t>
        </w:r>
        <w:r w:rsidRPr="00F13A8F">
          <w:rPr>
            <w:rStyle w:val="Hyperlink"/>
            <w:i/>
            <w:iCs/>
          </w:rPr>
          <w:t>haring</w:t>
        </w:r>
      </w:hyperlink>
      <w:r>
        <w:t xml:space="preserve"> paper released in August 2019 and the associated </w:t>
      </w:r>
      <w:r w:rsidR="000D497B">
        <w:t>s</w:t>
      </w:r>
      <w:r>
        <w:t xml:space="preserve">pectrum </w:t>
      </w:r>
      <w:r w:rsidR="00BF789B">
        <w:br/>
      </w:r>
      <w:r w:rsidR="000D497B">
        <w:t>t</w:t>
      </w:r>
      <w:r>
        <w:t xml:space="preserve">une-up. </w:t>
      </w:r>
    </w:p>
    <w:p w14:paraId="2BF42705" w14:textId="0CD030E3" w:rsidR="00B62031" w:rsidRDefault="00B62031" w:rsidP="00B62031">
      <w:pPr>
        <w:pStyle w:val="Paragraph"/>
      </w:pPr>
      <w:r>
        <w:t xml:space="preserve">Consideration of spectrum sharing approaches was encouraged by international developments and interest from some industry sectors to better enable shared access to spectrum on a dynamic basis, as distinct </w:t>
      </w:r>
      <w:r w:rsidR="005E1DFD">
        <w:t xml:space="preserve">from </w:t>
      </w:r>
      <w:r>
        <w:t xml:space="preserve">traditional, largely static, spectrum access regimes. Indeed, this distinction was something the ACMA sought to highlight early on in our discussions with industry. </w:t>
      </w:r>
    </w:p>
    <w:p w14:paraId="5089AB8E" w14:textId="77777777" w:rsidR="00B62031" w:rsidRDefault="00B62031" w:rsidP="00B62031">
      <w:pPr>
        <w:pStyle w:val="Paragraph"/>
      </w:pPr>
      <w:r>
        <w:t xml:space="preserve">Submissions covered a broad range of themes and wide-ranging views. Themes included international developments and examples, opportunities and challenges, potential use cases, candidate frequency bands for shared access, spectrum sharing principles and frameworks for shared access. </w:t>
      </w:r>
    </w:p>
    <w:p w14:paraId="4C873E07" w14:textId="7C6183EB" w:rsidR="00B62031" w:rsidRDefault="00B62031" w:rsidP="00B62031">
      <w:pPr>
        <w:pStyle w:val="Paragraph"/>
      </w:pPr>
      <w:r>
        <w:t>Views on the scope for non-traditional spectrum sharing diverged strongly. Operators who currently enjoy certain, largely exclusive, rights through spectrum licensing or other targeted authorisation mechanisms (</w:t>
      </w:r>
      <w:r w:rsidR="005E1DFD">
        <w:t>for example,</w:t>
      </w:r>
      <w:r>
        <w:t xml:space="preserve"> Defence apparatus licensing) expressed concerns around dynamic shared</w:t>
      </w:r>
      <w:r w:rsidR="005E1DFD">
        <w:t>-</w:t>
      </w:r>
      <w:r>
        <w:t>access regimes in these bands. Concerns specifically related to issues such as protection from interference, potential additional regulatory/administrative burdens and the erosion of current and future certainty of access. Overall, these concerns focused on aspects that they believed might ultimately compromise their current and future use of the spectrum</w:t>
      </w:r>
      <w:r w:rsidR="005E1DFD">
        <w:t>,</w:t>
      </w:r>
      <w:r>
        <w:t xml:space="preserve"> either from an interference or certainty perspective. </w:t>
      </w:r>
    </w:p>
    <w:p w14:paraId="7B636B68" w14:textId="2A2856BF" w:rsidR="00B62031" w:rsidRDefault="00B62031" w:rsidP="00B62031">
      <w:pPr>
        <w:pStyle w:val="Paragraph"/>
      </w:pPr>
      <w:r>
        <w:t xml:space="preserve">In contrast, there was significant interest from other operators such as wireless internet service providers (WISPs) and technology manufacturers/providers in adopting new sharing approaches that utilise more dynamic access arrangements. </w:t>
      </w:r>
      <w:proofErr w:type="gramStart"/>
      <w:r>
        <w:t>In particular, spectrum</w:t>
      </w:r>
      <w:proofErr w:type="gramEnd"/>
      <w:r>
        <w:t xml:space="preserve"> sharing was mooted as a potential means of enhancing wireless broadband </w:t>
      </w:r>
      <w:r w:rsidR="00F13A8F">
        <w:t>s</w:t>
      </w:r>
      <w:r>
        <w:t xml:space="preserve">ervices to regional communities. </w:t>
      </w:r>
    </w:p>
    <w:p w14:paraId="301C5EF5" w14:textId="0759CC41" w:rsidR="00B62031" w:rsidRDefault="00B62031" w:rsidP="00B62031">
      <w:pPr>
        <w:pStyle w:val="Paragraph"/>
      </w:pPr>
      <w:r>
        <w:t xml:space="preserve">Other drivers included a simple lack of spectrum supply and difficulties new market entrants face in accessing spectrum. </w:t>
      </w:r>
      <w:r w:rsidR="005E1DFD">
        <w:t>Several</w:t>
      </w:r>
      <w:r>
        <w:t xml:space="preserve"> candidate frequency bands were suggested, along with regulatory models based on regimes being considered or implemented in other countries. </w:t>
      </w:r>
    </w:p>
    <w:p w14:paraId="1F0A1822" w14:textId="1C8221C2" w:rsidR="000C38A9" w:rsidRPr="00222C38" w:rsidRDefault="000C38A9" w:rsidP="00D80F1E">
      <w:pPr>
        <w:pStyle w:val="Paragraph"/>
        <w:rPr>
          <w:bCs/>
        </w:rPr>
      </w:pPr>
      <w:r>
        <w:rPr>
          <w:rFonts w:eastAsiaTheme="minorHAnsi"/>
        </w:rPr>
        <w:t>This feedback highlighted that</w:t>
      </w:r>
      <w:r w:rsidRPr="00A86B78">
        <w:rPr>
          <w:rFonts w:eastAsiaTheme="minorHAnsi"/>
        </w:rPr>
        <w:t xml:space="preserve"> non-traditional spectrum sharing </w:t>
      </w:r>
      <w:r>
        <w:rPr>
          <w:rFonts w:eastAsiaTheme="minorHAnsi"/>
        </w:rPr>
        <w:t>approaches will not be appropriate in all circumstances. But clearly</w:t>
      </w:r>
      <w:r w:rsidR="000B46B1">
        <w:rPr>
          <w:rFonts w:eastAsiaTheme="minorHAnsi"/>
        </w:rPr>
        <w:t>,</w:t>
      </w:r>
      <w:r>
        <w:rPr>
          <w:rFonts w:eastAsiaTheme="minorHAnsi"/>
        </w:rPr>
        <w:t xml:space="preserve"> </w:t>
      </w:r>
      <w:r w:rsidRPr="00A86B78">
        <w:rPr>
          <w:rFonts w:eastAsiaTheme="minorHAnsi"/>
        </w:rPr>
        <w:t xml:space="preserve">there </w:t>
      </w:r>
      <w:r>
        <w:rPr>
          <w:rFonts w:eastAsiaTheme="minorHAnsi"/>
        </w:rPr>
        <w:t>are potential</w:t>
      </w:r>
      <w:r w:rsidRPr="00A86B78">
        <w:rPr>
          <w:rFonts w:eastAsiaTheme="minorHAnsi"/>
        </w:rPr>
        <w:t xml:space="preserve"> </w:t>
      </w:r>
      <w:r>
        <w:rPr>
          <w:rFonts w:eastAsiaTheme="minorHAnsi"/>
        </w:rPr>
        <w:t>avenues</w:t>
      </w:r>
      <w:r w:rsidRPr="00A86B78">
        <w:rPr>
          <w:rFonts w:eastAsiaTheme="minorHAnsi"/>
        </w:rPr>
        <w:t xml:space="preserve"> where its application could be beneficial to both industry and consumers. </w:t>
      </w:r>
      <w:r>
        <w:rPr>
          <w:rFonts w:eastAsiaTheme="minorHAnsi"/>
        </w:rPr>
        <w:t xml:space="preserve">Realising these benefits </w:t>
      </w:r>
      <w:r w:rsidR="00646695">
        <w:rPr>
          <w:rFonts w:eastAsiaTheme="minorHAnsi"/>
        </w:rPr>
        <w:t>are</w:t>
      </w:r>
      <w:r>
        <w:rPr>
          <w:rFonts w:eastAsiaTheme="minorHAnsi"/>
        </w:rPr>
        <w:t xml:space="preserve"> made difficult by the somewhat polarised views expressed by industry. Without commitment from a range of sectors, and without a clear ‘champion’ that not only advocates for </w:t>
      </w:r>
      <w:r w:rsidRPr="00222C38">
        <w:rPr>
          <w:rFonts w:eastAsiaTheme="minorHAnsi"/>
        </w:rPr>
        <w:t>the introduction of non-traditional spectrum</w:t>
      </w:r>
      <w:r w:rsidR="000B46B1">
        <w:rPr>
          <w:rFonts w:eastAsiaTheme="minorHAnsi"/>
        </w:rPr>
        <w:t>-</w:t>
      </w:r>
      <w:r w:rsidRPr="00222C38">
        <w:rPr>
          <w:rFonts w:eastAsiaTheme="minorHAnsi"/>
        </w:rPr>
        <w:t xml:space="preserve">sharing </w:t>
      </w:r>
      <w:r>
        <w:rPr>
          <w:rFonts w:eastAsiaTheme="minorHAnsi"/>
        </w:rPr>
        <w:t xml:space="preserve">arrangements, but will also design and propose arrangements that might be workable within existing frameworks, it is hard to see where the momentum for this type of change will come from. </w:t>
      </w:r>
    </w:p>
    <w:p w14:paraId="614C9D87" w14:textId="77777777" w:rsidR="000C38A9" w:rsidRPr="0083791F" w:rsidRDefault="000C38A9" w:rsidP="00D80F1E">
      <w:pPr>
        <w:pStyle w:val="Paragraph"/>
        <w:rPr>
          <w:rFonts w:eastAsiaTheme="minorHAnsi"/>
        </w:rPr>
      </w:pPr>
      <w:r w:rsidRPr="0083791F">
        <w:rPr>
          <w:rFonts w:eastAsiaTheme="minorHAnsi"/>
        </w:rPr>
        <w:t>The</w:t>
      </w:r>
      <w:r w:rsidRPr="00180B6D">
        <w:rPr>
          <w:rFonts w:eastAsiaTheme="minorHAnsi"/>
        </w:rPr>
        <w:t xml:space="preserve"> ACMA </w:t>
      </w:r>
      <w:r w:rsidRPr="0083791F">
        <w:rPr>
          <w:rFonts w:eastAsiaTheme="minorHAnsi"/>
        </w:rPr>
        <w:t xml:space="preserve">recognises that industry seeks access to suitable spectrum in a way that </w:t>
      </w:r>
      <w:r>
        <w:rPr>
          <w:rFonts w:eastAsiaTheme="minorHAnsi"/>
        </w:rPr>
        <w:t xml:space="preserve">best </w:t>
      </w:r>
      <w:r w:rsidRPr="0083791F">
        <w:rPr>
          <w:rFonts w:eastAsiaTheme="minorHAnsi"/>
        </w:rPr>
        <w:t xml:space="preserve">meets their needs. </w:t>
      </w:r>
      <w:r>
        <w:rPr>
          <w:rFonts w:eastAsiaTheme="minorHAnsi"/>
        </w:rPr>
        <w:t>In this context, s</w:t>
      </w:r>
      <w:r w:rsidRPr="0083791F">
        <w:rPr>
          <w:rFonts w:eastAsiaTheme="minorHAnsi"/>
        </w:rPr>
        <w:t xml:space="preserve">uitable spectrum </w:t>
      </w:r>
      <w:r>
        <w:rPr>
          <w:rFonts w:eastAsiaTheme="minorHAnsi"/>
        </w:rPr>
        <w:t xml:space="preserve">can mean that which has </w:t>
      </w:r>
      <w:r>
        <w:rPr>
          <w:rFonts w:eastAsiaTheme="minorHAnsi"/>
        </w:rPr>
        <w:lastRenderedPageBreak/>
        <w:t>optimal</w:t>
      </w:r>
      <w:r w:rsidRPr="0083791F">
        <w:rPr>
          <w:rFonts w:eastAsiaTheme="minorHAnsi"/>
        </w:rPr>
        <w:t xml:space="preserve"> propagation </w:t>
      </w:r>
      <w:r>
        <w:rPr>
          <w:rFonts w:eastAsiaTheme="minorHAnsi"/>
        </w:rPr>
        <w:t xml:space="preserve">characteristics </w:t>
      </w:r>
      <w:r w:rsidRPr="0083791F">
        <w:rPr>
          <w:rFonts w:eastAsiaTheme="minorHAnsi"/>
        </w:rPr>
        <w:t>and</w:t>
      </w:r>
      <w:r>
        <w:rPr>
          <w:rFonts w:eastAsiaTheme="minorHAnsi"/>
        </w:rPr>
        <w:t>/or</w:t>
      </w:r>
      <w:r w:rsidRPr="0083791F">
        <w:rPr>
          <w:rFonts w:eastAsiaTheme="minorHAnsi"/>
        </w:rPr>
        <w:t xml:space="preserve"> equipment availability</w:t>
      </w:r>
      <w:r>
        <w:rPr>
          <w:rFonts w:eastAsiaTheme="minorHAnsi"/>
        </w:rPr>
        <w:t>, and ideally</w:t>
      </w:r>
      <w:r w:rsidRPr="0083791F">
        <w:rPr>
          <w:rFonts w:eastAsiaTheme="minorHAnsi"/>
        </w:rPr>
        <w:t xml:space="preserve"> be available under a licensing regime that is </w:t>
      </w:r>
      <w:r>
        <w:rPr>
          <w:rFonts w:eastAsiaTheme="minorHAnsi"/>
        </w:rPr>
        <w:t>most conducive to</w:t>
      </w:r>
      <w:r w:rsidRPr="0083791F">
        <w:rPr>
          <w:rFonts w:eastAsiaTheme="minorHAnsi"/>
        </w:rPr>
        <w:t xml:space="preserve"> their </w:t>
      </w:r>
      <w:r>
        <w:rPr>
          <w:rFonts w:eastAsiaTheme="minorHAnsi"/>
        </w:rPr>
        <w:t>business needs</w:t>
      </w:r>
      <w:r w:rsidRPr="0083791F">
        <w:rPr>
          <w:rFonts w:eastAsiaTheme="minorHAnsi"/>
        </w:rPr>
        <w:t xml:space="preserve">. </w:t>
      </w:r>
    </w:p>
    <w:p w14:paraId="6276B2CC" w14:textId="6BCAF334" w:rsidR="00B62031" w:rsidRDefault="00B62031" w:rsidP="00B62031">
      <w:pPr>
        <w:pStyle w:val="Paragraph"/>
      </w:pPr>
      <w:r>
        <w:t>In the context of the current discussion, this access can be achieved in one of three ways</w:t>
      </w:r>
      <w:r w:rsidR="005E1DFD">
        <w:t>—</w:t>
      </w:r>
      <w:r>
        <w:t>through ‘traditional’ licensing arrangements using static sharing means, via non-traditional shared access through techniques such as dynamic spectrum access (DSA)</w:t>
      </w:r>
      <w:r w:rsidR="000B46B1">
        <w:t>,</w:t>
      </w:r>
      <w:r>
        <w:t xml:space="preserve"> and increased access to wide-area licensed spectrum holdings on a geographic availability basis. The ACMA notes that these approaches aren’t mutually exclusive</w:t>
      </w:r>
      <w:r w:rsidR="005E1DFD">
        <w:t>—</w:t>
      </w:r>
      <w:r>
        <w:t>for example</w:t>
      </w:r>
      <w:r w:rsidR="005E1DFD">
        <w:t>,</w:t>
      </w:r>
      <w:r>
        <w:t xml:space="preserve"> DSA arrangements are often associated with access to spectrum already subject to wide-area licences. </w:t>
      </w:r>
    </w:p>
    <w:p w14:paraId="7EB62E26" w14:textId="77777777" w:rsidR="00793C59" w:rsidRPr="0083791F" w:rsidRDefault="00793C59" w:rsidP="00F13A8F">
      <w:pPr>
        <w:pStyle w:val="Heading2"/>
        <w:rPr>
          <w:rFonts w:eastAsiaTheme="minorHAnsi"/>
        </w:rPr>
      </w:pPr>
      <w:bookmarkStart w:id="1" w:name="_Toc38020749"/>
      <w:bookmarkStart w:id="2" w:name="_Toc41055449"/>
      <w:r w:rsidRPr="0083791F">
        <w:rPr>
          <w:rFonts w:eastAsiaTheme="minorHAnsi"/>
        </w:rPr>
        <w:t>Traditional access</w:t>
      </w:r>
      <w:r>
        <w:rPr>
          <w:rFonts w:eastAsiaTheme="minorHAnsi"/>
        </w:rPr>
        <w:t xml:space="preserve"> arrangements</w:t>
      </w:r>
      <w:bookmarkEnd w:id="1"/>
      <w:bookmarkEnd w:id="2"/>
    </w:p>
    <w:p w14:paraId="2E15532E" w14:textId="7C24CDA1" w:rsidR="00793C59" w:rsidRDefault="00793C59" w:rsidP="00F13A8F">
      <w:pPr>
        <w:pStyle w:val="Paragraph"/>
        <w:rPr>
          <w:rFonts w:eastAsiaTheme="minorHAnsi"/>
        </w:rPr>
      </w:pPr>
      <w:r>
        <w:rPr>
          <w:rFonts w:eastAsiaTheme="minorHAnsi"/>
        </w:rPr>
        <w:t xml:space="preserve">As outlined </w:t>
      </w:r>
      <w:r w:rsidRPr="00C22BFF">
        <w:rPr>
          <w:rFonts w:eastAsiaTheme="minorHAnsi"/>
        </w:rPr>
        <w:t xml:space="preserve">in the </w:t>
      </w:r>
      <w:hyperlink r:id="rId25" w:history="1">
        <w:r w:rsidR="00892139" w:rsidRPr="00892139">
          <w:rPr>
            <w:rStyle w:val="Hyperlink"/>
            <w:rFonts w:eastAsiaTheme="minorHAnsi"/>
          </w:rPr>
          <w:t>five-year spectrum outlook</w:t>
        </w:r>
      </w:hyperlink>
      <w:r w:rsidRPr="00C22BFF">
        <w:rPr>
          <w:rFonts w:eastAsiaTheme="minorHAnsi"/>
        </w:rPr>
        <w:t xml:space="preserve"> (FYSO), the ACMA continues its work program of developing new</w:t>
      </w:r>
      <w:r>
        <w:rPr>
          <w:rFonts w:eastAsiaTheme="minorHAnsi"/>
        </w:rPr>
        <w:t xml:space="preserve">, and optimising existing, </w:t>
      </w:r>
      <w:r w:rsidRPr="00C22BFF">
        <w:rPr>
          <w:rFonts w:eastAsiaTheme="minorHAnsi"/>
        </w:rPr>
        <w:t xml:space="preserve">spectrum access arrangements. This work program recently delivered </w:t>
      </w:r>
      <w:proofErr w:type="gramStart"/>
      <w:r w:rsidRPr="00C22BFF">
        <w:rPr>
          <w:rFonts w:eastAsiaTheme="minorHAnsi"/>
        </w:rPr>
        <w:t>a number of</w:t>
      </w:r>
      <w:proofErr w:type="gramEnd"/>
      <w:r w:rsidRPr="00C22BFF">
        <w:rPr>
          <w:rFonts w:eastAsiaTheme="minorHAnsi"/>
        </w:rPr>
        <w:t xml:space="preserve"> decisions that</w:t>
      </w:r>
      <w:r w:rsidR="005E1DFD">
        <w:rPr>
          <w:rFonts w:eastAsiaTheme="minorHAnsi"/>
        </w:rPr>
        <w:t>,</w:t>
      </w:r>
      <w:r w:rsidRPr="00C22BFF">
        <w:rPr>
          <w:rFonts w:eastAsiaTheme="minorHAnsi"/>
        </w:rPr>
        <w:t xml:space="preserve"> once implemented</w:t>
      </w:r>
      <w:r w:rsidR="005E1DFD">
        <w:rPr>
          <w:rFonts w:eastAsiaTheme="minorHAnsi"/>
        </w:rPr>
        <w:t>,</w:t>
      </w:r>
      <w:r w:rsidRPr="00C22BFF">
        <w:rPr>
          <w:rFonts w:eastAsiaTheme="minorHAnsi"/>
        </w:rPr>
        <w:t xml:space="preserve"> will provide</w:t>
      </w:r>
      <w:r>
        <w:rPr>
          <w:rFonts w:eastAsiaTheme="minorHAnsi"/>
        </w:rPr>
        <w:t xml:space="preserve"> internationally harmonised spectrum for standardised wireless broadband technologies under ‘traditional’ licensing regimes. This includes licensing approaches specifically designed for operators seeking to provide localised wireless broadband services. The ACMA’s </w:t>
      </w:r>
      <w:r w:rsidR="00561B59">
        <w:rPr>
          <w:rFonts w:eastAsiaTheme="minorHAnsi"/>
        </w:rPr>
        <w:t xml:space="preserve">information paper on </w:t>
      </w:r>
      <w:hyperlink r:id="rId26" w:history="1">
        <w:r w:rsidR="00561B59" w:rsidRPr="00561B59">
          <w:rPr>
            <w:rStyle w:val="Hyperlink"/>
            <w:rFonts w:eastAsiaTheme="minorHAnsi"/>
          </w:rPr>
          <w:t>s</w:t>
        </w:r>
        <w:r w:rsidRPr="00561B59">
          <w:rPr>
            <w:rStyle w:val="Hyperlink"/>
            <w:rFonts w:eastAsiaTheme="minorHAnsi"/>
          </w:rPr>
          <w:t>pectrum options for local area wireless broadband services</w:t>
        </w:r>
      </w:hyperlink>
      <w:r w:rsidDel="009C6978">
        <w:rPr>
          <w:rFonts w:eastAsiaTheme="minorHAnsi"/>
        </w:rPr>
        <w:t xml:space="preserve"> </w:t>
      </w:r>
      <w:r>
        <w:rPr>
          <w:rFonts w:eastAsiaTheme="minorHAnsi"/>
        </w:rPr>
        <w:t xml:space="preserve">outlines current and planned spectrum options and licensing approaches suitable for local area wireless broadband providers. </w:t>
      </w:r>
    </w:p>
    <w:p w14:paraId="0324CA6E" w14:textId="77777777" w:rsidR="00793C59" w:rsidRDefault="00793C59" w:rsidP="00793C59">
      <w:pPr>
        <w:pStyle w:val="ACMABodyText"/>
        <w:spacing w:before="120" w:line="240" w:lineRule="auto"/>
        <w:rPr>
          <w:rFonts w:ascii="Arial" w:eastAsiaTheme="minorHAnsi" w:hAnsi="Arial" w:cs="Arial"/>
          <w:snapToGrid/>
          <w:sz w:val="20"/>
        </w:rPr>
      </w:pPr>
      <w:r>
        <w:rPr>
          <w:rFonts w:ascii="Arial" w:eastAsiaTheme="minorHAnsi" w:hAnsi="Arial" w:cs="Arial"/>
          <w:snapToGrid/>
          <w:sz w:val="20"/>
        </w:rPr>
        <w:t xml:space="preserve">In addition to those arrangements where decisions have already been made, the FYSO also identifies </w:t>
      </w:r>
      <w:proofErr w:type="gramStart"/>
      <w:r>
        <w:rPr>
          <w:rFonts w:ascii="Arial" w:eastAsiaTheme="minorHAnsi" w:hAnsi="Arial" w:cs="Arial"/>
          <w:snapToGrid/>
          <w:sz w:val="20"/>
        </w:rPr>
        <w:t>a number of</w:t>
      </w:r>
      <w:proofErr w:type="gramEnd"/>
      <w:r>
        <w:rPr>
          <w:rFonts w:ascii="Arial" w:eastAsiaTheme="minorHAnsi" w:hAnsi="Arial" w:cs="Arial"/>
          <w:snapToGrid/>
          <w:sz w:val="20"/>
        </w:rPr>
        <w:t xml:space="preserve"> additional bands that are currently being reviewed that, depending on ACMA decisions, may also offer additional options for similar use cases. </w:t>
      </w:r>
    </w:p>
    <w:p w14:paraId="357692B6" w14:textId="5B2C69BF" w:rsidR="00793C59" w:rsidRPr="0083791F" w:rsidRDefault="00793C59" w:rsidP="00F13A8F">
      <w:pPr>
        <w:pStyle w:val="Heading2"/>
        <w:rPr>
          <w:rFonts w:eastAsiaTheme="minorHAnsi"/>
        </w:rPr>
      </w:pPr>
      <w:bookmarkStart w:id="3" w:name="_Toc38020750"/>
      <w:bookmarkStart w:id="4" w:name="_Toc41055450"/>
      <w:r w:rsidRPr="0083791F">
        <w:rPr>
          <w:rFonts w:eastAsiaTheme="minorHAnsi"/>
        </w:rPr>
        <w:t>D</w:t>
      </w:r>
      <w:r w:rsidR="0087119D">
        <w:rPr>
          <w:rFonts w:eastAsiaTheme="minorHAnsi"/>
        </w:rPr>
        <w:t>ynamic Spectrum Access</w:t>
      </w:r>
      <w:r>
        <w:rPr>
          <w:rFonts w:eastAsiaTheme="minorHAnsi"/>
        </w:rPr>
        <w:t xml:space="preserve"> </w:t>
      </w:r>
      <w:r w:rsidR="00D95A13">
        <w:rPr>
          <w:rFonts w:eastAsiaTheme="minorHAnsi"/>
        </w:rPr>
        <w:t>a</w:t>
      </w:r>
      <w:r>
        <w:rPr>
          <w:rFonts w:eastAsiaTheme="minorHAnsi"/>
        </w:rPr>
        <w:t>rrangements</w:t>
      </w:r>
      <w:bookmarkEnd w:id="3"/>
      <w:bookmarkEnd w:id="4"/>
    </w:p>
    <w:p w14:paraId="20E7252A" w14:textId="1F35E597" w:rsidR="00793C59" w:rsidRDefault="00793C59" w:rsidP="00F13A8F">
      <w:pPr>
        <w:pStyle w:val="Paragraph"/>
        <w:rPr>
          <w:rFonts w:eastAsiaTheme="minorHAnsi"/>
        </w:rPr>
      </w:pPr>
      <w:r>
        <w:rPr>
          <w:rFonts w:eastAsiaTheme="minorHAnsi"/>
        </w:rPr>
        <w:t xml:space="preserve">Based on the evidence </w:t>
      </w:r>
      <w:r w:rsidR="0087119D">
        <w:rPr>
          <w:rFonts w:eastAsiaTheme="minorHAnsi"/>
        </w:rPr>
        <w:t>currently available</w:t>
      </w:r>
      <w:r w:rsidR="00405FFB">
        <w:rPr>
          <w:rFonts w:eastAsiaTheme="minorHAnsi"/>
        </w:rPr>
        <w:t>,</w:t>
      </w:r>
      <w:r>
        <w:rPr>
          <w:rFonts w:eastAsiaTheme="minorHAnsi"/>
        </w:rPr>
        <w:t xml:space="preserve"> there appears to be two broad options available </w:t>
      </w:r>
      <w:r w:rsidR="0087119D">
        <w:rPr>
          <w:rFonts w:eastAsiaTheme="minorHAnsi"/>
        </w:rPr>
        <w:t>to progress</w:t>
      </w:r>
      <w:r>
        <w:rPr>
          <w:rFonts w:eastAsiaTheme="minorHAnsi"/>
        </w:rPr>
        <w:t xml:space="preserve"> new non-traditional sharing via DSA. </w:t>
      </w:r>
    </w:p>
    <w:p w14:paraId="5E898CF4" w14:textId="4CAE901D" w:rsidR="00793C59" w:rsidRDefault="00793C59" w:rsidP="00F13A8F">
      <w:pPr>
        <w:pStyle w:val="Paragraph"/>
        <w:rPr>
          <w:rFonts w:eastAsiaTheme="minorHAnsi"/>
        </w:rPr>
      </w:pPr>
      <w:r>
        <w:rPr>
          <w:rFonts w:eastAsiaTheme="minorHAnsi"/>
        </w:rPr>
        <w:t xml:space="preserve">The first option is for the ACMA to </w:t>
      </w:r>
      <w:r w:rsidR="00620CF5">
        <w:rPr>
          <w:rFonts w:eastAsiaTheme="minorHAnsi"/>
        </w:rPr>
        <w:t xml:space="preserve">begin </w:t>
      </w:r>
      <w:r>
        <w:rPr>
          <w:rFonts w:eastAsiaTheme="minorHAnsi"/>
        </w:rPr>
        <w:t>develop</w:t>
      </w:r>
      <w:r w:rsidR="00620CF5">
        <w:rPr>
          <w:rFonts w:eastAsiaTheme="minorHAnsi"/>
        </w:rPr>
        <w:t>ing</w:t>
      </w:r>
      <w:r>
        <w:rPr>
          <w:rFonts w:eastAsiaTheme="minorHAnsi"/>
        </w:rPr>
        <w:t xml:space="preserve"> and implement</w:t>
      </w:r>
      <w:r w:rsidR="00620CF5">
        <w:rPr>
          <w:rFonts w:eastAsiaTheme="minorHAnsi"/>
        </w:rPr>
        <w:t>ing</w:t>
      </w:r>
      <w:r>
        <w:rPr>
          <w:rFonts w:eastAsiaTheme="minorHAnsi"/>
        </w:rPr>
        <w:t xml:space="preserve"> DSA frameworks </w:t>
      </w:r>
      <w:r w:rsidRPr="00014D8A">
        <w:rPr>
          <w:rFonts w:eastAsiaTheme="minorHAnsi"/>
        </w:rPr>
        <w:t>contemplated</w:t>
      </w:r>
      <w:r>
        <w:rPr>
          <w:rFonts w:eastAsiaTheme="minorHAnsi"/>
        </w:rPr>
        <w:t xml:space="preserve"> in the recent discussion. </w:t>
      </w:r>
    </w:p>
    <w:p w14:paraId="36A68C7F" w14:textId="6B7050F2" w:rsidR="0087119D" w:rsidRDefault="00A26725" w:rsidP="00B33E36">
      <w:pPr>
        <w:pStyle w:val="Paragraph"/>
        <w:rPr>
          <w:rFonts w:eastAsiaTheme="minorHAnsi"/>
        </w:rPr>
      </w:pPr>
      <w:r>
        <w:rPr>
          <w:rFonts w:eastAsiaTheme="minorHAnsi"/>
        </w:rPr>
        <w:t>The second option is</w:t>
      </w:r>
      <w:r w:rsidR="00160ADB">
        <w:rPr>
          <w:rFonts w:eastAsiaTheme="minorHAnsi"/>
        </w:rPr>
        <w:t xml:space="preserve"> to take a</w:t>
      </w:r>
      <w:r w:rsidR="0087119D">
        <w:rPr>
          <w:rFonts w:eastAsiaTheme="minorHAnsi"/>
        </w:rPr>
        <w:t xml:space="preserve"> more responsive </w:t>
      </w:r>
      <w:r w:rsidR="00160ADB">
        <w:rPr>
          <w:rFonts w:eastAsiaTheme="minorHAnsi"/>
        </w:rPr>
        <w:t xml:space="preserve">approach, </w:t>
      </w:r>
      <w:r w:rsidR="0087119D">
        <w:rPr>
          <w:rFonts w:eastAsiaTheme="minorHAnsi"/>
        </w:rPr>
        <w:t xml:space="preserve">where the ACMA </w:t>
      </w:r>
      <w:r w:rsidR="00160ADB">
        <w:rPr>
          <w:rFonts w:eastAsiaTheme="minorHAnsi"/>
        </w:rPr>
        <w:t>might, for example,</w:t>
      </w:r>
      <w:r>
        <w:rPr>
          <w:rFonts w:eastAsiaTheme="minorHAnsi"/>
        </w:rPr>
        <w:t xml:space="preserve"> facilitate trials and/or implement</w:t>
      </w:r>
      <w:r w:rsidR="0087119D">
        <w:rPr>
          <w:rFonts w:eastAsiaTheme="minorHAnsi"/>
        </w:rPr>
        <w:t xml:space="preserve"> </w:t>
      </w:r>
      <w:r w:rsidR="00160ADB">
        <w:rPr>
          <w:rFonts w:eastAsiaTheme="minorHAnsi"/>
        </w:rPr>
        <w:t>certain</w:t>
      </w:r>
      <w:r w:rsidR="0087119D">
        <w:rPr>
          <w:rFonts w:eastAsiaTheme="minorHAnsi"/>
        </w:rPr>
        <w:t xml:space="preserve"> </w:t>
      </w:r>
      <w:r>
        <w:rPr>
          <w:rFonts w:eastAsiaTheme="minorHAnsi"/>
        </w:rPr>
        <w:t xml:space="preserve">sharing approaches </w:t>
      </w:r>
      <w:r w:rsidR="0087119D">
        <w:rPr>
          <w:rFonts w:eastAsiaTheme="minorHAnsi"/>
        </w:rPr>
        <w:t>in response to specific proposal</w:t>
      </w:r>
      <w:r w:rsidR="00160ADB">
        <w:rPr>
          <w:rFonts w:eastAsiaTheme="minorHAnsi"/>
        </w:rPr>
        <w:t xml:space="preserve">s </w:t>
      </w:r>
      <w:r w:rsidR="0087119D">
        <w:rPr>
          <w:rFonts w:eastAsiaTheme="minorHAnsi"/>
        </w:rPr>
        <w:t xml:space="preserve">among relevant parties </w:t>
      </w:r>
      <w:r w:rsidR="00160ADB">
        <w:rPr>
          <w:rFonts w:eastAsiaTheme="minorHAnsi"/>
        </w:rPr>
        <w:t>that might</w:t>
      </w:r>
      <w:r w:rsidR="0087119D">
        <w:rPr>
          <w:rFonts w:eastAsiaTheme="minorHAnsi"/>
        </w:rPr>
        <w:t xml:space="preserve"> share the spectrum.</w:t>
      </w:r>
    </w:p>
    <w:p w14:paraId="7961B14D" w14:textId="3629E735" w:rsidR="0073505E" w:rsidRDefault="00866AED" w:rsidP="0073505E">
      <w:pPr>
        <w:pStyle w:val="Paragraph"/>
        <w:rPr>
          <w:rFonts w:eastAsiaTheme="minorHAnsi"/>
        </w:rPr>
      </w:pPr>
      <w:r w:rsidRPr="000B46B1">
        <w:rPr>
          <w:rFonts w:eastAsiaTheme="minorHAnsi"/>
        </w:rPr>
        <w:t xml:space="preserve">While there is momentum in some international jurisdictions, and we recognise general interest in the Australian market, the ACMA has not received any detailed sharing proposals for consideration. Therefore, </w:t>
      </w:r>
      <w:r w:rsidR="00014D8A">
        <w:rPr>
          <w:rFonts w:eastAsiaTheme="minorHAnsi"/>
        </w:rPr>
        <w:t>given the</w:t>
      </w:r>
      <w:r w:rsidR="0087119D">
        <w:rPr>
          <w:rFonts w:eastAsiaTheme="minorHAnsi"/>
        </w:rPr>
        <w:t xml:space="preserve"> </w:t>
      </w:r>
      <w:r w:rsidR="00160ADB">
        <w:rPr>
          <w:rFonts w:eastAsiaTheme="minorHAnsi"/>
        </w:rPr>
        <w:t xml:space="preserve">existing spectrum </w:t>
      </w:r>
      <w:r w:rsidR="0087119D">
        <w:rPr>
          <w:rFonts w:eastAsiaTheme="minorHAnsi"/>
        </w:rPr>
        <w:t xml:space="preserve">options </w:t>
      </w:r>
      <w:r w:rsidR="00160ADB">
        <w:rPr>
          <w:rFonts w:eastAsiaTheme="minorHAnsi"/>
        </w:rPr>
        <w:t xml:space="preserve">available </w:t>
      </w:r>
      <w:r w:rsidR="0087119D">
        <w:rPr>
          <w:rFonts w:eastAsiaTheme="minorHAnsi"/>
        </w:rPr>
        <w:t xml:space="preserve">to </w:t>
      </w:r>
      <w:r w:rsidR="00160ADB">
        <w:rPr>
          <w:rFonts w:eastAsiaTheme="minorHAnsi"/>
        </w:rPr>
        <w:t>prospective licensees</w:t>
      </w:r>
      <w:r w:rsidR="0087119D">
        <w:rPr>
          <w:rFonts w:eastAsiaTheme="minorHAnsi"/>
        </w:rPr>
        <w:t>, and</w:t>
      </w:r>
      <w:r w:rsidR="00160ADB">
        <w:rPr>
          <w:rFonts w:eastAsiaTheme="minorHAnsi"/>
        </w:rPr>
        <w:t xml:space="preserve"> noting the</w:t>
      </w:r>
      <w:r w:rsidR="0087119D">
        <w:rPr>
          <w:rFonts w:eastAsiaTheme="minorHAnsi"/>
        </w:rPr>
        <w:t xml:space="preserve"> current limited interest in sharing, the ACMA </w:t>
      </w:r>
      <w:r w:rsidR="00160ADB">
        <w:rPr>
          <w:rFonts w:eastAsiaTheme="minorHAnsi"/>
        </w:rPr>
        <w:t>does</w:t>
      </w:r>
      <w:r w:rsidR="0087119D">
        <w:rPr>
          <w:rFonts w:eastAsiaTheme="minorHAnsi"/>
        </w:rPr>
        <w:t xml:space="preserve"> not intend to priori</w:t>
      </w:r>
      <w:r w:rsidR="00160ADB">
        <w:rPr>
          <w:rFonts w:eastAsiaTheme="minorHAnsi"/>
        </w:rPr>
        <w:t>tis</w:t>
      </w:r>
      <w:r w:rsidR="0087119D">
        <w:rPr>
          <w:rFonts w:eastAsiaTheme="minorHAnsi"/>
        </w:rPr>
        <w:t xml:space="preserve">e </w:t>
      </w:r>
      <w:r w:rsidRPr="000B46B1">
        <w:rPr>
          <w:rFonts w:eastAsiaTheme="minorHAnsi"/>
        </w:rPr>
        <w:t xml:space="preserve">the development of a formal, ongoing DSA regime at this time. </w:t>
      </w:r>
    </w:p>
    <w:p w14:paraId="53579152" w14:textId="09029D74" w:rsidR="00866AED" w:rsidRPr="000B46B1" w:rsidRDefault="0073505E" w:rsidP="000B46B1">
      <w:pPr>
        <w:pStyle w:val="Paragraph"/>
        <w:rPr>
          <w:rFonts w:eastAsiaTheme="minorHAnsi"/>
        </w:rPr>
      </w:pPr>
      <w:r>
        <w:t xml:space="preserve">The ACMA remains open to supporting industry-led trials of non-traditional spectrum sharing arrangements such as DSA. While some </w:t>
      </w:r>
      <w:r w:rsidRPr="000B46B1">
        <w:t>submissions</w:t>
      </w:r>
      <w:r>
        <w:t xml:space="preserve"> provided details on what potential shared-access deployments might look like, for example, which technologies, frequencies and licensing frameworks might be suitable, we are interested in receiving specific and detailed trial proposals. </w:t>
      </w:r>
      <w:r w:rsidRPr="0083791F">
        <w:rPr>
          <w:rFonts w:eastAsiaTheme="minorHAnsi"/>
        </w:rPr>
        <w:t>If feasible</w:t>
      </w:r>
      <w:r>
        <w:rPr>
          <w:rFonts w:eastAsiaTheme="minorHAnsi"/>
        </w:rPr>
        <w:t>,</w:t>
      </w:r>
      <w:r w:rsidRPr="0083791F">
        <w:rPr>
          <w:rFonts w:eastAsiaTheme="minorHAnsi"/>
        </w:rPr>
        <w:t xml:space="preserve"> the ACMA is prepared to both facilitate discussions between affected/interested operators and assist with licensing arrangements to help enable such trials.</w:t>
      </w:r>
      <w:r>
        <w:rPr>
          <w:rFonts w:eastAsiaTheme="minorHAnsi"/>
        </w:rPr>
        <w:t xml:space="preserve"> We continue to </w:t>
      </w:r>
      <w:r w:rsidR="0087119D">
        <w:rPr>
          <w:rFonts w:eastAsiaTheme="minorHAnsi"/>
        </w:rPr>
        <w:t xml:space="preserve">welcome </w:t>
      </w:r>
      <w:r w:rsidR="00073C92">
        <w:rPr>
          <w:rFonts w:eastAsiaTheme="minorHAnsi"/>
        </w:rPr>
        <w:t xml:space="preserve">any </w:t>
      </w:r>
      <w:r w:rsidR="0087119D">
        <w:rPr>
          <w:rFonts w:eastAsiaTheme="minorHAnsi"/>
        </w:rPr>
        <w:t>a</w:t>
      </w:r>
      <w:r w:rsidR="00866AED" w:rsidRPr="000B46B1">
        <w:rPr>
          <w:rFonts w:eastAsiaTheme="minorHAnsi"/>
        </w:rPr>
        <w:t>dditional evidence and information from industry to inform the possible development of ongoing domestic DSA regulatory arrangements</w:t>
      </w:r>
      <w:r w:rsidR="0087119D">
        <w:rPr>
          <w:rFonts w:eastAsiaTheme="minorHAnsi"/>
        </w:rPr>
        <w:t xml:space="preserve">. </w:t>
      </w:r>
      <w:r w:rsidR="00866AED" w:rsidRPr="000B46B1">
        <w:rPr>
          <w:rFonts w:eastAsiaTheme="minorHAnsi"/>
        </w:rPr>
        <w:t xml:space="preserve"> </w:t>
      </w:r>
    </w:p>
    <w:p w14:paraId="616EDC51" w14:textId="445F1A32" w:rsidR="00866AED" w:rsidRDefault="00866AED" w:rsidP="00B33E36">
      <w:pPr>
        <w:pStyle w:val="Paragraph"/>
        <w:rPr>
          <w:rFonts w:eastAsiaTheme="minorHAnsi"/>
        </w:rPr>
      </w:pPr>
      <w:r>
        <w:rPr>
          <w:rFonts w:eastAsiaTheme="minorHAnsi"/>
        </w:rPr>
        <w:lastRenderedPageBreak/>
        <w:t>Importantly, this approach will help Australia to benefit from international experience (for example</w:t>
      </w:r>
      <w:r w:rsidR="000B46B1">
        <w:rPr>
          <w:rFonts w:eastAsiaTheme="minorHAnsi"/>
        </w:rPr>
        <w:t>,</w:t>
      </w:r>
      <w:r>
        <w:rPr>
          <w:rFonts w:eastAsiaTheme="minorHAnsi"/>
        </w:rPr>
        <w:t xml:space="preserve"> lessons learned from the </w:t>
      </w:r>
      <w:r w:rsidRPr="003405B1">
        <w:rPr>
          <w:rFonts w:eastAsiaTheme="minorHAnsi"/>
        </w:rPr>
        <w:t xml:space="preserve">US Citizens Broadband Radio Service (CBRS) </w:t>
      </w:r>
      <w:r>
        <w:rPr>
          <w:rFonts w:eastAsiaTheme="minorHAnsi"/>
        </w:rPr>
        <w:t xml:space="preserve">rollout), and for domestic trials to be supported where possible. Both opportunities will help bridge the knowledge gap and inform future considerations. </w:t>
      </w:r>
    </w:p>
    <w:p w14:paraId="29054518" w14:textId="144B1C91" w:rsidR="00793C59" w:rsidRPr="0083791F" w:rsidRDefault="00793C59" w:rsidP="00F13A8F">
      <w:pPr>
        <w:pStyle w:val="Heading2"/>
        <w:rPr>
          <w:rFonts w:eastAsiaTheme="minorHAnsi"/>
        </w:rPr>
      </w:pPr>
      <w:bookmarkStart w:id="5" w:name="_Toc41055451"/>
      <w:bookmarkStart w:id="6" w:name="_Toc38020751"/>
      <w:r>
        <w:rPr>
          <w:rFonts w:eastAsiaTheme="minorHAnsi"/>
        </w:rPr>
        <w:t>A</w:t>
      </w:r>
      <w:r w:rsidRPr="0083791F">
        <w:rPr>
          <w:rFonts w:eastAsiaTheme="minorHAnsi"/>
        </w:rPr>
        <w:t>ccess</w:t>
      </w:r>
      <w:r>
        <w:rPr>
          <w:rFonts w:eastAsiaTheme="minorHAnsi"/>
        </w:rPr>
        <w:t xml:space="preserve"> to</w:t>
      </w:r>
      <w:r w:rsidRPr="0083791F">
        <w:rPr>
          <w:rFonts w:eastAsiaTheme="minorHAnsi"/>
        </w:rPr>
        <w:t xml:space="preserve"> </w:t>
      </w:r>
      <w:r>
        <w:rPr>
          <w:rFonts w:eastAsiaTheme="minorHAnsi"/>
        </w:rPr>
        <w:t>wide-area licensed spectrum</w:t>
      </w:r>
      <w:bookmarkEnd w:id="5"/>
      <w:r>
        <w:rPr>
          <w:rFonts w:eastAsiaTheme="minorHAnsi"/>
        </w:rPr>
        <w:t xml:space="preserve"> </w:t>
      </w:r>
      <w:bookmarkEnd w:id="6"/>
    </w:p>
    <w:p w14:paraId="6B30D0E7" w14:textId="77777777" w:rsidR="0073505E" w:rsidRDefault="00CB45D2" w:rsidP="00B33E36">
      <w:pPr>
        <w:pStyle w:val="Paragraph"/>
        <w:rPr>
          <w:rFonts w:eastAsiaTheme="minorHAnsi"/>
        </w:rPr>
      </w:pPr>
      <w:r w:rsidRPr="0083791F">
        <w:rPr>
          <w:rFonts w:eastAsiaTheme="minorHAnsi"/>
        </w:rPr>
        <w:t>The desire for</w:t>
      </w:r>
      <w:r w:rsidRPr="00143BF3">
        <w:rPr>
          <w:rFonts w:eastAsiaTheme="minorHAnsi"/>
        </w:rPr>
        <w:t xml:space="preserve"> </w:t>
      </w:r>
      <w:r w:rsidRPr="0083791F">
        <w:rPr>
          <w:rFonts w:eastAsiaTheme="minorHAnsi"/>
        </w:rPr>
        <w:t xml:space="preserve">new </w:t>
      </w:r>
      <w:r w:rsidR="000B46B1">
        <w:rPr>
          <w:rFonts w:eastAsiaTheme="minorHAnsi"/>
        </w:rPr>
        <w:t>ways</w:t>
      </w:r>
      <w:r w:rsidR="000B46B1" w:rsidRPr="0083791F">
        <w:rPr>
          <w:rFonts w:eastAsiaTheme="minorHAnsi"/>
        </w:rPr>
        <w:t xml:space="preserve"> </w:t>
      </w:r>
      <w:r w:rsidR="000B46B1">
        <w:rPr>
          <w:rFonts w:eastAsiaTheme="minorHAnsi"/>
        </w:rPr>
        <w:t>for</w:t>
      </w:r>
      <w:r w:rsidR="000B46B1" w:rsidRPr="0083791F">
        <w:rPr>
          <w:rFonts w:eastAsiaTheme="minorHAnsi"/>
        </w:rPr>
        <w:t xml:space="preserve"> </w:t>
      </w:r>
      <w:r w:rsidRPr="0083791F">
        <w:rPr>
          <w:rFonts w:eastAsiaTheme="minorHAnsi"/>
        </w:rPr>
        <w:t xml:space="preserve">third parties </w:t>
      </w:r>
      <w:r>
        <w:rPr>
          <w:rFonts w:eastAsiaTheme="minorHAnsi"/>
        </w:rPr>
        <w:t xml:space="preserve">to </w:t>
      </w:r>
      <w:r w:rsidRPr="0083791F">
        <w:rPr>
          <w:rFonts w:eastAsiaTheme="minorHAnsi"/>
        </w:rPr>
        <w:t>access spectrum holdings already licensed to other users (such as spectrum licensed bands/area</w:t>
      </w:r>
      <w:r>
        <w:rPr>
          <w:rFonts w:eastAsiaTheme="minorHAnsi"/>
        </w:rPr>
        <w:t>s</w:t>
      </w:r>
      <w:r w:rsidRPr="0083791F">
        <w:rPr>
          <w:rFonts w:eastAsiaTheme="minorHAnsi"/>
        </w:rPr>
        <w:t xml:space="preserve">) </w:t>
      </w:r>
      <w:r w:rsidRPr="00143BF3">
        <w:rPr>
          <w:rFonts w:eastAsiaTheme="minorHAnsi"/>
        </w:rPr>
        <w:t xml:space="preserve">raises </w:t>
      </w:r>
      <w:r w:rsidRPr="0083791F">
        <w:rPr>
          <w:rFonts w:eastAsiaTheme="minorHAnsi"/>
        </w:rPr>
        <w:t xml:space="preserve">several issues. </w:t>
      </w:r>
    </w:p>
    <w:p w14:paraId="339741AE" w14:textId="75C03EA9" w:rsidR="00CB45D2" w:rsidRDefault="00CB45D2" w:rsidP="00B33E36">
      <w:pPr>
        <w:pStyle w:val="Paragraph"/>
        <w:rPr>
          <w:rFonts w:eastAsiaTheme="minorHAnsi"/>
        </w:rPr>
      </w:pPr>
      <w:r w:rsidRPr="00143BF3">
        <w:rPr>
          <w:rFonts w:eastAsiaTheme="minorHAnsi"/>
        </w:rPr>
        <w:t xml:space="preserve">One of the key challenges the ACMA faces in its role as spectrum manager is to balance flexibility </w:t>
      </w:r>
      <w:r>
        <w:rPr>
          <w:rFonts w:eastAsiaTheme="minorHAnsi"/>
        </w:rPr>
        <w:t xml:space="preserve">of regulatory arrangements to adapt to new spectrum uses </w:t>
      </w:r>
      <w:r w:rsidRPr="00143BF3">
        <w:rPr>
          <w:rFonts w:eastAsiaTheme="minorHAnsi"/>
        </w:rPr>
        <w:t xml:space="preserve">with certainty of </w:t>
      </w:r>
      <w:r>
        <w:rPr>
          <w:rFonts w:eastAsiaTheme="minorHAnsi"/>
        </w:rPr>
        <w:t>rights of access and use for existing licensees, in particular those holding spectrum licences</w:t>
      </w:r>
      <w:r w:rsidRPr="00143BF3">
        <w:rPr>
          <w:rFonts w:eastAsiaTheme="minorHAnsi"/>
        </w:rPr>
        <w:t xml:space="preserve">. </w:t>
      </w:r>
      <w:r>
        <w:rPr>
          <w:rFonts w:eastAsiaTheme="minorHAnsi"/>
        </w:rPr>
        <w:t xml:space="preserve">In managing spectrum, the ACMA </w:t>
      </w:r>
      <w:r w:rsidRPr="00B33E36">
        <w:rPr>
          <w:rFonts w:eastAsiaTheme="minorHAnsi"/>
        </w:rPr>
        <w:t>has regard to the</w:t>
      </w:r>
      <w:r>
        <w:rPr>
          <w:rFonts w:eastAsiaTheme="minorHAnsi"/>
        </w:rPr>
        <w:t xml:space="preserve"> </w:t>
      </w:r>
      <w:r w:rsidRPr="00646695">
        <w:rPr>
          <w:rFonts w:eastAsiaTheme="minorHAnsi"/>
        </w:rPr>
        <w:t>object of the</w:t>
      </w:r>
      <w:r w:rsidRPr="00222C38">
        <w:rPr>
          <w:rFonts w:eastAsiaTheme="minorHAnsi"/>
          <w:i/>
          <w:iCs/>
        </w:rPr>
        <w:t xml:space="preserve"> Radiocommunications A</w:t>
      </w:r>
      <w:r w:rsidR="000B46B1">
        <w:rPr>
          <w:rFonts w:eastAsiaTheme="minorHAnsi"/>
          <w:i/>
          <w:iCs/>
        </w:rPr>
        <w:t>ct</w:t>
      </w:r>
      <w:r w:rsidRPr="00222C38">
        <w:rPr>
          <w:rFonts w:eastAsiaTheme="minorHAnsi"/>
          <w:i/>
          <w:iCs/>
        </w:rPr>
        <w:t xml:space="preserve"> 1992 </w:t>
      </w:r>
      <w:r w:rsidRPr="00646695">
        <w:rPr>
          <w:rFonts w:eastAsiaTheme="minorHAnsi"/>
        </w:rPr>
        <w:t>(the Act)</w:t>
      </w:r>
      <w:r w:rsidR="000B46B1">
        <w:rPr>
          <w:rFonts w:eastAsiaTheme="minorHAnsi"/>
          <w:i/>
          <w:iCs/>
        </w:rPr>
        <w:t>,</w:t>
      </w:r>
      <w:r>
        <w:rPr>
          <w:rFonts w:eastAsiaTheme="minorHAnsi"/>
        </w:rPr>
        <w:t xml:space="preserve"> which includes seeking to maximise the overall public benefit derived from using the radiofrequency spectrum as well as providing a responsive and flexible approach to meeting the needs of users of the spectrum. </w:t>
      </w:r>
      <w:r w:rsidRPr="00861C2D">
        <w:rPr>
          <w:rFonts w:eastAsiaTheme="minorHAnsi"/>
        </w:rPr>
        <w:t xml:space="preserve">The ACMA will also consider the rights of licensees and aims to provide a stable framework that encourages investment </w:t>
      </w:r>
      <w:r w:rsidR="001350A9">
        <w:rPr>
          <w:rFonts w:eastAsiaTheme="minorHAnsi"/>
        </w:rPr>
        <w:t>but</w:t>
      </w:r>
      <w:r w:rsidR="001350A9" w:rsidRPr="00861C2D">
        <w:rPr>
          <w:rFonts w:eastAsiaTheme="minorHAnsi"/>
        </w:rPr>
        <w:t xml:space="preserve"> </w:t>
      </w:r>
      <w:r w:rsidRPr="00861C2D">
        <w:rPr>
          <w:rFonts w:eastAsiaTheme="minorHAnsi"/>
        </w:rPr>
        <w:t>also contributes to that public benefit</w:t>
      </w:r>
      <w:r>
        <w:rPr>
          <w:rFonts w:eastAsiaTheme="minorHAnsi"/>
        </w:rPr>
        <w:t xml:space="preserve">. </w:t>
      </w:r>
    </w:p>
    <w:p w14:paraId="70534DB6" w14:textId="209397E8" w:rsidR="00793C59" w:rsidRDefault="00793C59" w:rsidP="001350A9">
      <w:pPr>
        <w:pStyle w:val="Paragraph"/>
        <w:rPr>
          <w:rFonts w:eastAsiaTheme="minorHAnsi"/>
        </w:rPr>
      </w:pPr>
      <w:r w:rsidRPr="0083791F">
        <w:rPr>
          <w:rFonts w:eastAsiaTheme="minorHAnsi"/>
        </w:rPr>
        <w:t>In addition</w:t>
      </w:r>
      <w:r w:rsidR="00073C92">
        <w:rPr>
          <w:rFonts w:eastAsiaTheme="minorHAnsi"/>
        </w:rPr>
        <w:t>,</w:t>
      </w:r>
      <w:r w:rsidRPr="0083791F">
        <w:rPr>
          <w:rFonts w:eastAsiaTheme="minorHAnsi"/>
        </w:rPr>
        <w:t xml:space="preserve"> </w:t>
      </w:r>
      <w:r>
        <w:rPr>
          <w:rFonts w:eastAsiaTheme="minorHAnsi"/>
        </w:rPr>
        <w:t>t</w:t>
      </w:r>
      <w:r w:rsidRPr="0083791F">
        <w:rPr>
          <w:rFonts w:eastAsiaTheme="minorHAnsi"/>
        </w:rPr>
        <w:t xml:space="preserve">he Act imposes limitations as to when and how the ACMA can authorise other users </w:t>
      </w:r>
      <w:r>
        <w:rPr>
          <w:rFonts w:eastAsiaTheme="minorHAnsi"/>
        </w:rPr>
        <w:t>to access spectrum</w:t>
      </w:r>
      <w:r w:rsidR="00433A6F">
        <w:rPr>
          <w:rFonts w:eastAsiaTheme="minorHAnsi"/>
        </w:rPr>
        <w:t>,</w:t>
      </w:r>
      <w:r>
        <w:rPr>
          <w:rFonts w:eastAsiaTheme="minorHAnsi"/>
        </w:rPr>
        <w:t xml:space="preserve"> subject to a spectrum licence</w:t>
      </w:r>
      <w:r w:rsidRPr="0083791F">
        <w:rPr>
          <w:rFonts w:eastAsiaTheme="minorHAnsi"/>
        </w:rPr>
        <w:t>. Th</w:t>
      </w:r>
      <w:r>
        <w:rPr>
          <w:rFonts w:eastAsiaTheme="minorHAnsi"/>
        </w:rPr>
        <w:t xml:space="preserve">e current regulatory arrangements are </w:t>
      </w:r>
      <w:r w:rsidRPr="0083791F">
        <w:rPr>
          <w:rFonts w:eastAsiaTheme="minorHAnsi"/>
        </w:rPr>
        <w:t xml:space="preserve">based on bilateral arrangements being established between the spectrum licensee and the access seeker. </w:t>
      </w:r>
      <w:r>
        <w:rPr>
          <w:rFonts w:eastAsiaTheme="minorHAnsi"/>
        </w:rPr>
        <w:t>T</w:t>
      </w:r>
      <w:r w:rsidRPr="00C975B5">
        <w:rPr>
          <w:rFonts w:eastAsiaTheme="minorHAnsi"/>
        </w:rPr>
        <w:t>he ACMA is aware of some occurrences of this occurring</w:t>
      </w:r>
      <w:r w:rsidRPr="0083791F">
        <w:rPr>
          <w:rFonts w:eastAsiaTheme="minorHAnsi"/>
        </w:rPr>
        <w:t xml:space="preserve"> </w:t>
      </w:r>
      <w:r>
        <w:rPr>
          <w:rFonts w:eastAsiaTheme="minorHAnsi"/>
        </w:rPr>
        <w:t>but a</w:t>
      </w:r>
      <w:r w:rsidRPr="0083791F">
        <w:rPr>
          <w:rFonts w:eastAsiaTheme="minorHAnsi"/>
        </w:rPr>
        <w:t>necdotally</w:t>
      </w:r>
      <w:r w:rsidR="001350A9">
        <w:rPr>
          <w:rFonts w:eastAsiaTheme="minorHAnsi"/>
        </w:rPr>
        <w:t>,</w:t>
      </w:r>
      <w:r w:rsidRPr="0083791F">
        <w:rPr>
          <w:rFonts w:eastAsiaTheme="minorHAnsi"/>
        </w:rPr>
        <w:t xml:space="preserve"> this does not appear to happen very </w:t>
      </w:r>
      <w:r w:rsidRPr="001350A9">
        <w:rPr>
          <w:rFonts w:eastAsiaTheme="minorHAnsi"/>
        </w:rPr>
        <w:t>ofte</w:t>
      </w:r>
      <w:r w:rsidRPr="00D80F1E">
        <w:rPr>
          <w:rFonts w:eastAsiaTheme="minorHAnsi"/>
        </w:rPr>
        <w:t>n</w:t>
      </w:r>
      <w:r w:rsidRPr="0083791F">
        <w:rPr>
          <w:rFonts w:eastAsiaTheme="minorHAnsi"/>
        </w:rPr>
        <w:t>.</w:t>
      </w:r>
    </w:p>
    <w:p w14:paraId="46D935BB" w14:textId="28538D1B" w:rsidR="00793C59" w:rsidRPr="0083791F" w:rsidRDefault="00793C59" w:rsidP="00433A6F">
      <w:pPr>
        <w:pStyle w:val="Paragraph"/>
        <w:rPr>
          <w:rFonts w:eastAsiaTheme="minorHAnsi"/>
        </w:rPr>
      </w:pPr>
      <w:r>
        <w:rPr>
          <w:rFonts w:eastAsiaTheme="minorHAnsi"/>
        </w:rPr>
        <w:t>In the past</w:t>
      </w:r>
      <w:r w:rsidR="00433A6F">
        <w:rPr>
          <w:rFonts w:eastAsiaTheme="minorHAnsi"/>
        </w:rPr>
        <w:t>,</w:t>
      </w:r>
      <w:r>
        <w:rPr>
          <w:rFonts w:eastAsiaTheme="minorHAnsi"/>
        </w:rPr>
        <w:t xml:space="preserve"> the ACMA has facilitated discussions between access seekers and other licensees. The </w:t>
      </w:r>
      <w:r w:rsidRPr="00433A6F">
        <w:rPr>
          <w:rFonts w:eastAsiaTheme="minorHAnsi"/>
        </w:rPr>
        <w:t>ACMA</w:t>
      </w:r>
      <w:r>
        <w:rPr>
          <w:rFonts w:eastAsiaTheme="minorHAnsi"/>
        </w:rPr>
        <w:t xml:space="preserve"> </w:t>
      </w:r>
      <w:r w:rsidR="00433A6F">
        <w:rPr>
          <w:rFonts w:eastAsiaTheme="minorHAnsi"/>
        </w:rPr>
        <w:t>can</w:t>
      </w:r>
      <w:r>
        <w:rPr>
          <w:rFonts w:eastAsiaTheme="minorHAnsi"/>
        </w:rPr>
        <w:t xml:space="preserve"> facilitate these types of spectrum access discussions by bringing relevant parties together. While generally not in a position to impose a sharing outcome without the consent of the licensee, as part of its broader spectrum management responsibilities, the ACMA is interested in knowing the outcomes of bilateral discussions. Such information will assist the ACMA in developing future frameworks.  </w:t>
      </w:r>
    </w:p>
    <w:p w14:paraId="15EF0F18" w14:textId="77777777" w:rsidR="00793C59" w:rsidRPr="0083791F" w:rsidRDefault="00793C59" w:rsidP="00793C59">
      <w:pPr>
        <w:pStyle w:val="ACMABodyText"/>
        <w:spacing w:before="120" w:line="240" w:lineRule="auto"/>
        <w:rPr>
          <w:rFonts w:ascii="Arial" w:hAnsi="Arial" w:cs="Arial"/>
          <w:bCs/>
          <w:sz w:val="20"/>
        </w:rPr>
      </w:pPr>
    </w:p>
    <w:p w14:paraId="0F22BC20" w14:textId="77777777" w:rsidR="00715722" w:rsidRDefault="00793C59" w:rsidP="00793C59">
      <w:pPr>
        <w:pStyle w:val="Heading1"/>
      </w:pPr>
      <w:bookmarkStart w:id="7" w:name="_Toc41055452"/>
      <w:r w:rsidRPr="00793C59">
        <w:t>Introduction</w:t>
      </w:r>
      <w:bookmarkEnd w:id="7"/>
    </w:p>
    <w:p w14:paraId="4297D823" w14:textId="77777777" w:rsidR="00793C59" w:rsidRDefault="00793C59" w:rsidP="00F13A8F">
      <w:pPr>
        <w:pStyle w:val="Paragraph"/>
      </w:pPr>
      <w:bookmarkStart w:id="8" w:name="_Ref498953609"/>
      <w:bookmarkStart w:id="9" w:name="_Toc519765109"/>
      <w:bookmarkStart w:id="10" w:name="_Toc521585775"/>
      <w:bookmarkStart w:id="11" w:name="_Toc5000067"/>
      <w:r w:rsidRPr="002B5A57">
        <w:t xml:space="preserve">Spectrum sharing </w:t>
      </w:r>
      <w:r>
        <w:t>is</w:t>
      </w:r>
      <w:r w:rsidRPr="002B5A57">
        <w:t xml:space="preserve"> </w:t>
      </w:r>
      <w:r>
        <w:t xml:space="preserve">an </w:t>
      </w:r>
      <w:r w:rsidRPr="002B5A57">
        <w:t xml:space="preserve">essential </w:t>
      </w:r>
      <w:r>
        <w:t>component of</w:t>
      </w:r>
      <w:r w:rsidRPr="002B5A57">
        <w:t xml:space="preserve"> effective spectrum management and a key tool in maximising </w:t>
      </w:r>
      <w:r>
        <w:t xml:space="preserve">the </w:t>
      </w:r>
      <w:r w:rsidRPr="002B5A57">
        <w:t>benefits</w:t>
      </w:r>
      <w:r>
        <w:t xml:space="preserve"> that can be derived from the radiofrequency spectrum</w:t>
      </w:r>
      <w:r w:rsidRPr="002B5A57">
        <w:t xml:space="preserve">. </w:t>
      </w:r>
      <w:r>
        <w:t>It</w:t>
      </w:r>
      <w:r w:rsidRPr="002B5A57">
        <w:t xml:space="preserve"> allows spectrum </w:t>
      </w:r>
      <w:r>
        <w:t xml:space="preserve">uses and </w:t>
      </w:r>
      <w:r w:rsidRPr="002B5A57">
        <w:t>users to coexist and operate with their unique service</w:t>
      </w:r>
      <w:r>
        <w:t>s</w:t>
      </w:r>
      <w:r w:rsidRPr="002B5A57">
        <w:t xml:space="preserve"> and use case</w:t>
      </w:r>
      <w:r>
        <w:t>s</w:t>
      </w:r>
      <w:r w:rsidRPr="002B5A57">
        <w:t xml:space="preserve">. Coexistence of spectrum users is the primary objective of sharing and contributes to expanding the overall utility of the spectrum resource. </w:t>
      </w:r>
    </w:p>
    <w:p w14:paraId="564B9F9D" w14:textId="798E9E73" w:rsidR="00793C59" w:rsidRPr="003405B1" w:rsidRDefault="00793C59" w:rsidP="00F13A8F">
      <w:pPr>
        <w:pStyle w:val="Paragraph"/>
      </w:pPr>
      <w:r>
        <w:t xml:space="preserve">Internationally, </w:t>
      </w:r>
      <w:r w:rsidRPr="002B5A57">
        <w:t>there ha</w:t>
      </w:r>
      <w:r>
        <w:t>ve</w:t>
      </w:r>
      <w:r w:rsidRPr="002B5A57">
        <w:t xml:space="preserve"> been </w:t>
      </w:r>
      <w:r>
        <w:t>numerous</w:t>
      </w:r>
      <w:r w:rsidRPr="002B5A57">
        <w:t xml:space="preserve"> developments in the </w:t>
      </w:r>
      <w:r w:rsidRPr="003405B1">
        <w:rPr>
          <w:i/>
          <w:iCs/>
        </w:rPr>
        <w:t>non-traditional</w:t>
      </w:r>
      <w:r>
        <w:t xml:space="preserve">, </w:t>
      </w:r>
      <w:r w:rsidRPr="003405B1">
        <w:rPr>
          <w:i/>
          <w:iCs/>
        </w:rPr>
        <w:t>dynamic</w:t>
      </w:r>
      <w:r w:rsidRPr="006C1AED">
        <w:t xml:space="preserve"> </w:t>
      </w:r>
      <w:r w:rsidRPr="00741A89">
        <w:t xml:space="preserve">spectrum </w:t>
      </w:r>
      <w:r w:rsidRPr="00E76331">
        <w:t>sharing space</w:t>
      </w:r>
      <w:r w:rsidRPr="003405B1">
        <w:t xml:space="preserve">, with evolving technologies and regulatory arrangements being </w:t>
      </w:r>
      <w:r>
        <w:t xml:space="preserve">developed </w:t>
      </w:r>
      <w:r w:rsidRPr="003405B1">
        <w:t xml:space="preserve">to improve the overall efficiency of spectrum. </w:t>
      </w:r>
      <w:r>
        <w:t xml:space="preserve">These developments were one of the drivers for the release </w:t>
      </w:r>
      <w:r w:rsidR="000D497B">
        <w:t xml:space="preserve">in August 2019 </w:t>
      </w:r>
      <w:r>
        <w:t>of the initial</w:t>
      </w:r>
      <w:r w:rsidRPr="003405B1">
        <w:t xml:space="preserve"> </w:t>
      </w:r>
      <w:hyperlink r:id="rId27" w:history="1">
        <w:r>
          <w:rPr>
            <w:rStyle w:val="Hyperlink"/>
            <w:szCs w:val="20"/>
          </w:rPr>
          <w:t>discussion</w:t>
        </w:r>
        <w:r w:rsidRPr="00741A89">
          <w:rPr>
            <w:rStyle w:val="Hyperlink"/>
            <w:szCs w:val="20"/>
          </w:rPr>
          <w:t xml:space="preserve"> paper</w:t>
        </w:r>
      </w:hyperlink>
      <w:r w:rsidRPr="006C1AED">
        <w:t xml:space="preserve"> </w:t>
      </w:r>
      <w:r w:rsidRPr="003405B1">
        <w:t>on non-traditional sharing approaches.</w:t>
      </w:r>
      <w:r>
        <w:t xml:space="preserve"> As part of this process, t</w:t>
      </w:r>
      <w:r w:rsidRPr="003405B1">
        <w:t>he ACMA has been keen to</w:t>
      </w:r>
      <w:r>
        <w:t xml:space="preserve"> </w:t>
      </w:r>
      <w:r w:rsidRPr="003405B1">
        <w:t>draw a distinction between what can be termed</w:t>
      </w:r>
      <w:r>
        <w:t xml:space="preserve"> as</w:t>
      </w:r>
      <w:r w:rsidRPr="003405B1">
        <w:t xml:space="preserve"> ‘traditional’ and ‘non-traditional’ sharing approaches</w:t>
      </w:r>
      <w:r>
        <w:t>,</w:t>
      </w:r>
      <w:r w:rsidRPr="00741A89">
        <w:t xml:space="preserve"> and </w:t>
      </w:r>
      <w:r>
        <w:t xml:space="preserve">then </w:t>
      </w:r>
      <w:r w:rsidRPr="00741A89">
        <w:t xml:space="preserve">delve into where international examples of the latter might be usefully implemented in Australia. </w:t>
      </w:r>
      <w:r>
        <w:t xml:space="preserve">The ACMA does not </w:t>
      </w:r>
      <w:r w:rsidRPr="00E76331">
        <w:t>intend to replicate that discussion here</w:t>
      </w:r>
      <w:r w:rsidR="000D497B">
        <w:t>,</w:t>
      </w:r>
      <w:r w:rsidRPr="00E76331">
        <w:t xml:space="preserve"> so</w:t>
      </w:r>
      <w:r w:rsidRPr="003405B1">
        <w:t xml:space="preserve"> newcomers to the conversation </w:t>
      </w:r>
      <w:r>
        <w:t>can read</w:t>
      </w:r>
      <w:r w:rsidRPr="003405B1">
        <w:t xml:space="preserve"> this paper in conjunction with the </w:t>
      </w:r>
      <w:r>
        <w:t>initial</w:t>
      </w:r>
      <w:r w:rsidRPr="003405B1">
        <w:t xml:space="preserve"> </w:t>
      </w:r>
      <w:hyperlink r:id="rId28" w:history="1">
        <w:r>
          <w:rPr>
            <w:rStyle w:val="Hyperlink"/>
            <w:szCs w:val="20"/>
          </w:rPr>
          <w:t>discussion</w:t>
        </w:r>
        <w:r w:rsidRPr="00741A89">
          <w:rPr>
            <w:rStyle w:val="Hyperlink"/>
            <w:szCs w:val="20"/>
          </w:rPr>
          <w:t xml:space="preserve"> paper</w:t>
        </w:r>
      </w:hyperlink>
      <w:r w:rsidRPr="006C1AED">
        <w:t xml:space="preserve"> </w:t>
      </w:r>
      <w:r w:rsidRPr="003405B1">
        <w:t>on non-traditional sharing approaches.</w:t>
      </w:r>
    </w:p>
    <w:p w14:paraId="2E372F44" w14:textId="77777777" w:rsidR="00793C59" w:rsidRPr="00F13A8F" w:rsidRDefault="00793C59" w:rsidP="00F13A8F">
      <w:pPr>
        <w:pStyle w:val="Heading2"/>
      </w:pPr>
      <w:bookmarkStart w:id="12" w:name="_Toc26961224"/>
      <w:bookmarkStart w:id="13" w:name="_Toc35524514"/>
      <w:bookmarkStart w:id="14" w:name="_Toc38020753"/>
      <w:bookmarkStart w:id="15" w:name="_Toc41055453"/>
      <w:r w:rsidRPr="00F13A8F">
        <w:t>Discussions to date</w:t>
      </w:r>
      <w:bookmarkEnd w:id="12"/>
      <w:bookmarkEnd w:id="13"/>
      <w:bookmarkEnd w:id="14"/>
      <w:bookmarkEnd w:id="15"/>
    </w:p>
    <w:p w14:paraId="161D0664" w14:textId="3911D6A9" w:rsidR="00793C59" w:rsidRPr="00012FDD" w:rsidRDefault="00793C59" w:rsidP="00F13A8F">
      <w:pPr>
        <w:pStyle w:val="Heading3"/>
      </w:pPr>
      <w:r w:rsidRPr="003405B1">
        <w:t>Spectrum tune-up</w:t>
      </w:r>
    </w:p>
    <w:p w14:paraId="728AF720" w14:textId="3698528E" w:rsidR="00793C59" w:rsidRPr="0083791F" w:rsidRDefault="00793C59" w:rsidP="00F13A8F">
      <w:pPr>
        <w:pStyle w:val="Paragraph"/>
        <w:rPr>
          <w:rFonts w:eastAsiaTheme="minorHAnsi"/>
        </w:rPr>
      </w:pPr>
      <w:r w:rsidRPr="0083791F">
        <w:rPr>
          <w:rFonts w:eastAsiaTheme="minorHAnsi"/>
        </w:rPr>
        <w:t xml:space="preserve">The ACMA held a </w:t>
      </w:r>
      <w:r w:rsidR="000D497B">
        <w:rPr>
          <w:rFonts w:eastAsiaTheme="minorHAnsi"/>
        </w:rPr>
        <w:t>s</w:t>
      </w:r>
      <w:r>
        <w:rPr>
          <w:rFonts w:eastAsiaTheme="minorHAnsi"/>
        </w:rPr>
        <w:t xml:space="preserve">pectrum </w:t>
      </w:r>
      <w:r w:rsidR="000D497B">
        <w:rPr>
          <w:rFonts w:eastAsiaTheme="minorHAnsi"/>
        </w:rPr>
        <w:t>t</w:t>
      </w:r>
      <w:r w:rsidRPr="0083791F">
        <w:rPr>
          <w:rFonts w:eastAsiaTheme="minorHAnsi"/>
        </w:rPr>
        <w:t xml:space="preserve">une-up on 28 August 2019 to discuss new and emerging approaches to sharing spectrum and their potential suitability for the Australian environment. </w:t>
      </w:r>
      <w:r w:rsidR="000D497B">
        <w:rPr>
          <w:rFonts w:eastAsiaTheme="minorHAnsi"/>
        </w:rPr>
        <w:t>It aimed</w:t>
      </w:r>
      <w:r w:rsidRPr="003405B1">
        <w:rPr>
          <w:rFonts w:eastAsiaTheme="minorHAnsi"/>
        </w:rPr>
        <w:t xml:space="preserve"> to elicit views from industry and government stakeholders on potential opportunities for increased spectral efficiency and approaches that the ACMA could undertake to better facilitate non-traditional approaches such as dynamic </w:t>
      </w:r>
      <w:r>
        <w:rPr>
          <w:rFonts w:eastAsiaTheme="minorHAnsi"/>
        </w:rPr>
        <w:t>spectrum</w:t>
      </w:r>
      <w:r w:rsidRPr="003405B1">
        <w:rPr>
          <w:rFonts w:eastAsiaTheme="minorHAnsi"/>
        </w:rPr>
        <w:t xml:space="preserve"> access (DSA).</w:t>
      </w:r>
    </w:p>
    <w:p w14:paraId="58378DCB" w14:textId="08D057A9" w:rsidR="00793C59" w:rsidRPr="0083791F" w:rsidRDefault="00793C59" w:rsidP="00F13A8F">
      <w:pPr>
        <w:pStyle w:val="Paragraph"/>
        <w:rPr>
          <w:rFonts w:eastAsiaTheme="minorHAnsi"/>
        </w:rPr>
      </w:pPr>
      <w:r w:rsidRPr="003405B1">
        <w:rPr>
          <w:rFonts w:eastAsiaTheme="minorHAnsi"/>
        </w:rPr>
        <w:t xml:space="preserve">Speakers at the </w:t>
      </w:r>
      <w:r w:rsidRPr="00D95B2E">
        <w:rPr>
          <w:rFonts w:eastAsiaTheme="minorHAnsi"/>
          <w:szCs w:val="20"/>
        </w:rPr>
        <w:t xml:space="preserve">tune-up </w:t>
      </w:r>
      <w:r w:rsidR="003275AD" w:rsidRPr="00D95B2E">
        <w:rPr>
          <w:rFonts w:eastAsiaTheme="minorHAnsi"/>
          <w:szCs w:val="20"/>
        </w:rPr>
        <w:t>came</w:t>
      </w:r>
      <w:r w:rsidR="003275AD" w:rsidRPr="00D95B2E">
        <w:rPr>
          <w:rFonts w:eastAsiaTheme="minorHAnsi"/>
          <w:snapToGrid w:val="0"/>
          <w:szCs w:val="20"/>
          <w:lang w:eastAsia="en-US"/>
        </w:rPr>
        <w:t xml:space="preserve"> </w:t>
      </w:r>
      <w:r w:rsidRPr="00D95B2E">
        <w:rPr>
          <w:rFonts w:eastAsiaTheme="minorHAnsi"/>
          <w:szCs w:val="20"/>
        </w:rPr>
        <w:t>from</w:t>
      </w:r>
      <w:r w:rsidRPr="003405B1">
        <w:rPr>
          <w:rFonts w:eastAsiaTheme="minorHAnsi"/>
        </w:rPr>
        <w:t xml:space="preserve"> two broad </w:t>
      </w:r>
      <w:r>
        <w:rPr>
          <w:rFonts w:eastAsiaTheme="minorHAnsi"/>
        </w:rPr>
        <w:t>perspectives</w:t>
      </w:r>
      <w:r w:rsidRPr="003405B1">
        <w:rPr>
          <w:rFonts w:eastAsiaTheme="minorHAnsi"/>
        </w:rPr>
        <w:t>. The first session featured speakers broadly categorised as ‘facilitators’</w:t>
      </w:r>
      <w:r w:rsidR="000D497B">
        <w:rPr>
          <w:rFonts w:eastAsiaTheme="minorHAnsi"/>
        </w:rPr>
        <w:t>—</w:t>
      </w:r>
      <w:r w:rsidRPr="003405B1">
        <w:rPr>
          <w:rFonts w:eastAsiaTheme="minorHAnsi"/>
        </w:rPr>
        <w:t xml:space="preserve">the ACMA and Federated Wireless. In this session, overviews of a range of technical and regulatory considerations underpinning non-traditional sharing, along with some examples of international developments were presented. </w:t>
      </w:r>
    </w:p>
    <w:p w14:paraId="664798A8" w14:textId="3BBF9C1A" w:rsidR="00793C59" w:rsidRPr="0083791F" w:rsidRDefault="00793C59" w:rsidP="00F13A8F">
      <w:pPr>
        <w:pStyle w:val="Paragraph"/>
        <w:rPr>
          <w:rFonts w:eastAsiaTheme="minorHAnsi"/>
        </w:rPr>
      </w:pPr>
      <w:r>
        <w:rPr>
          <w:rFonts w:eastAsiaTheme="minorHAnsi"/>
        </w:rPr>
        <w:t xml:space="preserve">The </w:t>
      </w:r>
      <w:r w:rsidRPr="003405B1">
        <w:rPr>
          <w:rFonts w:eastAsiaTheme="minorHAnsi"/>
        </w:rPr>
        <w:t>key international example</w:t>
      </w:r>
      <w:r>
        <w:rPr>
          <w:rFonts w:eastAsiaTheme="minorHAnsi"/>
        </w:rPr>
        <w:t xml:space="preserve"> was the </w:t>
      </w:r>
      <w:r w:rsidRPr="003405B1">
        <w:rPr>
          <w:rFonts w:eastAsiaTheme="minorHAnsi"/>
        </w:rPr>
        <w:t>CBRS</w:t>
      </w:r>
      <w:r>
        <w:rPr>
          <w:rFonts w:eastAsiaTheme="minorHAnsi"/>
        </w:rPr>
        <w:t xml:space="preserve"> </w:t>
      </w:r>
      <w:r w:rsidRPr="003405B1">
        <w:rPr>
          <w:rFonts w:eastAsiaTheme="minorHAnsi"/>
        </w:rPr>
        <w:t xml:space="preserve">model, which is a good current example of a multi-tier </w:t>
      </w:r>
      <w:r>
        <w:rPr>
          <w:rFonts w:eastAsiaTheme="minorHAnsi"/>
        </w:rPr>
        <w:t xml:space="preserve">automated </w:t>
      </w:r>
      <w:r w:rsidRPr="003405B1">
        <w:rPr>
          <w:rFonts w:eastAsiaTheme="minorHAnsi"/>
        </w:rPr>
        <w:t>spectrum</w:t>
      </w:r>
      <w:r w:rsidR="000D497B">
        <w:rPr>
          <w:rFonts w:eastAsiaTheme="minorHAnsi"/>
        </w:rPr>
        <w:t>-</w:t>
      </w:r>
      <w:r w:rsidRPr="003405B1">
        <w:rPr>
          <w:rFonts w:eastAsiaTheme="minorHAnsi"/>
        </w:rPr>
        <w:t xml:space="preserve">sharing implementation involving a diverse group </w:t>
      </w:r>
      <w:r>
        <w:rPr>
          <w:rFonts w:eastAsiaTheme="minorHAnsi"/>
        </w:rPr>
        <w:t xml:space="preserve">of </w:t>
      </w:r>
      <w:r w:rsidRPr="003405B1">
        <w:rPr>
          <w:rFonts w:eastAsiaTheme="minorHAnsi"/>
        </w:rPr>
        <w:t>stakeholders, technologies and licence structures</w:t>
      </w:r>
      <w:r>
        <w:rPr>
          <w:rFonts w:eastAsiaTheme="minorHAnsi"/>
        </w:rPr>
        <w:t xml:space="preserve">. </w:t>
      </w:r>
    </w:p>
    <w:p w14:paraId="63B86528" w14:textId="183A7D58" w:rsidR="00793C59" w:rsidRPr="0083791F" w:rsidRDefault="00793C59" w:rsidP="00F13A8F">
      <w:pPr>
        <w:pStyle w:val="Paragraph"/>
        <w:rPr>
          <w:rFonts w:eastAsiaTheme="minorHAnsi"/>
        </w:rPr>
      </w:pPr>
      <w:r w:rsidRPr="003405B1">
        <w:rPr>
          <w:rFonts w:eastAsiaTheme="minorHAnsi"/>
        </w:rPr>
        <w:t>In the second session, speakers broadly categorised as ‘operators’ included the Australian Mobile Telecommunications Association (AMTA), the Wireless Internet Service Provider Association of Australia (WISPAU) and the Department of Defence, who spoke of their unique business requirements and positions</w:t>
      </w:r>
      <w:r w:rsidR="000D497B">
        <w:rPr>
          <w:rFonts w:eastAsiaTheme="minorHAnsi"/>
        </w:rPr>
        <w:t>—</w:t>
      </w:r>
      <w:r w:rsidRPr="003405B1">
        <w:rPr>
          <w:rFonts w:eastAsiaTheme="minorHAnsi"/>
        </w:rPr>
        <w:t>both ‘for’ and ‘against’</w:t>
      </w:r>
      <w:r w:rsidR="000D497B">
        <w:rPr>
          <w:rFonts w:eastAsiaTheme="minorHAnsi"/>
        </w:rPr>
        <w:t>—</w:t>
      </w:r>
      <w:r>
        <w:rPr>
          <w:rFonts w:eastAsiaTheme="minorHAnsi"/>
        </w:rPr>
        <w:t>on adopting new, dynamic, approaches to shared</w:t>
      </w:r>
      <w:r w:rsidRPr="003405B1">
        <w:rPr>
          <w:rFonts w:eastAsiaTheme="minorHAnsi"/>
        </w:rPr>
        <w:t xml:space="preserve"> access to spectrum in Australia. </w:t>
      </w:r>
    </w:p>
    <w:p w14:paraId="340DA099" w14:textId="77777777" w:rsidR="00793C59" w:rsidRPr="0083791F" w:rsidRDefault="00793C59" w:rsidP="00F13A8F">
      <w:pPr>
        <w:pStyle w:val="Heading3"/>
        <w:rPr>
          <w:rFonts w:eastAsiaTheme="minorHAnsi"/>
        </w:rPr>
      </w:pPr>
      <w:r w:rsidRPr="003405B1">
        <w:rPr>
          <w:rFonts w:eastAsiaTheme="minorHAnsi"/>
        </w:rPr>
        <w:t>Information paper and invitation to comment</w:t>
      </w:r>
    </w:p>
    <w:p w14:paraId="09D6EB19" w14:textId="77777777" w:rsidR="00793C59" w:rsidRPr="0083791F" w:rsidRDefault="00793C59" w:rsidP="00F13A8F">
      <w:pPr>
        <w:pStyle w:val="Paragraphbeforelist"/>
        <w:rPr>
          <w:rFonts w:eastAsiaTheme="minorHAnsi"/>
        </w:rPr>
      </w:pPr>
      <w:r w:rsidRPr="003405B1">
        <w:rPr>
          <w:rFonts w:eastAsiaTheme="minorHAnsi"/>
        </w:rPr>
        <w:t>As mentioned above, an information paper was released to both prime discussion at the tune-up and invite comments on a range of themes, including:</w:t>
      </w:r>
    </w:p>
    <w:p w14:paraId="1505C592" w14:textId="16E76759" w:rsidR="00793C59" w:rsidRPr="003405B1" w:rsidRDefault="00793C59" w:rsidP="00F13A8F">
      <w:pPr>
        <w:pStyle w:val="ListBullet"/>
      </w:pPr>
      <w:r w:rsidRPr="003405B1">
        <w:t xml:space="preserve">recent </w:t>
      </w:r>
      <w:r w:rsidRPr="00263191">
        <w:t>developments</w:t>
      </w:r>
      <w:r w:rsidRPr="003405B1">
        <w:t xml:space="preserve"> on non-traditional sharing techniques and their potential relevance to the Australian spectrum environment </w:t>
      </w:r>
    </w:p>
    <w:p w14:paraId="19794151" w14:textId="7CAC3B20" w:rsidR="00793C59" w:rsidRPr="003405B1" w:rsidRDefault="00793C59" w:rsidP="00F13A8F">
      <w:pPr>
        <w:pStyle w:val="ListBullet"/>
      </w:pPr>
      <w:r w:rsidRPr="003405B1">
        <w:t xml:space="preserve">regulatory </w:t>
      </w:r>
      <w:r w:rsidRPr="00263191">
        <w:t>arrangements</w:t>
      </w:r>
      <w:r w:rsidRPr="003405B1">
        <w:t xml:space="preserve"> the ACMA might consider </w:t>
      </w:r>
      <w:r w:rsidR="00CD7D5E" w:rsidRPr="003405B1">
        <w:t>facilitating</w:t>
      </w:r>
      <w:r w:rsidRPr="003405B1">
        <w:t xml:space="preserve"> new spectrum sharing approaches</w:t>
      </w:r>
    </w:p>
    <w:p w14:paraId="5BCB7AA5" w14:textId="7665429E" w:rsidR="00793C59" w:rsidRPr="003405B1" w:rsidRDefault="00793C59" w:rsidP="00F13A8F">
      <w:pPr>
        <w:pStyle w:val="ListBullet"/>
      </w:pPr>
      <w:r w:rsidRPr="003405B1">
        <w:t>potential business cases for shared access seekers and roles for industry/government</w:t>
      </w:r>
    </w:p>
    <w:p w14:paraId="282CEAF4" w14:textId="77777777" w:rsidR="00793C59" w:rsidRPr="003405B1" w:rsidRDefault="00793C59" w:rsidP="00F13A8F">
      <w:pPr>
        <w:pStyle w:val="ListBulletLast"/>
      </w:pPr>
      <w:r w:rsidRPr="003405B1">
        <w:t>potential use cases and challenges for non-traditional sharing arrangements.</w:t>
      </w:r>
    </w:p>
    <w:p w14:paraId="5E3E5267" w14:textId="5B8519C0" w:rsidR="00793C59" w:rsidRPr="003405B1" w:rsidRDefault="00793C59" w:rsidP="00F13A8F">
      <w:pPr>
        <w:pStyle w:val="Paragraph"/>
      </w:pPr>
      <w:r w:rsidRPr="003405B1">
        <w:t xml:space="preserve">Comments closed on 27 September (See: </w:t>
      </w:r>
      <w:hyperlink r:id="rId29" w:history="1">
        <w:r w:rsidRPr="003405B1">
          <w:rPr>
            <w:rStyle w:val="Hyperlink"/>
            <w:szCs w:val="20"/>
          </w:rPr>
          <w:t>IFC:25/2019</w:t>
        </w:r>
      </w:hyperlink>
      <w:r w:rsidRPr="003405B1">
        <w:t xml:space="preserve">). </w:t>
      </w:r>
      <w:r w:rsidR="00263191">
        <w:t>Twenty-two</w:t>
      </w:r>
      <w:r w:rsidR="00263191" w:rsidRPr="003405B1">
        <w:t xml:space="preserve"> </w:t>
      </w:r>
      <w:r w:rsidRPr="003405B1">
        <w:t>public submissions</w:t>
      </w:r>
      <w:r>
        <w:t xml:space="preserve"> (listed in Appendix A)</w:t>
      </w:r>
      <w:r w:rsidRPr="003405B1">
        <w:t xml:space="preserve"> and one companion commercial-in-confidence submission were received. A high-level summary of submissions is provided below. </w:t>
      </w:r>
    </w:p>
    <w:p w14:paraId="17EC295D" w14:textId="77777777" w:rsidR="00793C59" w:rsidRPr="00263191" w:rsidRDefault="00793C59" w:rsidP="00F13A8F">
      <w:pPr>
        <w:pStyle w:val="Heading3"/>
      </w:pPr>
      <w:bookmarkStart w:id="16" w:name="_Summary_of_submissions"/>
      <w:bookmarkStart w:id="17" w:name="_Ref33522918"/>
      <w:bookmarkStart w:id="18" w:name="_Ref33527973"/>
      <w:bookmarkStart w:id="19" w:name="_Ref26953281"/>
      <w:bookmarkStart w:id="20" w:name="_Toc35524515"/>
      <w:bookmarkEnd w:id="16"/>
      <w:r w:rsidRPr="00263191">
        <w:t>Summary of submissions</w:t>
      </w:r>
      <w:bookmarkEnd w:id="8"/>
      <w:bookmarkEnd w:id="9"/>
      <w:bookmarkEnd w:id="10"/>
      <w:bookmarkEnd w:id="11"/>
      <w:bookmarkEnd w:id="17"/>
      <w:bookmarkEnd w:id="18"/>
      <w:bookmarkEnd w:id="19"/>
      <w:bookmarkEnd w:id="20"/>
    </w:p>
    <w:p w14:paraId="2E792CF2" w14:textId="77777777" w:rsidR="0053453A" w:rsidRPr="0083791F" w:rsidRDefault="0053453A" w:rsidP="00D80F1E">
      <w:pPr>
        <w:pStyle w:val="Paragraph"/>
      </w:pPr>
      <w:r w:rsidRPr="0083791F">
        <w:t xml:space="preserve">Overall, the importance of spectrum sharing </w:t>
      </w:r>
      <w:r>
        <w:t>in the broad sense was acknowledged</w:t>
      </w:r>
      <w:r w:rsidRPr="0083791F">
        <w:t>, but with differing views on what</w:t>
      </w:r>
      <w:r>
        <w:t>, if any,</w:t>
      </w:r>
      <w:r w:rsidRPr="0083791F">
        <w:t xml:space="preserve"> new approaches </w:t>
      </w:r>
      <w:r>
        <w:t>might be</w:t>
      </w:r>
      <w:r w:rsidRPr="0083791F">
        <w:t xml:space="preserve"> appropriate in </w:t>
      </w:r>
      <w:r>
        <w:t xml:space="preserve">the </w:t>
      </w:r>
      <w:r w:rsidRPr="0083791F">
        <w:t xml:space="preserve">Australian spectrum management context. </w:t>
      </w:r>
      <w:proofErr w:type="gramStart"/>
      <w:r w:rsidRPr="0083791F">
        <w:t>The majority of</w:t>
      </w:r>
      <w:proofErr w:type="gramEnd"/>
      <w:r w:rsidRPr="0083791F">
        <w:t xml:space="preserve"> respondents agreed that new approaches to spectrum sharing should at least be investigated to help maximise the overall public benefit derived from use of the spectrum. However,</w:t>
      </w:r>
      <w:r>
        <w:t xml:space="preserve"> t</w:t>
      </w:r>
      <w:r w:rsidRPr="0083791F">
        <w:t xml:space="preserve">here were divergent views on </w:t>
      </w:r>
      <w:r>
        <w:t xml:space="preserve">which </w:t>
      </w:r>
      <w:r w:rsidRPr="0083791F">
        <w:t>approaches towards implementing such arrangements</w:t>
      </w:r>
      <w:r>
        <w:t xml:space="preserve"> should be taken. For example, some incumbent licence holders opposed any measures that might challenge exclusivity in existing spectrum holdings.</w:t>
      </w:r>
      <w:r w:rsidRPr="0083791F">
        <w:t xml:space="preserve"> Submissions can be </w:t>
      </w:r>
      <w:r>
        <w:t xml:space="preserve">viewed </w:t>
      </w:r>
      <w:hyperlink r:id="rId30" w:history="1">
        <w:r w:rsidRPr="00A92E5C">
          <w:rPr>
            <w:rStyle w:val="Hyperlink"/>
            <w:szCs w:val="20"/>
          </w:rPr>
          <w:t>here</w:t>
        </w:r>
      </w:hyperlink>
      <w:r>
        <w:t xml:space="preserve"> and</w:t>
      </w:r>
      <w:r w:rsidRPr="0083791F">
        <w:t xml:space="preserve"> a summary of views by sector is provided below:</w:t>
      </w:r>
    </w:p>
    <w:p w14:paraId="23C96B71" w14:textId="77777777" w:rsidR="00793C59" w:rsidRPr="003405B1" w:rsidRDefault="00793C59" w:rsidP="00F13A8F">
      <w:pPr>
        <w:pStyle w:val="Heading4"/>
      </w:pPr>
      <w:r w:rsidRPr="003405B1">
        <w:t>Defence</w:t>
      </w:r>
    </w:p>
    <w:p w14:paraId="012B97B6" w14:textId="72754DCF" w:rsidR="00793C59" w:rsidRPr="0083791F" w:rsidRDefault="00793C59" w:rsidP="00F13A8F">
      <w:pPr>
        <w:pStyle w:val="Paragraph"/>
      </w:pPr>
      <w:r w:rsidRPr="0083791F">
        <w:t>Defence emphasised their desire for exclusive rights to spectrum identified principally for the purposes of Defence use in the Australian Radiofrequency Spectrum Plan (</w:t>
      </w:r>
      <w:hyperlink r:id="rId31" w:history="1">
        <w:r w:rsidRPr="0083791F">
          <w:t>ARSP</w:t>
        </w:r>
      </w:hyperlink>
      <w:r w:rsidRPr="0083791F">
        <w:t xml:space="preserve">) that are generally licensed via the Defence apparatus licence type. They opposed shared access to these bands, citing a range of practical, technical and security issues with non-traditional sharing arrangements that have been adopted in other countries. Defence argued that there were opportunities for improved shared use of the spectrum outside of these bands that should be explored in greater detail. </w:t>
      </w:r>
    </w:p>
    <w:p w14:paraId="0067C370" w14:textId="77777777" w:rsidR="00793C59" w:rsidRPr="003405B1" w:rsidRDefault="00793C59" w:rsidP="00F13A8F">
      <w:pPr>
        <w:pStyle w:val="Heading4"/>
      </w:pPr>
      <w:r w:rsidRPr="003405B1">
        <w:t xml:space="preserve">Mobile Network Operator (MNO) sector </w:t>
      </w:r>
    </w:p>
    <w:p w14:paraId="3BDA636B" w14:textId="5CD0F0C0" w:rsidR="00D94D96" w:rsidRDefault="00793C59" w:rsidP="00F13A8F">
      <w:pPr>
        <w:pStyle w:val="Paragraph"/>
        <w:spacing w:after="120"/>
      </w:pPr>
      <w:r w:rsidRPr="00F14806">
        <w:t xml:space="preserve">Responses expressed the view that exclusive rights of spectrum licensees should take priority over consideration of sharing, and that sharing shouldn’t cause interrupted spectrum access for MNOs to deliver 5G and related services. This was emphasised by one MNO </w:t>
      </w:r>
      <w:r w:rsidR="00D94D96">
        <w:t>citing</w:t>
      </w:r>
      <w:r w:rsidR="00D94D96" w:rsidRPr="00F14806">
        <w:t xml:space="preserve"> </w:t>
      </w:r>
      <w:r w:rsidRPr="00F14806">
        <w:t xml:space="preserve">an excerpt from a Global System for Mobile Communications (GSMA) 5G paper on </w:t>
      </w:r>
      <w:r w:rsidRPr="00F14806">
        <w:rPr>
          <w:i/>
          <w:iCs/>
        </w:rPr>
        <w:t>Spectrum Public Policy Positions</w:t>
      </w:r>
      <w:r w:rsidRPr="00F14806">
        <w:t xml:space="preserve"> (July 2019)</w:t>
      </w:r>
      <w:r>
        <w:rPr>
          <w:rStyle w:val="FootnoteReference"/>
          <w:szCs w:val="20"/>
        </w:rPr>
        <w:footnoteReference w:id="1"/>
      </w:r>
      <w:r w:rsidRPr="00F14806">
        <w:t xml:space="preserve"> </w:t>
      </w:r>
      <w:r>
        <w:t>mentioning</w:t>
      </w:r>
      <w:r w:rsidR="00D94D96">
        <w:t>:</w:t>
      </w:r>
      <w:r w:rsidRPr="00F14806">
        <w:t xml:space="preserve"> </w:t>
      </w:r>
    </w:p>
    <w:p w14:paraId="27C15A82" w14:textId="5B37C193" w:rsidR="00793C59" w:rsidRPr="00F13A8F" w:rsidRDefault="00793C59" w:rsidP="00F13A8F">
      <w:pPr>
        <w:pStyle w:val="Paragraph"/>
        <w:ind w:left="567" w:right="1150"/>
        <w:rPr>
          <w:sz w:val="18"/>
          <w:szCs w:val="18"/>
        </w:rPr>
      </w:pPr>
      <w:r w:rsidRPr="00F13A8F">
        <w:rPr>
          <w:sz w:val="18"/>
          <w:szCs w:val="18"/>
        </w:rPr>
        <w:t>Exclusively licensed spectrum should remain the core 5G spectrum management approach. Spectrum sharing and unlicensed bands can play a complementary role.</w:t>
      </w:r>
    </w:p>
    <w:p w14:paraId="3FBA02C1" w14:textId="0EAC93F6" w:rsidR="00793C59" w:rsidRPr="00F14806" w:rsidRDefault="00793C59" w:rsidP="00F13A8F">
      <w:pPr>
        <w:pStyle w:val="Paragraphbeforelist"/>
      </w:pPr>
      <w:r w:rsidRPr="00F14806">
        <w:t xml:space="preserve">Another mobile operator pointed out the substantial investment MNOs have undertaken to provide and manage services </w:t>
      </w:r>
      <w:r w:rsidR="00D94D96">
        <w:t>for</w:t>
      </w:r>
      <w:r w:rsidR="00D94D96" w:rsidRPr="00F14806">
        <w:t xml:space="preserve"> </w:t>
      </w:r>
      <w:r w:rsidRPr="00F14806">
        <w:t>consumers. Any shared access to spectrum-licen</w:t>
      </w:r>
      <w:r>
        <w:t>s</w:t>
      </w:r>
      <w:r w:rsidRPr="00F14806">
        <w:t xml:space="preserve">ed bands should be on incumbent licensees’ own terms, to </w:t>
      </w:r>
      <w:r>
        <w:t xml:space="preserve">provide the requisite certainty to plan and implement networks that </w:t>
      </w:r>
      <w:r w:rsidRPr="00F14806">
        <w:t xml:space="preserve">ensure a return on their investments. It was also proposed that any non-traditional spectrum sharing implementation should be complementary to existing arrangements, not competing with them. As demand for 5G spectrum increases, any consideration of shared access should </w:t>
      </w:r>
      <w:proofErr w:type="gramStart"/>
      <w:r w:rsidRPr="00F14806">
        <w:t>take into account</w:t>
      </w:r>
      <w:proofErr w:type="gramEnd"/>
      <w:r w:rsidRPr="00F14806">
        <w:t xml:space="preserve"> the difficulties that such access might pose for incumbent users. Some open questions from this sector included:</w:t>
      </w:r>
    </w:p>
    <w:p w14:paraId="5E088C2A" w14:textId="4B36FF74" w:rsidR="00793C59" w:rsidRPr="00012FDD" w:rsidRDefault="001B40F3" w:rsidP="00F13A8F">
      <w:pPr>
        <w:pStyle w:val="ListBullet"/>
      </w:pPr>
      <w:r>
        <w:t>W</w:t>
      </w:r>
      <w:r w:rsidR="00793C59" w:rsidRPr="00F14806">
        <w:t xml:space="preserve">hat are the </w:t>
      </w:r>
      <w:r w:rsidR="00793C59" w:rsidRPr="00D94D96">
        <w:t>least</w:t>
      </w:r>
      <w:r w:rsidR="00793C59" w:rsidRPr="00F14806">
        <w:t xml:space="preserve"> costly and less restrictive approaches to meeting sharing policy objectives?</w:t>
      </w:r>
    </w:p>
    <w:p w14:paraId="08F6103C" w14:textId="17F2E487" w:rsidR="00793C59" w:rsidRPr="00012FDD" w:rsidRDefault="001B40F3" w:rsidP="00F13A8F">
      <w:pPr>
        <w:pStyle w:val="ListBullet"/>
      </w:pPr>
      <w:r>
        <w:t>H</w:t>
      </w:r>
      <w:r w:rsidR="00793C59" w:rsidRPr="00F14806">
        <w:t xml:space="preserve">ow </w:t>
      </w:r>
      <w:r w:rsidR="00793C59" w:rsidRPr="00D94D96">
        <w:t>do</w:t>
      </w:r>
      <w:r w:rsidR="00793C59" w:rsidRPr="00F14806">
        <w:t xml:space="preserve"> we balance between certainty and flexibility of spectrum access?</w:t>
      </w:r>
    </w:p>
    <w:p w14:paraId="62D993A1" w14:textId="5C35CB49" w:rsidR="00793C59" w:rsidRPr="00012FDD" w:rsidRDefault="001B40F3" w:rsidP="00D80F1E">
      <w:pPr>
        <w:pStyle w:val="ListBulletLast"/>
      </w:pPr>
      <w:r>
        <w:t>H</w:t>
      </w:r>
      <w:r w:rsidR="00793C59" w:rsidRPr="00F14806">
        <w:t xml:space="preserve">ow is the cost of implementing sharing distributed and what might the overall financial </w:t>
      </w:r>
      <w:r w:rsidR="00793C59" w:rsidRPr="00D94D96">
        <w:t>benefit</w:t>
      </w:r>
      <w:r w:rsidR="00793C59" w:rsidRPr="00F14806">
        <w:t xml:space="preserve"> for the industry be?</w:t>
      </w:r>
    </w:p>
    <w:p w14:paraId="50016C6B" w14:textId="1AEBEC96" w:rsidR="00793C59" w:rsidRPr="00F14806" w:rsidRDefault="00793C59" w:rsidP="00F13A8F">
      <w:pPr>
        <w:pStyle w:val="Paragraph"/>
      </w:pPr>
      <w:r w:rsidRPr="00F14806">
        <w:t>In summary, MNOs suggested that the viability</w:t>
      </w:r>
      <w:r>
        <w:t xml:space="preserve"> of</w:t>
      </w:r>
      <w:r w:rsidRPr="00F14806">
        <w:t xml:space="preserve"> non-traditional spectrum sharing models should be monitored as part of an ongoing work item for the ACMA.  As the benefits of spectrum sharing are still unproven</w:t>
      </w:r>
      <w:r w:rsidR="00D94D96">
        <w:t>,</w:t>
      </w:r>
      <w:r w:rsidRPr="00F14806">
        <w:t xml:space="preserve"> the ACMA should be aware but not proactive in this space until it develops further.   </w:t>
      </w:r>
    </w:p>
    <w:p w14:paraId="61A9120C" w14:textId="77777777" w:rsidR="00793C59" w:rsidRPr="00F14806" w:rsidRDefault="00793C59" w:rsidP="00F13A8F">
      <w:pPr>
        <w:pStyle w:val="Heading4"/>
      </w:pPr>
      <w:r w:rsidRPr="00F14806">
        <w:t>Satellite sector</w:t>
      </w:r>
    </w:p>
    <w:p w14:paraId="2E2633A6" w14:textId="6C2359EB" w:rsidR="00793C59" w:rsidRPr="00F14806" w:rsidRDefault="00793C59" w:rsidP="00F13A8F">
      <w:pPr>
        <w:pStyle w:val="Paragraph"/>
      </w:pPr>
      <w:r w:rsidRPr="00F14806">
        <w:t xml:space="preserve">The satellite industry, in general, </w:t>
      </w:r>
      <w:r w:rsidR="00D94D96">
        <w:t>was</w:t>
      </w:r>
      <w:r w:rsidR="00D94D96" w:rsidRPr="00F14806">
        <w:t xml:space="preserve"> </w:t>
      </w:r>
      <w:r w:rsidRPr="00F14806">
        <w:t xml:space="preserve">cautious </w:t>
      </w:r>
      <w:r>
        <w:t>about</w:t>
      </w:r>
      <w:r w:rsidRPr="00F14806">
        <w:t xml:space="preserve"> non-traditional spectrum sharing</w:t>
      </w:r>
      <w:r>
        <w:t xml:space="preserve"> approaches.</w:t>
      </w:r>
      <w:r w:rsidRPr="00F14806">
        <w:t xml:space="preserve"> They noted that any sharing arrangements should provide incumbents with uninterrupted access to allocated spectrum. The submissions argued that current spectrum sensing techniques have obvious limitations as a </w:t>
      </w:r>
      <w:r w:rsidRPr="001610DE">
        <w:t>means of managing</w:t>
      </w:r>
      <w:r w:rsidRPr="00F14806">
        <w:t xml:space="preserve"> interference into satellite downlink receivers, because the signals strength from satellites are very low at the Earth’s surface</w:t>
      </w:r>
      <w:r w:rsidR="00D94D96">
        <w:t>,</w:t>
      </w:r>
      <w:r w:rsidRPr="00F14806">
        <w:t xml:space="preserve"> which makes it difficult to accurately detect the location of the receiver and interferer. It was also suggested that the security and integrity of any spectrum sharing system would need to be validated prior to any implementation.</w:t>
      </w:r>
    </w:p>
    <w:p w14:paraId="0A982041" w14:textId="233D6A8F" w:rsidR="00793C59" w:rsidRPr="00F14806" w:rsidRDefault="00793C59" w:rsidP="00F13A8F">
      <w:pPr>
        <w:pStyle w:val="Heading4"/>
      </w:pPr>
      <w:r w:rsidRPr="00F14806">
        <w:t xml:space="preserve">TV </w:t>
      </w:r>
      <w:r w:rsidR="00D94D96">
        <w:t>b</w:t>
      </w:r>
      <w:r w:rsidRPr="00F14806">
        <w:t>roadcast sector</w:t>
      </w:r>
    </w:p>
    <w:p w14:paraId="091A12E4" w14:textId="77777777" w:rsidR="00793C59" w:rsidRPr="00F14806" w:rsidRDefault="00793C59" w:rsidP="00F13A8F">
      <w:pPr>
        <w:pStyle w:val="Paragraph"/>
      </w:pPr>
      <w:r w:rsidRPr="00F14806">
        <w:t xml:space="preserve">Respondents from this sector highlighted the importance of uninterrupted broadcast services for Australian audiences. They mentioned that any spectrum sharing arrangements along the lines of TV white spaces (TVWS), such as those implemented in the UK, would need to be carefully considered. </w:t>
      </w:r>
    </w:p>
    <w:p w14:paraId="48536DEC" w14:textId="77777777" w:rsidR="00793C59" w:rsidRPr="00F14806" w:rsidRDefault="00793C59" w:rsidP="00F13A8F">
      <w:pPr>
        <w:pStyle w:val="Heading4"/>
      </w:pPr>
      <w:r w:rsidRPr="00F14806">
        <w:t>Smaller network operators including wireless ISPs (WISPs)</w:t>
      </w:r>
    </w:p>
    <w:p w14:paraId="43ACE04F" w14:textId="77777777" w:rsidR="00793C59" w:rsidRDefault="00793C59" w:rsidP="00F13A8F">
      <w:pPr>
        <w:pStyle w:val="Paragraph"/>
      </w:pPr>
      <w:r w:rsidRPr="0083791F">
        <w:t xml:space="preserve">WISPs were strongly in favour of non-traditional </w:t>
      </w:r>
      <w:r>
        <w:t xml:space="preserve">dynamic </w:t>
      </w:r>
      <w:r w:rsidRPr="0083791F">
        <w:t xml:space="preserve">spectrum sharing arrangements in Australia. The WISP industry suggested that the ACMA should actively pursue multi-tier spectrum sharing </w:t>
      </w:r>
      <w:r w:rsidRPr="001610DE">
        <w:t>arrangements</w:t>
      </w:r>
      <w:r w:rsidRPr="0083791F">
        <w:t xml:space="preserve"> for regional/remote area services in </w:t>
      </w:r>
      <w:proofErr w:type="gramStart"/>
      <w:r w:rsidRPr="0083791F">
        <w:t>a number of</w:t>
      </w:r>
      <w:proofErr w:type="gramEnd"/>
      <w:r w:rsidRPr="0083791F">
        <w:t xml:space="preserve"> encumbered frequency </w:t>
      </w:r>
      <w:r w:rsidRPr="00FB2060">
        <w:t>bands</w:t>
      </w:r>
      <w:r w:rsidRPr="0083791F">
        <w:t xml:space="preserve">. </w:t>
      </w:r>
    </w:p>
    <w:p w14:paraId="5A260DEA" w14:textId="062DAFDE" w:rsidR="00793C59" w:rsidRPr="0083791F" w:rsidRDefault="00793C59" w:rsidP="00F13A8F">
      <w:pPr>
        <w:pStyle w:val="Paragraph"/>
      </w:pPr>
      <w:r w:rsidRPr="0083791F">
        <w:t>According to one submission, 68</w:t>
      </w:r>
      <w:r>
        <w:t xml:space="preserve"> per cent</w:t>
      </w:r>
      <w:r w:rsidRPr="0083791F">
        <w:t xml:space="preserve"> or more of areas covered by spectrum licen</w:t>
      </w:r>
      <w:r>
        <w:t>sees</w:t>
      </w:r>
      <w:r w:rsidRPr="0083791F">
        <w:t xml:space="preserve"> is currently not serviced by those licensees, and therefore unavailable for potential use in communities where agriculture, mining and safety services could benefit from the use of that spectrum. It was proposed that shared access to this spectrum could be facilitated in areas not served by MNOs to provide services to those communities.</w:t>
      </w:r>
    </w:p>
    <w:p w14:paraId="00F0B456" w14:textId="3E5A593C" w:rsidR="00793C59" w:rsidRPr="0083791F" w:rsidRDefault="00793C59" w:rsidP="00F13A8F">
      <w:pPr>
        <w:pStyle w:val="Paragraph"/>
      </w:pPr>
      <w:r w:rsidRPr="0083791F">
        <w:t>There was</w:t>
      </w:r>
      <w:r w:rsidR="00A26725">
        <w:t xml:space="preserve"> limited </w:t>
      </w:r>
      <w:r w:rsidRPr="0083791F">
        <w:t xml:space="preserve">support for DSA arrangements for Australia along the lines of the CBRS model, noting its cost and complexity. Instead, it was suggested that, as a starting point, the ACMA should investigate frequency bands and geographic areas where a simple </w:t>
      </w:r>
      <w:r w:rsidR="0058100D">
        <w:t>two-</w:t>
      </w:r>
      <w:r w:rsidRPr="0083791F">
        <w:t>tier sharing model might be feasible.</w:t>
      </w:r>
    </w:p>
    <w:p w14:paraId="2D42F10E" w14:textId="77777777" w:rsidR="00793C59" w:rsidRPr="00F14806" w:rsidRDefault="00793C59" w:rsidP="00F13A8F">
      <w:pPr>
        <w:pStyle w:val="Heading4"/>
      </w:pPr>
      <w:r w:rsidRPr="00F14806">
        <w:t>Technology manufacturers/providers</w:t>
      </w:r>
    </w:p>
    <w:p w14:paraId="7C266732" w14:textId="77777777" w:rsidR="00793C59" w:rsidRPr="003C4DD2" w:rsidRDefault="00793C59" w:rsidP="00F13A8F">
      <w:pPr>
        <w:pStyle w:val="Paragraph"/>
      </w:pPr>
      <w:bookmarkStart w:id="21" w:name="_Toc27563348"/>
      <w:r w:rsidRPr="003C4DD2">
        <w:t xml:space="preserve">These respondents welcomed consideration of new approaches to spectrum sharing, adding that the consultation was well-timed. They suggested that primary drivers for these types of measures would include helping to enable smart cities, 5G rollout and improving digital connectivity in regional Australia. </w:t>
      </w:r>
    </w:p>
    <w:p w14:paraId="6851EEF2" w14:textId="037099D9" w:rsidR="00793C59" w:rsidRPr="003C4DD2" w:rsidRDefault="00793C59" w:rsidP="00F13A8F">
      <w:pPr>
        <w:pStyle w:val="Paragraph"/>
      </w:pPr>
      <w:r w:rsidRPr="003C4DD2">
        <w:t xml:space="preserve">It was emphasised that licensed spectrum and existing MNO-type business models would remain a dominant delivery mechanism for </w:t>
      </w:r>
      <w:r w:rsidR="00F13A8F" w:rsidRPr="003C4DD2">
        <w:t>wireless broadband</w:t>
      </w:r>
      <w:r w:rsidRPr="003C4DD2">
        <w:t xml:space="preserve"> services, however, the diverse range of use cases, and frequency bands supported by 5G standards potentially lends itself to a mix of different authorisation regimes. This could present new opportunities for industry verticals to enter the market to service a diverse and dynamic customer base</w:t>
      </w:r>
      <w:r w:rsidR="005E04A3" w:rsidRPr="003C4DD2">
        <w:t>—</w:t>
      </w:r>
      <w:r w:rsidRPr="003C4DD2">
        <w:t>with wide ranging application and service requirements</w:t>
      </w:r>
      <w:r w:rsidR="005E04A3" w:rsidRPr="003C4DD2">
        <w:t>—</w:t>
      </w:r>
      <w:r w:rsidRPr="003C4DD2">
        <w:t>in conjunction with more established service models.</w:t>
      </w:r>
      <w:bookmarkEnd w:id="21"/>
      <w:r w:rsidRPr="003C4DD2">
        <w:t xml:space="preserve">  </w:t>
      </w:r>
    </w:p>
    <w:p w14:paraId="2A48B33A" w14:textId="77777777" w:rsidR="00793C59" w:rsidRPr="00012FDD" w:rsidRDefault="00793C59" w:rsidP="00F13A8F">
      <w:pPr>
        <w:pStyle w:val="Heading4"/>
        <w:keepNext/>
      </w:pPr>
      <w:bookmarkStart w:id="22" w:name="_Toc35524516"/>
      <w:r w:rsidRPr="00012FDD">
        <w:t>Views on international developments</w:t>
      </w:r>
      <w:bookmarkEnd w:id="22"/>
    </w:p>
    <w:p w14:paraId="42106E78" w14:textId="59EADDD2" w:rsidR="00793C59" w:rsidRPr="00F14806" w:rsidRDefault="00793C59" w:rsidP="00F13A8F">
      <w:pPr>
        <w:pStyle w:val="Paragraph"/>
        <w:rPr>
          <w:rFonts w:eastAsiaTheme="minorHAnsi"/>
          <w:lang w:eastAsia="en-US"/>
        </w:rPr>
      </w:pPr>
      <w:r w:rsidRPr="00F14806">
        <w:rPr>
          <w:rFonts w:eastAsiaTheme="minorHAnsi"/>
          <w:lang w:eastAsia="en-US"/>
        </w:rPr>
        <w:t xml:space="preserve">International momentum for introducing non-traditional spectrum sharing was also discussed in submissions. A summary of major developments in this space was contained in the </w:t>
      </w:r>
      <w:hyperlink r:id="rId32" w:history="1">
        <w:r w:rsidRPr="00012FDD">
          <w:rPr>
            <w:rStyle w:val="Hyperlink"/>
            <w:szCs w:val="20"/>
          </w:rPr>
          <w:t>information paper</w:t>
        </w:r>
      </w:hyperlink>
      <w:r w:rsidR="005E04A3">
        <w:t>—</w:t>
      </w:r>
      <w:r w:rsidRPr="00F14806">
        <w:rPr>
          <w:rFonts w:eastAsiaTheme="minorHAnsi"/>
          <w:lang w:eastAsia="en-US"/>
        </w:rPr>
        <w:t>industry views on two of the models gaining the most attention are summarised below</w:t>
      </w:r>
      <w:r>
        <w:rPr>
          <w:rFonts w:eastAsiaTheme="minorHAnsi"/>
          <w:lang w:eastAsia="en-US"/>
        </w:rPr>
        <w:t>.</w:t>
      </w:r>
    </w:p>
    <w:p w14:paraId="0B6AC67E" w14:textId="224C9DE7" w:rsidR="00793C59" w:rsidRPr="00F14806" w:rsidRDefault="00793C59" w:rsidP="00F13A8F">
      <w:pPr>
        <w:pStyle w:val="BriefSubtitle"/>
        <w:spacing w:before="120" w:after="0" w:line="240" w:lineRule="auto"/>
        <w:rPr>
          <w:rFonts w:eastAsiaTheme="minorHAnsi" w:cs="Arial"/>
          <w:b w:val="0"/>
          <w:i/>
          <w:iCs/>
          <w:color w:val="auto"/>
          <w:sz w:val="20"/>
          <w:szCs w:val="20"/>
          <w:lang w:eastAsia="en-US"/>
        </w:rPr>
      </w:pPr>
      <w:r w:rsidRPr="00F14806">
        <w:rPr>
          <w:rFonts w:eastAsiaTheme="minorHAnsi" w:cs="Arial"/>
          <w:b w:val="0"/>
          <w:i/>
          <w:iCs/>
          <w:color w:val="auto"/>
          <w:sz w:val="20"/>
          <w:szCs w:val="20"/>
          <w:lang w:eastAsia="en-US"/>
        </w:rPr>
        <w:t xml:space="preserve">Citizens Broadband Radio Service (CBRS) in the </w:t>
      </w:r>
      <w:r w:rsidRPr="00AE746B">
        <w:rPr>
          <w:rFonts w:eastAsiaTheme="minorHAnsi" w:cs="Arial"/>
          <w:b w:val="0"/>
          <w:i/>
          <w:iCs/>
          <w:color w:val="auto"/>
          <w:sz w:val="20"/>
          <w:szCs w:val="20"/>
          <w:lang w:eastAsia="en-US"/>
        </w:rPr>
        <w:t>U</w:t>
      </w:r>
      <w:r w:rsidR="00AE746B" w:rsidRPr="00F230D2">
        <w:rPr>
          <w:rFonts w:eastAsiaTheme="minorHAnsi" w:cs="Arial"/>
          <w:b w:val="0"/>
          <w:i/>
          <w:iCs/>
          <w:color w:val="auto"/>
          <w:sz w:val="20"/>
          <w:szCs w:val="20"/>
          <w:lang w:eastAsia="en-US"/>
        </w:rPr>
        <w:t>nited States (US)</w:t>
      </w:r>
    </w:p>
    <w:p w14:paraId="1A4D7B89" w14:textId="0D0FDD83" w:rsidR="00793C59" w:rsidRPr="0083791F" w:rsidRDefault="00793C59" w:rsidP="00F13A8F">
      <w:pPr>
        <w:pStyle w:val="Paragraph"/>
      </w:pPr>
      <w:r w:rsidRPr="0083791F">
        <w:t xml:space="preserve">In 2015, the US Federal Communications Commission (FCC) established rules to allow use of the CBRS band (at 3.5 GHz) by commercial broadband service providers, while protecting the incumbent shipborne and land-based US Department of Defence radars, commercial Fixed </w:t>
      </w:r>
      <w:r w:rsidRPr="00AE746B">
        <w:t>Satellite</w:t>
      </w:r>
      <w:r w:rsidRPr="0083791F">
        <w:t xml:space="preserve"> Service (FSS) receiver</w:t>
      </w:r>
      <w:r w:rsidR="001B40F3">
        <w:t>s</w:t>
      </w:r>
      <w:r w:rsidRPr="0083791F">
        <w:t xml:space="preserve"> and commercial terrestrial fixed point-to-multipoint systems. This is a three-tiered sharing arrangement where the higher</w:t>
      </w:r>
      <w:r w:rsidR="005E04A3">
        <w:t>-</w:t>
      </w:r>
      <w:r w:rsidRPr="0083791F">
        <w:t>tier user gets interference protection from lower</w:t>
      </w:r>
      <w:r w:rsidR="005E04A3">
        <w:t>-</w:t>
      </w:r>
      <w:r w:rsidRPr="0083791F">
        <w:t>tier user. The CBRS model uses an automated spectrum access system (SAS), fixed sensor network and databases to dynamically manage access hierarchies. The middle</w:t>
      </w:r>
      <w:r w:rsidR="00AE746B">
        <w:t>-</w:t>
      </w:r>
      <w:r w:rsidRPr="0083791F">
        <w:t>tier users will have access through PAL (priority access license) in the band and the lower</w:t>
      </w:r>
      <w:r w:rsidR="00AE746B">
        <w:t>-</w:t>
      </w:r>
      <w:r w:rsidRPr="0083791F">
        <w:t>tier users will have unlicensed access with no interference protection. The CBRS initial commercial deployment commenced in September 2019 and the P</w:t>
      </w:r>
      <w:r>
        <w:t>AL</w:t>
      </w:r>
      <w:r w:rsidRPr="0083791F">
        <w:t xml:space="preserve"> auction will begin in June 2020. </w:t>
      </w:r>
    </w:p>
    <w:p w14:paraId="2988ED3E" w14:textId="2B1E388D" w:rsidR="00793C59" w:rsidRPr="00F14806" w:rsidRDefault="00793C59" w:rsidP="00F13A8F">
      <w:pPr>
        <w:pStyle w:val="Paragraph"/>
        <w:rPr>
          <w:rFonts w:eastAsiaTheme="minorHAnsi"/>
          <w:lang w:eastAsia="en-US"/>
        </w:rPr>
      </w:pPr>
      <w:r>
        <w:rPr>
          <w:rFonts w:eastAsiaTheme="minorHAnsi"/>
          <w:lang w:eastAsia="en-US"/>
        </w:rPr>
        <w:t>Even though majority of submissions mentioned CBRS in their responses, v</w:t>
      </w:r>
      <w:r w:rsidRPr="00F14806">
        <w:rPr>
          <w:rFonts w:eastAsiaTheme="minorHAnsi"/>
          <w:lang w:eastAsia="en-US"/>
        </w:rPr>
        <w:t>iews were predictably divided on the suitability of a CBRS-type model for Australia. Some responses were supportive of this type of model, while others suggested that adopting such a complex and infrastructure-dependant system would not be appropriate at this stage</w:t>
      </w:r>
      <w:r>
        <w:rPr>
          <w:rFonts w:eastAsiaTheme="minorHAnsi"/>
          <w:lang w:eastAsia="en-US"/>
        </w:rPr>
        <w:t>,</w:t>
      </w:r>
      <w:r w:rsidRPr="00F14806">
        <w:rPr>
          <w:rFonts w:eastAsiaTheme="minorHAnsi"/>
          <w:lang w:eastAsia="en-US"/>
        </w:rPr>
        <w:t xml:space="preserve"> </w:t>
      </w:r>
      <w:r>
        <w:rPr>
          <w:rFonts w:eastAsiaTheme="minorHAnsi"/>
          <w:lang w:eastAsia="en-US"/>
        </w:rPr>
        <w:t>as the</w:t>
      </w:r>
      <w:r w:rsidRPr="00F14806">
        <w:rPr>
          <w:rFonts w:eastAsiaTheme="minorHAnsi"/>
          <w:lang w:eastAsia="en-US"/>
        </w:rPr>
        <w:t xml:space="preserve"> actual benefits and challenges of CBRS are yet to be proven. The general feeling was that</w:t>
      </w:r>
      <w:r>
        <w:rPr>
          <w:rFonts w:eastAsiaTheme="minorHAnsi"/>
          <w:lang w:eastAsia="en-US"/>
        </w:rPr>
        <w:t>, if a CBRS</w:t>
      </w:r>
      <w:r w:rsidR="00AE746B">
        <w:rPr>
          <w:rFonts w:eastAsiaTheme="minorHAnsi"/>
          <w:lang w:eastAsia="en-US"/>
        </w:rPr>
        <w:t>-</w:t>
      </w:r>
      <w:r>
        <w:rPr>
          <w:rFonts w:eastAsiaTheme="minorHAnsi"/>
          <w:lang w:eastAsia="en-US"/>
        </w:rPr>
        <w:t xml:space="preserve">type model was pursued in </w:t>
      </w:r>
      <w:r w:rsidRPr="00F14806">
        <w:t>Australia</w:t>
      </w:r>
      <w:r>
        <w:t>,</w:t>
      </w:r>
      <w:r w:rsidRPr="00F14806">
        <w:t xml:space="preserve"> </w:t>
      </w:r>
      <w:r>
        <w:t xml:space="preserve">it </w:t>
      </w:r>
      <w:r w:rsidRPr="00F14806">
        <w:t xml:space="preserve">should </w:t>
      </w:r>
      <w:r>
        <w:t>be a</w:t>
      </w:r>
      <w:r w:rsidRPr="00F14806">
        <w:t xml:space="preserve"> simpler </w:t>
      </w:r>
      <w:r>
        <w:t>variant</w:t>
      </w:r>
      <w:r w:rsidRPr="00F14806">
        <w:t>.</w:t>
      </w:r>
    </w:p>
    <w:p w14:paraId="05023F64" w14:textId="0E20A2E1" w:rsidR="00793C59" w:rsidRPr="00F14806" w:rsidRDefault="00793C59" w:rsidP="00F13A8F">
      <w:pPr>
        <w:pStyle w:val="BriefSubtitle"/>
        <w:spacing w:before="120" w:after="0" w:line="240" w:lineRule="auto"/>
        <w:rPr>
          <w:rFonts w:eastAsiaTheme="minorHAnsi" w:cs="Arial"/>
          <w:b w:val="0"/>
          <w:i/>
          <w:iCs/>
          <w:color w:val="auto"/>
          <w:sz w:val="20"/>
          <w:szCs w:val="20"/>
          <w:lang w:eastAsia="en-US"/>
        </w:rPr>
      </w:pPr>
      <w:r>
        <w:rPr>
          <w:rFonts w:eastAsiaTheme="minorHAnsi" w:cs="Arial"/>
          <w:b w:val="0"/>
          <w:i/>
          <w:iCs/>
          <w:color w:val="auto"/>
          <w:sz w:val="20"/>
          <w:szCs w:val="20"/>
          <w:lang w:eastAsia="en-US"/>
        </w:rPr>
        <w:t xml:space="preserve">Local </w:t>
      </w:r>
      <w:r w:rsidR="00AE746B">
        <w:rPr>
          <w:rFonts w:eastAsiaTheme="minorHAnsi" w:cs="Arial"/>
          <w:b w:val="0"/>
          <w:i/>
          <w:iCs/>
          <w:color w:val="auto"/>
          <w:sz w:val="20"/>
          <w:szCs w:val="20"/>
          <w:lang w:eastAsia="en-US"/>
        </w:rPr>
        <w:t>a</w:t>
      </w:r>
      <w:r>
        <w:rPr>
          <w:rFonts w:eastAsiaTheme="minorHAnsi" w:cs="Arial"/>
          <w:b w:val="0"/>
          <w:i/>
          <w:iCs/>
          <w:color w:val="auto"/>
          <w:sz w:val="20"/>
          <w:szCs w:val="20"/>
          <w:lang w:eastAsia="en-US"/>
        </w:rPr>
        <w:t xml:space="preserve">ccess </w:t>
      </w:r>
      <w:r w:rsidR="00AE746B">
        <w:rPr>
          <w:rFonts w:eastAsiaTheme="minorHAnsi" w:cs="Arial"/>
          <w:b w:val="0"/>
          <w:i/>
          <w:iCs/>
          <w:color w:val="auto"/>
          <w:sz w:val="20"/>
          <w:szCs w:val="20"/>
          <w:lang w:eastAsia="en-US"/>
        </w:rPr>
        <w:t>l</w:t>
      </w:r>
      <w:r>
        <w:rPr>
          <w:rFonts w:eastAsiaTheme="minorHAnsi" w:cs="Arial"/>
          <w:b w:val="0"/>
          <w:i/>
          <w:iCs/>
          <w:color w:val="auto"/>
          <w:sz w:val="20"/>
          <w:szCs w:val="20"/>
          <w:lang w:eastAsia="en-US"/>
        </w:rPr>
        <w:t>icence</w:t>
      </w:r>
      <w:r w:rsidRPr="00F14806">
        <w:rPr>
          <w:rFonts w:eastAsiaTheme="minorHAnsi" w:cs="Arial"/>
          <w:b w:val="0"/>
          <w:i/>
          <w:iCs/>
          <w:color w:val="auto"/>
          <w:sz w:val="20"/>
          <w:szCs w:val="20"/>
          <w:lang w:eastAsia="en-US"/>
        </w:rPr>
        <w:t xml:space="preserve"> in the United Kingdom</w:t>
      </w:r>
      <w:r w:rsidR="00AE746B">
        <w:rPr>
          <w:rFonts w:eastAsiaTheme="minorHAnsi" w:cs="Arial"/>
          <w:b w:val="0"/>
          <w:i/>
          <w:iCs/>
          <w:color w:val="auto"/>
          <w:sz w:val="20"/>
          <w:szCs w:val="20"/>
          <w:lang w:eastAsia="en-US"/>
        </w:rPr>
        <w:t xml:space="preserve"> (UK)</w:t>
      </w:r>
    </w:p>
    <w:p w14:paraId="5A2C9A39" w14:textId="77777777" w:rsidR="00303C2D" w:rsidRDefault="00793C59" w:rsidP="00F13A8F">
      <w:pPr>
        <w:pStyle w:val="Paragraph"/>
        <w:rPr>
          <w:rFonts w:eastAsiaTheme="minorHAnsi"/>
          <w:lang w:eastAsia="en-US"/>
        </w:rPr>
      </w:pPr>
      <w:proofErr w:type="gramStart"/>
      <w:r>
        <w:rPr>
          <w:rFonts w:eastAsiaTheme="minorHAnsi"/>
          <w:lang w:eastAsia="en-US"/>
        </w:rPr>
        <w:t>A number of</w:t>
      </w:r>
      <w:proofErr w:type="gramEnd"/>
      <w:r>
        <w:rPr>
          <w:rFonts w:eastAsiaTheme="minorHAnsi"/>
          <w:lang w:eastAsia="en-US"/>
        </w:rPr>
        <w:t xml:space="preserve"> submissions </w:t>
      </w:r>
      <w:r w:rsidR="004B3C95">
        <w:rPr>
          <w:rFonts w:eastAsiaTheme="minorHAnsi"/>
          <w:lang w:eastAsia="en-US"/>
        </w:rPr>
        <w:t>referred</w:t>
      </w:r>
      <w:r>
        <w:rPr>
          <w:rFonts w:eastAsiaTheme="minorHAnsi"/>
          <w:lang w:eastAsia="en-US"/>
        </w:rPr>
        <w:t xml:space="preserve"> to the local access licensing framework recently adopted in the UK to facilitate secondary access to MNO</w:t>
      </w:r>
      <w:r w:rsidR="00AE746B">
        <w:rPr>
          <w:rFonts w:eastAsiaTheme="minorHAnsi"/>
          <w:lang w:eastAsia="en-US"/>
        </w:rPr>
        <w:t>-</w:t>
      </w:r>
      <w:r>
        <w:rPr>
          <w:rFonts w:eastAsiaTheme="minorHAnsi"/>
          <w:lang w:eastAsia="en-US"/>
        </w:rPr>
        <w:t xml:space="preserve">allocated bands in remote and regional areas. This initiative, announced in </w:t>
      </w:r>
      <w:r w:rsidRPr="00CB21A1">
        <w:rPr>
          <w:rFonts w:eastAsiaTheme="minorHAnsi"/>
          <w:lang w:eastAsia="en-US"/>
        </w:rPr>
        <w:t xml:space="preserve">July 2019, </w:t>
      </w:r>
      <w:r>
        <w:rPr>
          <w:rFonts w:eastAsiaTheme="minorHAnsi"/>
          <w:lang w:eastAsia="en-US"/>
        </w:rPr>
        <w:t>provides a framework for</w:t>
      </w:r>
      <w:r w:rsidRPr="00CB21A1">
        <w:rPr>
          <w:rFonts w:eastAsiaTheme="minorHAnsi"/>
          <w:lang w:eastAsia="en-US"/>
        </w:rPr>
        <w:t xml:space="preserve"> </w:t>
      </w:r>
      <w:r>
        <w:rPr>
          <w:rFonts w:eastAsiaTheme="minorHAnsi"/>
          <w:lang w:eastAsia="en-US"/>
        </w:rPr>
        <w:t xml:space="preserve">new shared access licensing arrangements </w:t>
      </w:r>
      <w:r w:rsidRPr="00CB21A1">
        <w:rPr>
          <w:rFonts w:eastAsiaTheme="minorHAnsi"/>
          <w:lang w:eastAsia="en-US"/>
        </w:rPr>
        <w:t>to enable innovation and support new services in</w:t>
      </w:r>
      <w:r>
        <w:rPr>
          <w:rFonts w:eastAsiaTheme="minorHAnsi"/>
          <w:lang w:eastAsia="en-US"/>
        </w:rPr>
        <w:t xml:space="preserve"> frequency bands covered by the UK Mobile Trading Regulations.</w:t>
      </w:r>
      <w:r>
        <w:rPr>
          <w:rStyle w:val="FootnoteReference"/>
          <w:rFonts w:eastAsiaTheme="minorHAnsi"/>
          <w:szCs w:val="20"/>
          <w:lang w:eastAsia="en-US"/>
        </w:rPr>
        <w:footnoteReference w:id="2"/>
      </w:r>
      <w:r w:rsidRPr="00CB21A1">
        <w:rPr>
          <w:rFonts w:eastAsiaTheme="minorHAnsi"/>
          <w:lang w:eastAsia="en-US"/>
        </w:rPr>
        <w:t xml:space="preserve"> </w:t>
      </w:r>
    </w:p>
    <w:p w14:paraId="424686F7" w14:textId="7E75CD83" w:rsidR="00793C59" w:rsidRDefault="00793C59" w:rsidP="00F13A8F">
      <w:pPr>
        <w:pStyle w:val="Paragraph"/>
        <w:rPr>
          <w:rFonts w:eastAsiaTheme="minorHAnsi"/>
          <w:lang w:eastAsia="en-US"/>
        </w:rPr>
      </w:pPr>
      <w:r>
        <w:rPr>
          <w:rFonts w:eastAsiaTheme="minorHAnsi"/>
          <w:lang w:eastAsia="en-US"/>
        </w:rPr>
        <w:t>L</w:t>
      </w:r>
      <w:r w:rsidRPr="00CB21A1">
        <w:rPr>
          <w:rFonts w:eastAsiaTheme="minorHAnsi"/>
          <w:lang w:eastAsia="en-US"/>
        </w:rPr>
        <w:t>ocalised sharing</w:t>
      </w:r>
      <w:r>
        <w:rPr>
          <w:rFonts w:eastAsiaTheme="minorHAnsi"/>
          <w:lang w:eastAsia="en-US"/>
        </w:rPr>
        <w:t xml:space="preserve"> in these bands</w:t>
      </w:r>
      <w:r w:rsidRPr="00CB21A1">
        <w:rPr>
          <w:rFonts w:eastAsiaTheme="minorHAnsi"/>
          <w:lang w:eastAsia="en-US"/>
        </w:rPr>
        <w:t xml:space="preserve"> </w:t>
      </w:r>
      <w:r w:rsidRPr="00F13A8F">
        <w:rPr>
          <w:rFonts w:eastAsiaTheme="minorHAnsi"/>
        </w:rPr>
        <w:t>is</w:t>
      </w:r>
      <w:r>
        <w:rPr>
          <w:rFonts w:eastAsiaTheme="minorHAnsi"/>
          <w:lang w:eastAsia="en-US"/>
        </w:rPr>
        <w:t xml:space="preserve"> possible </w:t>
      </w:r>
      <w:r w:rsidRPr="00CB21A1">
        <w:rPr>
          <w:rFonts w:eastAsiaTheme="minorHAnsi"/>
          <w:lang w:eastAsia="en-US"/>
        </w:rPr>
        <w:t xml:space="preserve">under a two-tier </w:t>
      </w:r>
      <w:r>
        <w:rPr>
          <w:rFonts w:eastAsiaTheme="minorHAnsi"/>
          <w:lang w:eastAsia="en-US"/>
        </w:rPr>
        <w:t xml:space="preserve">arrangement </w:t>
      </w:r>
      <w:r w:rsidR="00AE746B">
        <w:rPr>
          <w:rFonts w:eastAsiaTheme="minorHAnsi"/>
          <w:lang w:eastAsia="en-US"/>
        </w:rPr>
        <w:t>essentially comprising</w:t>
      </w:r>
      <w:r w:rsidR="00AE746B" w:rsidRPr="00CB21A1">
        <w:rPr>
          <w:rFonts w:eastAsiaTheme="minorHAnsi"/>
          <w:lang w:eastAsia="en-US"/>
        </w:rPr>
        <w:t xml:space="preserve"> incumbents and access seekers</w:t>
      </w:r>
      <w:r w:rsidR="00AE746B">
        <w:rPr>
          <w:rFonts w:eastAsiaTheme="minorHAnsi"/>
          <w:lang w:eastAsia="en-US"/>
        </w:rPr>
        <w:t xml:space="preserve"> </w:t>
      </w:r>
      <w:r>
        <w:rPr>
          <w:rFonts w:eastAsiaTheme="minorHAnsi"/>
          <w:lang w:eastAsia="en-US"/>
        </w:rPr>
        <w:t xml:space="preserve">for a limited timeframe (usually three years with </w:t>
      </w:r>
      <w:r w:rsidR="00303C2D">
        <w:rPr>
          <w:rFonts w:eastAsiaTheme="minorHAnsi"/>
          <w:lang w:eastAsia="en-US"/>
        </w:rPr>
        <w:t xml:space="preserve">the </w:t>
      </w:r>
      <w:r>
        <w:rPr>
          <w:rFonts w:eastAsiaTheme="minorHAnsi"/>
          <w:lang w:eastAsia="en-US"/>
        </w:rPr>
        <w:t>prospect of extension)</w:t>
      </w:r>
      <w:r w:rsidRPr="00CB21A1">
        <w:rPr>
          <w:rFonts w:eastAsiaTheme="minorHAnsi"/>
          <w:lang w:eastAsia="en-US"/>
        </w:rPr>
        <w:t>.</w:t>
      </w:r>
      <w:r>
        <w:rPr>
          <w:rFonts w:eastAsiaTheme="minorHAnsi"/>
          <w:lang w:eastAsia="en-US"/>
        </w:rPr>
        <w:t xml:space="preserve"> </w:t>
      </w:r>
      <w:r w:rsidR="00FD1B93" w:rsidRPr="00FD1B93">
        <w:rPr>
          <w:rFonts w:eastAsiaTheme="minorHAnsi"/>
          <w:lang w:eastAsia="en-US"/>
        </w:rPr>
        <w:t xml:space="preserve">The purpose is to make underutilised licensed spectrum (where there are no plans for use within the next three years) available in lower density areas. </w:t>
      </w:r>
    </w:p>
    <w:p w14:paraId="26B48EF1" w14:textId="66E22705" w:rsidR="00793C59" w:rsidRPr="00315FD2" w:rsidRDefault="00793C59" w:rsidP="00F13A8F">
      <w:pPr>
        <w:pStyle w:val="Paragraph"/>
        <w:rPr>
          <w:rFonts w:eastAsiaTheme="minorHAnsi"/>
          <w:lang w:eastAsia="en-US"/>
        </w:rPr>
      </w:pPr>
      <w:r>
        <w:rPr>
          <w:rFonts w:eastAsiaTheme="minorHAnsi"/>
          <w:lang w:eastAsia="en-US"/>
        </w:rPr>
        <w:t>Given</w:t>
      </w:r>
      <w:r w:rsidRPr="00F14806">
        <w:rPr>
          <w:rFonts w:eastAsiaTheme="minorHAnsi"/>
          <w:lang w:eastAsia="en-US"/>
        </w:rPr>
        <w:t xml:space="preserve"> </w:t>
      </w:r>
      <w:r>
        <w:rPr>
          <w:rFonts w:eastAsiaTheme="minorHAnsi"/>
          <w:lang w:eastAsia="en-US"/>
        </w:rPr>
        <w:t xml:space="preserve">its </w:t>
      </w:r>
      <w:r w:rsidRPr="00F14806">
        <w:t>simpl</w:t>
      </w:r>
      <w:r>
        <w:t>icity</w:t>
      </w:r>
      <w:r w:rsidRPr="00F14806">
        <w:t xml:space="preserve"> </w:t>
      </w:r>
      <w:r>
        <w:t>in comparison to</w:t>
      </w:r>
      <w:r w:rsidRPr="00F14806">
        <w:t xml:space="preserve"> the CBRS model</w:t>
      </w:r>
      <w:r>
        <w:t xml:space="preserve"> (</w:t>
      </w:r>
      <w:r w:rsidR="00AE746B">
        <w:t>for example,</w:t>
      </w:r>
      <w:r>
        <w:t xml:space="preserve"> no monitoring infrastructure required), </w:t>
      </w:r>
      <w:r>
        <w:rPr>
          <w:rFonts w:eastAsiaTheme="minorHAnsi"/>
          <w:lang w:eastAsia="en-US"/>
        </w:rPr>
        <w:t>t</w:t>
      </w:r>
      <w:r w:rsidRPr="00F14806">
        <w:rPr>
          <w:rFonts w:eastAsiaTheme="minorHAnsi"/>
          <w:lang w:eastAsia="en-US"/>
        </w:rPr>
        <w:t>here was some support</w:t>
      </w:r>
      <w:r>
        <w:rPr>
          <w:rFonts w:eastAsiaTheme="minorHAnsi"/>
          <w:lang w:eastAsia="en-US"/>
        </w:rPr>
        <w:t xml:space="preserve"> </w:t>
      </w:r>
      <w:r w:rsidRPr="00F14806">
        <w:rPr>
          <w:rFonts w:eastAsiaTheme="minorHAnsi"/>
          <w:lang w:eastAsia="en-US"/>
        </w:rPr>
        <w:t>for the adoption of this type of approach in Australia</w:t>
      </w:r>
      <w:r w:rsidRPr="007D3C46">
        <w:t xml:space="preserve"> </w:t>
      </w:r>
      <w:r w:rsidR="00AE746B">
        <w:t>to</w:t>
      </w:r>
      <w:r>
        <w:t xml:space="preserve"> </w:t>
      </w:r>
      <w:r w:rsidR="00AE746B">
        <w:t>provide</w:t>
      </w:r>
      <w:r w:rsidR="00AE746B" w:rsidRPr="00F14806">
        <w:t xml:space="preserve"> </w:t>
      </w:r>
      <w:r w:rsidRPr="00F14806">
        <w:t xml:space="preserve">localised spectrum access for </w:t>
      </w:r>
      <w:r>
        <w:t xml:space="preserve">smaller operators, including </w:t>
      </w:r>
      <w:r w:rsidRPr="00F14806">
        <w:t>new market entrants</w:t>
      </w:r>
      <w:r>
        <w:rPr>
          <w:rFonts w:eastAsiaTheme="minorHAnsi"/>
          <w:lang w:eastAsia="en-US"/>
        </w:rPr>
        <w:t xml:space="preserve">. However, in </w:t>
      </w:r>
      <w:r w:rsidRPr="00F230D2">
        <w:rPr>
          <w:rFonts w:eastAsiaTheme="minorHAnsi"/>
          <w:szCs w:val="20"/>
          <w:lang w:eastAsia="en-US"/>
        </w:rPr>
        <w:t xml:space="preserve">Australia many of the bands incorporated into this arrangement </w:t>
      </w:r>
      <w:r w:rsidRPr="00D80F1E">
        <w:rPr>
          <w:szCs w:val="20"/>
        </w:rPr>
        <w:t>are spectrum licen</w:t>
      </w:r>
      <w:r w:rsidR="00031C2F" w:rsidRPr="00D80F1E">
        <w:rPr>
          <w:szCs w:val="20"/>
        </w:rPr>
        <w:t>s</w:t>
      </w:r>
      <w:r w:rsidRPr="00D80F1E">
        <w:rPr>
          <w:szCs w:val="20"/>
        </w:rPr>
        <w:t>ed, which</w:t>
      </w:r>
      <w:r w:rsidRPr="00F230D2">
        <w:rPr>
          <w:szCs w:val="20"/>
        </w:rPr>
        <w:t xml:space="preserve"> presents</w:t>
      </w:r>
      <w:r>
        <w:t xml:space="preserve"> its own set of c</w:t>
      </w:r>
      <w:r w:rsidRPr="00315FD2">
        <w:t xml:space="preserve">hallenges </w:t>
      </w:r>
      <w:r>
        <w:t>(d</w:t>
      </w:r>
      <w:r w:rsidRPr="00315FD2">
        <w:t xml:space="preserve">escribed in </w:t>
      </w:r>
      <w:r>
        <w:t xml:space="preserve">detail in </w:t>
      </w:r>
      <w:r w:rsidRPr="00315FD2">
        <w:t>the</w:t>
      </w:r>
      <w:r w:rsidR="00AA2F6B">
        <w:t xml:space="preserve"> </w:t>
      </w:r>
      <w:hyperlink w:anchor="_Discussion" w:history="1">
        <w:r w:rsidR="00AA2F6B" w:rsidRPr="00AA2F6B">
          <w:rPr>
            <w:rStyle w:val="Hyperlink"/>
          </w:rPr>
          <w:t>Discussion</w:t>
        </w:r>
      </w:hyperlink>
      <w:r w:rsidRPr="00315FD2">
        <w:rPr>
          <w:i/>
          <w:iCs/>
        </w:rPr>
        <w:t xml:space="preserve"> </w:t>
      </w:r>
      <w:r w:rsidRPr="00315FD2">
        <w:t>chapter of this paper</w:t>
      </w:r>
      <w:r>
        <w:t>)</w:t>
      </w:r>
      <w:r w:rsidRPr="00315FD2">
        <w:t>.</w:t>
      </w:r>
    </w:p>
    <w:p w14:paraId="77DC8BE3" w14:textId="77777777" w:rsidR="00793C59" w:rsidRDefault="00793C59" w:rsidP="00793C59">
      <w:pPr>
        <w:pStyle w:val="Heading1"/>
      </w:pPr>
      <w:bookmarkStart w:id="23" w:name="_Discussion"/>
      <w:bookmarkStart w:id="24" w:name="_Toc41055454"/>
      <w:bookmarkEnd w:id="23"/>
      <w:r w:rsidRPr="00793C59">
        <w:t>Discussion</w:t>
      </w:r>
      <w:bookmarkEnd w:id="24"/>
    </w:p>
    <w:p w14:paraId="62EF8996" w14:textId="75FD2942" w:rsidR="00793C59" w:rsidRPr="00FB3BF9" w:rsidRDefault="00793C59" w:rsidP="00ED70F7">
      <w:pPr>
        <w:pStyle w:val="Paragraph"/>
      </w:pPr>
      <w:bookmarkStart w:id="25" w:name="_Ref498952106"/>
      <w:r w:rsidRPr="0083791F">
        <w:t>As evident in the</w:t>
      </w:r>
      <w:r w:rsidR="00AA2F6B">
        <w:t xml:space="preserve"> </w:t>
      </w:r>
      <w:hyperlink w:anchor="_Summary_of_submissions" w:history="1">
        <w:r w:rsidR="00AA2F6B" w:rsidRPr="00AA2F6B">
          <w:rPr>
            <w:rStyle w:val="Hyperlink"/>
          </w:rPr>
          <w:t>Summary of submissions</w:t>
        </w:r>
      </w:hyperlink>
      <w:r w:rsidR="00AA2F6B">
        <w:t xml:space="preserve"> chapter</w:t>
      </w:r>
      <w:r w:rsidRPr="0083791F">
        <w:t xml:space="preserve">, there </w:t>
      </w:r>
      <w:r w:rsidRPr="00FB3BF9">
        <w:t>is</w:t>
      </w:r>
      <w:r w:rsidRPr="0083791F">
        <w:t xml:space="preserve"> some interest in adopting non-traditional sharing arrangements in Australia</w:t>
      </w:r>
      <w:r>
        <w:t xml:space="preserve">. Conversely however, </w:t>
      </w:r>
      <w:r w:rsidRPr="0083791F">
        <w:t xml:space="preserve">there are </w:t>
      </w:r>
      <w:proofErr w:type="gramStart"/>
      <w:r w:rsidRPr="0083791F">
        <w:t>a number of</w:t>
      </w:r>
      <w:proofErr w:type="gramEnd"/>
      <w:r w:rsidRPr="0083791F">
        <w:t xml:space="preserve"> </w:t>
      </w:r>
      <w:r w:rsidRPr="005735CD">
        <w:t xml:space="preserve">significant </w:t>
      </w:r>
      <w:r w:rsidRPr="0083791F">
        <w:t xml:space="preserve">issues </w:t>
      </w:r>
      <w:r w:rsidR="00AE746B">
        <w:t>that</w:t>
      </w:r>
      <w:r w:rsidR="00AE746B" w:rsidRPr="0083791F">
        <w:t xml:space="preserve"> </w:t>
      </w:r>
      <w:r w:rsidRPr="0083791F">
        <w:t xml:space="preserve">need to be </w:t>
      </w:r>
      <w:r>
        <w:t>discussed</w:t>
      </w:r>
      <w:r w:rsidRPr="0083791F">
        <w:t xml:space="preserve"> before contemplating such arrangements. </w:t>
      </w:r>
      <w:r>
        <w:t>These</w:t>
      </w:r>
      <w:r w:rsidRPr="0083791F">
        <w:t xml:space="preserve"> issues are discussed in this chapter.</w:t>
      </w:r>
    </w:p>
    <w:p w14:paraId="1A7E1EBB" w14:textId="3D70A12A" w:rsidR="00793C59" w:rsidRPr="00ED70F7" w:rsidRDefault="00303C2D" w:rsidP="00ED70F7">
      <w:pPr>
        <w:pStyle w:val="Heading2"/>
      </w:pPr>
      <w:bookmarkStart w:id="26" w:name="_Toc35524518"/>
      <w:bookmarkStart w:id="27" w:name="_Toc41055455"/>
      <w:r>
        <w:t>F</w:t>
      </w:r>
      <w:r w:rsidR="00793C59" w:rsidRPr="00ED70F7">
        <w:t>requency bands proposed for new sharing approaches</w:t>
      </w:r>
      <w:bookmarkEnd w:id="26"/>
      <w:bookmarkEnd w:id="27"/>
    </w:p>
    <w:p w14:paraId="736D9A3D" w14:textId="6FC20FE2" w:rsidR="00793C59" w:rsidRDefault="00793C59" w:rsidP="00ED70F7">
      <w:pPr>
        <w:pStyle w:val="Paragraph"/>
      </w:pPr>
      <w:r w:rsidRPr="003405B1">
        <w:t xml:space="preserve">Table 1 lists specific frequency bands that were proposed in submissions </w:t>
      </w:r>
      <w:r>
        <w:t xml:space="preserve">or raised in decisions </w:t>
      </w:r>
      <w:r w:rsidRPr="003405B1">
        <w:t xml:space="preserve">for potential consideration of </w:t>
      </w:r>
      <w:r>
        <w:t xml:space="preserve">new </w:t>
      </w:r>
      <w:r w:rsidRPr="003405B1">
        <w:t>spectrum</w:t>
      </w:r>
      <w:r w:rsidR="00AE746B">
        <w:rPr>
          <w:b/>
        </w:rPr>
        <w:t>-</w:t>
      </w:r>
      <w:r w:rsidRPr="003405B1">
        <w:t xml:space="preserve">sharing arrangements. These included proposals involving frequency bands currently allocated for spectrum licensing. For example, the </w:t>
      </w:r>
      <w:proofErr w:type="spellStart"/>
      <w:r w:rsidRPr="003405B1">
        <w:t>Pivotel</w:t>
      </w:r>
      <w:proofErr w:type="spellEnd"/>
      <w:r w:rsidRPr="003405B1">
        <w:t xml:space="preserve"> Group proposed sub</w:t>
      </w:r>
      <w:r>
        <w:t>-</w:t>
      </w:r>
      <w:r w:rsidRPr="003405B1">
        <w:t xml:space="preserve">1 GHz bands held by MNOs for shared access by private LTE networks in regional and remote areas </w:t>
      </w:r>
      <w:r w:rsidRPr="00F230D2">
        <w:t xml:space="preserve">such as mine sites, using a framework similar to the local access licensing model adopted by </w:t>
      </w:r>
      <w:proofErr w:type="spellStart"/>
      <w:r w:rsidRPr="00F230D2">
        <w:t>Ofcom</w:t>
      </w:r>
      <w:proofErr w:type="spellEnd"/>
      <w:r w:rsidRPr="00F230D2">
        <w:t>.</w:t>
      </w:r>
      <w:r w:rsidRPr="003405B1">
        <w:t xml:space="preserve"> </w:t>
      </w:r>
    </w:p>
    <w:p w14:paraId="4EC2F9BD" w14:textId="77777777" w:rsidR="00793C59" w:rsidRPr="003405B1" w:rsidRDefault="00793C59" w:rsidP="00AE746B">
      <w:pPr>
        <w:pStyle w:val="Tableheading"/>
      </w:pPr>
      <w:r w:rsidRPr="003405B1">
        <w:t xml:space="preserve">List of </w:t>
      </w:r>
      <w:r w:rsidRPr="00ED70F7">
        <w:t>frequency</w:t>
      </w:r>
      <w:r w:rsidRPr="003405B1">
        <w:t xml:space="preserve"> bands proposed for spectrum sharing</w:t>
      </w:r>
    </w:p>
    <w:tbl>
      <w:tblPr>
        <w:tblStyle w:val="TableGrid"/>
        <w:tblW w:w="7650" w:type="dxa"/>
        <w:tblCellMar>
          <w:top w:w="57" w:type="dxa"/>
          <w:bottom w:w="57" w:type="dxa"/>
        </w:tblCellMar>
        <w:tblLook w:val="04A0" w:firstRow="1" w:lastRow="0" w:firstColumn="1" w:lastColumn="0" w:noHBand="0" w:noVBand="1"/>
      </w:tblPr>
      <w:tblGrid>
        <w:gridCol w:w="1838"/>
        <w:gridCol w:w="2410"/>
        <w:gridCol w:w="3402"/>
      </w:tblGrid>
      <w:tr w:rsidR="00561B59" w:rsidRPr="00561B59" w14:paraId="3D03ECDF" w14:textId="77777777" w:rsidTr="00561B59">
        <w:trPr>
          <w:trHeight w:val="442"/>
        </w:trPr>
        <w:tc>
          <w:tcPr>
            <w:tcW w:w="1838" w:type="dxa"/>
            <w:shd w:val="clear" w:color="auto" w:fill="404040" w:themeFill="text1" w:themeFillTint="BF"/>
          </w:tcPr>
          <w:p w14:paraId="28F3B0F0" w14:textId="77777777" w:rsidR="00793C59" w:rsidRPr="00561B59" w:rsidRDefault="00793C59" w:rsidP="00561B59">
            <w:pPr>
              <w:pStyle w:val="Tableheaderrow"/>
              <w:rPr>
                <w:color w:val="FFFFFF" w:themeColor="background1"/>
              </w:rPr>
            </w:pPr>
            <w:r w:rsidRPr="00561B59">
              <w:rPr>
                <w:color w:val="FFFFFF" w:themeColor="background1"/>
              </w:rPr>
              <w:t>Respondent</w:t>
            </w:r>
          </w:p>
        </w:tc>
        <w:tc>
          <w:tcPr>
            <w:tcW w:w="2410" w:type="dxa"/>
            <w:shd w:val="clear" w:color="auto" w:fill="404040" w:themeFill="text1" w:themeFillTint="BF"/>
          </w:tcPr>
          <w:p w14:paraId="27D7A288" w14:textId="5EAE0327" w:rsidR="00793C59" w:rsidRPr="00561B59" w:rsidRDefault="00793C59" w:rsidP="00561B59">
            <w:pPr>
              <w:pStyle w:val="Tableheaderrow"/>
              <w:rPr>
                <w:color w:val="FFFFFF" w:themeColor="background1"/>
              </w:rPr>
            </w:pPr>
            <w:r w:rsidRPr="00561B59">
              <w:rPr>
                <w:color w:val="FFFFFF" w:themeColor="background1"/>
              </w:rPr>
              <w:t xml:space="preserve">Proposed </w:t>
            </w:r>
            <w:r w:rsidR="00AE746B" w:rsidRPr="00561B59">
              <w:rPr>
                <w:color w:val="FFFFFF" w:themeColor="background1"/>
              </w:rPr>
              <w:t>b</w:t>
            </w:r>
            <w:r w:rsidRPr="00561B59">
              <w:rPr>
                <w:color w:val="FFFFFF" w:themeColor="background1"/>
              </w:rPr>
              <w:t>and</w:t>
            </w:r>
          </w:p>
        </w:tc>
        <w:tc>
          <w:tcPr>
            <w:tcW w:w="3402" w:type="dxa"/>
            <w:shd w:val="clear" w:color="auto" w:fill="404040" w:themeFill="text1" w:themeFillTint="BF"/>
          </w:tcPr>
          <w:p w14:paraId="16830FDA" w14:textId="43B93C49" w:rsidR="00793C59" w:rsidRPr="00561B59" w:rsidRDefault="00793C59" w:rsidP="00561B59">
            <w:pPr>
              <w:pStyle w:val="Tableheaderrow"/>
              <w:rPr>
                <w:color w:val="FFFFFF" w:themeColor="background1"/>
              </w:rPr>
            </w:pPr>
            <w:r w:rsidRPr="00561B59">
              <w:rPr>
                <w:color w:val="FFFFFF" w:themeColor="background1"/>
              </w:rPr>
              <w:t xml:space="preserve">Proposed </w:t>
            </w:r>
            <w:r w:rsidR="00AE746B" w:rsidRPr="00561B59">
              <w:rPr>
                <w:color w:val="FFFFFF" w:themeColor="background1"/>
              </w:rPr>
              <w:t>s</w:t>
            </w:r>
            <w:r w:rsidRPr="00561B59">
              <w:rPr>
                <w:color w:val="FFFFFF" w:themeColor="background1"/>
              </w:rPr>
              <w:t xml:space="preserve">haring </w:t>
            </w:r>
            <w:r w:rsidR="00AE746B" w:rsidRPr="00561B59">
              <w:rPr>
                <w:color w:val="FFFFFF" w:themeColor="background1"/>
              </w:rPr>
              <w:t>a</w:t>
            </w:r>
            <w:r w:rsidRPr="00561B59">
              <w:rPr>
                <w:color w:val="FFFFFF" w:themeColor="background1"/>
              </w:rPr>
              <w:t>pproach</w:t>
            </w:r>
          </w:p>
        </w:tc>
      </w:tr>
      <w:tr w:rsidR="00793C59" w:rsidRPr="003405B1" w14:paraId="0B601312" w14:textId="77777777" w:rsidTr="00561B59">
        <w:trPr>
          <w:trHeight w:val="875"/>
        </w:trPr>
        <w:tc>
          <w:tcPr>
            <w:tcW w:w="1838" w:type="dxa"/>
          </w:tcPr>
          <w:p w14:paraId="5AA2F636" w14:textId="77777777" w:rsidR="00793C59" w:rsidRPr="003405B1" w:rsidRDefault="00793C59" w:rsidP="00561B59">
            <w:pPr>
              <w:pStyle w:val="TableBody"/>
            </w:pPr>
            <w:proofErr w:type="spellStart"/>
            <w:r w:rsidRPr="003405B1">
              <w:t>Pivotel</w:t>
            </w:r>
            <w:proofErr w:type="spellEnd"/>
            <w:r w:rsidRPr="003405B1">
              <w:t xml:space="preserve"> Group</w:t>
            </w:r>
          </w:p>
        </w:tc>
        <w:tc>
          <w:tcPr>
            <w:tcW w:w="2410" w:type="dxa"/>
          </w:tcPr>
          <w:p w14:paraId="38CC4F3B" w14:textId="77777777" w:rsidR="00793C59" w:rsidRPr="00E77249" w:rsidRDefault="00793C59" w:rsidP="00561B59">
            <w:pPr>
              <w:pStyle w:val="TableBody"/>
              <w:rPr>
                <w:b/>
              </w:rPr>
            </w:pPr>
            <w:r>
              <w:t xml:space="preserve">700, </w:t>
            </w:r>
            <w:r w:rsidRPr="003405B1">
              <w:t xml:space="preserve">850 </w:t>
            </w:r>
            <w:r>
              <w:t>and</w:t>
            </w:r>
            <w:r w:rsidRPr="003405B1">
              <w:t xml:space="preserve"> </w:t>
            </w:r>
            <w:r>
              <w:t>9</w:t>
            </w:r>
            <w:r w:rsidRPr="003405B1">
              <w:t xml:space="preserve">00 MHz </w:t>
            </w:r>
          </w:p>
        </w:tc>
        <w:tc>
          <w:tcPr>
            <w:tcW w:w="3402" w:type="dxa"/>
          </w:tcPr>
          <w:p w14:paraId="11086D91" w14:textId="77777777" w:rsidR="00793C59" w:rsidRPr="003405B1" w:rsidRDefault="00793C59" w:rsidP="00561B59">
            <w:pPr>
              <w:pStyle w:val="TableBody"/>
            </w:pPr>
            <w:r w:rsidRPr="003405B1">
              <w:t>Licensed access to spectrum in remote and regional areas for Private LTE and mining applications</w:t>
            </w:r>
          </w:p>
        </w:tc>
      </w:tr>
      <w:tr w:rsidR="00793C59" w:rsidRPr="003405B1" w14:paraId="2588C63C" w14:textId="77777777" w:rsidTr="00561B59">
        <w:trPr>
          <w:trHeight w:val="875"/>
        </w:trPr>
        <w:tc>
          <w:tcPr>
            <w:tcW w:w="1838" w:type="dxa"/>
          </w:tcPr>
          <w:p w14:paraId="7FC84046" w14:textId="77777777" w:rsidR="00793C59" w:rsidRPr="003405B1" w:rsidRDefault="00793C59" w:rsidP="00561B59">
            <w:pPr>
              <w:pStyle w:val="TableBody"/>
            </w:pPr>
            <w:proofErr w:type="spellStart"/>
            <w:r w:rsidRPr="003405B1">
              <w:t>Sirion</w:t>
            </w:r>
            <w:proofErr w:type="spellEnd"/>
            <w:r w:rsidRPr="003405B1">
              <w:t xml:space="preserve"> Global</w:t>
            </w:r>
          </w:p>
        </w:tc>
        <w:tc>
          <w:tcPr>
            <w:tcW w:w="2410" w:type="dxa"/>
          </w:tcPr>
          <w:p w14:paraId="5A2EA79A" w14:textId="344A996F" w:rsidR="00793C59" w:rsidRPr="003405B1" w:rsidRDefault="00793C59" w:rsidP="00561B59">
            <w:pPr>
              <w:pStyle w:val="TableBody"/>
            </w:pPr>
            <w:r w:rsidRPr="008B2853">
              <w:t>1980–2010 MHz</w:t>
            </w:r>
            <w:r>
              <w:t>/</w:t>
            </w:r>
            <w:r w:rsidR="00AE746B">
              <w:br/>
            </w:r>
            <w:r w:rsidRPr="008B2853">
              <w:t xml:space="preserve">2170–2200 MHz </w:t>
            </w:r>
          </w:p>
        </w:tc>
        <w:tc>
          <w:tcPr>
            <w:tcW w:w="3402" w:type="dxa"/>
          </w:tcPr>
          <w:p w14:paraId="4AE09A35" w14:textId="77777777" w:rsidR="00793C59" w:rsidRPr="003405B1" w:rsidRDefault="00793C59" w:rsidP="00561B59">
            <w:pPr>
              <w:pStyle w:val="TableBody"/>
            </w:pPr>
            <w:r>
              <w:t xml:space="preserve">Authorisation of </w:t>
            </w:r>
            <w:r w:rsidRPr="00A66125">
              <w:t>mobile satellite service</w:t>
            </w:r>
            <w:r>
              <w:t>s</w:t>
            </w:r>
            <w:r w:rsidRPr="00A66125">
              <w:t xml:space="preserve"> with a ground component </w:t>
            </w:r>
            <w:r>
              <w:t>(IoT applications)</w:t>
            </w:r>
          </w:p>
        </w:tc>
      </w:tr>
      <w:tr w:rsidR="00793C59" w:rsidRPr="003405B1" w14:paraId="60B1FA4F" w14:textId="77777777" w:rsidTr="00561B59">
        <w:trPr>
          <w:trHeight w:val="659"/>
        </w:trPr>
        <w:tc>
          <w:tcPr>
            <w:tcW w:w="1838" w:type="dxa"/>
          </w:tcPr>
          <w:p w14:paraId="0B29C39E" w14:textId="77777777" w:rsidR="00793C59" w:rsidRPr="003405B1" w:rsidRDefault="00793C59" w:rsidP="00561B59">
            <w:pPr>
              <w:pStyle w:val="TableBody"/>
            </w:pPr>
            <w:r>
              <w:t>WISPAU</w:t>
            </w:r>
          </w:p>
        </w:tc>
        <w:tc>
          <w:tcPr>
            <w:tcW w:w="2410" w:type="dxa"/>
          </w:tcPr>
          <w:p w14:paraId="5C423361" w14:textId="2CECF3CB" w:rsidR="00793C59" w:rsidRPr="003405B1" w:rsidRDefault="00793C59" w:rsidP="00561B59">
            <w:pPr>
              <w:pStyle w:val="TableBody"/>
            </w:pPr>
            <w:r>
              <w:t>3300</w:t>
            </w:r>
            <w:r w:rsidR="00AE746B" w:rsidRPr="008B2853">
              <w:t>–</w:t>
            </w:r>
            <w:r>
              <w:t>3900 MHz</w:t>
            </w:r>
          </w:p>
        </w:tc>
        <w:tc>
          <w:tcPr>
            <w:tcW w:w="3402" w:type="dxa"/>
          </w:tcPr>
          <w:p w14:paraId="72B9E5CE" w14:textId="77777777" w:rsidR="00793C59" w:rsidRPr="003405B1" w:rsidRDefault="00793C59" w:rsidP="00561B59">
            <w:pPr>
              <w:pStyle w:val="TableBody"/>
            </w:pPr>
            <w:r>
              <w:t>S</w:t>
            </w:r>
            <w:r w:rsidRPr="003405B1">
              <w:t xml:space="preserve">hared access </w:t>
            </w:r>
            <w:r>
              <w:t>for</w:t>
            </w:r>
            <w:r w:rsidRPr="003405B1">
              <w:t xml:space="preserve"> wireless broadband services </w:t>
            </w:r>
          </w:p>
        </w:tc>
      </w:tr>
      <w:tr w:rsidR="00793C59" w:rsidRPr="003405B1" w14:paraId="2D7FC422" w14:textId="77777777" w:rsidTr="00561B59">
        <w:trPr>
          <w:trHeight w:val="659"/>
        </w:trPr>
        <w:tc>
          <w:tcPr>
            <w:tcW w:w="1838" w:type="dxa"/>
          </w:tcPr>
          <w:p w14:paraId="26DC86E3" w14:textId="77777777" w:rsidR="00793C59" w:rsidRPr="003405B1" w:rsidRDefault="00793C59" w:rsidP="00561B59">
            <w:pPr>
              <w:pStyle w:val="TableBody"/>
            </w:pPr>
            <w:r w:rsidRPr="003405B1">
              <w:t>Motorola Solutions</w:t>
            </w:r>
          </w:p>
        </w:tc>
        <w:tc>
          <w:tcPr>
            <w:tcW w:w="2410" w:type="dxa"/>
          </w:tcPr>
          <w:p w14:paraId="752F724D" w14:textId="19517CA1" w:rsidR="00793C59" w:rsidRPr="003405B1" w:rsidRDefault="00793C59" w:rsidP="00561B59">
            <w:pPr>
              <w:pStyle w:val="TableBody"/>
            </w:pPr>
            <w:r w:rsidRPr="003405B1">
              <w:t>3400</w:t>
            </w:r>
            <w:r w:rsidR="00AE746B" w:rsidRPr="008B2853">
              <w:t>–</w:t>
            </w:r>
            <w:r w:rsidRPr="003405B1">
              <w:t xml:space="preserve">4200 MHz </w:t>
            </w:r>
          </w:p>
        </w:tc>
        <w:tc>
          <w:tcPr>
            <w:tcW w:w="3402" w:type="dxa"/>
          </w:tcPr>
          <w:p w14:paraId="3840EAE2" w14:textId="77777777" w:rsidR="00793C59" w:rsidRPr="003405B1" w:rsidRDefault="00793C59" w:rsidP="00561B59">
            <w:pPr>
              <w:pStyle w:val="TableBody"/>
              <w:rPr>
                <w:b/>
              </w:rPr>
            </w:pPr>
            <w:r w:rsidRPr="003405B1">
              <w:t>Shared access for industrial and enterprise use</w:t>
            </w:r>
          </w:p>
        </w:tc>
      </w:tr>
      <w:tr w:rsidR="00793C59" w:rsidRPr="003405B1" w14:paraId="7D7D7DA2" w14:textId="77777777" w:rsidTr="00561B59">
        <w:trPr>
          <w:trHeight w:val="669"/>
        </w:trPr>
        <w:tc>
          <w:tcPr>
            <w:tcW w:w="1838" w:type="dxa"/>
          </w:tcPr>
          <w:p w14:paraId="199412A3" w14:textId="77777777" w:rsidR="00793C59" w:rsidRPr="003405B1" w:rsidRDefault="00793C59" w:rsidP="00561B59">
            <w:pPr>
              <w:pStyle w:val="TableBody"/>
            </w:pPr>
            <w:r w:rsidRPr="003405B1">
              <w:t xml:space="preserve">Open spectrum </w:t>
            </w:r>
          </w:p>
        </w:tc>
        <w:tc>
          <w:tcPr>
            <w:tcW w:w="2410" w:type="dxa"/>
          </w:tcPr>
          <w:p w14:paraId="609BB93A" w14:textId="7CFA91EF" w:rsidR="00793C59" w:rsidRPr="003405B1" w:rsidRDefault="00793C59" w:rsidP="00561B59">
            <w:pPr>
              <w:pStyle w:val="TableBody"/>
            </w:pPr>
            <w:r w:rsidRPr="00E77249">
              <w:t>3300</w:t>
            </w:r>
            <w:r w:rsidR="00AE746B" w:rsidRPr="008B2853">
              <w:t>–</w:t>
            </w:r>
            <w:r w:rsidRPr="00E77249">
              <w:t>3400 MHz and 4500</w:t>
            </w:r>
            <w:r w:rsidR="00AE746B" w:rsidRPr="008B2853">
              <w:t>–</w:t>
            </w:r>
            <w:r w:rsidRPr="00E77249">
              <w:t xml:space="preserve">4990 MHz </w:t>
            </w:r>
          </w:p>
        </w:tc>
        <w:tc>
          <w:tcPr>
            <w:tcW w:w="3402" w:type="dxa"/>
          </w:tcPr>
          <w:p w14:paraId="511DC0E2" w14:textId="12D3CD6B" w:rsidR="00793C59" w:rsidRPr="003405B1" w:rsidRDefault="00793C59" w:rsidP="00561B59">
            <w:pPr>
              <w:pStyle w:val="TableBody"/>
            </w:pPr>
            <w:r w:rsidRPr="003405B1">
              <w:t xml:space="preserve">Provision of </w:t>
            </w:r>
            <w:r w:rsidR="00F13A8F">
              <w:t>wireless broadband</w:t>
            </w:r>
            <w:r w:rsidRPr="003405B1">
              <w:t xml:space="preserve"> services in remote areas</w:t>
            </w:r>
          </w:p>
        </w:tc>
      </w:tr>
      <w:tr w:rsidR="00793C59" w:rsidRPr="003405B1" w14:paraId="71F1F56D" w14:textId="77777777" w:rsidTr="00561B59">
        <w:trPr>
          <w:trHeight w:val="659"/>
        </w:trPr>
        <w:tc>
          <w:tcPr>
            <w:tcW w:w="1838" w:type="dxa"/>
          </w:tcPr>
          <w:p w14:paraId="5249A065" w14:textId="77777777" w:rsidR="00793C59" w:rsidRPr="003405B1" w:rsidRDefault="00793C59" w:rsidP="00561B59">
            <w:pPr>
              <w:pStyle w:val="TableBody"/>
            </w:pPr>
            <w:r w:rsidRPr="003405B1">
              <w:t>Vodafone Hutchison Australia (VHA)</w:t>
            </w:r>
          </w:p>
        </w:tc>
        <w:tc>
          <w:tcPr>
            <w:tcW w:w="2410" w:type="dxa"/>
          </w:tcPr>
          <w:p w14:paraId="6D9B15EF" w14:textId="33BD6F57" w:rsidR="00793C59" w:rsidRPr="003405B1" w:rsidRDefault="00793C59" w:rsidP="00561B59">
            <w:pPr>
              <w:pStyle w:val="TableBody"/>
            </w:pPr>
            <w:r w:rsidRPr="003405B1">
              <w:t>3400</w:t>
            </w:r>
            <w:r w:rsidR="00AE746B" w:rsidRPr="008B2853">
              <w:t>–</w:t>
            </w:r>
            <w:r w:rsidRPr="003405B1">
              <w:t>3575 MHz</w:t>
            </w:r>
          </w:p>
        </w:tc>
        <w:tc>
          <w:tcPr>
            <w:tcW w:w="3402" w:type="dxa"/>
          </w:tcPr>
          <w:p w14:paraId="71A56A75" w14:textId="77777777" w:rsidR="00793C59" w:rsidRPr="003405B1" w:rsidRDefault="00793C59" w:rsidP="00561B59">
            <w:pPr>
              <w:pStyle w:val="TableBody"/>
            </w:pPr>
            <w:r w:rsidRPr="003405B1">
              <w:t xml:space="preserve">Shared access to NBN held spectrum </w:t>
            </w:r>
          </w:p>
        </w:tc>
      </w:tr>
      <w:tr w:rsidR="00793C59" w:rsidRPr="003405B1" w14:paraId="4981ACC4" w14:textId="77777777" w:rsidTr="00561B59">
        <w:trPr>
          <w:trHeight w:val="988"/>
        </w:trPr>
        <w:tc>
          <w:tcPr>
            <w:tcW w:w="1838" w:type="dxa"/>
          </w:tcPr>
          <w:p w14:paraId="6A61383A" w14:textId="77777777" w:rsidR="00793C59" w:rsidRPr="003405B1" w:rsidRDefault="00793C59" w:rsidP="00561B59">
            <w:pPr>
              <w:pStyle w:val="TableBody"/>
            </w:pPr>
            <w:r w:rsidRPr="003405B1">
              <w:t>Wi-Fi alliance</w:t>
            </w:r>
          </w:p>
        </w:tc>
        <w:tc>
          <w:tcPr>
            <w:tcW w:w="2410" w:type="dxa"/>
          </w:tcPr>
          <w:p w14:paraId="2EB6FCFC" w14:textId="05653DA4" w:rsidR="00793C59" w:rsidRPr="003405B1" w:rsidRDefault="00793C59" w:rsidP="00561B59">
            <w:pPr>
              <w:pStyle w:val="TableBody"/>
            </w:pPr>
            <w:r w:rsidRPr="003405B1">
              <w:t>5925</w:t>
            </w:r>
            <w:r w:rsidR="00AE746B" w:rsidRPr="008B2853">
              <w:t>–</w:t>
            </w:r>
            <w:r w:rsidRPr="003405B1">
              <w:t xml:space="preserve">7125 MHz band </w:t>
            </w:r>
          </w:p>
        </w:tc>
        <w:tc>
          <w:tcPr>
            <w:tcW w:w="3402" w:type="dxa"/>
          </w:tcPr>
          <w:p w14:paraId="3D142950" w14:textId="77777777" w:rsidR="00793C59" w:rsidRPr="000E7CF9" w:rsidRDefault="00793C59" w:rsidP="00561B59">
            <w:pPr>
              <w:pStyle w:val="TableBody"/>
              <w:rPr>
                <w:rFonts w:eastAsiaTheme="minorHAnsi"/>
                <w:lang w:eastAsia="en-US"/>
              </w:rPr>
            </w:pPr>
            <w:r w:rsidRPr="003405B1">
              <w:rPr>
                <w:rFonts w:eastAsiaTheme="minorHAnsi"/>
                <w:lang w:eastAsia="en-US"/>
              </w:rPr>
              <w:t xml:space="preserve">Arrangements for LIPD to access (unlicensed band)  </w:t>
            </w:r>
          </w:p>
        </w:tc>
      </w:tr>
    </w:tbl>
    <w:p w14:paraId="10E6959D" w14:textId="77777777" w:rsidR="009D794B" w:rsidRDefault="009D794B" w:rsidP="00ED70F7">
      <w:pPr>
        <w:pStyle w:val="Spaceaftertable"/>
        <w:spacing w:after="120"/>
      </w:pPr>
    </w:p>
    <w:p w14:paraId="0ECDB8B8" w14:textId="78A5EE48" w:rsidR="00793C59" w:rsidRDefault="009D794B" w:rsidP="00ED70F7">
      <w:pPr>
        <w:pStyle w:val="Paragraph"/>
      </w:pPr>
      <w:r>
        <w:t>T</w:t>
      </w:r>
      <w:r w:rsidR="00793C59">
        <w:t xml:space="preserve">he current discussion on new approaches to spectrum sharing </w:t>
      </w:r>
      <w:r>
        <w:t xml:space="preserve">focuses </w:t>
      </w:r>
      <w:r w:rsidR="00793C59">
        <w:t>on the generalities of the concepts</w:t>
      </w:r>
      <w:r>
        <w:t>,</w:t>
      </w:r>
      <w:r w:rsidR="00793C59">
        <w:t xml:space="preserve"> rather than band</w:t>
      </w:r>
      <w:r>
        <w:t>-</w:t>
      </w:r>
      <w:r w:rsidR="00793C59">
        <w:t xml:space="preserve">specific proposals. The ACMA’s </w:t>
      </w:r>
      <w:r w:rsidR="002826E6">
        <w:t>five</w:t>
      </w:r>
      <w:r w:rsidR="00AA2F6B">
        <w:t>-</w:t>
      </w:r>
      <w:r w:rsidR="002826E6">
        <w:t>y</w:t>
      </w:r>
      <w:r w:rsidR="00303C2D">
        <w:t xml:space="preserve">ear </w:t>
      </w:r>
      <w:r w:rsidR="002826E6">
        <w:t>s</w:t>
      </w:r>
      <w:r w:rsidR="00303C2D">
        <w:t xml:space="preserve">pectrum </w:t>
      </w:r>
      <w:r w:rsidR="002826E6">
        <w:t>o</w:t>
      </w:r>
      <w:r w:rsidR="00303C2D">
        <w:t>utlook (F</w:t>
      </w:r>
      <w:r w:rsidR="00793C59">
        <w:t>YSO</w:t>
      </w:r>
      <w:r w:rsidR="00303C2D">
        <w:t>)</w:t>
      </w:r>
      <w:r w:rsidR="00793C59">
        <w:t xml:space="preserve"> identifies its annual work program on specific bands and issues. In some cases (mentioned below)</w:t>
      </w:r>
      <w:r>
        <w:t>,</w:t>
      </w:r>
      <w:r w:rsidR="00793C59">
        <w:t xml:space="preserve"> these bands are already on the ACMA’s work program and being actively considered in current processes. The FYSO is updated annually</w:t>
      </w:r>
      <w:r>
        <w:t>,</w:t>
      </w:r>
      <w:r w:rsidR="00793C59">
        <w:t xml:space="preserve"> which provides the opportunities for parties to propose the addition of band specific matters. </w:t>
      </w:r>
    </w:p>
    <w:p w14:paraId="05341256" w14:textId="59F66B09" w:rsidR="00793C59" w:rsidRPr="00BE06B9" w:rsidRDefault="00793C59" w:rsidP="00ED70F7">
      <w:pPr>
        <w:pStyle w:val="Paragraph"/>
      </w:pPr>
      <w:r>
        <w:t xml:space="preserve">The ACMA notes that work is underway to consider some of the specific bands listed above. In the case of the </w:t>
      </w:r>
      <w:r w:rsidRPr="008B2853">
        <w:t>1980–2010 MHz</w:t>
      </w:r>
      <w:r>
        <w:t>/</w:t>
      </w:r>
      <w:r w:rsidRPr="008B2853">
        <w:t xml:space="preserve">2170–2200 MHz </w:t>
      </w:r>
      <w:r>
        <w:t xml:space="preserve">band raised by </w:t>
      </w:r>
      <w:proofErr w:type="spellStart"/>
      <w:r w:rsidRPr="003405B1">
        <w:t>Sirion</w:t>
      </w:r>
      <w:proofErr w:type="spellEnd"/>
      <w:r w:rsidRPr="003405B1">
        <w:t xml:space="preserve"> Global</w:t>
      </w:r>
      <w:r>
        <w:t>,</w:t>
      </w:r>
      <w:r w:rsidRPr="003405B1">
        <w:t xml:space="preserve"> arrangements in that band are the subject of </w:t>
      </w:r>
      <w:r>
        <w:t>t</w:t>
      </w:r>
      <w:r w:rsidR="00C13A87">
        <w:t xml:space="preserve">he </w:t>
      </w:r>
      <w:r w:rsidRPr="003405B1">
        <w:t xml:space="preserve">separate </w:t>
      </w:r>
      <w:r w:rsidR="000A385E" w:rsidRPr="00D80F1E">
        <w:t xml:space="preserve">2 GHz band </w:t>
      </w:r>
      <w:hyperlink r:id="rId33" w:history="1">
        <w:r w:rsidR="000A385E" w:rsidRPr="00D80F1E">
          <w:rPr>
            <w:rStyle w:val="Hyperlink"/>
            <w:szCs w:val="20"/>
          </w:rPr>
          <w:t>consultation</w:t>
        </w:r>
        <w:r w:rsidRPr="000A385E">
          <w:rPr>
            <w:rStyle w:val="Hyperlink"/>
          </w:rPr>
          <w:t xml:space="preserve"> process</w:t>
        </w:r>
      </w:hyperlink>
      <w:r w:rsidRPr="003405B1">
        <w:t>.</w:t>
      </w:r>
      <w:r>
        <w:t xml:space="preserve"> Similarly, VHA</w:t>
      </w:r>
      <w:r w:rsidR="0061092A">
        <w:t>’s</w:t>
      </w:r>
      <w:r>
        <w:t xml:space="preserve"> interest in access to spectrum currently licensed to NBN in parts of the 3400</w:t>
      </w:r>
      <w:r w:rsidR="009D794B">
        <w:t>–</w:t>
      </w:r>
      <w:r>
        <w:t xml:space="preserve">3575 MHz band in certain areas has already been </w:t>
      </w:r>
      <w:hyperlink r:id="rId34" w:history="1">
        <w:r w:rsidRPr="009D794B">
          <w:rPr>
            <w:rStyle w:val="Hyperlink"/>
          </w:rPr>
          <w:t>considered by the ACMA</w:t>
        </w:r>
      </w:hyperlink>
      <w:r>
        <w:t>.</w:t>
      </w:r>
    </w:p>
    <w:p w14:paraId="39B01627" w14:textId="5EFB0853" w:rsidR="00793C59" w:rsidRPr="00ED70F7" w:rsidRDefault="00303C2D" w:rsidP="00ED70F7">
      <w:pPr>
        <w:pStyle w:val="Heading2"/>
      </w:pPr>
      <w:bookmarkStart w:id="28" w:name="_Toc35524519"/>
      <w:bookmarkStart w:id="29" w:name="_Toc41055456"/>
      <w:r>
        <w:t>N</w:t>
      </w:r>
      <w:r w:rsidR="00793C59" w:rsidRPr="00ED70F7">
        <w:t>on-traditional DSA sharing arrangements</w:t>
      </w:r>
      <w:bookmarkEnd w:id="28"/>
      <w:bookmarkEnd w:id="29"/>
      <w:r w:rsidR="00793C59" w:rsidRPr="00ED70F7">
        <w:t xml:space="preserve"> </w:t>
      </w:r>
    </w:p>
    <w:p w14:paraId="334EB6C0" w14:textId="7C465B70" w:rsidR="00793C59" w:rsidRDefault="00793C59" w:rsidP="00ED70F7">
      <w:pPr>
        <w:pStyle w:val="Paragraph"/>
        <w:rPr>
          <w:rFonts w:eastAsiaTheme="minorHAnsi"/>
        </w:rPr>
      </w:pPr>
      <w:r>
        <w:rPr>
          <w:rFonts w:eastAsiaTheme="minorHAnsi"/>
        </w:rPr>
        <w:t>As discussed in the</w:t>
      </w:r>
      <w:r w:rsidR="00DB36BE">
        <w:rPr>
          <w:rFonts w:eastAsiaTheme="minorHAnsi"/>
        </w:rPr>
        <w:t xml:space="preserve"> </w:t>
      </w:r>
      <w:hyperlink w:anchor="_Summary_of_submissions" w:history="1">
        <w:r w:rsidR="00DB36BE" w:rsidRPr="00DB36BE">
          <w:rPr>
            <w:rStyle w:val="Hyperlink"/>
            <w:rFonts w:eastAsiaTheme="minorHAnsi"/>
          </w:rPr>
          <w:t>Summary of submissions</w:t>
        </w:r>
      </w:hyperlink>
      <w:r w:rsidR="00DB36BE">
        <w:rPr>
          <w:rFonts w:eastAsiaTheme="minorHAnsi"/>
        </w:rPr>
        <w:t xml:space="preserve"> </w:t>
      </w:r>
      <w:r>
        <w:rPr>
          <w:rFonts w:eastAsiaTheme="minorHAnsi"/>
        </w:rPr>
        <w:t>section, non-traditional DSA sharing arrangements are being introduced internationally (notably</w:t>
      </w:r>
      <w:r w:rsidR="009D794B">
        <w:rPr>
          <w:rFonts w:eastAsiaTheme="minorHAnsi"/>
        </w:rPr>
        <w:t>,</w:t>
      </w:r>
      <w:r>
        <w:rPr>
          <w:rFonts w:eastAsiaTheme="minorHAnsi"/>
        </w:rPr>
        <w:t xml:space="preserve"> CBRS in the US). While these arrangements show promise </w:t>
      </w:r>
      <w:proofErr w:type="gramStart"/>
      <w:r>
        <w:rPr>
          <w:rFonts w:eastAsiaTheme="minorHAnsi"/>
        </w:rPr>
        <w:t xml:space="preserve">as a </w:t>
      </w:r>
      <w:r w:rsidR="009D794B">
        <w:rPr>
          <w:rFonts w:eastAsiaTheme="minorHAnsi"/>
        </w:rPr>
        <w:t>way to</w:t>
      </w:r>
      <w:proofErr w:type="gramEnd"/>
      <w:r w:rsidR="009D794B">
        <w:rPr>
          <w:rFonts w:eastAsiaTheme="minorHAnsi"/>
        </w:rPr>
        <w:t xml:space="preserve"> </w:t>
      </w:r>
      <w:r>
        <w:rPr>
          <w:rFonts w:eastAsiaTheme="minorHAnsi"/>
        </w:rPr>
        <w:t>increas</w:t>
      </w:r>
      <w:r w:rsidR="009D794B">
        <w:rPr>
          <w:rFonts w:eastAsiaTheme="minorHAnsi"/>
        </w:rPr>
        <w:t>e</w:t>
      </w:r>
      <w:r>
        <w:rPr>
          <w:rFonts w:eastAsiaTheme="minorHAnsi"/>
        </w:rPr>
        <w:t xml:space="preserve"> spectrum efficiency and access, it is early days and it will be difficult to gauge their success for some time yet.</w:t>
      </w:r>
      <w:r w:rsidR="00205491">
        <w:rPr>
          <w:rFonts w:eastAsiaTheme="minorHAnsi"/>
        </w:rPr>
        <w:t xml:space="preserve"> </w:t>
      </w:r>
      <w:r>
        <w:rPr>
          <w:rFonts w:eastAsiaTheme="minorHAnsi"/>
        </w:rPr>
        <w:t xml:space="preserve"> </w:t>
      </w:r>
    </w:p>
    <w:p w14:paraId="56CD729A" w14:textId="2F37BFF7" w:rsidR="00793C59" w:rsidRDefault="00303C2D" w:rsidP="00ED70F7">
      <w:pPr>
        <w:pStyle w:val="Paragraph"/>
      </w:pPr>
      <w:r>
        <w:rPr>
          <w:rFonts w:eastAsiaTheme="minorHAnsi"/>
        </w:rPr>
        <w:t xml:space="preserve">Interest in adopting new forms of spectrum sharing needs to be considered in the context of the </w:t>
      </w:r>
      <w:r w:rsidR="00793C59">
        <w:rPr>
          <w:rFonts w:eastAsiaTheme="minorHAnsi"/>
        </w:rPr>
        <w:t xml:space="preserve">potential </w:t>
      </w:r>
      <w:r>
        <w:rPr>
          <w:rFonts w:eastAsiaTheme="minorHAnsi"/>
        </w:rPr>
        <w:t xml:space="preserve">available spectrum </w:t>
      </w:r>
      <w:r w:rsidR="00793C59">
        <w:rPr>
          <w:rFonts w:eastAsiaTheme="minorHAnsi"/>
        </w:rPr>
        <w:t>alternatives</w:t>
      </w:r>
      <w:r>
        <w:rPr>
          <w:rFonts w:eastAsiaTheme="minorHAnsi"/>
        </w:rPr>
        <w:t xml:space="preserve"> that may serve </w:t>
      </w:r>
      <w:r w:rsidR="00793C59">
        <w:rPr>
          <w:rFonts w:eastAsiaTheme="minorHAnsi"/>
        </w:rPr>
        <w:t xml:space="preserve">to alleviate </w:t>
      </w:r>
      <w:proofErr w:type="gramStart"/>
      <w:r>
        <w:rPr>
          <w:rFonts w:eastAsiaTheme="minorHAnsi"/>
        </w:rPr>
        <w:t>particular pressures</w:t>
      </w:r>
      <w:proofErr w:type="gramEnd"/>
      <w:r>
        <w:rPr>
          <w:rFonts w:eastAsiaTheme="minorHAnsi"/>
        </w:rPr>
        <w:t xml:space="preserve"> for spectrum access. </w:t>
      </w:r>
      <w:r w:rsidR="00793C59">
        <w:rPr>
          <w:rFonts w:eastAsiaTheme="minorHAnsi"/>
        </w:rPr>
        <w:t xml:space="preserve">For example, </w:t>
      </w:r>
      <w:r w:rsidR="00793C59" w:rsidRPr="00ED5B4D">
        <w:rPr>
          <w:rFonts w:eastAsiaTheme="minorHAnsi"/>
        </w:rPr>
        <w:t xml:space="preserve">the </w:t>
      </w:r>
      <w:r w:rsidR="00793C59">
        <w:rPr>
          <w:rFonts w:eastAsiaTheme="minorHAnsi"/>
        </w:rPr>
        <w:t>main</w:t>
      </w:r>
      <w:r w:rsidR="00793C59" w:rsidRPr="00ED5B4D">
        <w:rPr>
          <w:rFonts w:eastAsiaTheme="minorHAnsi"/>
        </w:rPr>
        <w:t xml:space="preserve"> proponents of </w:t>
      </w:r>
      <w:r w:rsidR="00793C59">
        <w:rPr>
          <w:rFonts w:eastAsiaTheme="minorHAnsi"/>
        </w:rPr>
        <w:t xml:space="preserve">introducing new </w:t>
      </w:r>
      <w:r w:rsidR="00793C59" w:rsidRPr="00ED5B4D">
        <w:rPr>
          <w:rFonts w:eastAsiaTheme="minorHAnsi"/>
        </w:rPr>
        <w:t>spectrum sharing</w:t>
      </w:r>
      <w:r w:rsidR="00793C59">
        <w:rPr>
          <w:rFonts w:eastAsiaTheme="minorHAnsi"/>
        </w:rPr>
        <w:t xml:space="preserve"> arrangements are smaller network operators (including WISPs)</w:t>
      </w:r>
      <w:r w:rsidR="00793C59" w:rsidRPr="00ED5B4D">
        <w:rPr>
          <w:rFonts w:eastAsiaTheme="minorHAnsi"/>
        </w:rPr>
        <w:t xml:space="preserve">. </w:t>
      </w:r>
      <w:r w:rsidR="00793C59" w:rsidRPr="00ED5B4D">
        <w:t>These providers typically offer fixed wireless (FWA) or private mobile networks (referred to as ‘private LTE networks’) to small or medium</w:t>
      </w:r>
      <w:r w:rsidR="00014D8A">
        <w:t>-</w:t>
      </w:r>
      <w:r w:rsidR="00793C59" w:rsidRPr="00ED5B4D">
        <w:t xml:space="preserve">sized geographical areas such as schools, mines, campuses, small towns and businesses. </w:t>
      </w:r>
    </w:p>
    <w:p w14:paraId="22B26DF7" w14:textId="272A1C11" w:rsidR="00793C59" w:rsidRDefault="00793C59" w:rsidP="00ED70F7">
      <w:pPr>
        <w:pStyle w:val="Paragraph"/>
        <w:rPr>
          <w:rFonts w:eastAsiaTheme="minorHAnsi"/>
        </w:rPr>
      </w:pPr>
      <w:r>
        <w:t>Relevant to the spectrum requirements of these operators is a recently released information paper on</w:t>
      </w:r>
      <w:r w:rsidR="00561B59">
        <w:t xml:space="preserve"> </w:t>
      </w:r>
      <w:hyperlink r:id="rId35" w:history="1">
        <w:r w:rsidR="00561B59" w:rsidRPr="00561B59">
          <w:rPr>
            <w:rStyle w:val="Hyperlink"/>
          </w:rPr>
          <w:t>spectrum options for local area wireless broadband services</w:t>
        </w:r>
      </w:hyperlink>
      <w:r w:rsidR="00561B59">
        <w:t>.</w:t>
      </w:r>
      <w:r>
        <w:rPr>
          <w:rFonts w:eastAsiaTheme="minorHAnsi"/>
        </w:rPr>
        <w:t xml:space="preserve"> This information paper identifies current and future bands </w:t>
      </w:r>
      <w:r w:rsidR="00031C2F">
        <w:rPr>
          <w:rFonts w:eastAsiaTheme="minorHAnsi"/>
        </w:rPr>
        <w:t xml:space="preserve">that </w:t>
      </w:r>
      <w:r>
        <w:rPr>
          <w:rFonts w:eastAsiaTheme="minorHAnsi"/>
        </w:rPr>
        <w:t>may be suitable for smaller network operators</w:t>
      </w:r>
      <w:r w:rsidR="00031C2F">
        <w:rPr>
          <w:rFonts w:eastAsiaTheme="minorHAnsi"/>
        </w:rPr>
        <w:t>—</w:t>
      </w:r>
      <w:r>
        <w:rPr>
          <w:rFonts w:eastAsiaTheme="minorHAnsi"/>
        </w:rPr>
        <w:t xml:space="preserve">these consist of </w:t>
      </w:r>
      <w:r w:rsidR="00031C2F">
        <w:rPr>
          <w:rFonts w:eastAsiaTheme="minorHAnsi"/>
        </w:rPr>
        <w:t>eight</w:t>
      </w:r>
      <w:r>
        <w:rPr>
          <w:rFonts w:eastAsiaTheme="minorHAnsi"/>
        </w:rPr>
        <w:t xml:space="preserve"> apparatus licensed bands and </w:t>
      </w:r>
      <w:r w:rsidR="00031C2F">
        <w:rPr>
          <w:rFonts w:eastAsiaTheme="minorHAnsi"/>
        </w:rPr>
        <w:t xml:space="preserve">seven </w:t>
      </w:r>
      <w:r>
        <w:rPr>
          <w:rFonts w:eastAsiaTheme="minorHAnsi"/>
        </w:rPr>
        <w:t xml:space="preserve">bands subject to class licensing. The availability of these current and future bands may also have implications for the </w:t>
      </w:r>
      <w:r w:rsidR="00031C2F">
        <w:rPr>
          <w:rFonts w:eastAsiaTheme="minorHAnsi"/>
        </w:rPr>
        <w:t xml:space="preserve">need </w:t>
      </w:r>
      <w:r>
        <w:rPr>
          <w:rFonts w:eastAsiaTheme="minorHAnsi"/>
        </w:rPr>
        <w:t>to actively pursue a DSA sharing regime in the near term.</w:t>
      </w:r>
    </w:p>
    <w:p w14:paraId="292EE271" w14:textId="681E3766" w:rsidR="00DB165B" w:rsidRDefault="00793C59" w:rsidP="00DB165B">
      <w:pPr>
        <w:pStyle w:val="Paragraph"/>
        <w:rPr>
          <w:rFonts w:eastAsiaTheme="minorHAnsi"/>
        </w:rPr>
      </w:pPr>
      <w:r w:rsidRPr="00D80F1E">
        <w:rPr>
          <w:rFonts w:eastAsiaTheme="minorHAnsi"/>
        </w:rPr>
        <w:t xml:space="preserve">While there </w:t>
      </w:r>
      <w:r w:rsidR="000307F9">
        <w:rPr>
          <w:rFonts w:eastAsiaTheme="minorHAnsi"/>
        </w:rPr>
        <w:t>is merit in proposals for efficient use of spectrum</w:t>
      </w:r>
      <w:r w:rsidRPr="00D80F1E">
        <w:rPr>
          <w:rFonts w:eastAsiaTheme="minorHAnsi"/>
        </w:rPr>
        <w:t xml:space="preserve">, the ACMA sees value in proof-of-concept trials </w:t>
      </w:r>
      <w:r w:rsidR="000307F9">
        <w:rPr>
          <w:rFonts w:eastAsiaTheme="minorHAnsi"/>
        </w:rPr>
        <w:t xml:space="preserve">to inform the </w:t>
      </w:r>
      <w:r w:rsidRPr="00B33E36">
        <w:rPr>
          <w:rFonts w:eastAsiaTheme="minorHAnsi"/>
        </w:rPr>
        <w:t xml:space="preserve">development of ongoing regulatory arrangements. </w:t>
      </w:r>
      <w:r w:rsidR="00A26725" w:rsidRPr="00613399">
        <w:rPr>
          <w:rFonts w:eastAsiaTheme="minorHAnsi"/>
        </w:rPr>
        <w:t>Importantly, trials or ongoing dynamic access arrangements should proceed where the benefits derived from those arrangements outweigh the costs of implementation. Much, if not all, of the benefits of access would be captured by access seekers. It could be expected, therefore, that access seekers would bear the cost of establishing such arrangements (either directly by providing the relevant infrastructure or indirectly via payments to a third</w:t>
      </w:r>
      <w:r w:rsidR="00D80F1E">
        <w:rPr>
          <w:rFonts w:eastAsiaTheme="minorHAnsi"/>
        </w:rPr>
        <w:t>-</w:t>
      </w:r>
      <w:r w:rsidR="00A26725" w:rsidRPr="00613399">
        <w:rPr>
          <w:rFonts w:eastAsiaTheme="minorHAnsi"/>
        </w:rPr>
        <w:t>party ‘manager’).</w:t>
      </w:r>
      <w:r w:rsidR="004B5E64">
        <w:rPr>
          <w:rFonts w:eastAsiaTheme="minorHAnsi"/>
        </w:rPr>
        <w:t xml:space="preserve"> </w:t>
      </w:r>
    </w:p>
    <w:p w14:paraId="467F8844" w14:textId="1911531B" w:rsidR="009D19C4" w:rsidRDefault="00522506" w:rsidP="00DB165B">
      <w:pPr>
        <w:pStyle w:val="Paragraph"/>
        <w:rPr>
          <w:rFonts w:eastAsiaTheme="minorHAnsi"/>
        </w:rPr>
      </w:pPr>
      <w:r>
        <w:rPr>
          <w:rFonts w:eastAsiaTheme="minorHAnsi"/>
        </w:rPr>
        <w:t xml:space="preserve">Australia has traditionally been a ‘fast follower’ in implementing international spectrum arrangements, however in this case, there are </w:t>
      </w:r>
      <w:r w:rsidR="00FB1687">
        <w:rPr>
          <w:rFonts w:eastAsiaTheme="minorHAnsi"/>
        </w:rPr>
        <w:t>a number of</w:t>
      </w:r>
      <w:r>
        <w:rPr>
          <w:rFonts w:eastAsiaTheme="minorHAnsi"/>
        </w:rPr>
        <w:t xml:space="preserve"> factors</w:t>
      </w:r>
      <w:r w:rsidR="00FB1687">
        <w:rPr>
          <w:rFonts w:eastAsiaTheme="minorHAnsi"/>
        </w:rPr>
        <w:t>, including</w:t>
      </w:r>
      <w:r w:rsidR="00163871">
        <w:rPr>
          <w:rFonts w:eastAsiaTheme="minorHAnsi"/>
        </w:rPr>
        <w:t xml:space="preserve"> the relative immaturity of current </w:t>
      </w:r>
      <w:r w:rsidR="005D42B3">
        <w:rPr>
          <w:rFonts w:eastAsiaTheme="minorHAnsi"/>
        </w:rPr>
        <w:t xml:space="preserve">international </w:t>
      </w:r>
      <w:r w:rsidR="00163871">
        <w:rPr>
          <w:rFonts w:eastAsiaTheme="minorHAnsi"/>
        </w:rPr>
        <w:t xml:space="preserve">DSA deployments and </w:t>
      </w:r>
      <w:r w:rsidR="005D42B3">
        <w:rPr>
          <w:rFonts w:eastAsiaTheme="minorHAnsi"/>
        </w:rPr>
        <w:t>an absence of strong interest in such dynamic approaches,</w:t>
      </w:r>
      <w:r>
        <w:rPr>
          <w:rFonts w:eastAsiaTheme="minorHAnsi"/>
        </w:rPr>
        <w:t xml:space="preserve"> that would </w:t>
      </w:r>
      <w:r w:rsidR="005D42B3">
        <w:rPr>
          <w:rFonts w:eastAsiaTheme="minorHAnsi"/>
        </w:rPr>
        <w:t>suggest</w:t>
      </w:r>
      <w:r>
        <w:rPr>
          <w:rFonts w:eastAsiaTheme="minorHAnsi"/>
        </w:rPr>
        <w:t xml:space="preserve"> a more circumspect approach is needed. </w:t>
      </w:r>
    </w:p>
    <w:p w14:paraId="5F15FE5A" w14:textId="654D0314" w:rsidR="00522506" w:rsidRPr="0083791F" w:rsidRDefault="00014D8A" w:rsidP="00ED70F7">
      <w:pPr>
        <w:pStyle w:val="Paragraph"/>
        <w:rPr>
          <w:rFonts w:eastAsiaTheme="minorHAnsi"/>
          <w:b/>
        </w:rPr>
      </w:pPr>
      <w:r>
        <w:rPr>
          <w:rFonts w:eastAsiaTheme="minorHAnsi"/>
        </w:rPr>
        <w:t>Accordingly</w:t>
      </w:r>
      <w:r w:rsidR="00522506">
        <w:rPr>
          <w:rFonts w:eastAsiaTheme="minorHAnsi"/>
        </w:rPr>
        <w:t xml:space="preserve">, the ACMA considers it prudent to maintain a watching brief on these international developments while working to gain a better understanding of domestic use cases for, and potential implications of, such sharing approaches in Australia. A key part of this process </w:t>
      </w:r>
      <w:r w:rsidR="009D19C4">
        <w:rPr>
          <w:rFonts w:eastAsiaTheme="minorHAnsi"/>
        </w:rPr>
        <w:t>will be</w:t>
      </w:r>
      <w:r w:rsidR="00522506">
        <w:rPr>
          <w:rFonts w:eastAsiaTheme="minorHAnsi"/>
        </w:rPr>
        <w:t xml:space="preserve"> support for local trials of DSA schemes</w:t>
      </w:r>
      <w:r w:rsidR="00DB165B">
        <w:rPr>
          <w:rFonts w:eastAsiaTheme="minorHAnsi"/>
        </w:rPr>
        <w:t xml:space="preserve">. </w:t>
      </w:r>
      <w:r w:rsidR="00DB165B" w:rsidRPr="0083791F">
        <w:rPr>
          <w:rFonts w:eastAsiaTheme="minorHAnsi"/>
        </w:rPr>
        <w:t xml:space="preserve">Proposals for such trials were invited at the </w:t>
      </w:r>
      <w:r w:rsidR="00DB165B">
        <w:rPr>
          <w:rFonts w:eastAsiaTheme="minorHAnsi"/>
        </w:rPr>
        <w:t>spectrum</w:t>
      </w:r>
      <w:r w:rsidR="00DB165B" w:rsidRPr="0083791F">
        <w:rPr>
          <w:rFonts w:eastAsiaTheme="minorHAnsi"/>
        </w:rPr>
        <w:t xml:space="preserve"> tune-up, and while submissions to the consultation process identified potential scenarios, use cases and frequency bands for shared access, there was no real specificity in terms of proposals for actual trials. Eliciting this specificity and exploring potential trial options are the next steps in this process. </w:t>
      </w:r>
    </w:p>
    <w:p w14:paraId="2C0C4E54" w14:textId="77777777" w:rsidR="00793C59" w:rsidRPr="00ED70F7" w:rsidRDefault="00793C59" w:rsidP="00ED70F7">
      <w:pPr>
        <w:pStyle w:val="Heading2"/>
      </w:pPr>
      <w:bookmarkStart w:id="30" w:name="_Toc35524520"/>
      <w:bookmarkStart w:id="31" w:name="_Toc41055457"/>
      <w:r w:rsidRPr="00ED70F7">
        <w:t>Increased access to bands licensed with a high degree of exclusivity</w:t>
      </w:r>
      <w:bookmarkEnd w:id="30"/>
      <w:bookmarkEnd w:id="31"/>
      <w:r w:rsidRPr="00ED70F7">
        <w:t xml:space="preserve"> </w:t>
      </w:r>
    </w:p>
    <w:p w14:paraId="6F25B68B" w14:textId="7AD43C98" w:rsidR="00793C59" w:rsidRPr="00FB3BF9" w:rsidRDefault="00793C59" w:rsidP="00ED70F7">
      <w:pPr>
        <w:pStyle w:val="Paragraph"/>
      </w:pPr>
      <w:r w:rsidRPr="00FB3BF9">
        <w:t>Respondents to</w:t>
      </w:r>
      <w:r>
        <w:t xml:space="preserve"> the</w:t>
      </w:r>
      <w:r w:rsidRPr="00FB3BF9">
        <w:t xml:space="preserve"> consultation identified the current regulatory framework</w:t>
      </w:r>
      <w:r w:rsidR="00ED70F7">
        <w:t xml:space="preserve"> that gives ‘higher degree of exclusivity’ to licensees over a band</w:t>
      </w:r>
      <w:r w:rsidRPr="00FB3BF9">
        <w:t xml:space="preserve"> </w:t>
      </w:r>
      <w:r w:rsidR="00ED70F7">
        <w:t>is</w:t>
      </w:r>
      <w:r w:rsidRPr="00FB3BF9">
        <w:t xml:space="preserve"> the greatest barrier to the adoption of non-</w:t>
      </w:r>
      <w:r w:rsidRPr="00F230D2">
        <w:t>traditional sharing arrangements</w:t>
      </w:r>
      <w:r w:rsidR="00ED70F7">
        <w:t>.</w:t>
      </w:r>
      <w:r w:rsidRPr="00F230D2">
        <w:t xml:space="preserve"> </w:t>
      </w:r>
      <w:r>
        <w:t xml:space="preserve">These ‘higher degree of exclusivity’ licences include those </w:t>
      </w:r>
      <w:r w:rsidR="007B6DDB">
        <w:t xml:space="preserve">that are </w:t>
      </w:r>
      <w:r>
        <w:t xml:space="preserve">subject to </w:t>
      </w:r>
      <w:r w:rsidRPr="00536E2C">
        <w:t>spectrum licensing</w:t>
      </w:r>
      <w:r>
        <w:t xml:space="preserve"> and </w:t>
      </w:r>
      <w:r w:rsidRPr="0083791F">
        <w:t>other targeted authorisation mechanisms</w:t>
      </w:r>
      <w:r w:rsidR="00F77A32">
        <w:t>—</w:t>
      </w:r>
      <w:r>
        <w:t>for example,</w:t>
      </w:r>
      <w:r w:rsidRPr="0083791F">
        <w:t xml:space="preserve"> Defence apparatus licensing</w:t>
      </w:r>
      <w:r w:rsidRPr="00FB3BF9">
        <w:t xml:space="preserve">. A key concern was centred around the </w:t>
      </w:r>
      <w:r>
        <w:t xml:space="preserve">largely </w:t>
      </w:r>
      <w:r w:rsidRPr="00FB3BF9">
        <w:t xml:space="preserve">exclusive rights afforded to </w:t>
      </w:r>
      <w:r w:rsidRPr="00EB7E04">
        <w:t>spectrum licensees</w:t>
      </w:r>
      <w:r w:rsidR="00EB7E04" w:rsidRPr="00ED70F7">
        <w:t>, which prevent</w:t>
      </w:r>
      <w:r w:rsidRPr="00EB7E04">
        <w:t xml:space="preserve"> access </w:t>
      </w:r>
      <w:r w:rsidR="00EB7E04" w:rsidRPr="00ED70F7">
        <w:t xml:space="preserve">to </w:t>
      </w:r>
      <w:r w:rsidRPr="00EB7E04">
        <w:t>spectrum licensed bands on a shared basis</w:t>
      </w:r>
      <w:r w:rsidR="00F77A32" w:rsidRPr="00EB7E04">
        <w:t>,</w:t>
      </w:r>
      <w:r w:rsidR="00F77A32">
        <w:t xml:space="preserve"> </w:t>
      </w:r>
      <w:r>
        <w:t>even when the spectrum licensee was not using the spectrum in a specific area</w:t>
      </w:r>
      <w:r w:rsidRPr="00FB3BF9">
        <w:t xml:space="preserve">. </w:t>
      </w:r>
    </w:p>
    <w:p w14:paraId="14D8DE05" w14:textId="15838834" w:rsidR="00793C59" w:rsidRPr="00FB3BF9" w:rsidRDefault="00793C59" w:rsidP="00ED70F7">
      <w:pPr>
        <w:pStyle w:val="Paragraph"/>
      </w:pPr>
      <w:r w:rsidRPr="00FB3BF9">
        <w:t xml:space="preserve">One submission </w:t>
      </w:r>
      <w:r>
        <w:t xml:space="preserve">raised the suggestion </w:t>
      </w:r>
      <w:r w:rsidRPr="00FB3BF9">
        <w:t xml:space="preserve">of moving from traditional existing spectrum licensing regimes to a new ‘equal access’ dynamic spectrum sharing system. </w:t>
      </w:r>
      <w:r w:rsidRPr="00EB7E04">
        <w:t>In their view, the substantial spectrum bandwidth and tenure afforded by the current spectrum licensing scheme allows large MNOs to prioritise investment</w:t>
      </w:r>
      <w:r w:rsidRPr="00EB7E04" w:rsidDel="0041626D">
        <w:t>s</w:t>
      </w:r>
      <w:r w:rsidRPr="00EB7E04">
        <w:t xml:space="preserve"> in more lucrative geographic area</w:t>
      </w:r>
      <w:r w:rsidR="00ED70F7">
        <w:t xml:space="preserve">s that </w:t>
      </w:r>
      <w:r w:rsidRPr="00F230D2">
        <w:t>drive to maximise return</w:t>
      </w:r>
      <w:r w:rsidRPr="00EB7E04">
        <w:t xml:space="preserve"> on investment inevitably deprioritises investment towards services in remote and regional areas.</w:t>
      </w:r>
      <w:r w:rsidRPr="0083791F">
        <w:t xml:space="preserve"> </w:t>
      </w:r>
    </w:p>
    <w:p w14:paraId="5ECA3277" w14:textId="77777777" w:rsidR="00793C59" w:rsidRDefault="00793C59" w:rsidP="00ED70F7">
      <w:pPr>
        <w:pStyle w:val="Paragraph"/>
      </w:pPr>
      <w:r w:rsidRPr="00FB3BF9">
        <w:t xml:space="preserve">The proposed </w:t>
      </w:r>
      <w:r>
        <w:t>‘</w:t>
      </w:r>
      <w:r w:rsidRPr="00FB3BF9">
        <w:t>equal access</w:t>
      </w:r>
      <w:r>
        <w:t>’</w:t>
      </w:r>
      <w:r w:rsidRPr="00FB3BF9">
        <w:t xml:space="preserve"> regime would abolish </w:t>
      </w:r>
      <w:r w:rsidRPr="003405B1">
        <w:t>the concept of Australia-wide spectrum licence holdings for long durations, in favour of using price-based mechanisms to determine a primary user, who would specify the geographic area, bandwidth and duration of their operation. The purpose of this proposal was to foster a competitive bidding environment, where new entrants would be welcome to participate and obtain a licence in unused spectrum in regional and remote locations. This would result in there being no ‘incumbent’ or ‘exclusive’ licensees, rather ‘priority access’ licensees would have interference protection from unlicensed or opportunistic licensees in a two-tier hierarchy.</w:t>
      </w:r>
    </w:p>
    <w:p w14:paraId="17F87CBC" w14:textId="08218AEC" w:rsidR="003C723B" w:rsidRPr="005711ED" w:rsidRDefault="003C723B" w:rsidP="00F622E0">
      <w:pPr>
        <w:pStyle w:val="Paragraph"/>
      </w:pPr>
      <w:r w:rsidRPr="005711ED">
        <w:t>The ACMA sees the merits of the careful allocation of long-term exclusive spectrum access rights (such as via spectrum licences) to promote certainty and the associated benefits it provides, including enabling long term infrastructure investment. However, granting exclusive access rights limits sharing opportunities. New sharing techniques (like the</w:t>
      </w:r>
      <w:r w:rsidR="009C4CD3">
        <w:t xml:space="preserve"> </w:t>
      </w:r>
      <w:r w:rsidR="009C4CD3">
        <w:rPr>
          <w:rFonts w:eastAsiaTheme="minorHAnsi"/>
          <w:i/>
          <w:iCs/>
          <w:szCs w:val="20"/>
          <w:lang w:eastAsia="en-US"/>
        </w:rPr>
        <w:t xml:space="preserve">Local access licence </w:t>
      </w:r>
      <w:r w:rsidR="009C4CD3" w:rsidRPr="00F622E0">
        <w:rPr>
          <w:rFonts w:eastAsiaTheme="minorHAnsi"/>
          <w:szCs w:val="20"/>
          <w:lang w:eastAsia="en-US"/>
        </w:rPr>
        <w:t>arrangement</w:t>
      </w:r>
      <w:r w:rsidR="003E54A7" w:rsidRPr="00F622E0">
        <w:rPr>
          <w:rFonts w:eastAsiaTheme="minorHAnsi"/>
          <w:szCs w:val="20"/>
          <w:lang w:eastAsia="en-US"/>
        </w:rPr>
        <w:t xml:space="preserve"> in the</w:t>
      </w:r>
      <w:r w:rsidRPr="005711ED">
        <w:t xml:space="preserve"> UK) are </w:t>
      </w:r>
      <w:proofErr w:type="gramStart"/>
      <w:r w:rsidRPr="005711ED">
        <w:t>opening up</w:t>
      </w:r>
      <w:proofErr w:type="gramEnd"/>
      <w:r w:rsidRPr="005711ED">
        <w:t xml:space="preserve"> possibilities for shared access while retaining certainty for the main spectrum access rights holder.</w:t>
      </w:r>
    </w:p>
    <w:p w14:paraId="32D6040D" w14:textId="77777777" w:rsidR="003C723B" w:rsidRPr="005711ED" w:rsidRDefault="003C723B" w:rsidP="00F622E0">
      <w:pPr>
        <w:pStyle w:val="Paragraph"/>
      </w:pPr>
      <w:r w:rsidRPr="005711ED">
        <w:t xml:space="preserve">The premise of opening </w:t>
      </w:r>
      <w:r w:rsidRPr="00F622E0">
        <w:t xml:space="preserve">existing </w:t>
      </w:r>
      <w:r w:rsidRPr="005711ED">
        <w:t xml:space="preserve">spectrum-licensed bands for shared access is limited under </w:t>
      </w:r>
      <w:r w:rsidRPr="00F622E0">
        <w:t>current legislation and licence conditions</w:t>
      </w:r>
      <w:r w:rsidRPr="005711ED">
        <w:t xml:space="preserve">. Instead, we encourage access seekers to negotiate with licence holders to access spectrum under third-party access arrangements. In these cases, the ACMA may be asked to play a facilitator role to identify terms and conditions that might be agreeable to both incumbents and access seekers. </w:t>
      </w:r>
    </w:p>
    <w:p w14:paraId="576632B3" w14:textId="50DF24FB" w:rsidR="003C723B" w:rsidRPr="00F622E0" w:rsidRDefault="003C723B" w:rsidP="00F622E0">
      <w:pPr>
        <w:pStyle w:val="Paragraph"/>
      </w:pPr>
      <w:r w:rsidRPr="00F622E0">
        <w:t>Noting the current regulatory limitations on authorising apparatus licensing within spectrum licensed spaces, there is potential, but limited</w:t>
      </w:r>
      <w:r w:rsidRPr="005711ED">
        <w:t xml:space="preserve"> </w:t>
      </w:r>
      <w:r w:rsidRPr="00F622E0">
        <w:t xml:space="preserve">scope within the current regulatory framework to encourage shared use through improved </w:t>
      </w:r>
      <w:proofErr w:type="gramStart"/>
      <w:r w:rsidRPr="00F622E0">
        <w:t>third party</w:t>
      </w:r>
      <w:proofErr w:type="gramEnd"/>
      <w:r w:rsidRPr="00F622E0">
        <w:t xml:space="preserve"> access where spectrum might otherwise not be productively used. For instance,</w:t>
      </w:r>
      <w:r w:rsidRPr="005711ED">
        <w:t xml:space="preserve"> </w:t>
      </w:r>
      <w:r w:rsidRPr="00F622E0">
        <w:t>the ACMA might consider how future spectrum licence conditions could be optimised</w:t>
      </w:r>
      <w:r w:rsidRPr="005711ED">
        <w:t xml:space="preserve"> </w:t>
      </w:r>
      <w:r w:rsidRPr="00F622E0">
        <w:t>to incorporate a mechanism for increased utilisation of unused spectrum. Such an approach would need to carefully balance the benefits of exclusivity offered under spectrum licensing with increased access to spectrum under third party access arrangements. Furthermore, some of the current initiatives discussed in this paper to make additional spectrum available, including more flexible apparatus licensing arrangements through the use of area wide licences, may, at least in the near term, remove or reduce the pressure for more novel spectrum access arrangements such as DSA or third party access to spectrum licensed bands. They might also present a future alternative to spectrum licences where wide-area licensing is require</w:t>
      </w:r>
      <w:r w:rsidR="002D585C" w:rsidRPr="00F622E0">
        <w:t xml:space="preserve">d </w:t>
      </w:r>
      <w:r w:rsidRPr="00F622E0">
        <w:t>but the legislated constraints of spectrum licensing are less suited to secure improved sharing in an allocation process, if that is an objective to be pursued.</w:t>
      </w:r>
      <w:r w:rsidRPr="005711ED">
        <w:t xml:space="preserve"> </w:t>
      </w:r>
    </w:p>
    <w:p w14:paraId="06B3DDEA" w14:textId="7200D245" w:rsidR="003C723B" w:rsidRPr="005711ED" w:rsidRDefault="003C723B" w:rsidP="00F622E0">
      <w:pPr>
        <w:pStyle w:val="Paragraph"/>
      </w:pPr>
      <w:r w:rsidRPr="005711ED">
        <w:t>Any alteration of spectrum licence rights, such as those that would allow the ACMA to issue apparatus licences in spectrum-licensed bands/areas (apart from under special circumstances), would otherwise be a matter for legislative reform. The Australian Government is currently undertaking a review of the spectrum management framework through a staged approach to amend the Act. Further information on spectrum reform is available from the Department of Infrastructure, Transport, Regi</w:t>
      </w:r>
      <w:r w:rsidR="00DE0C81" w:rsidRPr="005711ED">
        <w:t>o</w:t>
      </w:r>
      <w:r w:rsidRPr="005711ED">
        <w:t>nal Development and Communications.</w:t>
      </w:r>
    </w:p>
    <w:p w14:paraId="223A3C1F" w14:textId="77777777" w:rsidR="003C723B" w:rsidRPr="005711ED" w:rsidRDefault="003C723B">
      <w:pPr>
        <w:pStyle w:val="Paragraph"/>
      </w:pPr>
    </w:p>
    <w:p w14:paraId="0B195775" w14:textId="77777777" w:rsidR="00793C59" w:rsidRPr="003405B1" w:rsidRDefault="00793C59" w:rsidP="00ED70F7">
      <w:pPr>
        <w:pStyle w:val="Heading1"/>
      </w:pPr>
      <w:bookmarkStart w:id="32" w:name="_Ref33525650"/>
      <w:bookmarkStart w:id="33" w:name="_Toc35524521"/>
      <w:bookmarkStart w:id="34" w:name="_Toc41055458"/>
      <w:r>
        <w:t xml:space="preserve">Next </w:t>
      </w:r>
      <w:r w:rsidRPr="00ED70F7">
        <w:t>steps</w:t>
      </w:r>
      <w:bookmarkEnd w:id="32"/>
      <w:bookmarkEnd w:id="33"/>
      <w:bookmarkEnd w:id="34"/>
    </w:p>
    <w:p w14:paraId="663CE01E" w14:textId="15A5B665" w:rsidR="00793C59" w:rsidRDefault="00793C59" w:rsidP="00ED70F7">
      <w:pPr>
        <w:pStyle w:val="Paragraph"/>
      </w:pPr>
      <w:r w:rsidRPr="003405B1">
        <w:t xml:space="preserve">Responses to </w:t>
      </w:r>
      <w:r>
        <w:t>the</w:t>
      </w:r>
      <w:r w:rsidRPr="003405B1">
        <w:t xml:space="preserve"> </w:t>
      </w:r>
      <w:r>
        <w:t xml:space="preserve">previous round of </w:t>
      </w:r>
      <w:r w:rsidRPr="003405B1">
        <w:t>consultation demonstrated that there is some support for the consideration of potential regulatory options to increase shared access to spectrum</w:t>
      </w:r>
      <w:r w:rsidR="00174304">
        <w:t>,</w:t>
      </w:r>
      <w:r w:rsidRPr="003405B1">
        <w:t xml:space="preserve"> </w:t>
      </w:r>
      <w:r w:rsidR="00174304">
        <w:t>b</w:t>
      </w:r>
      <w:r w:rsidRPr="003405B1">
        <w:t xml:space="preserve">ut </w:t>
      </w:r>
      <w:r>
        <w:t>a note of caution was evident from numerous submissions.</w:t>
      </w:r>
    </w:p>
    <w:p w14:paraId="486EDD14" w14:textId="1471056D" w:rsidR="00793C59" w:rsidRPr="00741A89" w:rsidRDefault="00793C59" w:rsidP="00ED70F7">
      <w:pPr>
        <w:pStyle w:val="Paragraph"/>
        <w:rPr>
          <w:rFonts w:eastAsiaTheme="minorHAnsi"/>
          <w:lang w:eastAsia="en-US"/>
        </w:rPr>
      </w:pPr>
      <w:r>
        <w:t>T</w:t>
      </w:r>
      <w:r w:rsidRPr="003405B1">
        <w:t xml:space="preserve">here are </w:t>
      </w:r>
      <w:r>
        <w:t xml:space="preserve">clearly </w:t>
      </w:r>
      <w:r w:rsidRPr="003405B1">
        <w:t>diverging views</w:t>
      </w:r>
      <w:r w:rsidR="00EB7E04">
        <w:t>;</w:t>
      </w:r>
      <w:r>
        <w:t xml:space="preserve"> however</w:t>
      </w:r>
      <w:r w:rsidR="00EB7E04">
        <w:t>,</w:t>
      </w:r>
      <w:r>
        <w:t xml:space="preserve"> </w:t>
      </w:r>
      <w:r w:rsidR="00014D8A">
        <w:t>it is</w:t>
      </w:r>
      <w:r w:rsidRPr="003405B1">
        <w:t xml:space="preserve"> </w:t>
      </w:r>
      <w:r w:rsidR="00EB7E04">
        <w:t>evident</w:t>
      </w:r>
      <w:r w:rsidR="00EB7E04" w:rsidRPr="003405B1">
        <w:t xml:space="preserve"> </w:t>
      </w:r>
      <w:r w:rsidRPr="003405B1" w:rsidDel="003E0937">
        <w:rPr>
          <w:rFonts w:eastAsiaTheme="minorHAnsi"/>
          <w:lang w:eastAsia="en-US"/>
        </w:rPr>
        <w:t>that</w:t>
      </w:r>
      <w:r w:rsidRPr="003405B1">
        <w:rPr>
          <w:rFonts w:eastAsiaTheme="minorHAnsi"/>
          <w:lang w:eastAsia="en-US"/>
        </w:rPr>
        <w:t xml:space="preserve"> the introduction of any non-traditional</w:t>
      </w:r>
      <w:r w:rsidRPr="003405B1" w:rsidDel="003E0937">
        <w:rPr>
          <w:rFonts w:eastAsiaTheme="minorHAnsi"/>
          <w:lang w:eastAsia="en-US"/>
        </w:rPr>
        <w:t xml:space="preserve"> spectrum sharing</w:t>
      </w:r>
      <w:r w:rsidRPr="003405B1">
        <w:rPr>
          <w:rFonts w:eastAsiaTheme="minorHAnsi"/>
          <w:lang w:eastAsia="en-US"/>
        </w:rPr>
        <w:t xml:space="preserve"> regime will</w:t>
      </w:r>
      <w:r w:rsidRPr="003405B1" w:rsidDel="003E0937">
        <w:rPr>
          <w:rFonts w:eastAsiaTheme="minorHAnsi"/>
          <w:lang w:eastAsia="en-US"/>
        </w:rPr>
        <w:t xml:space="preserve"> </w:t>
      </w:r>
      <w:r>
        <w:rPr>
          <w:rFonts w:eastAsiaTheme="minorHAnsi"/>
          <w:lang w:eastAsia="en-US"/>
        </w:rPr>
        <w:t>be challenging in the absence of</w:t>
      </w:r>
      <w:r w:rsidRPr="003405B1" w:rsidDel="003E0937">
        <w:rPr>
          <w:rFonts w:eastAsiaTheme="minorHAnsi"/>
          <w:lang w:eastAsia="en-US"/>
        </w:rPr>
        <w:t xml:space="preserve"> </w:t>
      </w:r>
      <w:r>
        <w:rPr>
          <w:rFonts w:eastAsiaTheme="minorHAnsi"/>
          <w:lang w:eastAsia="en-US"/>
        </w:rPr>
        <w:t xml:space="preserve">a commitment </w:t>
      </w:r>
      <w:r w:rsidRPr="003405B1">
        <w:rPr>
          <w:rFonts w:eastAsiaTheme="minorHAnsi"/>
          <w:lang w:eastAsia="en-US"/>
        </w:rPr>
        <w:t xml:space="preserve">from </w:t>
      </w:r>
      <w:proofErr w:type="gramStart"/>
      <w:r>
        <w:rPr>
          <w:rFonts w:eastAsiaTheme="minorHAnsi"/>
          <w:lang w:eastAsia="en-US"/>
        </w:rPr>
        <w:t>a number of</w:t>
      </w:r>
      <w:proofErr w:type="gramEnd"/>
      <w:r>
        <w:rPr>
          <w:rFonts w:eastAsiaTheme="minorHAnsi"/>
          <w:lang w:eastAsia="en-US"/>
        </w:rPr>
        <w:t xml:space="preserve"> often </w:t>
      </w:r>
      <w:r w:rsidRPr="003405B1">
        <w:rPr>
          <w:rFonts w:eastAsiaTheme="minorHAnsi"/>
          <w:lang w:eastAsia="en-US"/>
        </w:rPr>
        <w:t>competing sectors.</w:t>
      </w:r>
      <w:r w:rsidRPr="003405B1" w:rsidDel="003E0937">
        <w:rPr>
          <w:rFonts w:eastAsiaTheme="minorHAnsi"/>
          <w:lang w:eastAsia="en-US"/>
        </w:rPr>
        <w:t xml:space="preserve"> </w:t>
      </w:r>
      <w:r w:rsidRPr="00741A89">
        <w:rPr>
          <w:rFonts w:eastAsiaTheme="minorHAnsi"/>
          <w:lang w:eastAsia="en-US"/>
        </w:rPr>
        <w:t>Bo</w:t>
      </w:r>
      <w:r w:rsidRPr="003405B1">
        <w:rPr>
          <w:rFonts w:eastAsiaTheme="minorHAnsi"/>
          <w:lang w:eastAsia="en-US"/>
        </w:rPr>
        <w:t>th incumbent</w:t>
      </w:r>
      <w:r w:rsidRPr="00741A89">
        <w:rPr>
          <w:rFonts w:eastAsiaTheme="minorHAnsi"/>
          <w:lang w:eastAsia="en-US"/>
        </w:rPr>
        <w:t xml:space="preserve"> and </w:t>
      </w:r>
      <w:r>
        <w:rPr>
          <w:rFonts w:eastAsiaTheme="minorHAnsi"/>
          <w:lang w:eastAsia="en-US"/>
        </w:rPr>
        <w:t>prospective</w:t>
      </w:r>
      <w:r w:rsidRPr="00741A89">
        <w:rPr>
          <w:rFonts w:eastAsiaTheme="minorHAnsi"/>
          <w:lang w:eastAsia="en-US"/>
        </w:rPr>
        <w:t xml:space="preserve"> spectrum users</w:t>
      </w:r>
      <w:r w:rsidRPr="003405B1">
        <w:rPr>
          <w:rFonts w:eastAsiaTheme="minorHAnsi"/>
          <w:lang w:eastAsia="en-US"/>
        </w:rPr>
        <w:t xml:space="preserve"> might need to sacrifice some degree of exclusivity</w:t>
      </w:r>
      <w:r w:rsidRPr="00741A89">
        <w:rPr>
          <w:rFonts w:eastAsiaTheme="minorHAnsi"/>
          <w:lang w:eastAsia="en-US"/>
        </w:rPr>
        <w:t xml:space="preserve">, which is </w:t>
      </w:r>
      <w:r w:rsidRPr="003405B1">
        <w:rPr>
          <w:rFonts w:eastAsiaTheme="minorHAnsi"/>
          <w:lang w:eastAsia="en-US"/>
        </w:rPr>
        <w:t xml:space="preserve">not common </w:t>
      </w:r>
      <w:r>
        <w:rPr>
          <w:rFonts w:eastAsiaTheme="minorHAnsi"/>
          <w:lang w:eastAsia="en-US"/>
        </w:rPr>
        <w:t>practice</w:t>
      </w:r>
      <w:r w:rsidRPr="003405B1">
        <w:rPr>
          <w:rFonts w:eastAsiaTheme="minorHAnsi"/>
          <w:lang w:eastAsia="en-US"/>
        </w:rPr>
        <w:t xml:space="preserve"> under traditional licensing arrangement</w:t>
      </w:r>
      <w:r w:rsidRPr="00741A89">
        <w:rPr>
          <w:rFonts w:eastAsiaTheme="minorHAnsi"/>
          <w:lang w:eastAsia="en-US"/>
        </w:rPr>
        <w:t>s</w:t>
      </w:r>
      <w:r w:rsidRPr="003405B1">
        <w:rPr>
          <w:rFonts w:eastAsiaTheme="minorHAnsi"/>
          <w:lang w:eastAsia="en-US"/>
        </w:rPr>
        <w:t xml:space="preserve">. </w:t>
      </w:r>
    </w:p>
    <w:p w14:paraId="60241D9B" w14:textId="1152F525" w:rsidR="00793C59" w:rsidRPr="003405B1" w:rsidRDefault="00793C59" w:rsidP="00ED70F7">
      <w:pPr>
        <w:pStyle w:val="Paragraph"/>
      </w:pPr>
      <w:r w:rsidRPr="00741A89">
        <w:rPr>
          <w:rFonts w:eastAsiaTheme="minorHAnsi"/>
          <w:lang w:eastAsia="en-US"/>
        </w:rPr>
        <w:t>Concurrently</w:t>
      </w:r>
      <w:r w:rsidRPr="003405B1">
        <w:rPr>
          <w:rFonts w:eastAsiaTheme="minorHAnsi"/>
          <w:lang w:eastAsia="en-US"/>
        </w:rPr>
        <w:t>, th</w:t>
      </w:r>
      <w:r w:rsidRPr="00741A89">
        <w:rPr>
          <w:rFonts w:eastAsiaTheme="minorHAnsi"/>
          <w:lang w:eastAsia="en-US"/>
        </w:rPr>
        <w:t xml:space="preserve">ere needs to be sufficient </w:t>
      </w:r>
      <w:r w:rsidRPr="003405B1">
        <w:rPr>
          <w:rFonts w:eastAsiaTheme="minorHAnsi"/>
          <w:lang w:eastAsia="en-US"/>
        </w:rPr>
        <w:t>demand for lower-tier access to justify the cost of implementing such arrangements to both government and industry alike. This demand will itself be influenced by the degree to which such arrangements might be fit-for-purpose for the expected use cases or business models of prospective lower-tier users.</w:t>
      </w:r>
      <w:r>
        <w:rPr>
          <w:rFonts w:eastAsiaTheme="minorHAnsi"/>
          <w:lang w:eastAsia="en-US"/>
        </w:rPr>
        <w:t xml:space="preserve"> To progress innovative sharing arrangements, we are seeking </w:t>
      </w:r>
      <w:r w:rsidRPr="003405B1">
        <w:rPr>
          <w:rFonts w:eastAsiaTheme="minorHAnsi"/>
          <w:lang w:eastAsia="en-US"/>
        </w:rPr>
        <w:t xml:space="preserve">practical evidence </w:t>
      </w:r>
      <w:r w:rsidR="00B26038">
        <w:rPr>
          <w:rFonts w:eastAsiaTheme="minorHAnsi"/>
          <w:lang w:eastAsia="en-US"/>
        </w:rPr>
        <w:t>on</w:t>
      </w:r>
      <w:r w:rsidR="00B26038" w:rsidRPr="003405B1">
        <w:rPr>
          <w:rFonts w:eastAsiaTheme="minorHAnsi"/>
          <w:lang w:eastAsia="en-US"/>
        </w:rPr>
        <w:t xml:space="preserve"> </w:t>
      </w:r>
      <w:r w:rsidRPr="003405B1">
        <w:rPr>
          <w:rFonts w:eastAsiaTheme="minorHAnsi"/>
          <w:lang w:eastAsia="en-US"/>
        </w:rPr>
        <w:t>the feasibility of non-traditional sharing arrangements. This evidence is best garnered through trials of the different technologies and access systems, preferably</w:t>
      </w:r>
      <w:r w:rsidRPr="003405B1">
        <w:t xml:space="preserve"> in encumbered spectrum (with the necessary agreement from incumbents) to effectively assess the impact on incumbent operators.</w:t>
      </w:r>
    </w:p>
    <w:p w14:paraId="6490BF3D" w14:textId="61CF0BCB" w:rsidR="00793C59" w:rsidRPr="003405B1" w:rsidRDefault="00793C59" w:rsidP="00ED70F7">
      <w:pPr>
        <w:pStyle w:val="Paragraphbeforelist"/>
        <w:rPr>
          <w:rFonts w:eastAsiaTheme="minorHAnsi"/>
          <w:lang w:eastAsia="en-US"/>
        </w:rPr>
      </w:pPr>
      <w:r>
        <w:rPr>
          <w:rFonts w:eastAsiaTheme="minorHAnsi"/>
          <w:lang w:eastAsia="en-US"/>
        </w:rPr>
        <w:t>T</w:t>
      </w:r>
      <w:r w:rsidRPr="003405B1">
        <w:rPr>
          <w:rFonts w:eastAsiaTheme="minorHAnsi"/>
          <w:lang w:eastAsia="en-US"/>
        </w:rPr>
        <w:t>he ACMA is open to supporting industry-led trials of non-traditional spectrum sharing arrangements</w:t>
      </w:r>
      <w:r>
        <w:rPr>
          <w:rFonts w:eastAsiaTheme="minorHAnsi"/>
          <w:lang w:eastAsia="en-US"/>
        </w:rPr>
        <w:t xml:space="preserve"> such as DSA</w:t>
      </w:r>
      <w:r w:rsidRPr="003405B1">
        <w:rPr>
          <w:rFonts w:eastAsiaTheme="minorHAnsi"/>
          <w:lang w:eastAsia="en-US"/>
        </w:rPr>
        <w:t xml:space="preserve">. </w:t>
      </w:r>
      <w:r>
        <w:rPr>
          <w:rFonts w:eastAsiaTheme="minorHAnsi"/>
          <w:lang w:eastAsia="en-US"/>
        </w:rPr>
        <w:t>W</w:t>
      </w:r>
      <w:r w:rsidRPr="00741A89">
        <w:rPr>
          <w:rFonts w:eastAsiaTheme="minorHAnsi"/>
          <w:lang w:eastAsia="en-US"/>
        </w:rPr>
        <w:t xml:space="preserve">hile some </w:t>
      </w:r>
      <w:r w:rsidRPr="003405B1">
        <w:rPr>
          <w:rFonts w:eastAsiaTheme="minorHAnsi"/>
          <w:lang w:eastAsia="en-US"/>
        </w:rPr>
        <w:t xml:space="preserve">submissions </w:t>
      </w:r>
      <w:r w:rsidRPr="00741A89">
        <w:rPr>
          <w:rFonts w:eastAsiaTheme="minorHAnsi"/>
          <w:lang w:eastAsia="en-US"/>
        </w:rPr>
        <w:t>provided details on what</w:t>
      </w:r>
      <w:r w:rsidRPr="003405B1">
        <w:rPr>
          <w:rFonts w:eastAsiaTheme="minorHAnsi"/>
          <w:lang w:eastAsia="en-US"/>
        </w:rPr>
        <w:t xml:space="preserve"> potential shared-access deployments might look like, </w:t>
      </w:r>
      <w:r w:rsidR="00217981">
        <w:rPr>
          <w:rFonts w:eastAsiaTheme="minorHAnsi"/>
          <w:lang w:eastAsia="en-US"/>
        </w:rPr>
        <w:t>for example,</w:t>
      </w:r>
      <w:r w:rsidRPr="00741A89">
        <w:rPr>
          <w:rFonts w:eastAsiaTheme="minorHAnsi"/>
          <w:lang w:eastAsia="en-US"/>
        </w:rPr>
        <w:t xml:space="preserve"> which technologies, frequen</w:t>
      </w:r>
      <w:r w:rsidRPr="003405B1">
        <w:rPr>
          <w:rFonts w:eastAsiaTheme="minorHAnsi"/>
          <w:lang w:eastAsia="en-US"/>
        </w:rPr>
        <w:t>cies and licensing framework</w:t>
      </w:r>
      <w:r w:rsidRPr="00741A89">
        <w:rPr>
          <w:rFonts w:eastAsiaTheme="minorHAnsi"/>
          <w:lang w:eastAsia="en-US"/>
        </w:rPr>
        <w:t>s might</w:t>
      </w:r>
      <w:r w:rsidRPr="003405B1">
        <w:rPr>
          <w:rFonts w:eastAsiaTheme="minorHAnsi"/>
          <w:lang w:eastAsia="en-US"/>
        </w:rPr>
        <w:t xml:space="preserve"> be suitable, we </w:t>
      </w:r>
      <w:r>
        <w:rPr>
          <w:rFonts w:eastAsiaTheme="minorHAnsi"/>
          <w:lang w:eastAsia="en-US"/>
        </w:rPr>
        <w:t xml:space="preserve">are interested in receiving </w:t>
      </w:r>
      <w:r w:rsidRPr="003405B1">
        <w:rPr>
          <w:rFonts w:eastAsiaTheme="minorHAnsi"/>
          <w:lang w:eastAsia="en-US"/>
        </w:rPr>
        <w:t>specific</w:t>
      </w:r>
      <w:r>
        <w:rPr>
          <w:rFonts w:eastAsiaTheme="minorHAnsi"/>
          <w:lang w:eastAsia="en-US"/>
        </w:rPr>
        <w:t xml:space="preserve"> and</w:t>
      </w:r>
      <w:r w:rsidRPr="003405B1">
        <w:rPr>
          <w:rFonts w:eastAsiaTheme="minorHAnsi"/>
          <w:lang w:eastAsia="en-US"/>
        </w:rPr>
        <w:t xml:space="preserve"> detailed trial proposals.</w:t>
      </w:r>
      <w:r w:rsidRPr="00741A89">
        <w:rPr>
          <w:rFonts w:eastAsiaTheme="minorHAnsi"/>
          <w:lang w:eastAsia="en-US"/>
        </w:rPr>
        <w:t xml:space="preserve"> So</w:t>
      </w:r>
      <w:r>
        <w:rPr>
          <w:rFonts w:eastAsiaTheme="minorHAnsi"/>
          <w:lang w:eastAsia="en-US"/>
        </w:rPr>
        <w:t>,</w:t>
      </w:r>
      <w:r w:rsidRPr="00741A89">
        <w:rPr>
          <w:rFonts w:eastAsiaTheme="minorHAnsi"/>
          <w:lang w:eastAsia="en-US"/>
        </w:rPr>
        <w:t xml:space="preserve"> we are</w:t>
      </w:r>
      <w:r w:rsidRPr="003405B1">
        <w:rPr>
          <w:rFonts w:eastAsiaTheme="minorHAnsi"/>
          <w:lang w:eastAsia="en-US"/>
        </w:rPr>
        <w:t xml:space="preserve"> </w:t>
      </w:r>
      <w:r w:rsidRPr="00741A89">
        <w:rPr>
          <w:rFonts w:eastAsiaTheme="minorHAnsi"/>
          <w:lang w:eastAsia="en-US"/>
        </w:rPr>
        <w:t>open</w:t>
      </w:r>
      <w:r w:rsidRPr="003405B1">
        <w:rPr>
          <w:rFonts w:eastAsiaTheme="minorHAnsi"/>
          <w:lang w:eastAsia="en-US"/>
        </w:rPr>
        <w:t xml:space="preserve"> to consider</w:t>
      </w:r>
      <w:r w:rsidRPr="00741A89">
        <w:rPr>
          <w:rFonts w:eastAsiaTheme="minorHAnsi"/>
          <w:lang w:eastAsia="en-US"/>
        </w:rPr>
        <w:t>ing</w:t>
      </w:r>
      <w:r w:rsidRPr="003405B1">
        <w:rPr>
          <w:rFonts w:eastAsiaTheme="minorHAnsi"/>
          <w:lang w:eastAsia="en-US"/>
        </w:rPr>
        <w:t xml:space="preserve"> detail</w:t>
      </w:r>
      <w:r w:rsidRPr="00741A89">
        <w:rPr>
          <w:rFonts w:eastAsiaTheme="minorHAnsi"/>
          <w:lang w:eastAsia="en-US"/>
        </w:rPr>
        <w:t>ed</w:t>
      </w:r>
      <w:r w:rsidRPr="003405B1">
        <w:rPr>
          <w:rFonts w:eastAsiaTheme="minorHAnsi"/>
          <w:lang w:eastAsia="en-US"/>
        </w:rPr>
        <w:t xml:space="preserve"> proposals from </w:t>
      </w:r>
      <w:r w:rsidRPr="00741A89">
        <w:rPr>
          <w:rFonts w:eastAsiaTheme="minorHAnsi"/>
          <w:lang w:eastAsia="en-US"/>
        </w:rPr>
        <w:t xml:space="preserve">industry </w:t>
      </w:r>
      <w:r w:rsidR="00D80F1E">
        <w:rPr>
          <w:rFonts w:eastAsiaTheme="minorHAnsi"/>
          <w:lang w:eastAsia="en-US"/>
        </w:rPr>
        <w:t>that</w:t>
      </w:r>
      <w:r w:rsidR="00D80F1E" w:rsidRPr="003405B1">
        <w:rPr>
          <w:rFonts w:eastAsiaTheme="minorHAnsi"/>
          <w:lang w:eastAsia="en-US"/>
        </w:rPr>
        <w:t xml:space="preserve"> </w:t>
      </w:r>
      <w:r w:rsidRPr="00741A89">
        <w:rPr>
          <w:rFonts w:eastAsiaTheme="minorHAnsi"/>
          <w:lang w:eastAsia="en-US"/>
        </w:rPr>
        <w:t xml:space="preserve">set out key trial parameters </w:t>
      </w:r>
      <w:r w:rsidRPr="003405B1">
        <w:rPr>
          <w:rFonts w:eastAsiaTheme="minorHAnsi"/>
          <w:lang w:eastAsia="en-US"/>
        </w:rPr>
        <w:t xml:space="preserve">such as: </w:t>
      </w:r>
    </w:p>
    <w:p w14:paraId="200571A3" w14:textId="62C58AEC" w:rsidR="00793C59" w:rsidRPr="00CB7697" w:rsidRDefault="00793C59" w:rsidP="00793C59">
      <w:pPr>
        <w:pStyle w:val="ListBullet"/>
      </w:pPr>
      <w:r w:rsidRPr="00CB7697">
        <w:t>proposed spectrum band</w:t>
      </w:r>
      <w:r w:rsidR="00B26038">
        <w:t>s</w:t>
      </w:r>
      <w:r w:rsidRPr="00CB7697">
        <w:t xml:space="preserve"> </w:t>
      </w:r>
    </w:p>
    <w:p w14:paraId="0BE531F7" w14:textId="3D9828BB" w:rsidR="00793C59" w:rsidRPr="00D37075" w:rsidRDefault="00793C59" w:rsidP="00793C59">
      <w:pPr>
        <w:pStyle w:val="ListBullet"/>
      </w:pPr>
      <w:r w:rsidRPr="00B739A8">
        <w:t xml:space="preserve">operating conditions, including tiering arrangements and how the sharing framework </w:t>
      </w:r>
      <w:r w:rsidRPr="00D37075">
        <w:t>would operate</w:t>
      </w:r>
    </w:p>
    <w:p w14:paraId="72BA8999" w14:textId="115F5126" w:rsidR="00793C59" w:rsidRPr="00B679CB" w:rsidRDefault="00793C59" w:rsidP="00793C59">
      <w:pPr>
        <w:pStyle w:val="ListBullet"/>
      </w:pPr>
      <w:r w:rsidRPr="001E6021">
        <w:t>details on the financial costs of a trial and which parties would contribute to these costs</w:t>
      </w:r>
    </w:p>
    <w:p w14:paraId="793DAD9C" w14:textId="10B8CFA9" w:rsidR="00793C59" w:rsidRPr="00B679CB" w:rsidRDefault="00793C59" w:rsidP="00793C59">
      <w:pPr>
        <w:pStyle w:val="ListBullet"/>
      </w:pPr>
      <w:r w:rsidRPr="00B679CB">
        <w:t xml:space="preserve">the benefits and potential business cases that such a trial might inform </w:t>
      </w:r>
    </w:p>
    <w:p w14:paraId="4E3A43C4" w14:textId="1D034A5B" w:rsidR="00793C59" w:rsidRPr="00B679CB" w:rsidRDefault="00793C59" w:rsidP="00793C59">
      <w:pPr>
        <w:pStyle w:val="ListBullet"/>
      </w:pPr>
      <w:r w:rsidRPr="00B679CB">
        <w:t>what future demand for these types of arrangements might ultimately present</w:t>
      </w:r>
    </w:p>
    <w:p w14:paraId="2C46870D" w14:textId="77777777" w:rsidR="00793C59" w:rsidRPr="00B679CB" w:rsidRDefault="00793C59" w:rsidP="00793C59">
      <w:pPr>
        <w:pStyle w:val="ListBulletLast"/>
        <w:rPr>
          <w:rFonts w:eastAsiaTheme="minorHAnsi"/>
        </w:rPr>
      </w:pPr>
      <w:r w:rsidRPr="00B679CB">
        <w:rPr>
          <w:rFonts w:eastAsiaTheme="minorHAnsi"/>
        </w:rPr>
        <w:t xml:space="preserve">the potential impact on incumbent services, including any additional licensing or operating constraints that might result from shared access. </w:t>
      </w:r>
    </w:p>
    <w:p w14:paraId="28B7D730" w14:textId="2248553C" w:rsidR="00793C59" w:rsidRPr="003405B1" w:rsidRDefault="00793C59" w:rsidP="00793C59">
      <w:pPr>
        <w:pStyle w:val="ListBullet"/>
        <w:numPr>
          <w:ilvl w:val="0"/>
          <w:numId w:val="0"/>
        </w:numPr>
        <w:spacing w:before="120" w:after="120" w:line="240" w:lineRule="auto"/>
        <w:rPr>
          <w:rFonts w:cs="Arial"/>
          <w:szCs w:val="20"/>
        </w:rPr>
      </w:pPr>
      <w:r w:rsidRPr="00741A89">
        <w:rPr>
          <w:rFonts w:eastAsiaTheme="minorHAnsi" w:cs="Arial"/>
          <w:szCs w:val="20"/>
          <w:lang w:eastAsia="en-US"/>
        </w:rPr>
        <w:t xml:space="preserve">The ACMA will </w:t>
      </w:r>
      <w:r w:rsidRPr="003405B1">
        <w:rPr>
          <w:rFonts w:eastAsiaTheme="minorHAnsi" w:cs="Arial"/>
          <w:szCs w:val="20"/>
          <w:lang w:eastAsia="en-US"/>
        </w:rPr>
        <w:t xml:space="preserve">consider any proposal on its merits, and where possible and feasible, will endeavour to assist by liaising with potentially affected licensees and assist with trial licensing arrangements if </w:t>
      </w:r>
      <w:r w:rsidRPr="00F230D2">
        <w:rPr>
          <w:rFonts w:eastAsiaTheme="minorHAnsi" w:cs="Arial"/>
          <w:szCs w:val="20"/>
          <w:lang w:eastAsia="en-US"/>
        </w:rPr>
        <w:t>agreements</w:t>
      </w:r>
      <w:r w:rsidRPr="003405B1">
        <w:rPr>
          <w:rFonts w:eastAsiaTheme="minorHAnsi" w:cs="Arial"/>
          <w:szCs w:val="20"/>
          <w:lang w:eastAsia="en-US"/>
        </w:rPr>
        <w:t xml:space="preserve"> can be reached.</w:t>
      </w:r>
    </w:p>
    <w:p w14:paraId="43CBD73A" w14:textId="21B49274" w:rsidR="00793C59" w:rsidRDefault="00793C59" w:rsidP="00ED70F7">
      <w:pPr>
        <w:pStyle w:val="Heading1"/>
      </w:pPr>
      <w:bookmarkStart w:id="35" w:name="_Toc41055459"/>
      <w:bookmarkEnd w:id="25"/>
      <w:r>
        <w:t xml:space="preserve">Appendix A: List of submissions to </w:t>
      </w:r>
      <w:r w:rsidR="00DB36BE">
        <w:t>‘</w:t>
      </w:r>
      <w:r w:rsidRPr="00DB36BE">
        <w:t xml:space="preserve">New </w:t>
      </w:r>
      <w:r w:rsidR="00217981" w:rsidRPr="00DB36BE">
        <w:t>a</w:t>
      </w:r>
      <w:r w:rsidRPr="00DB36BE">
        <w:t xml:space="preserve">pproaches to </w:t>
      </w:r>
      <w:r w:rsidR="00217981" w:rsidRPr="00DB36BE">
        <w:t>s</w:t>
      </w:r>
      <w:r w:rsidRPr="00DB36BE">
        <w:t xml:space="preserve">pectrum </w:t>
      </w:r>
      <w:r w:rsidR="00217981" w:rsidRPr="00DB36BE">
        <w:t>s</w:t>
      </w:r>
      <w:r w:rsidRPr="00DB36BE">
        <w:t>haring</w:t>
      </w:r>
      <w:r w:rsidR="00DB36BE">
        <w:t>’</w:t>
      </w:r>
      <w:r w:rsidR="00217981">
        <w:rPr>
          <w:i/>
          <w:iCs/>
        </w:rPr>
        <w:t xml:space="preserve"> </w:t>
      </w:r>
      <w:r w:rsidR="00217981" w:rsidRPr="00ED70F7">
        <w:t>consultation</w:t>
      </w:r>
      <w:bookmarkEnd w:id="35"/>
    </w:p>
    <w:p w14:paraId="7E0C92E0" w14:textId="77777777" w:rsidR="00793C59" w:rsidRDefault="00793C59" w:rsidP="00793C59">
      <w:pPr>
        <w:pStyle w:val="ListBullet"/>
        <w:numPr>
          <w:ilvl w:val="0"/>
          <w:numId w:val="19"/>
        </w:numPr>
      </w:pPr>
      <w:r w:rsidRPr="007C2073">
        <w:t>Department of Defence</w:t>
      </w:r>
    </w:p>
    <w:p w14:paraId="436B8E2A" w14:textId="77777777" w:rsidR="00793C59" w:rsidRDefault="00793C59" w:rsidP="00793C59">
      <w:pPr>
        <w:pStyle w:val="ListBullet"/>
        <w:numPr>
          <w:ilvl w:val="0"/>
          <w:numId w:val="19"/>
        </w:numPr>
      </w:pPr>
      <w:r>
        <w:t>Telstra</w:t>
      </w:r>
    </w:p>
    <w:p w14:paraId="1039C597" w14:textId="77777777" w:rsidR="00793C59" w:rsidRDefault="00793C59" w:rsidP="00793C59">
      <w:pPr>
        <w:pStyle w:val="ListBullet"/>
        <w:numPr>
          <w:ilvl w:val="0"/>
          <w:numId w:val="19"/>
        </w:numPr>
      </w:pPr>
      <w:r>
        <w:t>Vodafone</w:t>
      </w:r>
    </w:p>
    <w:p w14:paraId="135DEDA7" w14:textId="77777777" w:rsidR="00793C59" w:rsidRDefault="00793C59" w:rsidP="00793C59">
      <w:pPr>
        <w:pStyle w:val="ListBullet"/>
        <w:numPr>
          <w:ilvl w:val="0"/>
          <w:numId w:val="19"/>
        </w:numPr>
      </w:pPr>
      <w:r>
        <w:t>Nokia</w:t>
      </w:r>
    </w:p>
    <w:p w14:paraId="1572D133" w14:textId="77777777" w:rsidR="00793C59" w:rsidRDefault="00793C59" w:rsidP="00793C59">
      <w:pPr>
        <w:pStyle w:val="ListBullet"/>
        <w:numPr>
          <w:ilvl w:val="0"/>
          <w:numId w:val="19"/>
        </w:numPr>
      </w:pPr>
      <w:r>
        <w:t>NBN Co</w:t>
      </w:r>
    </w:p>
    <w:p w14:paraId="70D04779" w14:textId="77777777" w:rsidR="00793C59" w:rsidRDefault="00793C59" w:rsidP="00793C59">
      <w:pPr>
        <w:pStyle w:val="ListBullet"/>
        <w:numPr>
          <w:ilvl w:val="0"/>
          <w:numId w:val="19"/>
        </w:numPr>
      </w:pPr>
      <w:r w:rsidRPr="00D04BB3">
        <w:t>Huawei Technologies</w:t>
      </w:r>
    </w:p>
    <w:p w14:paraId="0152E4C6" w14:textId="77777777" w:rsidR="00793C59" w:rsidRDefault="00793C59" w:rsidP="00793C59">
      <w:pPr>
        <w:pStyle w:val="ListBullet"/>
        <w:numPr>
          <w:ilvl w:val="0"/>
          <w:numId w:val="19"/>
        </w:numPr>
      </w:pPr>
      <w:r>
        <w:t>Optus</w:t>
      </w:r>
    </w:p>
    <w:p w14:paraId="641F1E20" w14:textId="77777777" w:rsidR="00793C59" w:rsidRDefault="00793C59" w:rsidP="00793C59">
      <w:pPr>
        <w:pStyle w:val="ListBullet"/>
        <w:numPr>
          <w:ilvl w:val="0"/>
          <w:numId w:val="19"/>
        </w:numPr>
      </w:pPr>
      <w:r w:rsidRPr="007E17E5">
        <w:t>Australian Mobile Telecommunications Association (AMTA)</w:t>
      </w:r>
    </w:p>
    <w:p w14:paraId="18D3932F" w14:textId="77777777" w:rsidR="00793C59" w:rsidRDefault="00793C59" w:rsidP="00793C59">
      <w:pPr>
        <w:pStyle w:val="ListBullet"/>
        <w:numPr>
          <w:ilvl w:val="0"/>
          <w:numId w:val="19"/>
        </w:numPr>
      </w:pPr>
      <w:r>
        <w:t>Cambium Networks</w:t>
      </w:r>
    </w:p>
    <w:p w14:paraId="07C2440D" w14:textId="77777777" w:rsidR="00793C59" w:rsidRDefault="00793C59" w:rsidP="00793C59">
      <w:pPr>
        <w:pStyle w:val="ListBullet"/>
        <w:numPr>
          <w:ilvl w:val="0"/>
          <w:numId w:val="19"/>
        </w:numPr>
      </w:pPr>
      <w:r w:rsidRPr="00CF16B5">
        <w:t>Communications Alliance Satellite Services Working Group (SSWG)</w:t>
      </w:r>
    </w:p>
    <w:p w14:paraId="42B94F42" w14:textId="77777777" w:rsidR="00793C59" w:rsidRDefault="00793C59" w:rsidP="00793C59">
      <w:pPr>
        <w:pStyle w:val="ListBullet"/>
        <w:numPr>
          <w:ilvl w:val="0"/>
          <w:numId w:val="19"/>
        </w:numPr>
      </w:pPr>
      <w:proofErr w:type="spellStart"/>
      <w:r>
        <w:t>Pivotel</w:t>
      </w:r>
      <w:proofErr w:type="spellEnd"/>
      <w:r>
        <w:t xml:space="preserve"> Group</w:t>
      </w:r>
    </w:p>
    <w:p w14:paraId="5A227B14" w14:textId="77777777" w:rsidR="00793C59" w:rsidRDefault="00793C59" w:rsidP="00793C59">
      <w:pPr>
        <w:pStyle w:val="ListBullet"/>
        <w:numPr>
          <w:ilvl w:val="0"/>
          <w:numId w:val="19"/>
        </w:numPr>
      </w:pPr>
      <w:proofErr w:type="spellStart"/>
      <w:r w:rsidRPr="00400B68">
        <w:t>Sirion</w:t>
      </w:r>
      <w:proofErr w:type="spellEnd"/>
      <w:r w:rsidRPr="00400B68">
        <w:t xml:space="preserve"> Global</w:t>
      </w:r>
    </w:p>
    <w:p w14:paraId="77D8A1E0" w14:textId="77777777" w:rsidR="00793C59" w:rsidRDefault="00793C59" w:rsidP="00793C59">
      <w:pPr>
        <w:pStyle w:val="ListBullet"/>
        <w:numPr>
          <w:ilvl w:val="0"/>
          <w:numId w:val="19"/>
        </w:numPr>
      </w:pPr>
      <w:r w:rsidRPr="00CB064C">
        <w:t>Wireless Internet Service Provider Association of Australia</w:t>
      </w:r>
    </w:p>
    <w:p w14:paraId="4CC718FE" w14:textId="77777777" w:rsidR="00793C59" w:rsidRDefault="00793C59" w:rsidP="00793C59">
      <w:pPr>
        <w:pStyle w:val="ListBullet"/>
        <w:numPr>
          <w:ilvl w:val="0"/>
          <w:numId w:val="19"/>
        </w:numPr>
      </w:pPr>
      <w:r>
        <w:t>Motorola Solutions</w:t>
      </w:r>
    </w:p>
    <w:p w14:paraId="0D16A39D" w14:textId="77777777" w:rsidR="00793C59" w:rsidRDefault="00793C59" w:rsidP="00793C59">
      <w:pPr>
        <w:pStyle w:val="ListBullet"/>
        <w:numPr>
          <w:ilvl w:val="0"/>
          <w:numId w:val="19"/>
        </w:numPr>
      </w:pPr>
      <w:r>
        <w:t>Facebook</w:t>
      </w:r>
    </w:p>
    <w:p w14:paraId="388F819F" w14:textId="77777777" w:rsidR="00793C59" w:rsidRDefault="00793C59" w:rsidP="00793C59">
      <w:pPr>
        <w:pStyle w:val="ListBullet"/>
        <w:numPr>
          <w:ilvl w:val="0"/>
          <w:numId w:val="19"/>
        </w:numPr>
      </w:pPr>
      <w:r w:rsidRPr="00F12F71">
        <w:t xml:space="preserve">Federated Wireless </w:t>
      </w:r>
    </w:p>
    <w:p w14:paraId="746C8474" w14:textId="77777777" w:rsidR="00793C59" w:rsidRDefault="00793C59" w:rsidP="00793C59">
      <w:pPr>
        <w:pStyle w:val="ListBullet"/>
        <w:numPr>
          <w:ilvl w:val="0"/>
          <w:numId w:val="19"/>
        </w:numPr>
      </w:pPr>
      <w:r w:rsidRPr="00927D39">
        <w:t>IEEE 802 LAN/MAN Standards Committee</w:t>
      </w:r>
    </w:p>
    <w:p w14:paraId="0222523A" w14:textId="25FC0780" w:rsidR="00793C59" w:rsidRDefault="00793C59" w:rsidP="00793C59">
      <w:pPr>
        <w:pStyle w:val="ListBullet"/>
        <w:numPr>
          <w:ilvl w:val="0"/>
          <w:numId w:val="19"/>
        </w:numPr>
      </w:pPr>
      <w:r w:rsidRPr="002714F5">
        <w:t>W</w:t>
      </w:r>
      <w:r w:rsidR="00DB36BE">
        <w:t>i</w:t>
      </w:r>
      <w:r w:rsidRPr="002714F5">
        <w:t>-F</w:t>
      </w:r>
      <w:r w:rsidR="00DB36BE">
        <w:t>i</w:t>
      </w:r>
      <w:r w:rsidRPr="002714F5">
        <w:t xml:space="preserve"> A</w:t>
      </w:r>
      <w:r w:rsidR="00DB36BE">
        <w:t>lliance</w:t>
      </w:r>
    </w:p>
    <w:p w14:paraId="79B926C0" w14:textId="77777777" w:rsidR="00793C59" w:rsidRDefault="00793C59" w:rsidP="00793C59">
      <w:pPr>
        <w:pStyle w:val="ListBullet"/>
        <w:numPr>
          <w:ilvl w:val="0"/>
          <w:numId w:val="19"/>
        </w:numPr>
      </w:pPr>
      <w:r w:rsidRPr="00C35A83">
        <w:t>Dynamic Spectrum Alliance</w:t>
      </w:r>
    </w:p>
    <w:p w14:paraId="4F108FFC" w14:textId="77777777" w:rsidR="00793C59" w:rsidRDefault="00793C59" w:rsidP="00793C59">
      <w:pPr>
        <w:pStyle w:val="ListBullet"/>
        <w:numPr>
          <w:ilvl w:val="0"/>
          <w:numId w:val="19"/>
        </w:numPr>
      </w:pPr>
      <w:r>
        <w:t>Open Spectrum</w:t>
      </w:r>
    </w:p>
    <w:p w14:paraId="4970873F" w14:textId="77777777" w:rsidR="00793C59" w:rsidRDefault="00793C59" w:rsidP="00793C59">
      <w:pPr>
        <w:pStyle w:val="ListBullet"/>
        <w:numPr>
          <w:ilvl w:val="0"/>
          <w:numId w:val="19"/>
        </w:numPr>
      </w:pPr>
      <w:r w:rsidRPr="0055303B">
        <w:t>Special Broadcasting Service Corporation (SBS)</w:t>
      </w:r>
    </w:p>
    <w:p w14:paraId="7D014769" w14:textId="77777777" w:rsidR="00793C59" w:rsidRPr="003405B1" w:rsidRDefault="00793C59" w:rsidP="00793C59">
      <w:pPr>
        <w:pStyle w:val="ListBullet"/>
        <w:numPr>
          <w:ilvl w:val="0"/>
          <w:numId w:val="19"/>
        </w:numPr>
      </w:pPr>
      <w:r>
        <w:t>Free TV Australia</w:t>
      </w:r>
    </w:p>
    <w:p w14:paraId="3C8E4160" w14:textId="77777777" w:rsidR="00793C59" w:rsidRDefault="00793C59" w:rsidP="009A021C">
      <w:pPr>
        <w:pStyle w:val="Paragraphbeforelist"/>
      </w:pPr>
    </w:p>
    <w:sectPr w:rsidR="00793C59" w:rsidSect="00C77380">
      <w:headerReference w:type="even" r:id="rId36"/>
      <w:headerReference w:type="default" r:id="rId37"/>
      <w:footerReference w:type="even" r:id="rId38"/>
      <w:footerReference w:type="default" r:id="rId3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7D2B1A" w14:textId="77777777" w:rsidR="00970C48" w:rsidRDefault="00970C48">
      <w:r>
        <w:separator/>
      </w:r>
    </w:p>
  </w:endnote>
  <w:endnote w:type="continuationSeparator" w:id="0">
    <w:p w14:paraId="6830C0D1" w14:textId="77777777" w:rsidR="00970C48" w:rsidRDefault="00970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Times New Roman"/>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335D2" w14:textId="77777777" w:rsidR="00AE746B" w:rsidRDefault="00AE746B" w:rsidP="005E250B">
    <w:pPr>
      <w:pStyle w:val="Footer"/>
      <w:jc w:val="right"/>
    </w:pPr>
    <w:r w:rsidRPr="005E250B">
      <w:rPr>
        <w:noProof/>
        <w:vertAlign w:val="subscript"/>
      </w:rPr>
      <w:drawing>
        <wp:inline distT="0" distB="0" distL="0" distR="0" wp14:anchorId="222FC3BC" wp14:editId="1D74BA8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13361E" w14:textId="77777777" w:rsidR="00AE746B" w:rsidRDefault="00AE746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0C9E44" w14:textId="77777777" w:rsidR="00AE746B" w:rsidRDefault="00AE746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2494F9" w14:textId="77777777" w:rsidR="00AE746B" w:rsidRPr="00622A3B" w:rsidRDefault="00AE746B"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773E84C" w14:textId="77777777" w:rsidR="00AE746B" w:rsidRPr="00A5474E" w:rsidRDefault="00AE746B"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BAB72" w14:textId="77777777" w:rsidR="00AE746B" w:rsidRPr="00622A3B" w:rsidRDefault="00AE746B"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E6CF29B" w14:textId="77777777" w:rsidR="00AE746B" w:rsidRPr="00A5474E" w:rsidRDefault="00AE746B"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FB1941" w14:textId="77777777" w:rsidR="00AE746B" w:rsidRPr="00622A3B" w:rsidRDefault="00AE746B"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C04B00C" w14:textId="77777777" w:rsidR="00AE746B" w:rsidRPr="00A5474E" w:rsidRDefault="00AE746B"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CFD5BA" w14:textId="77777777" w:rsidR="00AE746B" w:rsidRPr="00622A3B" w:rsidRDefault="00AE746B"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947110B" w14:textId="77777777" w:rsidR="00AE746B" w:rsidRPr="00A5474E" w:rsidRDefault="00AE746B"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D19FB" w14:textId="77777777" w:rsidR="00AE746B" w:rsidRPr="00622A3B" w:rsidRDefault="00AE746B"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057A9E4F" w14:textId="77777777" w:rsidR="00AE746B" w:rsidRPr="00A5474E" w:rsidRDefault="00AE746B"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6E1270" w14:textId="77777777" w:rsidR="00970C48" w:rsidRDefault="00970C48">
      <w:r>
        <w:separator/>
      </w:r>
    </w:p>
  </w:footnote>
  <w:footnote w:type="continuationSeparator" w:id="0">
    <w:p w14:paraId="20E56754" w14:textId="77777777" w:rsidR="00970C48" w:rsidRDefault="00970C48">
      <w:r>
        <w:continuationSeparator/>
      </w:r>
    </w:p>
  </w:footnote>
  <w:footnote w:id="1">
    <w:p w14:paraId="22245523" w14:textId="77777777" w:rsidR="00AE746B" w:rsidRDefault="00AE746B" w:rsidP="00793C59">
      <w:pPr>
        <w:pStyle w:val="FootnoteText"/>
      </w:pPr>
      <w:r>
        <w:rPr>
          <w:rStyle w:val="FootnoteReference"/>
        </w:rPr>
        <w:footnoteRef/>
      </w:r>
      <w:r>
        <w:t xml:space="preserve"> </w:t>
      </w:r>
      <w:hyperlink r:id="rId1" w:history="1">
        <w:r w:rsidRPr="0083791F">
          <w:rPr>
            <w:rStyle w:val="Hyperlink"/>
          </w:rPr>
          <w:t>5G spectrum positions offer a roadmap for regulators</w:t>
        </w:r>
        <w:r w:rsidRPr="006564F4">
          <w:rPr>
            <w:rStyle w:val="Hyperlink"/>
          </w:rPr>
          <w:t>.</w:t>
        </w:r>
      </w:hyperlink>
    </w:p>
  </w:footnote>
  <w:footnote w:id="2">
    <w:p w14:paraId="66E2EADE" w14:textId="34B197EC" w:rsidR="00AE746B" w:rsidRDefault="00AE746B" w:rsidP="00793C59">
      <w:pPr>
        <w:pStyle w:val="FootnoteText"/>
      </w:pPr>
      <w:r>
        <w:rPr>
          <w:rStyle w:val="FootnoteReference"/>
        </w:rPr>
        <w:footnoteRef/>
      </w:r>
      <w:r>
        <w:t xml:space="preserve"> Ofcom, </w:t>
      </w:r>
      <w:hyperlink r:id="rId2" w:history="1">
        <w:r w:rsidR="00D80F1E">
          <w:rPr>
            <w:rStyle w:val="Hyperlink"/>
            <w:i/>
            <w:iCs/>
          </w:rPr>
          <w:t>Local Access Licence</w:t>
        </w:r>
      </w:hyperlink>
      <w:r w:rsidR="00D80F1E" w:rsidRPr="00D80F1E">
        <w:rPr>
          <w:rStyle w:val="Hyperlink"/>
          <w:color w:val="auto"/>
          <w:u w:val="non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D5C7FA" w14:textId="77777777" w:rsidR="00AE746B" w:rsidRPr="00A5474E" w:rsidRDefault="00AE746B" w:rsidP="00A5474E">
    <w:pPr>
      <w:pStyle w:val="Header"/>
    </w:pPr>
    <w:r>
      <w:rPr>
        <w:noProof/>
      </w:rPr>
      <w:drawing>
        <wp:inline distT="0" distB="0" distL="0" distR="0" wp14:anchorId="04A51932" wp14:editId="4CC44FA1">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4288FA" w14:textId="77777777" w:rsidR="00AE746B" w:rsidRPr="00A5474E" w:rsidRDefault="00AE746B"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58F5E1" w14:textId="77777777" w:rsidR="00AE746B" w:rsidRDefault="00AE746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D3CC58" w14:textId="77777777" w:rsidR="00AE746B" w:rsidRDefault="00AE746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AE746B" w14:paraId="300D124C" w14:textId="77777777" w:rsidTr="00AE746B">
      <w:trPr>
        <w:trHeight w:hRule="exact" w:val="988"/>
      </w:trPr>
      <w:tc>
        <w:tcPr>
          <w:tcW w:w="7678" w:type="dxa"/>
          <w:shd w:val="clear" w:color="auto" w:fill="auto"/>
        </w:tcPr>
        <w:p w14:paraId="00A40980" w14:textId="77777777" w:rsidR="00AE746B" w:rsidRDefault="00AE746B" w:rsidP="00971914">
          <w:pPr>
            <w:pStyle w:val="Header"/>
          </w:pPr>
        </w:p>
      </w:tc>
    </w:tr>
    <w:tr w:rsidR="00AE746B" w14:paraId="588A9AD7" w14:textId="77777777" w:rsidTr="00AE746B">
      <w:tc>
        <w:tcPr>
          <w:tcW w:w="7678" w:type="dxa"/>
          <w:shd w:val="clear" w:color="auto" w:fill="auto"/>
        </w:tcPr>
        <w:p w14:paraId="0083BA31" w14:textId="77777777" w:rsidR="00AE746B" w:rsidRDefault="00AE746B" w:rsidP="00971914">
          <w:pPr>
            <w:pStyle w:val="GridTable31"/>
          </w:pPr>
          <w:r>
            <w:t xml:space="preserve">Contents </w:t>
          </w:r>
          <w:r w:rsidRPr="00915B1C">
            <w:rPr>
              <w:b w:val="0"/>
              <w:spacing w:val="0"/>
              <w:sz w:val="28"/>
              <w:szCs w:val="28"/>
            </w:rPr>
            <w:t>(Continued)</w:t>
          </w:r>
        </w:p>
      </w:tc>
    </w:tr>
    <w:tr w:rsidR="00AE746B" w14:paraId="6BD00EAC" w14:textId="77777777" w:rsidTr="00AE746B">
      <w:trPr>
        <w:trHeight w:val="1220"/>
      </w:trPr>
      <w:tc>
        <w:tcPr>
          <w:tcW w:w="7678" w:type="dxa"/>
          <w:shd w:val="clear" w:color="auto" w:fill="auto"/>
        </w:tcPr>
        <w:p w14:paraId="586312AB" w14:textId="77777777" w:rsidR="00AE746B" w:rsidRDefault="00AE746B" w:rsidP="00971914"/>
      </w:tc>
    </w:tr>
  </w:tbl>
  <w:p w14:paraId="27CFD38C" w14:textId="77777777" w:rsidR="00AE746B" w:rsidRDefault="00AE746B"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AE746B" w14:paraId="029E3C32" w14:textId="77777777" w:rsidTr="00AE746B">
      <w:trPr>
        <w:trHeight w:hRule="exact" w:val="988"/>
      </w:trPr>
      <w:tc>
        <w:tcPr>
          <w:tcW w:w="7678" w:type="dxa"/>
          <w:shd w:val="clear" w:color="auto" w:fill="auto"/>
        </w:tcPr>
        <w:p w14:paraId="17BB2C46" w14:textId="77777777" w:rsidR="00AE746B" w:rsidRDefault="00AE746B" w:rsidP="00971914">
          <w:pPr>
            <w:pStyle w:val="Header"/>
          </w:pPr>
        </w:p>
      </w:tc>
    </w:tr>
    <w:tr w:rsidR="00AE746B" w14:paraId="146178BB" w14:textId="77777777" w:rsidTr="00AE746B">
      <w:tc>
        <w:tcPr>
          <w:tcW w:w="7678" w:type="dxa"/>
          <w:shd w:val="clear" w:color="auto" w:fill="auto"/>
        </w:tcPr>
        <w:p w14:paraId="0B77F793" w14:textId="77777777" w:rsidR="00AE746B" w:rsidRDefault="00AE746B" w:rsidP="00971914">
          <w:pPr>
            <w:pStyle w:val="GridTable31"/>
          </w:pPr>
          <w:r>
            <w:t xml:space="preserve">Contents </w:t>
          </w:r>
          <w:r w:rsidRPr="00915B1C">
            <w:rPr>
              <w:b w:val="0"/>
              <w:spacing w:val="0"/>
              <w:sz w:val="28"/>
              <w:szCs w:val="28"/>
            </w:rPr>
            <w:t>(Continued)</w:t>
          </w:r>
        </w:p>
      </w:tc>
    </w:tr>
    <w:tr w:rsidR="00AE746B" w14:paraId="04260BB5" w14:textId="77777777" w:rsidTr="00AE746B">
      <w:trPr>
        <w:trHeight w:val="1220"/>
      </w:trPr>
      <w:tc>
        <w:tcPr>
          <w:tcW w:w="7678" w:type="dxa"/>
          <w:shd w:val="clear" w:color="auto" w:fill="auto"/>
        </w:tcPr>
        <w:p w14:paraId="7A615C7C" w14:textId="77777777" w:rsidR="00AE746B" w:rsidRDefault="00AE746B" w:rsidP="00971914"/>
      </w:tc>
    </w:tr>
  </w:tbl>
  <w:p w14:paraId="429BC3FE" w14:textId="77777777" w:rsidR="00AE746B" w:rsidRPr="00A5474E" w:rsidRDefault="00AE746B"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9172DB" w14:textId="77777777" w:rsidR="00AE746B" w:rsidRDefault="00AE74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BCFAE6" w14:textId="77777777" w:rsidR="00AE746B" w:rsidRDefault="00AE74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78164D2"/>
    <w:multiLevelType w:val="hybridMultilevel"/>
    <w:tmpl w:val="F2B0CF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25E7565"/>
    <w:multiLevelType w:val="hybridMultilevel"/>
    <w:tmpl w:val="25AEEA8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C692612"/>
    <w:multiLevelType w:val="hybridMultilevel"/>
    <w:tmpl w:val="DA86FF54"/>
    <w:lvl w:ilvl="0" w:tplc="584A9E6A">
      <w:start w:val="1"/>
      <w:numFmt w:val="decimal"/>
      <w:lvlText w:val="%1."/>
      <w:lvlJc w:val="left"/>
      <w:pPr>
        <w:ind w:left="655" w:hanging="360"/>
      </w:pPr>
      <w:rPr>
        <w:rFonts w:hint="default"/>
      </w:rPr>
    </w:lvl>
    <w:lvl w:ilvl="1" w:tplc="0C090019" w:tentative="1">
      <w:start w:val="1"/>
      <w:numFmt w:val="lowerLetter"/>
      <w:lvlText w:val="%2."/>
      <w:lvlJc w:val="left"/>
      <w:pPr>
        <w:ind w:left="1375" w:hanging="360"/>
      </w:pPr>
    </w:lvl>
    <w:lvl w:ilvl="2" w:tplc="0C09001B" w:tentative="1">
      <w:start w:val="1"/>
      <w:numFmt w:val="lowerRoman"/>
      <w:lvlText w:val="%3."/>
      <w:lvlJc w:val="right"/>
      <w:pPr>
        <w:ind w:left="2095" w:hanging="180"/>
      </w:pPr>
    </w:lvl>
    <w:lvl w:ilvl="3" w:tplc="0C09000F" w:tentative="1">
      <w:start w:val="1"/>
      <w:numFmt w:val="decimal"/>
      <w:lvlText w:val="%4."/>
      <w:lvlJc w:val="left"/>
      <w:pPr>
        <w:ind w:left="2815" w:hanging="360"/>
      </w:pPr>
    </w:lvl>
    <w:lvl w:ilvl="4" w:tplc="0C090019" w:tentative="1">
      <w:start w:val="1"/>
      <w:numFmt w:val="lowerLetter"/>
      <w:lvlText w:val="%5."/>
      <w:lvlJc w:val="left"/>
      <w:pPr>
        <w:ind w:left="3535" w:hanging="360"/>
      </w:pPr>
    </w:lvl>
    <w:lvl w:ilvl="5" w:tplc="0C09001B" w:tentative="1">
      <w:start w:val="1"/>
      <w:numFmt w:val="lowerRoman"/>
      <w:lvlText w:val="%6."/>
      <w:lvlJc w:val="right"/>
      <w:pPr>
        <w:ind w:left="4255" w:hanging="180"/>
      </w:pPr>
    </w:lvl>
    <w:lvl w:ilvl="6" w:tplc="0C09000F" w:tentative="1">
      <w:start w:val="1"/>
      <w:numFmt w:val="decimal"/>
      <w:lvlText w:val="%7."/>
      <w:lvlJc w:val="left"/>
      <w:pPr>
        <w:ind w:left="4975" w:hanging="360"/>
      </w:pPr>
    </w:lvl>
    <w:lvl w:ilvl="7" w:tplc="0C090019" w:tentative="1">
      <w:start w:val="1"/>
      <w:numFmt w:val="lowerLetter"/>
      <w:lvlText w:val="%8."/>
      <w:lvlJc w:val="left"/>
      <w:pPr>
        <w:ind w:left="5695" w:hanging="360"/>
      </w:pPr>
    </w:lvl>
    <w:lvl w:ilvl="8" w:tplc="0C09001B" w:tentative="1">
      <w:start w:val="1"/>
      <w:numFmt w:val="lowerRoman"/>
      <w:lvlText w:val="%9."/>
      <w:lvlJc w:val="right"/>
      <w:pPr>
        <w:ind w:left="6415" w:hanging="180"/>
      </w:pPr>
    </w:lvl>
  </w:abstractNum>
  <w:num w:numId="1">
    <w:abstractNumId w:val="3"/>
  </w:num>
  <w:num w:numId="2">
    <w:abstractNumId w:val="1"/>
  </w:num>
  <w:num w:numId="3">
    <w:abstractNumId w:val="2"/>
  </w:num>
  <w:num w:numId="4">
    <w:abstractNumId w:val="0"/>
  </w:num>
  <w:num w:numId="5">
    <w:abstractNumId w:val="7"/>
  </w:num>
  <w:num w:numId="6">
    <w:abstractNumId w:val="12"/>
  </w:num>
  <w:num w:numId="7">
    <w:abstractNumId w:val="9"/>
  </w:num>
  <w:num w:numId="8">
    <w:abstractNumId w:val="11"/>
  </w:num>
  <w:num w:numId="9">
    <w:abstractNumId w:val="13"/>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8"/>
  </w:num>
  <w:num w:numId="17">
    <w:abstractNumId w:val="6"/>
  </w:num>
  <w:num w:numId="18">
    <w:abstractNumId w:val="10"/>
  </w:num>
  <w:num w:numId="19">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228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2031"/>
    <w:rsid w:val="00010667"/>
    <w:rsid w:val="000129D5"/>
    <w:rsid w:val="00014D8A"/>
    <w:rsid w:val="00015AE7"/>
    <w:rsid w:val="00016E21"/>
    <w:rsid w:val="0001719C"/>
    <w:rsid w:val="0002224E"/>
    <w:rsid w:val="000245E5"/>
    <w:rsid w:val="00026F91"/>
    <w:rsid w:val="000307F9"/>
    <w:rsid w:val="00031C2F"/>
    <w:rsid w:val="00032621"/>
    <w:rsid w:val="00042B33"/>
    <w:rsid w:val="0004764C"/>
    <w:rsid w:val="0005011A"/>
    <w:rsid w:val="0005045A"/>
    <w:rsid w:val="00051C1E"/>
    <w:rsid w:val="000539F9"/>
    <w:rsid w:val="00054C27"/>
    <w:rsid w:val="00055EC3"/>
    <w:rsid w:val="000563CE"/>
    <w:rsid w:val="000659B6"/>
    <w:rsid w:val="0006686F"/>
    <w:rsid w:val="0006722A"/>
    <w:rsid w:val="000732CF"/>
    <w:rsid w:val="00073C92"/>
    <w:rsid w:val="00075B96"/>
    <w:rsid w:val="0008196A"/>
    <w:rsid w:val="000915ED"/>
    <w:rsid w:val="0009209D"/>
    <w:rsid w:val="0009463C"/>
    <w:rsid w:val="000969BD"/>
    <w:rsid w:val="000969BF"/>
    <w:rsid w:val="000A0C22"/>
    <w:rsid w:val="000A1400"/>
    <w:rsid w:val="000A385E"/>
    <w:rsid w:val="000A3C43"/>
    <w:rsid w:val="000A4A51"/>
    <w:rsid w:val="000A5D2B"/>
    <w:rsid w:val="000B4664"/>
    <w:rsid w:val="000B46B1"/>
    <w:rsid w:val="000B5DE3"/>
    <w:rsid w:val="000C0A57"/>
    <w:rsid w:val="000C230C"/>
    <w:rsid w:val="000C38A9"/>
    <w:rsid w:val="000C61B8"/>
    <w:rsid w:val="000C6AB4"/>
    <w:rsid w:val="000D497B"/>
    <w:rsid w:val="000D71D9"/>
    <w:rsid w:val="000D76E0"/>
    <w:rsid w:val="000D794E"/>
    <w:rsid w:val="000D7E8B"/>
    <w:rsid w:val="000E4449"/>
    <w:rsid w:val="000E6097"/>
    <w:rsid w:val="000F5FEE"/>
    <w:rsid w:val="00100990"/>
    <w:rsid w:val="00103829"/>
    <w:rsid w:val="00111FCE"/>
    <w:rsid w:val="00112759"/>
    <w:rsid w:val="001229A5"/>
    <w:rsid w:val="0012303F"/>
    <w:rsid w:val="0012489B"/>
    <w:rsid w:val="00130017"/>
    <w:rsid w:val="00130F91"/>
    <w:rsid w:val="001349ED"/>
    <w:rsid w:val="001350A9"/>
    <w:rsid w:val="00137424"/>
    <w:rsid w:val="00140318"/>
    <w:rsid w:val="00141AD9"/>
    <w:rsid w:val="00146CE6"/>
    <w:rsid w:val="00152903"/>
    <w:rsid w:val="00153FD5"/>
    <w:rsid w:val="0015614F"/>
    <w:rsid w:val="001577C2"/>
    <w:rsid w:val="00160ADB"/>
    <w:rsid w:val="001610DE"/>
    <w:rsid w:val="001633C4"/>
    <w:rsid w:val="00163871"/>
    <w:rsid w:val="001704D5"/>
    <w:rsid w:val="00171591"/>
    <w:rsid w:val="00173981"/>
    <w:rsid w:val="00174304"/>
    <w:rsid w:val="0017719D"/>
    <w:rsid w:val="00183FD7"/>
    <w:rsid w:val="00185CAB"/>
    <w:rsid w:val="001875B7"/>
    <w:rsid w:val="00187CB3"/>
    <w:rsid w:val="00187E23"/>
    <w:rsid w:val="0019050A"/>
    <w:rsid w:val="001910D4"/>
    <w:rsid w:val="001976E3"/>
    <w:rsid w:val="001A44EC"/>
    <w:rsid w:val="001B40F3"/>
    <w:rsid w:val="001B58AA"/>
    <w:rsid w:val="001B7E48"/>
    <w:rsid w:val="001C17CE"/>
    <w:rsid w:val="001C36CA"/>
    <w:rsid w:val="001C44D1"/>
    <w:rsid w:val="001C6AEE"/>
    <w:rsid w:val="001C7630"/>
    <w:rsid w:val="001D6D15"/>
    <w:rsid w:val="001F50F7"/>
    <w:rsid w:val="001F7558"/>
    <w:rsid w:val="00201EE2"/>
    <w:rsid w:val="00205491"/>
    <w:rsid w:val="00205B57"/>
    <w:rsid w:val="0021426C"/>
    <w:rsid w:val="002157E0"/>
    <w:rsid w:val="00216A57"/>
    <w:rsid w:val="00217448"/>
    <w:rsid w:val="00217981"/>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2F40"/>
    <w:rsid w:val="00257553"/>
    <w:rsid w:val="00260FB2"/>
    <w:rsid w:val="00262128"/>
    <w:rsid w:val="00263191"/>
    <w:rsid w:val="00265AD7"/>
    <w:rsid w:val="0027165D"/>
    <w:rsid w:val="00273CEB"/>
    <w:rsid w:val="00281C89"/>
    <w:rsid w:val="002826E6"/>
    <w:rsid w:val="0028282F"/>
    <w:rsid w:val="0029593B"/>
    <w:rsid w:val="00297FC5"/>
    <w:rsid w:val="002A0417"/>
    <w:rsid w:val="002A16D8"/>
    <w:rsid w:val="002A1BC8"/>
    <w:rsid w:val="002A3EF2"/>
    <w:rsid w:val="002B0DED"/>
    <w:rsid w:val="002B19A2"/>
    <w:rsid w:val="002B381A"/>
    <w:rsid w:val="002B4FCC"/>
    <w:rsid w:val="002B7408"/>
    <w:rsid w:val="002B7CFD"/>
    <w:rsid w:val="002C0530"/>
    <w:rsid w:val="002C210F"/>
    <w:rsid w:val="002D3600"/>
    <w:rsid w:val="002D585C"/>
    <w:rsid w:val="002E4DDC"/>
    <w:rsid w:val="00302480"/>
    <w:rsid w:val="00302758"/>
    <w:rsid w:val="00303C2D"/>
    <w:rsid w:val="003165E6"/>
    <w:rsid w:val="003215B5"/>
    <w:rsid w:val="003221CF"/>
    <w:rsid w:val="003233ED"/>
    <w:rsid w:val="00324D9F"/>
    <w:rsid w:val="003275AD"/>
    <w:rsid w:val="00327948"/>
    <w:rsid w:val="0033000F"/>
    <w:rsid w:val="00332011"/>
    <w:rsid w:val="00332518"/>
    <w:rsid w:val="00332925"/>
    <w:rsid w:val="00332E3F"/>
    <w:rsid w:val="003332ED"/>
    <w:rsid w:val="003368DC"/>
    <w:rsid w:val="00345927"/>
    <w:rsid w:val="00350584"/>
    <w:rsid w:val="00351857"/>
    <w:rsid w:val="003545E8"/>
    <w:rsid w:val="00357FBE"/>
    <w:rsid w:val="00361066"/>
    <w:rsid w:val="003610E1"/>
    <w:rsid w:val="00365DD2"/>
    <w:rsid w:val="003671BE"/>
    <w:rsid w:val="00372485"/>
    <w:rsid w:val="00373200"/>
    <w:rsid w:val="00375EF5"/>
    <w:rsid w:val="003767A5"/>
    <w:rsid w:val="00381D15"/>
    <w:rsid w:val="00385254"/>
    <w:rsid w:val="00390665"/>
    <w:rsid w:val="003933E8"/>
    <w:rsid w:val="00394031"/>
    <w:rsid w:val="00396DC2"/>
    <w:rsid w:val="003A04DB"/>
    <w:rsid w:val="003A5F5B"/>
    <w:rsid w:val="003A789A"/>
    <w:rsid w:val="003B12EC"/>
    <w:rsid w:val="003C003D"/>
    <w:rsid w:val="003C03B8"/>
    <w:rsid w:val="003C4DD2"/>
    <w:rsid w:val="003C723B"/>
    <w:rsid w:val="003C77E0"/>
    <w:rsid w:val="003D17D7"/>
    <w:rsid w:val="003D2678"/>
    <w:rsid w:val="003D71A3"/>
    <w:rsid w:val="003E2B8A"/>
    <w:rsid w:val="003E54A7"/>
    <w:rsid w:val="003F10EE"/>
    <w:rsid w:val="003F16F6"/>
    <w:rsid w:val="003F4DC7"/>
    <w:rsid w:val="003F5235"/>
    <w:rsid w:val="004027E4"/>
    <w:rsid w:val="00405FFB"/>
    <w:rsid w:val="0041071D"/>
    <w:rsid w:val="00414AFC"/>
    <w:rsid w:val="004151A7"/>
    <w:rsid w:val="00415310"/>
    <w:rsid w:val="004167F3"/>
    <w:rsid w:val="00421709"/>
    <w:rsid w:val="00423763"/>
    <w:rsid w:val="0042762F"/>
    <w:rsid w:val="00427DC7"/>
    <w:rsid w:val="00431613"/>
    <w:rsid w:val="00431792"/>
    <w:rsid w:val="0043297A"/>
    <w:rsid w:val="00432EB2"/>
    <w:rsid w:val="00433A6F"/>
    <w:rsid w:val="0043714F"/>
    <w:rsid w:val="004438B5"/>
    <w:rsid w:val="00447037"/>
    <w:rsid w:val="00450C08"/>
    <w:rsid w:val="0045124D"/>
    <w:rsid w:val="00454596"/>
    <w:rsid w:val="0045605D"/>
    <w:rsid w:val="0046135B"/>
    <w:rsid w:val="00461D47"/>
    <w:rsid w:val="004718CC"/>
    <w:rsid w:val="00481695"/>
    <w:rsid w:val="00495A96"/>
    <w:rsid w:val="00495BB3"/>
    <w:rsid w:val="004A56BB"/>
    <w:rsid w:val="004A70D6"/>
    <w:rsid w:val="004B1751"/>
    <w:rsid w:val="004B3C95"/>
    <w:rsid w:val="004B5E64"/>
    <w:rsid w:val="004B7E72"/>
    <w:rsid w:val="004C0253"/>
    <w:rsid w:val="004D56FF"/>
    <w:rsid w:val="004E39D3"/>
    <w:rsid w:val="004E508A"/>
    <w:rsid w:val="004E616D"/>
    <w:rsid w:val="004F1BDE"/>
    <w:rsid w:val="004F2CEE"/>
    <w:rsid w:val="004F3B71"/>
    <w:rsid w:val="004F556E"/>
    <w:rsid w:val="004F591C"/>
    <w:rsid w:val="004F7F44"/>
    <w:rsid w:val="005037B4"/>
    <w:rsid w:val="005079BF"/>
    <w:rsid w:val="0051269A"/>
    <w:rsid w:val="005219E7"/>
    <w:rsid w:val="00522506"/>
    <w:rsid w:val="00531B9A"/>
    <w:rsid w:val="00531D15"/>
    <w:rsid w:val="0053453A"/>
    <w:rsid w:val="00537604"/>
    <w:rsid w:val="00542377"/>
    <w:rsid w:val="005476EB"/>
    <w:rsid w:val="00551782"/>
    <w:rsid w:val="00561B59"/>
    <w:rsid w:val="00563EF1"/>
    <w:rsid w:val="005644EC"/>
    <w:rsid w:val="00566AB4"/>
    <w:rsid w:val="005711ED"/>
    <w:rsid w:val="00573812"/>
    <w:rsid w:val="00575AC5"/>
    <w:rsid w:val="0057605D"/>
    <w:rsid w:val="0058100D"/>
    <w:rsid w:val="00581347"/>
    <w:rsid w:val="00581AC9"/>
    <w:rsid w:val="005849F8"/>
    <w:rsid w:val="005938DF"/>
    <w:rsid w:val="00594E9C"/>
    <w:rsid w:val="0059660A"/>
    <w:rsid w:val="005A099B"/>
    <w:rsid w:val="005A2D9C"/>
    <w:rsid w:val="005A55FE"/>
    <w:rsid w:val="005A6A11"/>
    <w:rsid w:val="005B2F0D"/>
    <w:rsid w:val="005C34D3"/>
    <w:rsid w:val="005C34EF"/>
    <w:rsid w:val="005D0D83"/>
    <w:rsid w:val="005D2502"/>
    <w:rsid w:val="005D40BB"/>
    <w:rsid w:val="005D42B3"/>
    <w:rsid w:val="005D47F3"/>
    <w:rsid w:val="005D49BF"/>
    <w:rsid w:val="005D4AA5"/>
    <w:rsid w:val="005D64DA"/>
    <w:rsid w:val="005D6F4E"/>
    <w:rsid w:val="005D7C73"/>
    <w:rsid w:val="005E04A3"/>
    <w:rsid w:val="005E1DFD"/>
    <w:rsid w:val="005E250B"/>
    <w:rsid w:val="005E3ACD"/>
    <w:rsid w:val="005E7226"/>
    <w:rsid w:val="005E7A57"/>
    <w:rsid w:val="005F24B0"/>
    <w:rsid w:val="00604315"/>
    <w:rsid w:val="00604E26"/>
    <w:rsid w:val="0060523F"/>
    <w:rsid w:val="006052CF"/>
    <w:rsid w:val="00607B8D"/>
    <w:rsid w:val="0061092A"/>
    <w:rsid w:val="00611F5C"/>
    <w:rsid w:val="00613399"/>
    <w:rsid w:val="00616E09"/>
    <w:rsid w:val="00620CF5"/>
    <w:rsid w:val="00621D5C"/>
    <w:rsid w:val="00622A3B"/>
    <w:rsid w:val="00622EEA"/>
    <w:rsid w:val="0062396C"/>
    <w:rsid w:val="00623FF9"/>
    <w:rsid w:val="00627D4E"/>
    <w:rsid w:val="00632B89"/>
    <w:rsid w:val="0063346D"/>
    <w:rsid w:val="00634478"/>
    <w:rsid w:val="00644373"/>
    <w:rsid w:val="00645915"/>
    <w:rsid w:val="00646695"/>
    <w:rsid w:val="00646CC4"/>
    <w:rsid w:val="006519C3"/>
    <w:rsid w:val="00652B30"/>
    <w:rsid w:val="00656345"/>
    <w:rsid w:val="00656DC6"/>
    <w:rsid w:val="00660EC6"/>
    <w:rsid w:val="00664110"/>
    <w:rsid w:val="00664D17"/>
    <w:rsid w:val="00666520"/>
    <w:rsid w:val="00667C5B"/>
    <w:rsid w:val="00684C45"/>
    <w:rsid w:val="00691EB8"/>
    <w:rsid w:val="00692CDE"/>
    <w:rsid w:val="00693073"/>
    <w:rsid w:val="00697084"/>
    <w:rsid w:val="006977FF"/>
    <w:rsid w:val="006A01FA"/>
    <w:rsid w:val="006A0E9E"/>
    <w:rsid w:val="006A25C7"/>
    <w:rsid w:val="006A4AAD"/>
    <w:rsid w:val="006A4CCA"/>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3DC"/>
    <w:rsid w:val="006E7D93"/>
    <w:rsid w:val="0070133D"/>
    <w:rsid w:val="007029A3"/>
    <w:rsid w:val="00706E4E"/>
    <w:rsid w:val="0070791C"/>
    <w:rsid w:val="0071383C"/>
    <w:rsid w:val="007141A7"/>
    <w:rsid w:val="00715722"/>
    <w:rsid w:val="00715BAF"/>
    <w:rsid w:val="00721032"/>
    <w:rsid w:val="00721B55"/>
    <w:rsid w:val="00726CE4"/>
    <w:rsid w:val="00734143"/>
    <w:rsid w:val="0073505E"/>
    <w:rsid w:val="00737E47"/>
    <w:rsid w:val="00740EAC"/>
    <w:rsid w:val="00744956"/>
    <w:rsid w:val="00745A5C"/>
    <w:rsid w:val="0074605F"/>
    <w:rsid w:val="00747E94"/>
    <w:rsid w:val="00754C83"/>
    <w:rsid w:val="00761E5C"/>
    <w:rsid w:val="00765DF8"/>
    <w:rsid w:val="00766749"/>
    <w:rsid w:val="00767C1B"/>
    <w:rsid w:val="00770B3F"/>
    <w:rsid w:val="007714A9"/>
    <w:rsid w:val="00772A5B"/>
    <w:rsid w:val="00774F88"/>
    <w:rsid w:val="00774FDB"/>
    <w:rsid w:val="00777BA2"/>
    <w:rsid w:val="00781408"/>
    <w:rsid w:val="00784F7F"/>
    <w:rsid w:val="007878BD"/>
    <w:rsid w:val="00793C59"/>
    <w:rsid w:val="00796F25"/>
    <w:rsid w:val="007A2E98"/>
    <w:rsid w:val="007A3BA3"/>
    <w:rsid w:val="007A6CC0"/>
    <w:rsid w:val="007A7FEC"/>
    <w:rsid w:val="007B1499"/>
    <w:rsid w:val="007B1BBF"/>
    <w:rsid w:val="007B2960"/>
    <w:rsid w:val="007B355D"/>
    <w:rsid w:val="007B6DDB"/>
    <w:rsid w:val="007B7980"/>
    <w:rsid w:val="007C0DEF"/>
    <w:rsid w:val="007C4FFC"/>
    <w:rsid w:val="007C5D5A"/>
    <w:rsid w:val="007C607F"/>
    <w:rsid w:val="007C79DD"/>
    <w:rsid w:val="007D1A97"/>
    <w:rsid w:val="007D2CD6"/>
    <w:rsid w:val="007D3063"/>
    <w:rsid w:val="007D3CEB"/>
    <w:rsid w:val="007D7DF8"/>
    <w:rsid w:val="007E7683"/>
    <w:rsid w:val="007F49FA"/>
    <w:rsid w:val="007F54C4"/>
    <w:rsid w:val="007F6E9A"/>
    <w:rsid w:val="00800CCD"/>
    <w:rsid w:val="008044D4"/>
    <w:rsid w:val="00810AB4"/>
    <w:rsid w:val="00817B56"/>
    <w:rsid w:val="00821A88"/>
    <w:rsid w:val="0082322E"/>
    <w:rsid w:val="0082495D"/>
    <w:rsid w:val="00831AC3"/>
    <w:rsid w:val="00835D6C"/>
    <w:rsid w:val="00836FCE"/>
    <w:rsid w:val="008408FF"/>
    <w:rsid w:val="00850E1F"/>
    <w:rsid w:val="00851F3F"/>
    <w:rsid w:val="00856EDC"/>
    <w:rsid w:val="008623B5"/>
    <w:rsid w:val="00862C24"/>
    <w:rsid w:val="00866AED"/>
    <w:rsid w:val="00870ABA"/>
    <w:rsid w:val="008710E1"/>
    <w:rsid w:val="0087119D"/>
    <w:rsid w:val="008716E5"/>
    <w:rsid w:val="008774BD"/>
    <w:rsid w:val="00881CA9"/>
    <w:rsid w:val="00883628"/>
    <w:rsid w:val="00885544"/>
    <w:rsid w:val="0088634E"/>
    <w:rsid w:val="00892139"/>
    <w:rsid w:val="00893AB8"/>
    <w:rsid w:val="008A04C8"/>
    <w:rsid w:val="008A6913"/>
    <w:rsid w:val="008B70F3"/>
    <w:rsid w:val="008B71C4"/>
    <w:rsid w:val="008B76DF"/>
    <w:rsid w:val="008C10F4"/>
    <w:rsid w:val="008C65F7"/>
    <w:rsid w:val="008E0428"/>
    <w:rsid w:val="008E4767"/>
    <w:rsid w:val="008E7A8C"/>
    <w:rsid w:val="00901767"/>
    <w:rsid w:val="0090203B"/>
    <w:rsid w:val="00903285"/>
    <w:rsid w:val="00906F40"/>
    <w:rsid w:val="0090731E"/>
    <w:rsid w:val="00915B1C"/>
    <w:rsid w:val="009174F3"/>
    <w:rsid w:val="0091797D"/>
    <w:rsid w:val="00923CBA"/>
    <w:rsid w:val="00926703"/>
    <w:rsid w:val="00927691"/>
    <w:rsid w:val="00927A5F"/>
    <w:rsid w:val="00930510"/>
    <w:rsid w:val="00935B63"/>
    <w:rsid w:val="00936E95"/>
    <w:rsid w:val="0094078F"/>
    <w:rsid w:val="00940FA3"/>
    <w:rsid w:val="00941FB0"/>
    <w:rsid w:val="009426D4"/>
    <w:rsid w:val="00947F25"/>
    <w:rsid w:val="00950159"/>
    <w:rsid w:val="0095490B"/>
    <w:rsid w:val="00960A33"/>
    <w:rsid w:val="00970C48"/>
    <w:rsid w:val="00971914"/>
    <w:rsid w:val="00974363"/>
    <w:rsid w:val="00981898"/>
    <w:rsid w:val="0099577C"/>
    <w:rsid w:val="00997744"/>
    <w:rsid w:val="009A021C"/>
    <w:rsid w:val="009A25CC"/>
    <w:rsid w:val="009B24A5"/>
    <w:rsid w:val="009B2601"/>
    <w:rsid w:val="009B4E9E"/>
    <w:rsid w:val="009C1690"/>
    <w:rsid w:val="009C4CD3"/>
    <w:rsid w:val="009C6881"/>
    <w:rsid w:val="009C7759"/>
    <w:rsid w:val="009D043D"/>
    <w:rsid w:val="009D07C8"/>
    <w:rsid w:val="009D19C4"/>
    <w:rsid w:val="009D4C85"/>
    <w:rsid w:val="009D6C71"/>
    <w:rsid w:val="009D794B"/>
    <w:rsid w:val="009E0631"/>
    <w:rsid w:val="009E16D0"/>
    <w:rsid w:val="009E2051"/>
    <w:rsid w:val="009E38FD"/>
    <w:rsid w:val="009F13D6"/>
    <w:rsid w:val="009F4C6B"/>
    <w:rsid w:val="009F629D"/>
    <w:rsid w:val="009F78A8"/>
    <w:rsid w:val="00A02AD6"/>
    <w:rsid w:val="00A07096"/>
    <w:rsid w:val="00A07318"/>
    <w:rsid w:val="00A11370"/>
    <w:rsid w:val="00A224CE"/>
    <w:rsid w:val="00A22522"/>
    <w:rsid w:val="00A24AFD"/>
    <w:rsid w:val="00A24F5C"/>
    <w:rsid w:val="00A26725"/>
    <w:rsid w:val="00A30055"/>
    <w:rsid w:val="00A32F96"/>
    <w:rsid w:val="00A40871"/>
    <w:rsid w:val="00A412AB"/>
    <w:rsid w:val="00A4193E"/>
    <w:rsid w:val="00A42DC0"/>
    <w:rsid w:val="00A440E0"/>
    <w:rsid w:val="00A442EF"/>
    <w:rsid w:val="00A44752"/>
    <w:rsid w:val="00A51D1A"/>
    <w:rsid w:val="00A5418D"/>
    <w:rsid w:val="00A5474E"/>
    <w:rsid w:val="00A64234"/>
    <w:rsid w:val="00A70ADF"/>
    <w:rsid w:val="00A71466"/>
    <w:rsid w:val="00A74B5E"/>
    <w:rsid w:val="00A81BED"/>
    <w:rsid w:val="00A81EC4"/>
    <w:rsid w:val="00A824E8"/>
    <w:rsid w:val="00A82661"/>
    <w:rsid w:val="00A967FD"/>
    <w:rsid w:val="00AA2DE5"/>
    <w:rsid w:val="00AA2F6B"/>
    <w:rsid w:val="00AB156C"/>
    <w:rsid w:val="00AB6814"/>
    <w:rsid w:val="00AC04BA"/>
    <w:rsid w:val="00AC0E39"/>
    <w:rsid w:val="00AD3082"/>
    <w:rsid w:val="00AD32B4"/>
    <w:rsid w:val="00AD4AD0"/>
    <w:rsid w:val="00AD5436"/>
    <w:rsid w:val="00AD60CD"/>
    <w:rsid w:val="00AD6C8C"/>
    <w:rsid w:val="00AE091D"/>
    <w:rsid w:val="00AE3B60"/>
    <w:rsid w:val="00AE53A1"/>
    <w:rsid w:val="00AE746B"/>
    <w:rsid w:val="00AF2484"/>
    <w:rsid w:val="00AF63E7"/>
    <w:rsid w:val="00AF6E17"/>
    <w:rsid w:val="00B0165D"/>
    <w:rsid w:val="00B01B60"/>
    <w:rsid w:val="00B031F3"/>
    <w:rsid w:val="00B052A4"/>
    <w:rsid w:val="00B1139E"/>
    <w:rsid w:val="00B125DE"/>
    <w:rsid w:val="00B13FDD"/>
    <w:rsid w:val="00B21934"/>
    <w:rsid w:val="00B22EB2"/>
    <w:rsid w:val="00B26038"/>
    <w:rsid w:val="00B27442"/>
    <w:rsid w:val="00B31167"/>
    <w:rsid w:val="00B329D8"/>
    <w:rsid w:val="00B32BB9"/>
    <w:rsid w:val="00B33AE1"/>
    <w:rsid w:val="00B33E36"/>
    <w:rsid w:val="00B37C38"/>
    <w:rsid w:val="00B4288C"/>
    <w:rsid w:val="00B43262"/>
    <w:rsid w:val="00B44100"/>
    <w:rsid w:val="00B46CBA"/>
    <w:rsid w:val="00B46F94"/>
    <w:rsid w:val="00B6003C"/>
    <w:rsid w:val="00B61F03"/>
    <w:rsid w:val="00B62031"/>
    <w:rsid w:val="00B626E4"/>
    <w:rsid w:val="00B72F4A"/>
    <w:rsid w:val="00B80651"/>
    <w:rsid w:val="00B83C27"/>
    <w:rsid w:val="00B84BC3"/>
    <w:rsid w:val="00B84BDD"/>
    <w:rsid w:val="00B91AFA"/>
    <w:rsid w:val="00B92812"/>
    <w:rsid w:val="00BB45A1"/>
    <w:rsid w:val="00BB6335"/>
    <w:rsid w:val="00BB7686"/>
    <w:rsid w:val="00BB7802"/>
    <w:rsid w:val="00BC23F9"/>
    <w:rsid w:val="00BC3421"/>
    <w:rsid w:val="00BC732C"/>
    <w:rsid w:val="00BD4421"/>
    <w:rsid w:val="00BE2580"/>
    <w:rsid w:val="00BE266D"/>
    <w:rsid w:val="00BE306B"/>
    <w:rsid w:val="00BE3938"/>
    <w:rsid w:val="00BE4C11"/>
    <w:rsid w:val="00BE71C0"/>
    <w:rsid w:val="00BF610C"/>
    <w:rsid w:val="00BF789B"/>
    <w:rsid w:val="00C0060B"/>
    <w:rsid w:val="00C01A6C"/>
    <w:rsid w:val="00C0277D"/>
    <w:rsid w:val="00C02F26"/>
    <w:rsid w:val="00C053A1"/>
    <w:rsid w:val="00C13A87"/>
    <w:rsid w:val="00C16198"/>
    <w:rsid w:val="00C2083D"/>
    <w:rsid w:val="00C24A53"/>
    <w:rsid w:val="00C34A05"/>
    <w:rsid w:val="00C35CCE"/>
    <w:rsid w:val="00C4032F"/>
    <w:rsid w:val="00C41F21"/>
    <w:rsid w:val="00C44047"/>
    <w:rsid w:val="00C45155"/>
    <w:rsid w:val="00C5498F"/>
    <w:rsid w:val="00C55235"/>
    <w:rsid w:val="00C64CD0"/>
    <w:rsid w:val="00C65F61"/>
    <w:rsid w:val="00C6684F"/>
    <w:rsid w:val="00C70E70"/>
    <w:rsid w:val="00C75F8D"/>
    <w:rsid w:val="00C77380"/>
    <w:rsid w:val="00C86B28"/>
    <w:rsid w:val="00C87E8A"/>
    <w:rsid w:val="00C913D6"/>
    <w:rsid w:val="00C97736"/>
    <w:rsid w:val="00CA345A"/>
    <w:rsid w:val="00CA36B5"/>
    <w:rsid w:val="00CA791E"/>
    <w:rsid w:val="00CB1E82"/>
    <w:rsid w:val="00CB45D2"/>
    <w:rsid w:val="00CB4BA8"/>
    <w:rsid w:val="00CB52D7"/>
    <w:rsid w:val="00CC5F6F"/>
    <w:rsid w:val="00CC6732"/>
    <w:rsid w:val="00CD6ACF"/>
    <w:rsid w:val="00CD7D5E"/>
    <w:rsid w:val="00CE3C96"/>
    <w:rsid w:val="00CE51A8"/>
    <w:rsid w:val="00CF0BFE"/>
    <w:rsid w:val="00CF369B"/>
    <w:rsid w:val="00D00E28"/>
    <w:rsid w:val="00D0269E"/>
    <w:rsid w:val="00D05D6C"/>
    <w:rsid w:val="00D15810"/>
    <w:rsid w:val="00D16D4E"/>
    <w:rsid w:val="00D16FE3"/>
    <w:rsid w:val="00D2249A"/>
    <w:rsid w:val="00D27F41"/>
    <w:rsid w:val="00D36441"/>
    <w:rsid w:val="00D4064E"/>
    <w:rsid w:val="00D44E9B"/>
    <w:rsid w:val="00D47AEB"/>
    <w:rsid w:val="00D50DB9"/>
    <w:rsid w:val="00D51302"/>
    <w:rsid w:val="00D52C43"/>
    <w:rsid w:val="00D61243"/>
    <w:rsid w:val="00D6507F"/>
    <w:rsid w:val="00D730BC"/>
    <w:rsid w:val="00D73912"/>
    <w:rsid w:val="00D80F1E"/>
    <w:rsid w:val="00D85226"/>
    <w:rsid w:val="00D87352"/>
    <w:rsid w:val="00D87B94"/>
    <w:rsid w:val="00D87FD4"/>
    <w:rsid w:val="00D92D49"/>
    <w:rsid w:val="00D92EC1"/>
    <w:rsid w:val="00D94D96"/>
    <w:rsid w:val="00D95A13"/>
    <w:rsid w:val="00D95B2E"/>
    <w:rsid w:val="00D96DEA"/>
    <w:rsid w:val="00DA4E41"/>
    <w:rsid w:val="00DB117A"/>
    <w:rsid w:val="00DB165B"/>
    <w:rsid w:val="00DB36BE"/>
    <w:rsid w:val="00DB5173"/>
    <w:rsid w:val="00DB7873"/>
    <w:rsid w:val="00DC187B"/>
    <w:rsid w:val="00DC1B7B"/>
    <w:rsid w:val="00DD1A43"/>
    <w:rsid w:val="00DD73C2"/>
    <w:rsid w:val="00DE0C81"/>
    <w:rsid w:val="00DE1A7A"/>
    <w:rsid w:val="00DE319B"/>
    <w:rsid w:val="00DF34FE"/>
    <w:rsid w:val="00DF56AA"/>
    <w:rsid w:val="00DF56AF"/>
    <w:rsid w:val="00DF78E7"/>
    <w:rsid w:val="00E04679"/>
    <w:rsid w:val="00E059B7"/>
    <w:rsid w:val="00E062F9"/>
    <w:rsid w:val="00E110E0"/>
    <w:rsid w:val="00E12BED"/>
    <w:rsid w:val="00E13966"/>
    <w:rsid w:val="00E15371"/>
    <w:rsid w:val="00E17430"/>
    <w:rsid w:val="00E21056"/>
    <w:rsid w:val="00E24104"/>
    <w:rsid w:val="00E302D0"/>
    <w:rsid w:val="00E35707"/>
    <w:rsid w:val="00E36AA1"/>
    <w:rsid w:val="00E41ECB"/>
    <w:rsid w:val="00E42676"/>
    <w:rsid w:val="00E54FDB"/>
    <w:rsid w:val="00E5617D"/>
    <w:rsid w:val="00E563D7"/>
    <w:rsid w:val="00E663F4"/>
    <w:rsid w:val="00E666F2"/>
    <w:rsid w:val="00E66DD4"/>
    <w:rsid w:val="00E71872"/>
    <w:rsid w:val="00E748CC"/>
    <w:rsid w:val="00E75415"/>
    <w:rsid w:val="00E7598D"/>
    <w:rsid w:val="00E775B1"/>
    <w:rsid w:val="00E810A7"/>
    <w:rsid w:val="00E8152A"/>
    <w:rsid w:val="00E86CE4"/>
    <w:rsid w:val="00E93629"/>
    <w:rsid w:val="00E93B5C"/>
    <w:rsid w:val="00E94CEC"/>
    <w:rsid w:val="00EA04EF"/>
    <w:rsid w:val="00EA6C79"/>
    <w:rsid w:val="00EA6F19"/>
    <w:rsid w:val="00EB7090"/>
    <w:rsid w:val="00EB7E04"/>
    <w:rsid w:val="00EC1BBE"/>
    <w:rsid w:val="00EC2B68"/>
    <w:rsid w:val="00EC3AEF"/>
    <w:rsid w:val="00EC5CD7"/>
    <w:rsid w:val="00ED2B27"/>
    <w:rsid w:val="00ED70F7"/>
    <w:rsid w:val="00EE1549"/>
    <w:rsid w:val="00EE5FB3"/>
    <w:rsid w:val="00EE7F79"/>
    <w:rsid w:val="00EF715A"/>
    <w:rsid w:val="00F06E14"/>
    <w:rsid w:val="00F13A8F"/>
    <w:rsid w:val="00F16914"/>
    <w:rsid w:val="00F179D4"/>
    <w:rsid w:val="00F22A23"/>
    <w:rsid w:val="00F230D2"/>
    <w:rsid w:val="00F33C56"/>
    <w:rsid w:val="00F347C7"/>
    <w:rsid w:val="00F34848"/>
    <w:rsid w:val="00F42D46"/>
    <w:rsid w:val="00F4496C"/>
    <w:rsid w:val="00F44F3A"/>
    <w:rsid w:val="00F512FB"/>
    <w:rsid w:val="00F51F10"/>
    <w:rsid w:val="00F529A5"/>
    <w:rsid w:val="00F5310D"/>
    <w:rsid w:val="00F60F00"/>
    <w:rsid w:val="00F614C0"/>
    <w:rsid w:val="00F622E0"/>
    <w:rsid w:val="00F77A32"/>
    <w:rsid w:val="00F83848"/>
    <w:rsid w:val="00F95F7D"/>
    <w:rsid w:val="00F975E9"/>
    <w:rsid w:val="00FA0300"/>
    <w:rsid w:val="00FA1B7D"/>
    <w:rsid w:val="00FB1687"/>
    <w:rsid w:val="00FB2060"/>
    <w:rsid w:val="00FC07B9"/>
    <w:rsid w:val="00FC36AF"/>
    <w:rsid w:val="00FC4E21"/>
    <w:rsid w:val="00FC5F6D"/>
    <w:rsid w:val="00FD0107"/>
    <w:rsid w:val="00FD1B93"/>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colormru v:ext="edit" colors="red,#4d4d4f"/>
    </o:shapedefaults>
    <o:shapelayout v:ext="edit">
      <o:idmap v:ext="edit" data="1"/>
    </o:shapelayout>
  </w:shapeDefaults>
  <w:decimalSymbol w:val="."/>
  <w:listSeparator w:val=","/>
  <w14:docId w14:val="790C5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9"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793C59"/>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9"/>
    <w:qFormat/>
    <w:rsid w:val="005E1DFD"/>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793C59"/>
    <w:rPr>
      <w:rFonts w:ascii="Arial" w:hAnsi="Arial" w:cs="Arial"/>
      <w:bCs/>
      <w:color w:val="323232"/>
      <w:kern w:val="32"/>
      <w:sz w:val="53"/>
      <w:szCs w:val="32"/>
    </w:rPr>
  </w:style>
  <w:style w:type="character" w:customStyle="1" w:styleId="Heading2Char">
    <w:name w:val="Heading 2 Char"/>
    <w:basedOn w:val="DefaultParagraphFont"/>
    <w:link w:val="Heading2"/>
    <w:uiPriority w:val="9"/>
    <w:rsid w:val="005E1DF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uiPriority w:val="99"/>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customStyle="1" w:styleId="ACMABodyText">
    <w:name w:val="ACMA Body Text"/>
    <w:link w:val="ACMABodyTextChar"/>
    <w:rsid w:val="00793C59"/>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793C59"/>
    <w:rPr>
      <w:snapToGrid w:val="0"/>
      <w:szCs w:val="20"/>
      <w:lang w:eastAsia="en-US"/>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rsid w:val="00793C59"/>
    <w:rPr>
      <w:rFonts w:ascii="Arial" w:hAnsi="Arial"/>
      <w:sz w:val="16"/>
      <w:szCs w:val="16"/>
    </w:rPr>
  </w:style>
  <w:style w:type="character" w:customStyle="1" w:styleId="ListBulletChar">
    <w:name w:val="List Bullet Char"/>
    <w:aliases w:val="List Bullet 1 Char"/>
    <w:basedOn w:val="DefaultParagraphFont"/>
    <w:link w:val="ListBullet"/>
    <w:rsid w:val="00793C59"/>
    <w:rPr>
      <w:rFonts w:ascii="Arial" w:hAnsi="Arial"/>
      <w:sz w:val="20"/>
    </w:rPr>
  </w:style>
  <w:style w:type="paragraph" w:customStyle="1" w:styleId="Default">
    <w:name w:val="Default"/>
    <w:rsid w:val="00793C59"/>
    <w:pPr>
      <w:autoSpaceDE w:val="0"/>
      <w:autoSpaceDN w:val="0"/>
      <w:adjustRightInd w:val="0"/>
    </w:pPr>
    <w:rPr>
      <w:rFonts w:ascii="Calibri" w:hAnsi="Calibri" w:cs="Calibri"/>
      <w:color w:val="000000"/>
    </w:rPr>
  </w:style>
  <w:style w:type="paragraph" w:customStyle="1" w:styleId="BriefSubtitle">
    <w:name w:val="Brief Subtitle"/>
    <w:basedOn w:val="Normal"/>
    <w:rsid w:val="00793C59"/>
    <w:pPr>
      <w:spacing w:before="300" w:after="30"/>
    </w:pPr>
    <w:rPr>
      <w:b/>
      <w:color w:val="4D4D4F"/>
      <w:sz w:val="21"/>
    </w:rPr>
  </w:style>
  <w:style w:type="paragraph" w:customStyle="1" w:styleId="ACMAExecSummaryHeading">
    <w:name w:val="ACMA_ExecSummaryHeading"/>
    <w:basedOn w:val="Normal"/>
    <w:qFormat/>
    <w:rsid w:val="00793C59"/>
    <w:pPr>
      <w:spacing w:after="1440" w:line="550" w:lineRule="exact"/>
    </w:pPr>
    <w:rPr>
      <w:b/>
      <w:color w:val="323232"/>
      <w:spacing w:val="-18"/>
      <w:sz w:val="53"/>
    </w:rPr>
  </w:style>
  <w:style w:type="paragraph" w:styleId="Revision">
    <w:name w:val="Revision"/>
    <w:hidden/>
    <w:semiHidden/>
    <w:rsid w:val="00892139"/>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309990652">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acma.gov.au/local-area-wireless-broadband-services" TargetMode="External"/><Relationship Id="rId39" Type="http://schemas.openxmlformats.org/officeDocument/2006/relationships/footer" Target="footer8.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www.acma.gov.au/consultations/2019-08/optimising-3400-3575-mhz-band-consultation-122019"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five-year-spectrum-outlook" TargetMode="External"/><Relationship Id="rId33" Type="http://schemas.openxmlformats.org/officeDocument/2006/relationships/hyperlink" Target="https://www.acma.gov.au/consultations/2019-09/planning-2-ghz-band-consultation-262019" TargetMode="External"/><Relationship Id="rId38"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consultations/2019-10/new-approaches-spectrum-sharing-consultation-252019"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consultations/2019-10/new-approaches-spectrum-sharing-consultation-252019" TargetMode="External"/><Relationship Id="rId32" Type="http://schemas.openxmlformats.org/officeDocument/2006/relationships/hyperlink" Target="https://www.acma.gov.au/consultations/2019-10/new-approaches-spectrum-sharing-consultation-252019" TargetMode="External"/><Relationship Id="rId37" Type="http://schemas.openxmlformats.org/officeDocument/2006/relationships/header" Target="header8.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consultations/2019-10/new-approaches-spectrum-sharing-consultation-252019" TargetMode="External"/><Relationship Id="rId36"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acma.gov.au/australian-radiofrequency-spectrum-plan"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consultations/2019-10/new-approaches-spectrum-sharing-consultation-252019" TargetMode="External"/><Relationship Id="rId30" Type="http://schemas.openxmlformats.org/officeDocument/2006/relationships/hyperlink" Target="https://www.acma.gov.au/sites/default/files/2019-11/ifc-25-2019-submissions.zip" TargetMode="External"/><Relationship Id="rId35" Type="http://schemas.openxmlformats.org/officeDocument/2006/relationships/hyperlink" Target="https://acma.gov.au/local-area-wireless-broadband-services"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ofcom.org.uk/__data/assets/pdf_file/0037/157888/local-access-licence-guidance.pdf" TargetMode="External"/><Relationship Id="rId1" Type="http://schemas.openxmlformats.org/officeDocument/2006/relationships/hyperlink" Target="https://www.gsma.com/spectrum/wp-content/uploads/2019/09/5G-Spectrum-Position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DCDD8A-6F24-4A0A-AACD-96A7737510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5772</Words>
  <Characters>32907</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38602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2020-05-22T06:05:00Z</dcterms:created>
  <dcterms:modified xsi:type="dcterms:W3CDTF">2020-05-25T05:23:00Z</dcterms:modified>
  <cp:category/>
</cp:coreProperties>
</file>