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890812" w14:textId="7ED2EC6C" w:rsidR="00F06E14" w:rsidRPr="00A51D1A" w:rsidRDefault="00747672" w:rsidP="00A51D1A">
      <w:pPr>
        <w:pStyle w:val="Reporttitle"/>
      </w:pPr>
      <w:r>
        <w:t>Impacts of the 2019</w:t>
      </w:r>
      <w:r w:rsidR="006846DD">
        <w:t>–</w:t>
      </w:r>
      <w:r>
        <w:t>20 bushfires on the telecommunications network</w:t>
      </w:r>
    </w:p>
    <w:p w14:paraId="2807732E" w14:textId="37C8D228" w:rsidR="00F06E14" w:rsidRDefault="00BD4421" w:rsidP="00F06E14">
      <w:pPr>
        <w:pStyle w:val="Reportsubtitle"/>
      </w:pPr>
      <w:r>
        <w:t xml:space="preserve">Report </w:t>
      </w:r>
      <w:r w:rsidR="00747672">
        <w:t xml:space="preserve">for the Minister </w:t>
      </w:r>
      <w:r w:rsidR="002C6FBD">
        <w:t xml:space="preserve">for </w:t>
      </w:r>
      <w:r w:rsidR="00747672">
        <w:t>Communications</w:t>
      </w:r>
      <w:r w:rsidR="00C05F6F">
        <w:t>, Cyber Safety and the Arts</w:t>
      </w:r>
    </w:p>
    <w:p w14:paraId="40DA80FB" w14:textId="6A84DA8C" w:rsidR="00C97736" w:rsidRPr="000D76E0" w:rsidRDefault="0046364B" w:rsidP="00EC2B68">
      <w:pPr>
        <w:pStyle w:val="Reportdate"/>
        <w:spacing w:after="720"/>
        <w:rPr>
          <w:rFonts w:cs="Arial"/>
        </w:rPr>
        <w:sectPr w:rsidR="00C97736" w:rsidRPr="000D76E0" w:rsidSect="005E250B">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 xml:space="preserve">APRIL </w:t>
      </w:r>
      <w:r w:rsidR="00BD4421">
        <w:t>20</w:t>
      </w:r>
      <w:r w:rsidR="000971BD">
        <w:t>20</w:t>
      </w:r>
    </w:p>
    <w:p w14:paraId="1992EBC9" w14:textId="77777777" w:rsidR="0005011A" w:rsidRPr="00F44F3A" w:rsidRDefault="0005011A" w:rsidP="00FC07B9">
      <w:pPr>
        <w:pStyle w:val="ACMACorporateAddressHeader"/>
      </w:pPr>
      <w:r w:rsidRPr="00F44F3A">
        <w:lastRenderedPageBreak/>
        <w:t>Canberra</w:t>
      </w:r>
    </w:p>
    <w:p w14:paraId="346C464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8CFE2FC" w14:textId="77777777" w:rsidR="0005011A" w:rsidRPr="00FC07B9" w:rsidRDefault="0005011A" w:rsidP="00FC07B9">
      <w:pPr>
        <w:pStyle w:val="ACMACorporateAddresses"/>
      </w:pPr>
      <w:r w:rsidRPr="00FC07B9">
        <w:t>PO Box 78</w:t>
      </w:r>
      <w:r w:rsidRPr="00FC07B9">
        <w:br/>
        <w:t>Belconnen ACT 2616</w:t>
      </w:r>
    </w:p>
    <w:p w14:paraId="1A43C04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435333F" w14:textId="77777777" w:rsidR="0005011A" w:rsidRPr="00F44F3A" w:rsidRDefault="0005011A" w:rsidP="00FC07B9">
      <w:pPr>
        <w:pStyle w:val="ACMACorporateAddressHeader"/>
      </w:pPr>
      <w:r w:rsidRPr="00F44F3A">
        <w:t>Melbourne</w:t>
      </w:r>
    </w:p>
    <w:p w14:paraId="77FBD99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3D770A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B09F882"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88F6965" w14:textId="77777777" w:rsidR="0005011A" w:rsidRPr="00F44F3A" w:rsidRDefault="0005011A" w:rsidP="00FC07B9">
      <w:pPr>
        <w:pStyle w:val="ACMACorporateAddressHeader"/>
      </w:pPr>
      <w:r w:rsidRPr="00F44F3A">
        <w:t>Sydney</w:t>
      </w:r>
    </w:p>
    <w:p w14:paraId="10CB1D3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B2B7794"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D974B0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024F780" w14:textId="77777777" w:rsidR="00140318" w:rsidRPr="006D46E5" w:rsidRDefault="00140318" w:rsidP="00FC07B9">
      <w:pPr>
        <w:pStyle w:val="ACMACopyrightHeader"/>
      </w:pPr>
      <w:r w:rsidRPr="00140318">
        <w:t>Copyright notice</w:t>
      </w:r>
    </w:p>
    <w:p w14:paraId="45379B54" w14:textId="77777777" w:rsidR="00140318" w:rsidRPr="006D46E5" w:rsidRDefault="00623FF9" w:rsidP="00623FF9">
      <w:pPr>
        <w:pStyle w:val="ACMACClogo"/>
      </w:pPr>
      <w:r w:rsidRPr="00623FF9">
        <w:rPr>
          <w:noProof/>
        </w:rPr>
        <w:drawing>
          <wp:inline distT="0" distB="0" distL="0" distR="0" wp14:anchorId="0BCC1A96" wp14:editId="3024A6A3">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014EB757" w14:textId="77777777" w:rsidR="00AA2DE5" w:rsidRDefault="00736FD8" w:rsidP="00AA2DE5">
      <w:pPr>
        <w:pStyle w:val="ACMACorporateAddresses"/>
        <w:rPr>
          <w:rStyle w:val="Hyperlink"/>
        </w:rPr>
      </w:pPr>
      <w:hyperlink r:id="rId16" w:history="1">
        <w:r w:rsidR="00AA2DE5">
          <w:rPr>
            <w:rStyle w:val="Hyperlink"/>
          </w:rPr>
          <w:t>https://creativecommons.org/licenses/by/4.0/</w:t>
        </w:r>
      </w:hyperlink>
    </w:p>
    <w:p w14:paraId="43DC4592"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465B805"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7D519624" w14:textId="77777777" w:rsidR="00AA2DE5" w:rsidRDefault="00AA2DE5" w:rsidP="00AA2DE5">
      <w:pPr>
        <w:pStyle w:val="ACMACorporateAddresses"/>
      </w:pPr>
      <w:r>
        <w:t>All other rights are reserved.</w:t>
      </w:r>
    </w:p>
    <w:p w14:paraId="3DF9ECD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801025A" w14:textId="77777777" w:rsidR="00AA2DE5" w:rsidRDefault="00AA2DE5" w:rsidP="00AA2DE5">
      <w:pPr>
        <w:pStyle w:val="ACMACorporateAddresses"/>
      </w:pPr>
      <w:r>
        <w:t>Written enquiries may be sent to:</w:t>
      </w:r>
    </w:p>
    <w:p w14:paraId="19C3FA49"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7" w:history="1">
        <w:r>
          <w:rPr>
            <w:rStyle w:val="Hyperlink"/>
          </w:rPr>
          <w:t>info@acma.gov.au</w:t>
        </w:r>
      </w:hyperlink>
    </w:p>
    <w:p w14:paraId="0E656FDB" w14:textId="77777777" w:rsidR="00D16FE3" w:rsidRDefault="00D16FE3" w:rsidP="00D16FE3">
      <w:pPr>
        <w:pStyle w:val="ACMACorporateAddresses"/>
        <w:rPr>
          <w:rStyle w:val="Hyperlink"/>
        </w:rPr>
      </w:pPr>
    </w:p>
    <w:p w14:paraId="6480D3E9"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14EC621C" w14:textId="091CBB09" w:rsidR="002E416B"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2E416B">
        <w:t>Executive summary</w:t>
      </w:r>
      <w:r w:rsidR="002E416B">
        <w:tab/>
      </w:r>
      <w:r w:rsidR="002E416B">
        <w:fldChar w:fldCharType="begin"/>
      </w:r>
      <w:r w:rsidR="002E416B">
        <w:instrText xml:space="preserve"> PAGEREF _Toc37080599 \h </w:instrText>
      </w:r>
      <w:r w:rsidR="002E416B">
        <w:fldChar w:fldCharType="separate"/>
      </w:r>
      <w:r w:rsidR="002E416B">
        <w:t>1</w:t>
      </w:r>
      <w:r w:rsidR="002E416B">
        <w:fldChar w:fldCharType="end"/>
      </w:r>
    </w:p>
    <w:p w14:paraId="4B7C7CA6" w14:textId="2FFE5261" w:rsidR="002E416B" w:rsidRDefault="002E416B">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_Toc37080600 \h </w:instrText>
      </w:r>
      <w:r>
        <w:fldChar w:fldCharType="separate"/>
      </w:r>
      <w:r>
        <w:t>2</w:t>
      </w:r>
      <w:r>
        <w:fldChar w:fldCharType="end"/>
      </w:r>
    </w:p>
    <w:p w14:paraId="01C6DA27" w14:textId="36F58830" w:rsidR="002E416B" w:rsidRDefault="002E416B">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_Toc37080601 \h </w:instrText>
      </w:r>
      <w:r>
        <w:fldChar w:fldCharType="separate"/>
      </w:r>
      <w:r>
        <w:t>2</w:t>
      </w:r>
      <w:r>
        <w:fldChar w:fldCharType="end"/>
      </w:r>
    </w:p>
    <w:p w14:paraId="44ABC895" w14:textId="2EE97A9F" w:rsidR="002E416B" w:rsidRDefault="002E416B">
      <w:pPr>
        <w:pStyle w:val="TOC2"/>
        <w:rPr>
          <w:rFonts w:asciiTheme="minorHAnsi" w:eastAsiaTheme="minorEastAsia" w:hAnsiTheme="minorHAnsi" w:cstheme="minorBidi"/>
          <w:spacing w:val="0"/>
          <w:sz w:val="22"/>
          <w:szCs w:val="22"/>
        </w:rPr>
      </w:pPr>
      <w:r>
        <w:t>Purpose of the report</w:t>
      </w:r>
      <w:r>
        <w:tab/>
      </w:r>
      <w:r>
        <w:fldChar w:fldCharType="begin"/>
      </w:r>
      <w:r>
        <w:instrText xml:space="preserve"> PAGEREF _Toc37080602 \h </w:instrText>
      </w:r>
      <w:r>
        <w:fldChar w:fldCharType="separate"/>
      </w:r>
      <w:r>
        <w:t>2</w:t>
      </w:r>
      <w:r>
        <w:fldChar w:fldCharType="end"/>
      </w:r>
    </w:p>
    <w:p w14:paraId="0D3AE1BD" w14:textId="3842569E" w:rsidR="002E416B" w:rsidRDefault="002E416B">
      <w:pPr>
        <w:pStyle w:val="TOC2"/>
        <w:rPr>
          <w:rFonts w:asciiTheme="minorHAnsi" w:eastAsiaTheme="minorEastAsia" w:hAnsiTheme="minorHAnsi" w:cstheme="minorBidi"/>
          <w:spacing w:val="0"/>
          <w:sz w:val="22"/>
          <w:szCs w:val="22"/>
        </w:rPr>
      </w:pPr>
      <w:r>
        <w:t>Scope</w:t>
      </w:r>
      <w:r>
        <w:tab/>
      </w:r>
      <w:r>
        <w:tab/>
      </w:r>
      <w:r>
        <w:fldChar w:fldCharType="begin"/>
      </w:r>
      <w:r>
        <w:instrText xml:space="preserve"> PAGEREF _Toc37080603 \h </w:instrText>
      </w:r>
      <w:r>
        <w:fldChar w:fldCharType="separate"/>
      </w:r>
      <w:r>
        <w:t>2</w:t>
      </w:r>
      <w:r>
        <w:fldChar w:fldCharType="end"/>
      </w:r>
    </w:p>
    <w:p w14:paraId="26F2BF77" w14:textId="5A7C2C13" w:rsidR="002E416B" w:rsidRDefault="002E416B">
      <w:pPr>
        <w:pStyle w:val="TOC2"/>
        <w:rPr>
          <w:rFonts w:asciiTheme="minorHAnsi" w:eastAsiaTheme="minorEastAsia" w:hAnsiTheme="minorHAnsi" w:cstheme="minorBidi"/>
          <w:spacing w:val="0"/>
          <w:sz w:val="22"/>
          <w:szCs w:val="22"/>
        </w:rPr>
      </w:pPr>
      <w:r>
        <w:t>Bushfire overview</w:t>
      </w:r>
      <w:r>
        <w:tab/>
      </w:r>
      <w:r>
        <w:fldChar w:fldCharType="begin"/>
      </w:r>
      <w:r>
        <w:instrText xml:space="preserve"> PAGEREF _Toc37080604 \h </w:instrText>
      </w:r>
      <w:r>
        <w:fldChar w:fldCharType="separate"/>
      </w:r>
      <w:r>
        <w:t>2</w:t>
      </w:r>
      <w:r>
        <w:fldChar w:fldCharType="end"/>
      </w:r>
    </w:p>
    <w:p w14:paraId="49A80DB9" w14:textId="7951519C" w:rsidR="002E416B" w:rsidRDefault="002E416B">
      <w:pPr>
        <w:pStyle w:val="TOC2"/>
        <w:rPr>
          <w:rFonts w:asciiTheme="minorHAnsi" w:eastAsiaTheme="minorEastAsia" w:hAnsiTheme="minorHAnsi" w:cstheme="minorBidi"/>
          <w:spacing w:val="0"/>
          <w:sz w:val="22"/>
          <w:szCs w:val="22"/>
        </w:rPr>
      </w:pPr>
      <w:r>
        <w:t>Carrier information</w:t>
      </w:r>
      <w:r>
        <w:tab/>
      </w:r>
      <w:r>
        <w:fldChar w:fldCharType="begin"/>
      </w:r>
      <w:r>
        <w:instrText xml:space="preserve"> PAGEREF _Toc37080605 \h </w:instrText>
      </w:r>
      <w:r>
        <w:fldChar w:fldCharType="separate"/>
      </w:r>
      <w:r>
        <w:t>3</w:t>
      </w:r>
      <w:r>
        <w:fldChar w:fldCharType="end"/>
      </w:r>
    </w:p>
    <w:p w14:paraId="4F2355B6" w14:textId="5903764D" w:rsidR="002E416B" w:rsidRDefault="002E416B">
      <w:pPr>
        <w:pStyle w:val="TOC1"/>
        <w:rPr>
          <w:rFonts w:asciiTheme="minorHAnsi" w:eastAsiaTheme="minorEastAsia" w:hAnsiTheme="minorHAnsi" w:cstheme="minorBidi"/>
          <w:b w:val="0"/>
          <w:spacing w:val="0"/>
          <w:sz w:val="22"/>
          <w:szCs w:val="22"/>
        </w:rPr>
      </w:pPr>
      <w:r>
        <w:t>Overview</w:t>
      </w:r>
      <w:r>
        <w:tab/>
      </w:r>
      <w:r>
        <w:fldChar w:fldCharType="begin"/>
      </w:r>
      <w:r>
        <w:instrText xml:space="preserve"> PAGEREF _Toc37080606 \h </w:instrText>
      </w:r>
      <w:r>
        <w:fldChar w:fldCharType="separate"/>
      </w:r>
      <w:r>
        <w:t>4</w:t>
      </w:r>
      <w:r>
        <w:fldChar w:fldCharType="end"/>
      </w:r>
    </w:p>
    <w:p w14:paraId="199C095A" w14:textId="2579939A" w:rsidR="002E416B" w:rsidRDefault="002E416B">
      <w:pPr>
        <w:pStyle w:val="TOC2"/>
        <w:rPr>
          <w:rFonts w:asciiTheme="minorHAnsi" w:eastAsiaTheme="minorEastAsia" w:hAnsiTheme="minorHAnsi" w:cstheme="minorBidi"/>
          <w:spacing w:val="0"/>
          <w:sz w:val="22"/>
          <w:szCs w:val="22"/>
        </w:rPr>
      </w:pPr>
      <w:r>
        <w:t>Impacts to cables</w:t>
      </w:r>
      <w:r>
        <w:tab/>
      </w:r>
      <w:r>
        <w:fldChar w:fldCharType="begin"/>
      </w:r>
      <w:r>
        <w:instrText xml:space="preserve"> PAGEREF _Toc37080607 \h </w:instrText>
      </w:r>
      <w:r>
        <w:fldChar w:fldCharType="separate"/>
      </w:r>
      <w:r>
        <w:t>4</w:t>
      </w:r>
      <w:r>
        <w:fldChar w:fldCharType="end"/>
      </w:r>
    </w:p>
    <w:p w14:paraId="121F7A32" w14:textId="004CCAAE" w:rsidR="002E416B" w:rsidRDefault="002E416B">
      <w:pPr>
        <w:pStyle w:val="TOC2"/>
        <w:rPr>
          <w:rFonts w:asciiTheme="minorHAnsi" w:eastAsiaTheme="minorEastAsia" w:hAnsiTheme="minorHAnsi" w:cstheme="minorBidi"/>
          <w:spacing w:val="0"/>
          <w:sz w:val="22"/>
          <w:szCs w:val="22"/>
        </w:rPr>
      </w:pPr>
      <w:r>
        <w:t>Facilities which experienced outages of less than four hours</w:t>
      </w:r>
      <w:r>
        <w:tab/>
      </w:r>
      <w:r>
        <w:fldChar w:fldCharType="begin"/>
      </w:r>
      <w:r>
        <w:instrText xml:space="preserve"> PAGEREF _Toc37080608 \h </w:instrText>
      </w:r>
      <w:r>
        <w:fldChar w:fldCharType="separate"/>
      </w:r>
      <w:r>
        <w:t>5</w:t>
      </w:r>
      <w:r>
        <w:fldChar w:fldCharType="end"/>
      </w:r>
    </w:p>
    <w:p w14:paraId="5C9F81FD" w14:textId="4B93C351" w:rsidR="002E416B" w:rsidRDefault="002E416B">
      <w:pPr>
        <w:pStyle w:val="TOC2"/>
        <w:rPr>
          <w:rFonts w:asciiTheme="minorHAnsi" w:eastAsiaTheme="minorEastAsia" w:hAnsiTheme="minorHAnsi" w:cstheme="minorBidi"/>
          <w:spacing w:val="0"/>
          <w:sz w:val="22"/>
          <w:szCs w:val="22"/>
        </w:rPr>
      </w:pPr>
      <w:r>
        <w:t>Facilities which experienced outages of four hours or more</w:t>
      </w:r>
      <w:r>
        <w:tab/>
      </w:r>
      <w:r>
        <w:fldChar w:fldCharType="begin"/>
      </w:r>
      <w:r>
        <w:instrText xml:space="preserve"> PAGEREF _Toc37080609 \h </w:instrText>
      </w:r>
      <w:r>
        <w:fldChar w:fldCharType="separate"/>
      </w:r>
      <w:r>
        <w:t>5</w:t>
      </w:r>
      <w:r>
        <w:fldChar w:fldCharType="end"/>
      </w:r>
    </w:p>
    <w:p w14:paraId="6E4ABF18" w14:textId="7CC2C1A8" w:rsidR="002E416B" w:rsidRDefault="002E416B">
      <w:pPr>
        <w:pStyle w:val="TOC1"/>
        <w:rPr>
          <w:rFonts w:asciiTheme="minorHAnsi" w:eastAsiaTheme="minorEastAsia" w:hAnsiTheme="minorHAnsi" w:cstheme="minorBidi"/>
          <w:b w:val="0"/>
          <w:spacing w:val="0"/>
          <w:sz w:val="22"/>
          <w:szCs w:val="22"/>
        </w:rPr>
      </w:pPr>
      <w:r>
        <w:t>Number of outages</w:t>
      </w:r>
      <w:r>
        <w:tab/>
      </w:r>
      <w:r>
        <w:fldChar w:fldCharType="begin"/>
      </w:r>
      <w:r>
        <w:instrText xml:space="preserve"> PAGEREF _Toc37080610 \h </w:instrText>
      </w:r>
      <w:r>
        <w:fldChar w:fldCharType="separate"/>
      </w:r>
      <w:r>
        <w:t>6</w:t>
      </w:r>
      <w:r>
        <w:fldChar w:fldCharType="end"/>
      </w:r>
    </w:p>
    <w:p w14:paraId="4491E30B" w14:textId="51FF8125" w:rsidR="002E416B" w:rsidRDefault="002E416B">
      <w:pPr>
        <w:pStyle w:val="TOC2"/>
        <w:rPr>
          <w:rFonts w:asciiTheme="minorHAnsi" w:eastAsiaTheme="minorEastAsia" w:hAnsiTheme="minorHAnsi" w:cstheme="minorBidi"/>
          <w:spacing w:val="0"/>
          <w:sz w:val="22"/>
          <w:szCs w:val="22"/>
        </w:rPr>
      </w:pPr>
      <w:r>
        <w:t>By location and network type</w:t>
      </w:r>
      <w:r>
        <w:tab/>
      </w:r>
      <w:r>
        <w:fldChar w:fldCharType="begin"/>
      </w:r>
      <w:r>
        <w:instrText xml:space="preserve"> PAGEREF _Toc37080611 \h </w:instrText>
      </w:r>
      <w:r>
        <w:fldChar w:fldCharType="separate"/>
      </w:r>
      <w:r>
        <w:t>6</w:t>
      </w:r>
      <w:r>
        <w:fldChar w:fldCharType="end"/>
      </w:r>
    </w:p>
    <w:p w14:paraId="2BC0096B" w14:textId="14990782" w:rsidR="002E416B" w:rsidRDefault="002E416B">
      <w:pPr>
        <w:pStyle w:val="TOC2"/>
        <w:rPr>
          <w:rFonts w:asciiTheme="minorHAnsi" w:eastAsiaTheme="minorEastAsia" w:hAnsiTheme="minorHAnsi" w:cstheme="minorBidi"/>
          <w:spacing w:val="0"/>
          <w:sz w:val="22"/>
          <w:szCs w:val="22"/>
        </w:rPr>
      </w:pPr>
      <w:r>
        <w:t>By state and network type</w:t>
      </w:r>
      <w:r>
        <w:tab/>
      </w:r>
      <w:r>
        <w:fldChar w:fldCharType="begin"/>
      </w:r>
      <w:r>
        <w:instrText xml:space="preserve"> PAGEREF _Toc37080612 \h </w:instrText>
      </w:r>
      <w:r>
        <w:fldChar w:fldCharType="separate"/>
      </w:r>
      <w:r>
        <w:t>6</w:t>
      </w:r>
      <w:r>
        <w:fldChar w:fldCharType="end"/>
      </w:r>
    </w:p>
    <w:p w14:paraId="01362158" w14:textId="15722C87" w:rsidR="002E416B" w:rsidRDefault="002E416B">
      <w:pPr>
        <w:pStyle w:val="TOC2"/>
        <w:rPr>
          <w:rFonts w:asciiTheme="minorHAnsi" w:eastAsiaTheme="minorEastAsia" w:hAnsiTheme="minorHAnsi" w:cstheme="minorBidi"/>
          <w:spacing w:val="0"/>
          <w:sz w:val="22"/>
          <w:szCs w:val="22"/>
        </w:rPr>
      </w:pPr>
      <w:r>
        <w:t>By root cause</w:t>
      </w:r>
      <w:r>
        <w:tab/>
      </w:r>
      <w:r>
        <w:fldChar w:fldCharType="begin"/>
      </w:r>
      <w:r>
        <w:instrText xml:space="preserve"> PAGEREF _Toc37080613 \h </w:instrText>
      </w:r>
      <w:r>
        <w:fldChar w:fldCharType="separate"/>
      </w:r>
      <w:r>
        <w:t>7</w:t>
      </w:r>
      <w:r>
        <w:fldChar w:fldCharType="end"/>
      </w:r>
    </w:p>
    <w:p w14:paraId="14A9EDC9" w14:textId="0BE4D5D2" w:rsidR="002E416B" w:rsidRDefault="002E416B">
      <w:pPr>
        <w:pStyle w:val="TOC2"/>
        <w:rPr>
          <w:rFonts w:asciiTheme="minorHAnsi" w:eastAsiaTheme="minorEastAsia" w:hAnsiTheme="minorHAnsi" w:cstheme="minorBidi"/>
          <w:spacing w:val="0"/>
          <w:sz w:val="22"/>
          <w:szCs w:val="22"/>
        </w:rPr>
      </w:pPr>
      <w:r>
        <w:t>By root cause and facility type</w:t>
      </w:r>
      <w:r>
        <w:tab/>
      </w:r>
      <w:r>
        <w:fldChar w:fldCharType="begin"/>
      </w:r>
      <w:r>
        <w:instrText xml:space="preserve"> PAGEREF _Toc37080614 \h </w:instrText>
      </w:r>
      <w:r>
        <w:fldChar w:fldCharType="separate"/>
      </w:r>
      <w:r>
        <w:t>8</w:t>
      </w:r>
      <w:r>
        <w:fldChar w:fldCharType="end"/>
      </w:r>
    </w:p>
    <w:p w14:paraId="5613F011" w14:textId="5DAF754C" w:rsidR="002E416B" w:rsidRDefault="002E416B">
      <w:pPr>
        <w:pStyle w:val="TOC2"/>
        <w:rPr>
          <w:rFonts w:asciiTheme="minorHAnsi" w:eastAsiaTheme="minorEastAsia" w:hAnsiTheme="minorHAnsi" w:cstheme="minorBidi"/>
          <w:spacing w:val="0"/>
          <w:sz w:val="22"/>
          <w:szCs w:val="22"/>
        </w:rPr>
      </w:pPr>
      <w:r w:rsidRPr="00D859E6">
        <w:rPr>
          <w:rFonts w:eastAsiaTheme="majorEastAsia"/>
        </w:rPr>
        <w:t>Peak period</w:t>
      </w:r>
      <w:r>
        <w:tab/>
      </w:r>
      <w:r>
        <w:fldChar w:fldCharType="begin"/>
      </w:r>
      <w:r>
        <w:instrText xml:space="preserve"> PAGEREF _Toc37080615 \h </w:instrText>
      </w:r>
      <w:r>
        <w:fldChar w:fldCharType="separate"/>
      </w:r>
      <w:r>
        <w:t>9</w:t>
      </w:r>
      <w:r>
        <w:fldChar w:fldCharType="end"/>
      </w:r>
    </w:p>
    <w:p w14:paraId="55ED9C6C" w14:textId="5BFE47C7" w:rsidR="002E416B" w:rsidRDefault="002E416B">
      <w:pPr>
        <w:pStyle w:val="TOC2"/>
        <w:rPr>
          <w:rFonts w:asciiTheme="minorHAnsi" w:eastAsiaTheme="minorEastAsia" w:hAnsiTheme="minorHAnsi" w:cstheme="minorBidi"/>
          <w:spacing w:val="0"/>
          <w:sz w:val="22"/>
          <w:szCs w:val="22"/>
        </w:rPr>
      </w:pPr>
      <w:r>
        <w:t>Length of outages</w:t>
      </w:r>
      <w:r>
        <w:tab/>
      </w:r>
      <w:r>
        <w:fldChar w:fldCharType="begin"/>
      </w:r>
      <w:r>
        <w:instrText xml:space="preserve"> PAGEREF _Toc37080616 \h </w:instrText>
      </w:r>
      <w:r>
        <w:fldChar w:fldCharType="separate"/>
      </w:r>
      <w:r>
        <w:t>10</w:t>
      </w:r>
      <w:r>
        <w:fldChar w:fldCharType="end"/>
      </w:r>
    </w:p>
    <w:p w14:paraId="1796AE1C" w14:textId="133C8D96" w:rsidR="002E416B" w:rsidRDefault="002E416B">
      <w:pPr>
        <w:pStyle w:val="TOC2"/>
        <w:rPr>
          <w:rFonts w:asciiTheme="minorHAnsi" w:eastAsiaTheme="minorEastAsia" w:hAnsiTheme="minorHAnsi" w:cstheme="minorBidi"/>
          <w:spacing w:val="0"/>
          <w:sz w:val="22"/>
          <w:szCs w:val="22"/>
        </w:rPr>
      </w:pPr>
      <w:r>
        <w:t>Observations about outages</w:t>
      </w:r>
      <w:r>
        <w:tab/>
      </w:r>
      <w:r>
        <w:fldChar w:fldCharType="begin"/>
      </w:r>
      <w:r>
        <w:instrText xml:space="preserve"> PAGEREF _Toc37080617 \h </w:instrText>
      </w:r>
      <w:r>
        <w:fldChar w:fldCharType="separate"/>
      </w:r>
      <w:r>
        <w:t>11</w:t>
      </w:r>
      <w:r>
        <w:fldChar w:fldCharType="end"/>
      </w:r>
    </w:p>
    <w:p w14:paraId="0AA2179B" w14:textId="73BAD98A" w:rsidR="002E416B" w:rsidRDefault="002E416B">
      <w:pPr>
        <w:pStyle w:val="TOC1"/>
        <w:rPr>
          <w:rFonts w:asciiTheme="minorHAnsi" w:eastAsiaTheme="minorEastAsia" w:hAnsiTheme="minorHAnsi" w:cstheme="minorBidi"/>
          <w:b w:val="0"/>
          <w:spacing w:val="0"/>
          <w:sz w:val="22"/>
          <w:szCs w:val="22"/>
        </w:rPr>
      </w:pPr>
      <w:r>
        <w:t>Restoration actions</w:t>
      </w:r>
      <w:r>
        <w:tab/>
      </w:r>
      <w:r>
        <w:fldChar w:fldCharType="begin"/>
      </w:r>
      <w:r>
        <w:instrText xml:space="preserve"> PAGEREF _Toc37080618 \h </w:instrText>
      </w:r>
      <w:r>
        <w:fldChar w:fldCharType="separate"/>
      </w:r>
      <w:r>
        <w:t>12</w:t>
      </w:r>
      <w:r>
        <w:fldChar w:fldCharType="end"/>
      </w:r>
    </w:p>
    <w:p w14:paraId="077047F7" w14:textId="21627FFC" w:rsidR="002E416B" w:rsidRDefault="002E416B">
      <w:pPr>
        <w:pStyle w:val="TOC2"/>
        <w:rPr>
          <w:rFonts w:asciiTheme="minorHAnsi" w:eastAsiaTheme="minorEastAsia" w:hAnsiTheme="minorHAnsi" w:cstheme="minorBidi"/>
          <w:spacing w:val="0"/>
          <w:sz w:val="22"/>
          <w:szCs w:val="22"/>
        </w:rPr>
      </w:pPr>
      <w:r>
        <w:t>Temporary restoration actions</w:t>
      </w:r>
      <w:r>
        <w:tab/>
      </w:r>
      <w:r>
        <w:fldChar w:fldCharType="begin"/>
      </w:r>
      <w:r>
        <w:instrText xml:space="preserve"> PAGEREF _Toc37080619 \h </w:instrText>
      </w:r>
      <w:r>
        <w:fldChar w:fldCharType="separate"/>
      </w:r>
      <w:r>
        <w:t>12</w:t>
      </w:r>
      <w:r>
        <w:fldChar w:fldCharType="end"/>
      </w:r>
    </w:p>
    <w:p w14:paraId="79857A1C" w14:textId="360FEE29" w:rsidR="002E416B" w:rsidRDefault="002E416B">
      <w:pPr>
        <w:pStyle w:val="TOC3"/>
        <w:rPr>
          <w:rFonts w:asciiTheme="minorHAnsi" w:eastAsiaTheme="minorEastAsia" w:hAnsiTheme="minorHAnsi" w:cstheme="minorBidi"/>
        </w:rPr>
      </w:pPr>
      <w:r>
        <w:t>By number of outages and facility type</w:t>
      </w:r>
      <w:r>
        <w:tab/>
      </w:r>
      <w:r>
        <w:fldChar w:fldCharType="begin"/>
      </w:r>
      <w:r>
        <w:instrText xml:space="preserve"> PAGEREF _Toc37080620 \h </w:instrText>
      </w:r>
      <w:r>
        <w:fldChar w:fldCharType="separate"/>
      </w:r>
      <w:r>
        <w:t>12</w:t>
      </w:r>
      <w:r>
        <w:fldChar w:fldCharType="end"/>
      </w:r>
    </w:p>
    <w:p w14:paraId="10AA8AE5" w14:textId="6CCBA23E" w:rsidR="002E416B" w:rsidRDefault="002E416B">
      <w:pPr>
        <w:pStyle w:val="TOC3"/>
        <w:rPr>
          <w:rFonts w:asciiTheme="minorHAnsi" w:eastAsiaTheme="minorEastAsia" w:hAnsiTheme="minorHAnsi" w:cstheme="minorBidi"/>
        </w:rPr>
      </w:pPr>
      <w:r>
        <w:t>By facility type</w:t>
      </w:r>
      <w:r>
        <w:tab/>
      </w:r>
      <w:r>
        <w:fldChar w:fldCharType="begin"/>
      </w:r>
      <w:r>
        <w:instrText xml:space="preserve"> PAGEREF _Toc37080621 \h </w:instrText>
      </w:r>
      <w:r>
        <w:fldChar w:fldCharType="separate"/>
      </w:r>
      <w:r>
        <w:t>12</w:t>
      </w:r>
      <w:r>
        <w:fldChar w:fldCharType="end"/>
      </w:r>
    </w:p>
    <w:p w14:paraId="799F3D71" w14:textId="0B606892" w:rsidR="002E416B" w:rsidRDefault="002E416B">
      <w:pPr>
        <w:pStyle w:val="TOC2"/>
        <w:rPr>
          <w:rFonts w:asciiTheme="minorHAnsi" w:eastAsiaTheme="minorEastAsia" w:hAnsiTheme="minorHAnsi" w:cstheme="minorBidi"/>
          <w:spacing w:val="0"/>
          <w:sz w:val="22"/>
          <w:szCs w:val="22"/>
        </w:rPr>
      </w:pPr>
      <w:r>
        <w:t>Permanent restoration actions</w:t>
      </w:r>
      <w:r>
        <w:tab/>
      </w:r>
      <w:r>
        <w:fldChar w:fldCharType="begin"/>
      </w:r>
      <w:r>
        <w:instrText xml:space="preserve"> PAGEREF _Toc37080622 \h </w:instrText>
      </w:r>
      <w:r>
        <w:fldChar w:fldCharType="separate"/>
      </w:r>
      <w:r>
        <w:t>13</w:t>
      </w:r>
      <w:r>
        <w:fldChar w:fldCharType="end"/>
      </w:r>
    </w:p>
    <w:p w14:paraId="6D05187A" w14:textId="293BEA62" w:rsidR="002E416B" w:rsidRDefault="002E416B">
      <w:pPr>
        <w:pStyle w:val="TOC3"/>
        <w:rPr>
          <w:rFonts w:asciiTheme="minorHAnsi" w:eastAsiaTheme="minorEastAsia" w:hAnsiTheme="minorHAnsi" w:cstheme="minorBidi"/>
        </w:rPr>
      </w:pPr>
      <w:r>
        <w:t>By outage incidents and network type</w:t>
      </w:r>
      <w:r>
        <w:tab/>
      </w:r>
      <w:r>
        <w:fldChar w:fldCharType="begin"/>
      </w:r>
      <w:r>
        <w:instrText xml:space="preserve"> PAGEREF _Toc37080623 \h </w:instrText>
      </w:r>
      <w:r>
        <w:fldChar w:fldCharType="separate"/>
      </w:r>
      <w:r>
        <w:t>13</w:t>
      </w:r>
      <w:r>
        <w:fldChar w:fldCharType="end"/>
      </w:r>
    </w:p>
    <w:p w14:paraId="7788E70B" w14:textId="402E45FF" w:rsidR="002E416B" w:rsidRDefault="002E416B">
      <w:pPr>
        <w:pStyle w:val="TOC3"/>
        <w:rPr>
          <w:rFonts w:asciiTheme="minorHAnsi" w:eastAsiaTheme="minorEastAsia" w:hAnsiTheme="minorHAnsi" w:cstheme="minorBidi"/>
        </w:rPr>
      </w:pPr>
      <w:r>
        <w:t>By average time to restore outage incidents</w:t>
      </w:r>
      <w:r>
        <w:tab/>
      </w:r>
      <w:r>
        <w:fldChar w:fldCharType="begin"/>
      </w:r>
      <w:r>
        <w:instrText xml:space="preserve"> PAGEREF _Toc37080624 \h </w:instrText>
      </w:r>
      <w:r>
        <w:fldChar w:fldCharType="separate"/>
      </w:r>
      <w:r>
        <w:t>14</w:t>
      </w:r>
      <w:r>
        <w:fldChar w:fldCharType="end"/>
      </w:r>
    </w:p>
    <w:p w14:paraId="5A149265" w14:textId="08891C15" w:rsidR="002E416B" w:rsidRDefault="002E416B">
      <w:pPr>
        <w:pStyle w:val="TOC3"/>
        <w:rPr>
          <w:rFonts w:asciiTheme="minorHAnsi" w:eastAsiaTheme="minorEastAsia" w:hAnsiTheme="minorHAnsi" w:cstheme="minorBidi"/>
        </w:rPr>
      </w:pPr>
      <w:r>
        <w:t>By average time and action to permanently restore outage incidents</w:t>
      </w:r>
      <w:r>
        <w:tab/>
      </w:r>
      <w:r>
        <w:fldChar w:fldCharType="begin"/>
      </w:r>
      <w:r>
        <w:instrText xml:space="preserve"> PAGEREF _Toc37080625 \h </w:instrText>
      </w:r>
      <w:r>
        <w:fldChar w:fldCharType="separate"/>
      </w:r>
      <w:r>
        <w:t>15</w:t>
      </w:r>
      <w:r>
        <w:fldChar w:fldCharType="end"/>
      </w:r>
    </w:p>
    <w:p w14:paraId="62412134" w14:textId="7458F720" w:rsidR="002E416B" w:rsidRDefault="002E416B">
      <w:pPr>
        <w:pStyle w:val="TOC2"/>
        <w:rPr>
          <w:rFonts w:asciiTheme="minorHAnsi" w:eastAsiaTheme="minorEastAsia" w:hAnsiTheme="minorHAnsi" w:cstheme="minorBidi"/>
          <w:spacing w:val="0"/>
          <w:sz w:val="22"/>
          <w:szCs w:val="22"/>
        </w:rPr>
      </w:pPr>
      <w:r>
        <w:t>Unrestored outages</w:t>
      </w:r>
      <w:r>
        <w:tab/>
      </w:r>
      <w:r>
        <w:fldChar w:fldCharType="begin"/>
      </w:r>
      <w:r>
        <w:instrText xml:space="preserve"> PAGEREF _Toc37080626 \h </w:instrText>
      </w:r>
      <w:r>
        <w:fldChar w:fldCharType="separate"/>
      </w:r>
      <w:r>
        <w:t>15</w:t>
      </w:r>
      <w:r>
        <w:fldChar w:fldCharType="end"/>
      </w:r>
    </w:p>
    <w:p w14:paraId="77A3B309" w14:textId="23A4BD99" w:rsidR="002E416B" w:rsidRDefault="002E416B">
      <w:pPr>
        <w:pStyle w:val="TOC3"/>
        <w:rPr>
          <w:rFonts w:asciiTheme="minorHAnsi" w:eastAsiaTheme="minorEastAsia" w:hAnsiTheme="minorHAnsi" w:cstheme="minorBidi"/>
        </w:rPr>
      </w:pPr>
      <w:r>
        <w:t>By facility type</w:t>
      </w:r>
      <w:r>
        <w:tab/>
      </w:r>
      <w:r>
        <w:fldChar w:fldCharType="begin"/>
      </w:r>
      <w:r>
        <w:instrText xml:space="preserve"> PAGEREF _Toc37080627 \h </w:instrText>
      </w:r>
      <w:r>
        <w:fldChar w:fldCharType="separate"/>
      </w:r>
      <w:r>
        <w:t>16</w:t>
      </w:r>
      <w:r>
        <w:fldChar w:fldCharType="end"/>
      </w:r>
    </w:p>
    <w:p w14:paraId="5E1856BB" w14:textId="008AB9F3" w:rsidR="002E416B" w:rsidRDefault="002E416B">
      <w:pPr>
        <w:pStyle w:val="TOC3"/>
        <w:rPr>
          <w:rFonts w:asciiTheme="minorHAnsi" w:eastAsiaTheme="minorEastAsia" w:hAnsiTheme="minorHAnsi" w:cstheme="minorBidi"/>
        </w:rPr>
      </w:pPr>
      <w:r>
        <w:t>By length of outage for unrestored facilities</w:t>
      </w:r>
      <w:r>
        <w:tab/>
      </w:r>
      <w:r>
        <w:fldChar w:fldCharType="begin"/>
      </w:r>
      <w:r>
        <w:instrText xml:space="preserve"> PAGEREF _Toc37080628 \h </w:instrText>
      </w:r>
      <w:r>
        <w:fldChar w:fldCharType="separate"/>
      </w:r>
      <w:r>
        <w:t>16</w:t>
      </w:r>
      <w:r>
        <w:fldChar w:fldCharType="end"/>
      </w:r>
    </w:p>
    <w:p w14:paraId="66C42484" w14:textId="36C05BA8" w:rsidR="002E416B" w:rsidRDefault="002E416B">
      <w:pPr>
        <w:pStyle w:val="TOC3"/>
        <w:rPr>
          <w:rFonts w:asciiTheme="minorHAnsi" w:eastAsiaTheme="minorEastAsia" w:hAnsiTheme="minorHAnsi" w:cstheme="minorBidi"/>
        </w:rPr>
      </w:pPr>
      <w:r>
        <w:lastRenderedPageBreak/>
        <w:t>By root cause of outage</w:t>
      </w:r>
      <w:r>
        <w:tab/>
      </w:r>
      <w:r>
        <w:fldChar w:fldCharType="begin"/>
      </w:r>
      <w:r>
        <w:instrText xml:space="preserve"> PAGEREF _Toc37080629 \h </w:instrText>
      </w:r>
      <w:r>
        <w:fldChar w:fldCharType="separate"/>
      </w:r>
      <w:r>
        <w:t>17</w:t>
      </w:r>
      <w:r>
        <w:fldChar w:fldCharType="end"/>
      </w:r>
    </w:p>
    <w:p w14:paraId="0DB9BAF7" w14:textId="59B17C87" w:rsidR="002E416B" w:rsidRDefault="002E416B">
      <w:pPr>
        <w:pStyle w:val="TOC2"/>
        <w:rPr>
          <w:rFonts w:asciiTheme="minorHAnsi" w:eastAsiaTheme="minorEastAsia" w:hAnsiTheme="minorHAnsi" w:cstheme="minorBidi"/>
          <w:spacing w:val="0"/>
          <w:sz w:val="22"/>
          <w:szCs w:val="22"/>
        </w:rPr>
      </w:pPr>
      <w:r>
        <w:t>Access to sites</w:t>
      </w:r>
      <w:r>
        <w:tab/>
      </w:r>
      <w:r>
        <w:fldChar w:fldCharType="begin"/>
      </w:r>
      <w:r>
        <w:instrText xml:space="preserve"> PAGEREF _Toc37080630 \h </w:instrText>
      </w:r>
      <w:r>
        <w:fldChar w:fldCharType="separate"/>
      </w:r>
      <w:r>
        <w:t>17</w:t>
      </w:r>
      <w:r>
        <w:fldChar w:fldCharType="end"/>
      </w:r>
    </w:p>
    <w:p w14:paraId="2946557F" w14:textId="5F833663" w:rsidR="002E416B" w:rsidRDefault="002E416B">
      <w:pPr>
        <w:pStyle w:val="TOC3"/>
        <w:rPr>
          <w:rFonts w:asciiTheme="minorHAnsi" w:eastAsiaTheme="minorEastAsia" w:hAnsiTheme="minorHAnsi" w:cstheme="minorBidi"/>
        </w:rPr>
      </w:pPr>
      <w:r>
        <w:t>By number of outage incidents and network</w:t>
      </w:r>
      <w:r>
        <w:tab/>
      </w:r>
      <w:r>
        <w:fldChar w:fldCharType="begin"/>
      </w:r>
      <w:r>
        <w:instrText xml:space="preserve"> PAGEREF _Toc37080631 \h </w:instrText>
      </w:r>
      <w:r>
        <w:fldChar w:fldCharType="separate"/>
      </w:r>
      <w:r>
        <w:t>18</w:t>
      </w:r>
      <w:r>
        <w:fldChar w:fldCharType="end"/>
      </w:r>
    </w:p>
    <w:p w14:paraId="0A4AB2B8" w14:textId="01CBFE35" w:rsidR="002E416B" w:rsidRDefault="002E416B">
      <w:pPr>
        <w:pStyle w:val="TOC3"/>
        <w:rPr>
          <w:rFonts w:asciiTheme="minorHAnsi" w:eastAsiaTheme="minorEastAsia" w:hAnsiTheme="minorHAnsi" w:cstheme="minorBidi"/>
        </w:rPr>
      </w:pPr>
      <w:r>
        <w:t>By number of outage incidents and facility type</w:t>
      </w:r>
      <w:r>
        <w:tab/>
      </w:r>
      <w:r>
        <w:fldChar w:fldCharType="begin"/>
      </w:r>
      <w:r>
        <w:instrText xml:space="preserve"> PAGEREF _Toc37080632 \h </w:instrText>
      </w:r>
      <w:r>
        <w:fldChar w:fldCharType="separate"/>
      </w:r>
      <w:r>
        <w:t>18</w:t>
      </w:r>
      <w:r>
        <w:fldChar w:fldCharType="end"/>
      </w:r>
    </w:p>
    <w:p w14:paraId="6EB6FE8E" w14:textId="2841A98B" w:rsidR="002E416B" w:rsidRDefault="002E416B">
      <w:pPr>
        <w:pStyle w:val="TOC2"/>
        <w:rPr>
          <w:rFonts w:asciiTheme="minorHAnsi" w:eastAsiaTheme="minorEastAsia" w:hAnsiTheme="minorHAnsi" w:cstheme="minorBidi"/>
          <w:spacing w:val="0"/>
          <w:sz w:val="22"/>
          <w:szCs w:val="22"/>
        </w:rPr>
      </w:pPr>
      <w:r>
        <w:t>Backup power</w:t>
      </w:r>
      <w:r>
        <w:tab/>
      </w:r>
      <w:r>
        <w:fldChar w:fldCharType="begin"/>
      </w:r>
      <w:r>
        <w:instrText xml:space="preserve"> PAGEREF _Toc37080633 \h </w:instrText>
      </w:r>
      <w:r>
        <w:fldChar w:fldCharType="separate"/>
      </w:r>
      <w:r>
        <w:t>19</w:t>
      </w:r>
      <w:r>
        <w:fldChar w:fldCharType="end"/>
      </w:r>
    </w:p>
    <w:p w14:paraId="7D5072E3" w14:textId="0241FAE2" w:rsidR="002E416B" w:rsidRDefault="002E416B">
      <w:pPr>
        <w:pStyle w:val="TOC2"/>
        <w:rPr>
          <w:rFonts w:asciiTheme="minorHAnsi" w:eastAsiaTheme="minorEastAsia" w:hAnsiTheme="minorHAnsi" w:cstheme="minorBidi"/>
          <w:spacing w:val="0"/>
          <w:sz w:val="22"/>
          <w:szCs w:val="22"/>
        </w:rPr>
      </w:pPr>
      <w:r>
        <w:t>Observations about restoration, access to sites and backup power</w:t>
      </w:r>
      <w:r>
        <w:tab/>
      </w:r>
      <w:r>
        <w:fldChar w:fldCharType="begin"/>
      </w:r>
      <w:r>
        <w:instrText xml:space="preserve"> PAGEREF _Toc37080634 \h </w:instrText>
      </w:r>
      <w:r>
        <w:fldChar w:fldCharType="separate"/>
      </w:r>
      <w:r>
        <w:t>19</w:t>
      </w:r>
      <w:r>
        <w:fldChar w:fldCharType="end"/>
      </w:r>
    </w:p>
    <w:p w14:paraId="421ED2F0" w14:textId="6DF13CA4" w:rsidR="004D56FF" w:rsidRPr="000D76E0" w:rsidRDefault="009B24A5">
      <w:pPr>
        <w:rPr>
          <w:rFonts w:cs="Arial"/>
        </w:rPr>
        <w:sectPr w:rsidR="004D56FF" w:rsidRPr="000D76E0" w:rsidSect="006846DD">
          <w:headerReference w:type="even" r:id="rId22"/>
          <w:headerReference w:type="default" r:id="rId23"/>
          <w:footerReference w:type="even" r:id="rId24"/>
          <w:footerReference w:type="default" r:id="rId25"/>
          <w:headerReference w:type="first" r:id="rId26"/>
          <w:footerReference w:type="first" r:id="rId27"/>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338F2584" w14:textId="77777777" w:rsidR="009D6C71" w:rsidRPr="009174F3" w:rsidRDefault="009D6C71" w:rsidP="009174F3">
      <w:pPr>
        <w:pStyle w:val="Execsummaryheading"/>
      </w:pPr>
      <w:bookmarkStart w:id="0" w:name="_Toc37080599"/>
      <w:r w:rsidRPr="009174F3">
        <w:lastRenderedPageBreak/>
        <w:t>Executive summary</w:t>
      </w:r>
      <w:bookmarkEnd w:id="0"/>
    </w:p>
    <w:p w14:paraId="51174152" w14:textId="5A3B7F61" w:rsidR="00987522" w:rsidRPr="00987522" w:rsidRDefault="00987522" w:rsidP="00987522">
      <w:pPr>
        <w:rPr>
          <w:rFonts w:cs="Arial"/>
          <w:szCs w:val="20"/>
        </w:rPr>
      </w:pPr>
      <w:r w:rsidRPr="00987522">
        <w:rPr>
          <w:rFonts w:cs="Arial"/>
          <w:szCs w:val="20"/>
        </w:rPr>
        <w:t>On 18 February 2020</w:t>
      </w:r>
      <w:r w:rsidR="005B5640">
        <w:rPr>
          <w:rFonts w:cs="Arial"/>
          <w:szCs w:val="20"/>
        </w:rPr>
        <w:t>,</w:t>
      </w:r>
      <w:r w:rsidRPr="00987522">
        <w:rPr>
          <w:rFonts w:cs="Arial"/>
          <w:szCs w:val="20"/>
        </w:rPr>
        <w:t xml:space="preserve"> the </w:t>
      </w:r>
      <w:r w:rsidR="005B5640">
        <w:rPr>
          <w:rFonts w:cs="Arial"/>
          <w:szCs w:val="20"/>
        </w:rPr>
        <w:t>Australian Communications and Media Authority (ACMA)</w:t>
      </w:r>
      <w:r w:rsidR="005B5640" w:rsidRPr="00987522">
        <w:rPr>
          <w:rFonts w:cs="Arial"/>
          <w:szCs w:val="20"/>
        </w:rPr>
        <w:t xml:space="preserve"> </w:t>
      </w:r>
      <w:r w:rsidRPr="00987522">
        <w:rPr>
          <w:rFonts w:cs="Arial"/>
          <w:szCs w:val="20"/>
        </w:rPr>
        <w:t xml:space="preserve">commenced a review into the impact of the </w:t>
      </w:r>
      <w:r w:rsidR="00A06CEA">
        <w:rPr>
          <w:rFonts w:cs="Arial"/>
          <w:szCs w:val="20"/>
        </w:rPr>
        <w:t>2019-20 summer</w:t>
      </w:r>
      <w:r w:rsidR="00A06CEA" w:rsidRPr="00987522">
        <w:rPr>
          <w:rFonts w:cs="Arial"/>
          <w:szCs w:val="20"/>
        </w:rPr>
        <w:t xml:space="preserve"> </w:t>
      </w:r>
      <w:r w:rsidRPr="00987522">
        <w:rPr>
          <w:rFonts w:cs="Arial"/>
          <w:szCs w:val="20"/>
        </w:rPr>
        <w:t>bushfires on the telecommunications networks of Telstra, Optus, Vodafone and NBN Co and the actions they took to restore services and repair networks.</w:t>
      </w:r>
    </w:p>
    <w:p w14:paraId="0431C02F" w14:textId="3E3B79D5" w:rsidR="00987522" w:rsidRPr="00987522" w:rsidRDefault="00987522" w:rsidP="00987522">
      <w:pPr>
        <w:rPr>
          <w:rFonts w:cs="Arial"/>
          <w:szCs w:val="20"/>
        </w:rPr>
      </w:pPr>
      <w:r w:rsidRPr="00987522">
        <w:rPr>
          <w:rFonts w:cs="Arial"/>
          <w:szCs w:val="20"/>
        </w:rPr>
        <w:t xml:space="preserve">The review looked at the period between 19 December 2019 and 31 January 2020, which encompassed the peak of the </w:t>
      </w:r>
      <w:r w:rsidR="007C5BB2">
        <w:rPr>
          <w:rFonts w:cs="Arial"/>
          <w:szCs w:val="20"/>
        </w:rPr>
        <w:t>2019</w:t>
      </w:r>
      <w:r w:rsidR="005B5640">
        <w:rPr>
          <w:rFonts w:cs="Arial"/>
          <w:szCs w:val="20"/>
        </w:rPr>
        <w:t>–</w:t>
      </w:r>
      <w:r w:rsidR="007C5BB2">
        <w:rPr>
          <w:rFonts w:cs="Arial"/>
          <w:szCs w:val="20"/>
        </w:rPr>
        <w:t xml:space="preserve">20 </w:t>
      </w:r>
      <w:r w:rsidRPr="00987522">
        <w:rPr>
          <w:rFonts w:cs="Arial"/>
          <w:szCs w:val="20"/>
        </w:rPr>
        <w:t xml:space="preserve">bushfire season. </w:t>
      </w:r>
    </w:p>
    <w:p w14:paraId="03A672F1" w14:textId="0ABDC3AA" w:rsidR="00987522" w:rsidRPr="00987522" w:rsidRDefault="00987522" w:rsidP="00987522">
      <w:pPr>
        <w:rPr>
          <w:rFonts w:cs="Arial"/>
          <w:szCs w:val="20"/>
        </w:rPr>
      </w:pPr>
      <w:r w:rsidRPr="00987522">
        <w:rPr>
          <w:rFonts w:cs="Arial"/>
          <w:szCs w:val="20"/>
        </w:rPr>
        <w:t xml:space="preserve">For facilities </w:t>
      </w:r>
      <w:r w:rsidR="005B5640">
        <w:rPr>
          <w:rFonts w:cs="Arial"/>
          <w:szCs w:val="20"/>
        </w:rPr>
        <w:t>that</w:t>
      </w:r>
      <w:r w:rsidR="005B5640" w:rsidRPr="00987522">
        <w:rPr>
          <w:rFonts w:cs="Arial"/>
          <w:szCs w:val="20"/>
        </w:rPr>
        <w:t xml:space="preserve"> </w:t>
      </w:r>
      <w:r w:rsidRPr="00987522">
        <w:rPr>
          <w:rFonts w:cs="Arial"/>
          <w:szCs w:val="20"/>
        </w:rPr>
        <w:t xml:space="preserve">experienced outages of four hours or more, the ACMA sought detailed information from the carriers, including the location of the facility, the type of network impacted, the type of facilities impacted, whether any actions were taken to temporarily restore facilities and the timing and action taken to permanently restore facilities.  </w:t>
      </w:r>
    </w:p>
    <w:p w14:paraId="23942CF1" w14:textId="77777777" w:rsidR="00987522" w:rsidRPr="00987522" w:rsidRDefault="00987522" w:rsidP="00987522">
      <w:pPr>
        <w:rPr>
          <w:rFonts w:cs="Arial"/>
          <w:szCs w:val="20"/>
        </w:rPr>
      </w:pPr>
      <w:r w:rsidRPr="00987522">
        <w:rPr>
          <w:rFonts w:cs="Arial"/>
          <w:szCs w:val="20"/>
        </w:rPr>
        <w:t>The types of facilities identified by the carriers as being impacted by the bushfires, directly or indirectly, included mobile and fixed-wireless base-stations, nodes, exchanges, equipment shelters, copper and optical fibre cables.</w:t>
      </w:r>
    </w:p>
    <w:p w14:paraId="068CE588" w14:textId="77777777" w:rsidR="00987522" w:rsidRPr="00987522" w:rsidRDefault="00987522" w:rsidP="007C5BB2">
      <w:pPr>
        <w:pStyle w:val="Paragraphbeforelist"/>
      </w:pPr>
      <w:r w:rsidRPr="00987522">
        <w:t>We make the following conclusions and observations:</w:t>
      </w:r>
    </w:p>
    <w:p w14:paraId="664E4CEC" w14:textId="77777777" w:rsidR="00987522" w:rsidRPr="00987522" w:rsidRDefault="00987522" w:rsidP="007C5BB2">
      <w:pPr>
        <w:pStyle w:val="Bulletlevel1"/>
      </w:pPr>
      <w:r w:rsidRPr="00987522">
        <w:t xml:space="preserve">1,390 facilities were impacted by the bushfires, directly or indirectly, during the review period.  </w:t>
      </w:r>
    </w:p>
    <w:p w14:paraId="64E9F49D" w14:textId="25B73911" w:rsidR="00987522" w:rsidRPr="00987522" w:rsidRDefault="005B5640" w:rsidP="007C5BB2">
      <w:pPr>
        <w:pStyle w:val="Bulletlevel1"/>
      </w:pPr>
      <w:r>
        <w:t>O</w:t>
      </w:r>
      <w:r w:rsidRPr="00987522">
        <w:t>f all the facilities</w:t>
      </w:r>
      <w:r>
        <w:t xml:space="preserve"> </w:t>
      </w:r>
      <w:r w:rsidRPr="00987522">
        <w:t>impacted</w:t>
      </w:r>
      <w:r>
        <w:t xml:space="preserve">, </w:t>
      </w:r>
      <w:r w:rsidR="00987522" w:rsidRPr="00987522">
        <w:t xml:space="preserve">51 per cent experienced outages of four hours or more during the review period, while 26 per cent of facilities experienced outages of less than four hours. The remaining 23 per cent of facilities were impacted but did not experience any outages. </w:t>
      </w:r>
    </w:p>
    <w:p w14:paraId="7E5A270A" w14:textId="0115183F" w:rsidR="00987522" w:rsidRPr="00987522" w:rsidRDefault="005B5640" w:rsidP="007C5BB2">
      <w:pPr>
        <w:pStyle w:val="Bulletlevel1"/>
      </w:pPr>
      <w:r w:rsidRPr="00987522">
        <w:t>N</w:t>
      </w:r>
      <w:r>
        <w:t>ew South Wales (NSW)</w:t>
      </w:r>
      <w:r w:rsidRPr="00987522">
        <w:t xml:space="preserve"> </w:t>
      </w:r>
      <w:r w:rsidR="00987522" w:rsidRPr="00987522">
        <w:t xml:space="preserve">had the highest number of facilities impacted by the bushfires during the review period (818), followed by Victoria (324). </w:t>
      </w:r>
    </w:p>
    <w:p w14:paraId="70A85F0A" w14:textId="5E9B9FFD" w:rsidR="00987522" w:rsidRPr="00987522" w:rsidRDefault="00987522" w:rsidP="00320A2C">
      <w:pPr>
        <w:pStyle w:val="Bulletlevel1"/>
      </w:pPr>
      <w:r w:rsidRPr="00987522">
        <w:t>Most of the outage</w:t>
      </w:r>
      <w:r w:rsidR="00380F04">
        <w:t xml:space="preserve"> incidents</w:t>
      </w:r>
      <w:r w:rsidRPr="00987522">
        <w:t xml:space="preserve"> were caused by power outages rather than direct fire damage. </w:t>
      </w:r>
      <w:r w:rsidR="00515FCB" w:rsidRPr="00987522">
        <w:t>Direct fire damage only accounted for one per cent of outage</w:t>
      </w:r>
      <w:r w:rsidR="00380F04">
        <w:t xml:space="preserve"> incidents</w:t>
      </w:r>
      <w:r w:rsidR="00515FCB">
        <w:t>.</w:t>
      </w:r>
      <w:r w:rsidR="00515FCB" w:rsidRPr="00987522">
        <w:t xml:space="preserve"> </w:t>
      </w:r>
      <w:r w:rsidRPr="00987522">
        <w:t xml:space="preserve">This indicates that reliance on mains power </w:t>
      </w:r>
      <w:r w:rsidR="00A06CEA">
        <w:t>does</w:t>
      </w:r>
      <w:r w:rsidR="00A06CEA" w:rsidRPr="00987522">
        <w:t xml:space="preserve"> </w:t>
      </w:r>
      <w:r w:rsidRPr="00987522">
        <w:t>affect network resiliency</w:t>
      </w:r>
      <w:r w:rsidR="00267FEE">
        <w:t>.</w:t>
      </w:r>
    </w:p>
    <w:p w14:paraId="0652F02F" w14:textId="56891E1B" w:rsidR="00987522" w:rsidRPr="00987522" w:rsidRDefault="00987522" w:rsidP="007C5BB2">
      <w:pPr>
        <w:pStyle w:val="Bulletlevel1"/>
      </w:pPr>
      <w:r w:rsidRPr="00987522">
        <w:t>The average length of outage</w:t>
      </w:r>
      <w:r w:rsidR="00380F04">
        <w:t xml:space="preserve"> incidents</w:t>
      </w:r>
      <w:r w:rsidRPr="00987522">
        <w:t xml:space="preserve"> was 3.5 days</w:t>
      </w:r>
      <w:r w:rsidR="00CA3501">
        <w:t xml:space="preserve"> and the median was 1.6 days</w:t>
      </w:r>
      <w:r w:rsidRPr="00987522">
        <w:t>, which indicates that facilities were generally restored promptly. This applies across all types of facilities, except equipment shelters, for which the restoration time was substantially longer than the average.</w:t>
      </w:r>
    </w:p>
    <w:p w14:paraId="36D4DDC4" w14:textId="65FB2A93" w:rsidR="00987522" w:rsidRPr="00987522" w:rsidRDefault="00987522" w:rsidP="007C5BB2">
      <w:pPr>
        <w:pStyle w:val="Bulletlevel1"/>
      </w:pPr>
      <w:r w:rsidRPr="00987522">
        <w:t xml:space="preserve">Carriers </w:t>
      </w:r>
      <w:r w:rsidR="009E7D0E">
        <w:t>took</w:t>
      </w:r>
      <w:r w:rsidR="009E7D0E" w:rsidRPr="00987522">
        <w:t xml:space="preserve"> </w:t>
      </w:r>
      <w:r w:rsidRPr="00987522">
        <w:t xml:space="preserve">temporary </w:t>
      </w:r>
      <w:r w:rsidR="009E7D0E">
        <w:t>restoration action</w:t>
      </w:r>
      <w:r w:rsidR="009E7D0E" w:rsidRPr="00987522">
        <w:t xml:space="preserve"> </w:t>
      </w:r>
      <w:r w:rsidRPr="00987522">
        <w:t xml:space="preserve">to restore services for over </w:t>
      </w:r>
      <w:r w:rsidR="005B5640">
        <w:t>one-</w:t>
      </w:r>
      <w:r w:rsidRPr="00987522">
        <w:t>third of outage</w:t>
      </w:r>
      <w:r w:rsidR="00380F04">
        <w:t xml:space="preserve"> incidents</w:t>
      </w:r>
      <w:r w:rsidRPr="00987522">
        <w:t xml:space="preserve">. </w:t>
      </w:r>
    </w:p>
    <w:p w14:paraId="61AA8C18" w14:textId="370D76F4" w:rsidR="005E250B" w:rsidRPr="00577EFE" w:rsidRDefault="00987522" w:rsidP="007C5BB2">
      <w:pPr>
        <w:pStyle w:val="Bulletlevel1last"/>
      </w:pPr>
      <w:r w:rsidRPr="00987522">
        <w:t>In two</w:t>
      </w:r>
      <w:r w:rsidR="005B5640">
        <w:t>-</w:t>
      </w:r>
      <w:r w:rsidRPr="00987522">
        <w:t>thirds of outage</w:t>
      </w:r>
      <w:r w:rsidR="000424DB">
        <w:t xml:space="preserve"> incidents</w:t>
      </w:r>
      <w:r w:rsidRPr="00987522">
        <w:t>, restoration efforts by the relevant carriers encountered site access restrictions, such as fallen trees.</w:t>
      </w:r>
    </w:p>
    <w:p w14:paraId="61EE470A" w14:textId="232C9F9A" w:rsidR="000B4664" w:rsidRPr="00C35CCE" w:rsidRDefault="00B34202">
      <w:pPr>
        <w:pStyle w:val="Heading1"/>
      </w:pPr>
      <w:bookmarkStart w:id="1" w:name="_Toc37080600"/>
      <w:r>
        <w:lastRenderedPageBreak/>
        <w:t>Introduction</w:t>
      </w:r>
      <w:bookmarkEnd w:id="1"/>
    </w:p>
    <w:p w14:paraId="1815E018" w14:textId="77777777" w:rsidR="00987522" w:rsidRPr="001565F4" w:rsidRDefault="00987522" w:rsidP="00987522">
      <w:pPr>
        <w:pStyle w:val="Heading2"/>
      </w:pPr>
      <w:bookmarkStart w:id="2" w:name="_Toc37080601"/>
      <w:r w:rsidRPr="001565F4">
        <w:t>Background</w:t>
      </w:r>
      <w:bookmarkEnd w:id="2"/>
      <w:r w:rsidRPr="001565F4">
        <w:t xml:space="preserve"> </w:t>
      </w:r>
    </w:p>
    <w:p w14:paraId="1A42AE38" w14:textId="356663E1" w:rsidR="00987522" w:rsidRDefault="00987522" w:rsidP="007C5BB2">
      <w:pPr>
        <w:pStyle w:val="Paragraph"/>
      </w:pPr>
      <w:r>
        <w:t xml:space="preserve">On 22 January 2020, </w:t>
      </w:r>
      <w:bookmarkStart w:id="3" w:name="_Hlk37065742"/>
      <w:r>
        <w:t xml:space="preserve">the Minister for Communications, Cyber Safety and the Arts, </w:t>
      </w:r>
      <w:bookmarkEnd w:id="3"/>
      <w:r>
        <w:t xml:space="preserve">the Hon Paul Fletcher MP, convened a roundtable meeting with Australia’s major telecommunications companies and other key stakeholders to discuss network resilience following the </w:t>
      </w:r>
      <w:r w:rsidR="00267FEE">
        <w:t>2019-20 summer</w:t>
      </w:r>
      <w:r>
        <w:t xml:space="preserve"> bushfires. One of the key actions agreed by the roundtable was that the ACMA, working with industry peak bodies</w:t>
      </w:r>
      <w:r w:rsidR="005B5640">
        <w:t>—</w:t>
      </w:r>
      <w:r>
        <w:t>Communications Alliance and AMTA</w:t>
      </w:r>
      <w:r w:rsidR="005B5640">
        <w:t>—</w:t>
      </w:r>
      <w:r>
        <w:t>would conduct a review into the impact of the bushfires on telecommunications networks and how the carriers responded. The ACMA commenced the review on 18 February 2020 and its findings are summarised in this report.</w:t>
      </w:r>
    </w:p>
    <w:p w14:paraId="0B226859" w14:textId="77777777" w:rsidR="00987522" w:rsidRPr="001565F4" w:rsidRDefault="00987522" w:rsidP="00987522">
      <w:pPr>
        <w:pStyle w:val="Heading2"/>
      </w:pPr>
      <w:bookmarkStart w:id="4" w:name="_Toc37080602"/>
      <w:r w:rsidRPr="001565F4">
        <w:t>Purpose of the report</w:t>
      </w:r>
      <w:bookmarkEnd w:id="4"/>
    </w:p>
    <w:p w14:paraId="4209D52E" w14:textId="30977392" w:rsidR="00987522" w:rsidRDefault="005B5640" w:rsidP="007C5BB2">
      <w:pPr>
        <w:pStyle w:val="Paragraph"/>
      </w:pPr>
      <w:r>
        <w:t>T</w:t>
      </w:r>
      <w:r w:rsidR="00987522">
        <w:t>his report provide</w:t>
      </w:r>
      <w:r>
        <w:t>s</w:t>
      </w:r>
      <w:r w:rsidR="00987522">
        <w:t xml:space="preserve"> a detailed and factual analysis of information obtained from the carriers and offer</w:t>
      </w:r>
      <w:r>
        <w:t>s</w:t>
      </w:r>
      <w:r w:rsidR="00987522">
        <w:t xml:space="preserve"> observations (where possible) about network resilience and the use of remediation measures to restore services. The report does not make any recommendations or draw any conclusions about the resilience of one network compared to another.</w:t>
      </w:r>
    </w:p>
    <w:p w14:paraId="0E441E0E" w14:textId="77777777" w:rsidR="00987522" w:rsidRPr="00A76681" w:rsidRDefault="00987522" w:rsidP="00A76681">
      <w:pPr>
        <w:pStyle w:val="Heading2"/>
      </w:pPr>
      <w:bookmarkStart w:id="5" w:name="_Toc37080603"/>
      <w:r w:rsidRPr="00A76681">
        <w:t>Scope</w:t>
      </w:r>
      <w:bookmarkEnd w:id="5"/>
      <w:r w:rsidRPr="00A76681">
        <w:t xml:space="preserve"> </w:t>
      </w:r>
    </w:p>
    <w:p w14:paraId="6641B87B" w14:textId="560B11E6" w:rsidR="00987522" w:rsidRDefault="00987522" w:rsidP="007C5BB2">
      <w:pPr>
        <w:pStyle w:val="Paragraph"/>
      </w:pPr>
      <w:r>
        <w:t>The scope of the review is confined to considering impacts arising from the bushfires between 19 December 2019 and 31 January 2020 (</w:t>
      </w:r>
      <w:r w:rsidRPr="007B19D1">
        <w:t>the</w:t>
      </w:r>
      <w:r>
        <w:t xml:space="preserve"> </w:t>
      </w:r>
      <w:r w:rsidRPr="007B19D1">
        <w:rPr>
          <w:b/>
          <w:bCs/>
        </w:rPr>
        <w:t>review period</w:t>
      </w:r>
      <w:r>
        <w:t xml:space="preserve">). </w:t>
      </w:r>
      <w:r w:rsidR="005B5640">
        <w:t>T</w:t>
      </w:r>
      <w:r>
        <w:t>his focused approach enable</w:t>
      </w:r>
      <w:r w:rsidR="005B5640">
        <w:t>d</w:t>
      </w:r>
      <w:r>
        <w:t xml:space="preserve"> the review to be conducted promptly </w:t>
      </w:r>
      <w:r w:rsidR="005B5640">
        <w:t>and</w:t>
      </w:r>
      <w:r>
        <w:t xml:space="preserve"> findings reported to the Minister as soon as p</w:t>
      </w:r>
      <w:r w:rsidR="00A739AC">
        <w:t>racticable</w:t>
      </w:r>
      <w:r>
        <w:t>. This period was also selected as it encompassed the peak of the 2019</w:t>
      </w:r>
      <w:r w:rsidR="005B5640">
        <w:t>–</w:t>
      </w:r>
      <w:r>
        <w:t xml:space="preserve">20 bushfire season, when escalation of extensive fires across three states and impacts to local and holiday communities were most severe, and when widespread impacts to telecommunications networks occurred. </w:t>
      </w:r>
    </w:p>
    <w:p w14:paraId="024F25C6" w14:textId="0470AE55" w:rsidR="00987522" w:rsidRDefault="00987522" w:rsidP="00987522">
      <w:r>
        <w:t xml:space="preserve">The report considers the bushfire impacts to mobile and fixed-line networks operated by the four </w:t>
      </w:r>
      <w:r w:rsidRPr="00223164">
        <w:t>largest</w:t>
      </w:r>
      <w:r>
        <w:t xml:space="preserve"> telecommunications carriers impacted</w:t>
      </w:r>
      <w:r w:rsidR="005B5640">
        <w:t>—</w:t>
      </w:r>
      <w:r>
        <w:t xml:space="preserve">Telstra, Optus, Vodafone and NBN Co (the </w:t>
      </w:r>
      <w:r w:rsidRPr="007B19D1">
        <w:rPr>
          <w:b/>
          <w:bCs/>
        </w:rPr>
        <w:t>carriers</w:t>
      </w:r>
      <w:r>
        <w:t>), which all had networks located in bushfire-affected areas. While networks operated by state-based emergency service organisations were also impacted by the fires, they are not considered in this report.</w:t>
      </w:r>
    </w:p>
    <w:p w14:paraId="3168BD4D" w14:textId="77777777" w:rsidR="00987522" w:rsidRPr="00BF4B15" w:rsidRDefault="00987522" w:rsidP="00987522">
      <w:pPr>
        <w:pStyle w:val="Heading2"/>
      </w:pPr>
      <w:bookmarkStart w:id="6" w:name="_Toc37080604"/>
      <w:r w:rsidRPr="00BF4B15">
        <w:t>Bushfire overview</w:t>
      </w:r>
      <w:bookmarkEnd w:id="6"/>
    </w:p>
    <w:p w14:paraId="1A32F870" w14:textId="0AA06EED" w:rsidR="00987522" w:rsidRDefault="00987522" w:rsidP="00987522">
      <w:r>
        <w:t xml:space="preserve">Information about the broader impacts of the </w:t>
      </w:r>
      <w:r w:rsidR="007C5BB2">
        <w:t>2019</w:t>
      </w:r>
      <w:r w:rsidR="005B5640">
        <w:t>–</w:t>
      </w:r>
      <w:r w:rsidR="007C5BB2">
        <w:t xml:space="preserve">20 </w:t>
      </w:r>
      <w:r>
        <w:t>bushfires and affected communities was sourced from state-based rural fire service authorities including the NSW Rural Fire Service, Victorian Country Fire Authority and the South Australian Country Fire Service</w:t>
      </w:r>
      <w:r w:rsidR="000676EF">
        <w:t>,</w:t>
      </w:r>
      <w:r>
        <w:t xml:space="preserve"> as well as the ABC.</w:t>
      </w:r>
    </w:p>
    <w:p w14:paraId="3071936A" w14:textId="3B7BC7BC" w:rsidR="00987522" w:rsidRDefault="00987522" w:rsidP="00987522">
      <w:r>
        <w:t xml:space="preserve">By 19 December 2019, bushfires were already burning across NSW, Victoria and </w:t>
      </w:r>
      <w:r w:rsidR="005B5640">
        <w:t>South Australia (SA)</w:t>
      </w:r>
      <w:r w:rsidR="009C5A97">
        <w:t xml:space="preserve"> and</w:t>
      </w:r>
      <w:r>
        <w:t xml:space="preserve"> </w:t>
      </w:r>
      <w:r w:rsidR="009C5A97">
        <w:t>t</w:t>
      </w:r>
      <w:r w:rsidR="009C5A97" w:rsidRPr="00E57B08">
        <w:t xml:space="preserve">elecommunications </w:t>
      </w:r>
      <w:r>
        <w:t xml:space="preserve">networks </w:t>
      </w:r>
      <w:r w:rsidR="000409BA">
        <w:t xml:space="preserve">had been </w:t>
      </w:r>
      <w:r>
        <w:t>impacted by bushfires on the outskirts of Sydney, the Adelaide Hills and East Gippsland. By 30 December 2019</w:t>
      </w:r>
      <w:r w:rsidR="005B5640">
        <w:t>,</w:t>
      </w:r>
      <w:r>
        <w:t xml:space="preserve"> facilities north-west of Sydney, in the Shoalhaven and Illawarra region of NSW, and the Grampians in Victoria were also impacted by bushfires.</w:t>
      </w:r>
    </w:p>
    <w:p w14:paraId="1031223A" w14:textId="446760D4" w:rsidR="00987522" w:rsidRDefault="000424DB" w:rsidP="00987522">
      <w:r>
        <w:t>The volume of o</w:t>
      </w:r>
      <w:r w:rsidR="00987522">
        <w:t>utage</w:t>
      </w:r>
      <w:r w:rsidR="00412C92">
        <w:t>s</w:t>
      </w:r>
      <w:r>
        <w:t xml:space="preserve"> </w:t>
      </w:r>
      <w:r w:rsidR="00987522">
        <w:t xml:space="preserve">peaked around </w:t>
      </w:r>
      <w:bookmarkStart w:id="7" w:name="_Hlk36042855"/>
      <w:r w:rsidR="00987522" w:rsidRPr="00FB66A9">
        <w:t>31 December 2019 to 5 January 2020</w:t>
      </w:r>
      <w:bookmarkEnd w:id="7"/>
      <w:r w:rsidR="00987522">
        <w:t xml:space="preserve">. During this period, </w:t>
      </w:r>
      <w:r w:rsidR="00987522" w:rsidRPr="00592598">
        <w:t xml:space="preserve">facilities continued to be impacted by bushfires in the NSW South Coast and Riverina and Murray regions of NSW and East Gippsland in Victoria. </w:t>
      </w:r>
      <w:r w:rsidR="00987522">
        <w:t xml:space="preserve">The Currowan and Green Valley bushfires, along with the spread of the East Gippsland </w:t>
      </w:r>
      <w:r w:rsidR="00987522">
        <w:lastRenderedPageBreak/>
        <w:t xml:space="preserve">bushfires, substantially impacted facilities during this period. In SA, facilities were impacted by bushfires on Kangaroo Island. </w:t>
      </w:r>
    </w:p>
    <w:p w14:paraId="47FAC0F2" w14:textId="5694213B" w:rsidR="00987522" w:rsidRPr="00592598" w:rsidRDefault="00987522" w:rsidP="00987522">
      <w:r>
        <w:t xml:space="preserve">Bushfires across NSW, Victoria and SA continued to impact facilities throughout January. In late January, facilities in Pialligo, </w:t>
      </w:r>
      <w:r w:rsidR="005B5640">
        <w:t>Australian Capital Territory (</w:t>
      </w:r>
      <w:r>
        <w:t>ACT</w:t>
      </w:r>
      <w:r w:rsidR="005B5640">
        <w:t>)</w:t>
      </w:r>
      <w:r>
        <w:t xml:space="preserve"> were also impacted by a bushfire. </w:t>
      </w:r>
    </w:p>
    <w:p w14:paraId="79C8CE64" w14:textId="77777777" w:rsidR="00987522" w:rsidRPr="00223164" w:rsidRDefault="00987522" w:rsidP="00987522">
      <w:pPr>
        <w:pStyle w:val="Heading2"/>
      </w:pPr>
      <w:bookmarkStart w:id="8" w:name="_Toc37080605"/>
      <w:r>
        <w:t>Carrier information</w:t>
      </w:r>
      <w:bookmarkEnd w:id="8"/>
    </w:p>
    <w:p w14:paraId="27A2C14C" w14:textId="0826B0B9" w:rsidR="00987522" w:rsidRDefault="00987522" w:rsidP="007C5BB2">
      <w:pPr>
        <w:pStyle w:val="Paragraphbeforelist"/>
      </w:pPr>
      <w:r>
        <w:t xml:space="preserve">The ACMA sought information from the carriers about the </w:t>
      </w:r>
      <w:r w:rsidRPr="009135F5">
        <w:t>impact bushfires had on the</w:t>
      </w:r>
      <w:r>
        <w:t>ir</w:t>
      </w:r>
      <w:r w:rsidRPr="009135F5">
        <w:t xml:space="preserve"> </w:t>
      </w:r>
      <w:r>
        <w:t>networks, either directly or indirectly, during the review period and the actions they took to restore services and repair networks. Specifically, we sought information for the following categories:</w:t>
      </w:r>
    </w:p>
    <w:p w14:paraId="29DE5AE6" w14:textId="4549E093" w:rsidR="00987522" w:rsidRPr="00E57528" w:rsidRDefault="00987522" w:rsidP="007C5BB2">
      <w:pPr>
        <w:pStyle w:val="Bulletlevel1"/>
      </w:pPr>
      <w:r w:rsidRPr="00E57528">
        <w:t xml:space="preserve">facilities </w:t>
      </w:r>
      <w:r w:rsidR="00B644FB">
        <w:t>that</w:t>
      </w:r>
      <w:r w:rsidR="00B644FB" w:rsidRPr="00E57528">
        <w:t xml:space="preserve"> </w:t>
      </w:r>
      <w:r w:rsidRPr="00E57528">
        <w:t>experienced outages of four hours or more</w:t>
      </w:r>
    </w:p>
    <w:p w14:paraId="5251FEAC" w14:textId="6B0A8D37" w:rsidR="00987522" w:rsidRPr="00E57528" w:rsidRDefault="00987522" w:rsidP="007C5BB2">
      <w:pPr>
        <w:pStyle w:val="Bulletlevel1last"/>
      </w:pPr>
      <w:bookmarkStart w:id="9" w:name="_Hlk35778787"/>
      <w:r w:rsidRPr="00E57528">
        <w:t xml:space="preserve">facilities </w:t>
      </w:r>
      <w:r w:rsidR="00B644FB">
        <w:t>that</w:t>
      </w:r>
      <w:r w:rsidR="00B644FB" w:rsidRPr="00E57528">
        <w:t xml:space="preserve"> </w:t>
      </w:r>
      <w:r w:rsidRPr="00E57528">
        <w:t>experienced outages of less than four hours</w:t>
      </w:r>
      <w:r w:rsidR="000676EF">
        <w:t>.</w:t>
      </w:r>
    </w:p>
    <w:bookmarkEnd w:id="9"/>
    <w:p w14:paraId="2EA3F383" w14:textId="48A2B062" w:rsidR="00987522" w:rsidRPr="009135F5" w:rsidRDefault="00987522" w:rsidP="00987522">
      <w:r w:rsidRPr="009135F5">
        <w:t xml:space="preserve">For facilities </w:t>
      </w:r>
      <w:r w:rsidR="00B644FB">
        <w:t>with</w:t>
      </w:r>
      <w:r w:rsidRPr="009135F5">
        <w:t xml:space="preserve"> outages of </w:t>
      </w:r>
      <w:r>
        <w:t xml:space="preserve">four </w:t>
      </w:r>
      <w:r w:rsidRPr="009135F5">
        <w:t xml:space="preserve">hours or more, </w:t>
      </w:r>
      <w:r>
        <w:t>we</w:t>
      </w:r>
      <w:r w:rsidRPr="009135F5">
        <w:t xml:space="preserve"> sought detailed information, including the location of the facility, the type of network impacted, the type of services impacted, whether any actions were taken to temporarily restore facilities and the timing and action taken to permanently restore facilities.  </w:t>
      </w:r>
    </w:p>
    <w:p w14:paraId="62C1B910" w14:textId="716D8353" w:rsidR="00987522" w:rsidRDefault="00987522" w:rsidP="00987522">
      <w:r w:rsidRPr="009135F5">
        <w:t xml:space="preserve">For </w:t>
      </w:r>
      <w:r>
        <w:t xml:space="preserve">facilities </w:t>
      </w:r>
      <w:r w:rsidR="00B644FB">
        <w:t>with</w:t>
      </w:r>
      <w:r>
        <w:t xml:space="preserve"> </w:t>
      </w:r>
      <w:r w:rsidRPr="009135F5">
        <w:t>outages of less</w:t>
      </w:r>
      <w:r>
        <w:t xml:space="preserve"> than four hours,</w:t>
      </w:r>
      <w:r w:rsidRPr="009135F5">
        <w:t xml:space="preserve"> we sought </w:t>
      </w:r>
      <w:r>
        <w:t>high</w:t>
      </w:r>
      <w:r w:rsidR="00B644FB">
        <w:t>-</w:t>
      </w:r>
      <w:r>
        <w:t xml:space="preserve">level </w:t>
      </w:r>
      <w:r w:rsidRPr="009135F5">
        <w:t xml:space="preserve">summary information.  </w:t>
      </w:r>
    </w:p>
    <w:p w14:paraId="3CE577CD" w14:textId="77777777" w:rsidR="00987522" w:rsidRDefault="00987522" w:rsidP="00987522">
      <w:r w:rsidRPr="00320361">
        <w:t>The types of facilities identified by the carriers as being impacted by outages included mobile and fixed-wireless base-stations, nodes, exchanges, equipment shelters, copper and optical fibre cables.</w:t>
      </w:r>
    </w:p>
    <w:p w14:paraId="3466B3E7" w14:textId="77777777" w:rsidR="00987522" w:rsidRDefault="00987522" w:rsidP="00987522">
      <w:pPr>
        <w:pStyle w:val="Heading1"/>
      </w:pPr>
      <w:bookmarkStart w:id="10" w:name="_Toc37080606"/>
      <w:r w:rsidRPr="004B17CD">
        <w:lastRenderedPageBreak/>
        <w:t>Overview</w:t>
      </w:r>
      <w:bookmarkEnd w:id="10"/>
    </w:p>
    <w:p w14:paraId="63107A1C" w14:textId="26BFFB82" w:rsidR="00987522" w:rsidRDefault="00987522" w:rsidP="00987522">
      <w:r>
        <w:t xml:space="preserve">A total of </w:t>
      </w:r>
      <w:r w:rsidRPr="004B17CD">
        <w:t>1</w:t>
      </w:r>
      <w:r w:rsidR="00B644FB">
        <w:t>,</w:t>
      </w:r>
      <w:r w:rsidRPr="004B17CD">
        <w:t>390</w:t>
      </w:r>
      <w:r w:rsidRPr="00586BAE">
        <w:t xml:space="preserve"> facilities were impacted by the bushfires, directly or indirectly, </w:t>
      </w:r>
      <w:r>
        <w:t>during</w:t>
      </w:r>
      <w:r w:rsidRPr="00586BAE">
        <w:t xml:space="preserve"> the review period.</w:t>
      </w:r>
      <w:r>
        <w:t xml:space="preserve"> </w:t>
      </w:r>
      <w:r w:rsidRPr="00586BAE">
        <w:t xml:space="preserve"> </w:t>
      </w:r>
      <w:r>
        <w:t xml:space="preserve">The number of facilities refers to the distinct count of facilities. If a facility </w:t>
      </w:r>
      <w:r w:rsidR="000676EF">
        <w:t>wa</w:t>
      </w:r>
      <w:r>
        <w:t xml:space="preserve">s impacted multiple times, it is still counted as a single facility. </w:t>
      </w:r>
      <w:r w:rsidRPr="00C43638">
        <w:t>Table 1</w:t>
      </w:r>
      <w:r w:rsidRPr="00586BAE">
        <w:t xml:space="preserve"> provides a breakdown by state and by duration of the outages.</w:t>
      </w:r>
    </w:p>
    <w:p w14:paraId="0A29722C" w14:textId="2636624C" w:rsidR="00987522" w:rsidRPr="00C60DE4" w:rsidRDefault="00C60DE4" w:rsidP="00987522">
      <w:pPr>
        <w:pStyle w:val="Tableheading"/>
      </w:pPr>
      <w:r>
        <w:t>Number of facilities impacted by bushfires, by outage length, and state</w:t>
      </w:r>
    </w:p>
    <w:tbl>
      <w:tblPr>
        <w:tblW w:w="6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129"/>
        <w:gridCol w:w="1454"/>
        <w:gridCol w:w="1454"/>
        <w:gridCol w:w="1454"/>
        <w:gridCol w:w="1454"/>
      </w:tblGrid>
      <w:tr w:rsidR="00987522" w:rsidRPr="007C5BB2" w14:paraId="4B7E7A41"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30DA7F8" w14:textId="77777777" w:rsidR="00987522" w:rsidRPr="007C5BB2" w:rsidRDefault="00987522" w:rsidP="007C5BB2">
            <w:pPr>
              <w:pStyle w:val="Paragraph"/>
              <w:spacing w:after="0"/>
              <w:rPr>
                <w:b/>
                <w:bCs/>
                <w:color w:val="FFFFFF" w:themeColor="background1"/>
              </w:rPr>
            </w:pPr>
            <w:r w:rsidRPr="007C5BB2">
              <w:rPr>
                <w:b/>
                <w:bCs/>
                <w:color w:val="FFFFFF" w:themeColor="background1"/>
              </w:rPr>
              <w:t>State</w:t>
            </w:r>
          </w:p>
        </w:tc>
        <w:tc>
          <w:tcPr>
            <w:tcW w:w="1453"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6DF1D8D1" w14:textId="77777777" w:rsidR="00987522" w:rsidRPr="007C5BB2" w:rsidRDefault="00987522" w:rsidP="007C5BB2">
            <w:pPr>
              <w:pStyle w:val="Paragraph"/>
              <w:spacing w:after="0"/>
              <w:jc w:val="right"/>
              <w:rPr>
                <w:b/>
                <w:bCs/>
                <w:color w:val="FFFFFF" w:themeColor="background1"/>
              </w:rPr>
            </w:pPr>
            <w:r w:rsidRPr="007C5BB2">
              <w:rPr>
                <w:b/>
                <w:bCs/>
                <w:color w:val="FFFFFF" w:themeColor="background1"/>
              </w:rPr>
              <w:t>Four hours or more</w:t>
            </w:r>
          </w:p>
        </w:tc>
        <w:tc>
          <w:tcPr>
            <w:tcW w:w="1453"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217B05A" w14:textId="77777777" w:rsidR="00987522" w:rsidRPr="007C5BB2" w:rsidRDefault="00987522" w:rsidP="007C5BB2">
            <w:pPr>
              <w:pStyle w:val="Paragraph"/>
              <w:spacing w:after="0"/>
              <w:jc w:val="right"/>
              <w:rPr>
                <w:b/>
                <w:bCs/>
                <w:color w:val="FFFFFF" w:themeColor="background1"/>
              </w:rPr>
            </w:pPr>
            <w:r w:rsidRPr="007C5BB2">
              <w:rPr>
                <w:b/>
                <w:bCs/>
                <w:color w:val="FFFFFF" w:themeColor="background1"/>
              </w:rPr>
              <w:t>Less than four hours</w:t>
            </w:r>
          </w:p>
        </w:tc>
        <w:tc>
          <w:tcPr>
            <w:tcW w:w="1453"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11D5523A" w14:textId="77777777" w:rsidR="00987522" w:rsidRPr="007C5BB2" w:rsidRDefault="00987522" w:rsidP="007C5BB2">
            <w:pPr>
              <w:pStyle w:val="Paragraph"/>
              <w:spacing w:after="0"/>
              <w:jc w:val="right"/>
              <w:rPr>
                <w:b/>
                <w:bCs/>
                <w:color w:val="FFFFFF" w:themeColor="background1"/>
              </w:rPr>
            </w:pPr>
            <w:r w:rsidRPr="007C5BB2">
              <w:rPr>
                <w:b/>
                <w:bCs/>
                <w:color w:val="FFFFFF" w:themeColor="background1"/>
              </w:rPr>
              <w:t>No outage</w:t>
            </w:r>
          </w:p>
        </w:tc>
        <w:tc>
          <w:tcPr>
            <w:tcW w:w="1453"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3FC03358" w14:textId="77777777" w:rsidR="00987522" w:rsidRPr="007C5BB2" w:rsidRDefault="00987522" w:rsidP="007C5BB2">
            <w:pPr>
              <w:pStyle w:val="Paragraph"/>
              <w:spacing w:after="0"/>
              <w:jc w:val="right"/>
              <w:rPr>
                <w:b/>
                <w:bCs/>
                <w:color w:val="FFFFFF" w:themeColor="background1"/>
              </w:rPr>
            </w:pPr>
            <w:r w:rsidRPr="007C5BB2">
              <w:rPr>
                <w:b/>
                <w:bCs/>
                <w:color w:val="FFFFFF" w:themeColor="background1"/>
              </w:rPr>
              <w:t>Total</w:t>
            </w:r>
          </w:p>
        </w:tc>
      </w:tr>
      <w:tr w:rsidR="00987522" w:rsidRPr="007C5BB2" w14:paraId="4742D7DC"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noWrap/>
            <w:hideMark/>
          </w:tcPr>
          <w:p w14:paraId="4E24EDCC" w14:textId="77777777" w:rsidR="00987522" w:rsidRPr="007C5BB2" w:rsidRDefault="00987522" w:rsidP="00987522">
            <w:pPr>
              <w:spacing w:after="0" w:line="240" w:lineRule="auto"/>
              <w:rPr>
                <w:rFonts w:cs="Arial"/>
                <w:color w:val="000000"/>
              </w:rPr>
            </w:pPr>
            <w:r w:rsidRPr="007C5BB2">
              <w:rPr>
                <w:rFonts w:cs="Arial"/>
                <w:color w:val="000000"/>
              </w:rPr>
              <w:t>NSW</w:t>
            </w:r>
          </w:p>
        </w:tc>
        <w:tc>
          <w:tcPr>
            <w:tcW w:w="1453" w:type="dxa"/>
            <w:tcBorders>
              <w:top w:val="single" w:sz="4" w:space="0" w:color="auto"/>
              <w:left w:val="single" w:sz="4" w:space="0" w:color="auto"/>
              <w:bottom w:val="single" w:sz="4" w:space="0" w:color="auto"/>
              <w:right w:val="single" w:sz="4" w:space="0" w:color="auto"/>
            </w:tcBorders>
            <w:noWrap/>
            <w:hideMark/>
          </w:tcPr>
          <w:p w14:paraId="79C3914F" w14:textId="77777777" w:rsidR="00987522" w:rsidRPr="007C5BB2" w:rsidRDefault="00987522" w:rsidP="00987522">
            <w:pPr>
              <w:spacing w:after="0" w:line="240" w:lineRule="auto"/>
              <w:jc w:val="right"/>
              <w:rPr>
                <w:rFonts w:cs="Arial"/>
                <w:color w:val="000000"/>
              </w:rPr>
            </w:pPr>
            <w:r w:rsidRPr="007C5BB2">
              <w:rPr>
                <w:rFonts w:cs="Arial"/>
                <w:color w:val="000000"/>
              </w:rPr>
              <w:t>541</w:t>
            </w:r>
          </w:p>
        </w:tc>
        <w:tc>
          <w:tcPr>
            <w:tcW w:w="1453" w:type="dxa"/>
            <w:tcBorders>
              <w:top w:val="single" w:sz="4" w:space="0" w:color="auto"/>
              <w:left w:val="single" w:sz="4" w:space="0" w:color="auto"/>
              <w:bottom w:val="single" w:sz="4" w:space="0" w:color="auto"/>
              <w:right w:val="single" w:sz="4" w:space="0" w:color="auto"/>
            </w:tcBorders>
            <w:noWrap/>
            <w:hideMark/>
          </w:tcPr>
          <w:p w14:paraId="5EAA7A9C" w14:textId="77777777" w:rsidR="00987522" w:rsidRPr="007C5BB2" w:rsidRDefault="00987522" w:rsidP="00987522">
            <w:pPr>
              <w:spacing w:after="0" w:line="240" w:lineRule="auto"/>
              <w:jc w:val="right"/>
              <w:rPr>
                <w:rFonts w:cs="Arial"/>
                <w:color w:val="000000"/>
              </w:rPr>
            </w:pPr>
            <w:r w:rsidRPr="007C5BB2">
              <w:rPr>
                <w:rFonts w:cs="Arial"/>
                <w:color w:val="000000"/>
              </w:rPr>
              <w:t>169</w:t>
            </w:r>
          </w:p>
        </w:tc>
        <w:tc>
          <w:tcPr>
            <w:tcW w:w="1453" w:type="dxa"/>
            <w:tcBorders>
              <w:top w:val="single" w:sz="4" w:space="0" w:color="auto"/>
              <w:left w:val="single" w:sz="4" w:space="0" w:color="auto"/>
              <w:bottom w:val="single" w:sz="4" w:space="0" w:color="auto"/>
              <w:right w:val="single" w:sz="4" w:space="0" w:color="auto"/>
            </w:tcBorders>
            <w:noWrap/>
            <w:hideMark/>
          </w:tcPr>
          <w:p w14:paraId="4D2E96B3" w14:textId="77777777" w:rsidR="00987522" w:rsidRPr="007C5BB2" w:rsidRDefault="00987522" w:rsidP="00987522">
            <w:pPr>
              <w:spacing w:after="0" w:line="240" w:lineRule="auto"/>
              <w:jc w:val="right"/>
              <w:rPr>
                <w:rFonts w:cs="Arial"/>
                <w:color w:val="000000"/>
              </w:rPr>
            </w:pPr>
            <w:r w:rsidRPr="007C5BB2">
              <w:rPr>
                <w:rFonts w:cs="Arial"/>
                <w:color w:val="000000"/>
              </w:rPr>
              <w:t>108</w:t>
            </w:r>
          </w:p>
        </w:tc>
        <w:tc>
          <w:tcPr>
            <w:tcW w:w="1453" w:type="dxa"/>
            <w:tcBorders>
              <w:top w:val="single" w:sz="4" w:space="0" w:color="auto"/>
              <w:left w:val="single" w:sz="4" w:space="0" w:color="auto"/>
              <w:bottom w:val="single" w:sz="4" w:space="0" w:color="auto"/>
              <w:right w:val="single" w:sz="4" w:space="0" w:color="auto"/>
            </w:tcBorders>
            <w:hideMark/>
          </w:tcPr>
          <w:p w14:paraId="0F583DAD" w14:textId="77777777" w:rsidR="00987522" w:rsidRPr="00B25EB4" w:rsidRDefault="00987522" w:rsidP="00987522">
            <w:pPr>
              <w:spacing w:after="0" w:line="240" w:lineRule="auto"/>
              <w:jc w:val="right"/>
              <w:rPr>
                <w:rFonts w:cs="Arial"/>
                <w:b/>
                <w:bCs/>
                <w:color w:val="000000"/>
              </w:rPr>
            </w:pPr>
            <w:r w:rsidRPr="00B25EB4">
              <w:rPr>
                <w:rFonts w:cs="Arial"/>
                <w:b/>
                <w:bCs/>
              </w:rPr>
              <w:t>818</w:t>
            </w:r>
          </w:p>
        </w:tc>
      </w:tr>
      <w:tr w:rsidR="00987522" w:rsidRPr="007C5BB2" w14:paraId="43519319"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A5FEDBC" w14:textId="77777777" w:rsidR="00987522" w:rsidRPr="007C5BB2" w:rsidRDefault="00987522" w:rsidP="00987522">
            <w:pPr>
              <w:spacing w:after="0" w:line="240" w:lineRule="auto"/>
              <w:rPr>
                <w:rFonts w:cs="Arial"/>
                <w:color w:val="000000"/>
              </w:rPr>
            </w:pPr>
            <w:r w:rsidRPr="007C5BB2">
              <w:rPr>
                <w:rFonts w:cs="Arial"/>
                <w:color w:val="000000"/>
              </w:rPr>
              <w:t>Vic.</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7D3024D4" w14:textId="77777777" w:rsidR="00987522" w:rsidRPr="007C5BB2" w:rsidRDefault="00987522" w:rsidP="00987522">
            <w:pPr>
              <w:spacing w:after="0" w:line="240" w:lineRule="auto"/>
              <w:jc w:val="right"/>
              <w:rPr>
                <w:rFonts w:cs="Arial"/>
                <w:color w:val="000000"/>
              </w:rPr>
            </w:pPr>
            <w:r w:rsidRPr="007C5BB2">
              <w:rPr>
                <w:rFonts w:cs="Arial"/>
                <w:color w:val="000000"/>
              </w:rPr>
              <w:t>125</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3B01C98F" w14:textId="77777777" w:rsidR="00987522" w:rsidRPr="007C5BB2" w:rsidRDefault="00987522" w:rsidP="00987522">
            <w:pPr>
              <w:spacing w:after="0" w:line="240" w:lineRule="auto"/>
              <w:jc w:val="right"/>
              <w:rPr>
                <w:rFonts w:cs="Arial"/>
                <w:color w:val="000000"/>
              </w:rPr>
            </w:pPr>
            <w:r w:rsidRPr="007C5BB2">
              <w:rPr>
                <w:rFonts w:cs="Arial"/>
                <w:color w:val="000000"/>
              </w:rPr>
              <w:t>152</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4E9E4632" w14:textId="77777777" w:rsidR="00987522" w:rsidRPr="007C5BB2" w:rsidRDefault="00987522" w:rsidP="00987522">
            <w:pPr>
              <w:spacing w:after="0" w:line="240" w:lineRule="auto"/>
              <w:jc w:val="right"/>
              <w:rPr>
                <w:rFonts w:cs="Arial"/>
                <w:color w:val="000000"/>
              </w:rPr>
            </w:pPr>
            <w:r w:rsidRPr="007C5BB2">
              <w:rPr>
                <w:rFonts w:cs="Arial"/>
                <w:color w:val="000000"/>
              </w:rPr>
              <w:t>47</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8F7BE70" w14:textId="77777777" w:rsidR="00987522" w:rsidRPr="00B25EB4" w:rsidRDefault="00987522" w:rsidP="00987522">
            <w:pPr>
              <w:spacing w:after="0" w:line="240" w:lineRule="auto"/>
              <w:jc w:val="right"/>
              <w:rPr>
                <w:rFonts w:cs="Arial"/>
                <w:b/>
                <w:bCs/>
                <w:color w:val="000000"/>
              </w:rPr>
            </w:pPr>
            <w:r w:rsidRPr="00B25EB4">
              <w:rPr>
                <w:rFonts w:cs="Arial"/>
                <w:b/>
                <w:bCs/>
              </w:rPr>
              <w:t>324</w:t>
            </w:r>
          </w:p>
        </w:tc>
      </w:tr>
      <w:tr w:rsidR="00987522" w:rsidRPr="007C5BB2" w14:paraId="38B16120"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noWrap/>
            <w:hideMark/>
          </w:tcPr>
          <w:p w14:paraId="2B84F9B4" w14:textId="77777777" w:rsidR="00987522" w:rsidRPr="007C5BB2" w:rsidRDefault="00987522" w:rsidP="00987522">
            <w:pPr>
              <w:spacing w:after="0" w:line="240" w:lineRule="auto"/>
              <w:rPr>
                <w:rFonts w:cs="Arial"/>
                <w:color w:val="000000"/>
              </w:rPr>
            </w:pPr>
            <w:r w:rsidRPr="007C5BB2">
              <w:rPr>
                <w:rFonts w:cs="Arial"/>
                <w:color w:val="000000"/>
              </w:rPr>
              <w:t>SA</w:t>
            </w:r>
          </w:p>
        </w:tc>
        <w:tc>
          <w:tcPr>
            <w:tcW w:w="1453" w:type="dxa"/>
            <w:tcBorders>
              <w:top w:val="single" w:sz="4" w:space="0" w:color="auto"/>
              <w:left w:val="single" w:sz="4" w:space="0" w:color="auto"/>
              <w:bottom w:val="single" w:sz="4" w:space="0" w:color="auto"/>
              <w:right w:val="single" w:sz="4" w:space="0" w:color="auto"/>
            </w:tcBorders>
            <w:noWrap/>
            <w:hideMark/>
          </w:tcPr>
          <w:p w14:paraId="276C3D24" w14:textId="77777777" w:rsidR="00987522" w:rsidRPr="007C5BB2" w:rsidRDefault="00987522" w:rsidP="00987522">
            <w:pPr>
              <w:spacing w:after="0" w:line="240" w:lineRule="auto"/>
              <w:jc w:val="right"/>
              <w:rPr>
                <w:rFonts w:cs="Arial"/>
                <w:color w:val="000000"/>
              </w:rPr>
            </w:pPr>
            <w:r w:rsidRPr="007C5BB2">
              <w:rPr>
                <w:rFonts w:cs="Arial"/>
                <w:color w:val="000000"/>
              </w:rPr>
              <w:t>41</w:t>
            </w:r>
          </w:p>
        </w:tc>
        <w:tc>
          <w:tcPr>
            <w:tcW w:w="1453" w:type="dxa"/>
            <w:tcBorders>
              <w:top w:val="single" w:sz="4" w:space="0" w:color="auto"/>
              <w:left w:val="single" w:sz="4" w:space="0" w:color="auto"/>
              <w:bottom w:val="single" w:sz="4" w:space="0" w:color="auto"/>
              <w:right w:val="single" w:sz="4" w:space="0" w:color="auto"/>
            </w:tcBorders>
            <w:noWrap/>
            <w:hideMark/>
          </w:tcPr>
          <w:p w14:paraId="7E72643E" w14:textId="77777777" w:rsidR="00987522" w:rsidRPr="007C5BB2" w:rsidRDefault="00987522" w:rsidP="00987522">
            <w:pPr>
              <w:spacing w:after="0" w:line="240" w:lineRule="auto"/>
              <w:jc w:val="right"/>
              <w:rPr>
                <w:rFonts w:cs="Arial"/>
                <w:color w:val="000000"/>
              </w:rPr>
            </w:pPr>
            <w:r w:rsidRPr="007C5BB2">
              <w:rPr>
                <w:rFonts w:cs="Arial"/>
                <w:color w:val="000000"/>
              </w:rPr>
              <w:t>22</w:t>
            </w:r>
          </w:p>
        </w:tc>
        <w:tc>
          <w:tcPr>
            <w:tcW w:w="1453" w:type="dxa"/>
            <w:tcBorders>
              <w:top w:val="single" w:sz="4" w:space="0" w:color="auto"/>
              <w:left w:val="single" w:sz="4" w:space="0" w:color="auto"/>
              <w:bottom w:val="single" w:sz="4" w:space="0" w:color="auto"/>
              <w:right w:val="single" w:sz="4" w:space="0" w:color="auto"/>
            </w:tcBorders>
            <w:noWrap/>
            <w:hideMark/>
          </w:tcPr>
          <w:p w14:paraId="057C9A62" w14:textId="77777777" w:rsidR="00987522" w:rsidRPr="007C5BB2" w:rsidRDefault="00987522" w:rsidP="00987522">
            <w:pPr>
              <w:spacing w:after="0" w:line="240" w:lineRule="auto"/>
              <w:jc w:val="right"/>
              <w:rPr>
                <w:rFonts w:cs="Arial"/>
                <w:color w:val="000000"/>
              </w:rPr>
            </w:pPr>
            <w:r w:rsidRPr="007C5BB2">
              <w:rPr>
                <w:rFonts w:cs="Arial"/>
                <w:color w:val="000000"/>
              </w:rPr>
              <w:t>12</w:t>
            </w:r>
          </w:p>
        </w:tc>
        <w:tc>
          <w:tcPr>
            <w:tcW w:w="1453" w:type="dxa"/>
            <w:tcBorders>
              <w:top w:val="single" w:sz="4" w:space="0" w:color="auto"/>
              <w:left w:val="single" w:sz="4" w:space="0" w:color="auto"/>
              <w:bottom w:val="single" w:sz="4" w:space="0" w:color="auto"/>
              <w:right w:val="single" w:sz="4" w:space="0" w:color="auto"/>
            </w:tcBorders>
            <w:hideMark/>
          </w:tcPr>
          <w:p w14:paraId="183B5ED2" w14:textId="77777777" w:rsidR="00987522" w:rsidRPr="00B25EB4" w:rsidRDefault="00987522" w:rsidP="00987522">
            <w:pPr>
              <w:spacing w:after="0" w:line="240" w:lineRule="auto"/>
              <w:jc w:val="right"/>
              <w:rPr>
                <w:rFonts w:cs="Arial"/>
                <w:b/>
                <w:bCs/>
                <w:color w:val="000000"/>
              </w:rPr>
            </w:pPr>
            <w:r w:rsidRPr="00B25EB4">
              <w:rPr>
                <w:rFonts w:cs="Arial"/>
                <w:b/>
                <w:bCs/>
              </w:rPr>
              <w:t>75</w:t>
            </w:r>
          </w:p>
        </w:tc>
      </w:tr>
      <w:tr w:rsidR="00987522" w:rsidRPr="007C5BB2" w14:paraId="0205240E"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07E7E35E" w14:textId="77777777" w:rsidR="00987522" w:rsidRPr="007C5BB2" w:rsidRDefault="00987522" w:rsidP="00987522">
            <w:pPr>
              <w:spacing w:after="0" w:line="240" w:lineRule="auto"/>
              <w:rPr>
                <w:rFonts w:cs="Arial"/>
                <w:color w:val="000000"/>
              </w:rPr>
            </w:pPr>
            <w:r w:rsidRPr="007C5BB2">
              <w:rPr>
                <w:rFonts w:cs="Arial"/>
                <w:color w:val="000000"/>
              </w:rPr>
              <w:t>ACT</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60A3F59" w14:textId="77777777" w:rsidR="00987522" w:rsidRPr="007C5BB2" w:rsidRDefault="00987522" w:rsidP="00987522">
            <w:pPr>
              <w:spacing w:after="0" w:line="240" w:lineRule="auto"/>
              <w:jc w:val="right"/>
              <w:rPr>
                <w:rFonts w:cs="Arial"/>
                <w:color w:val="000000"/>
              </w:rPr>
            </w:pPr>
            <w:r w:rsidRPr="007C5BB2">
              <w:rPr>
                <w:rFonts w:cs="Arial"/>
                <w:color w:val="000000"/>
              </w:rPr>
              <w:t>1</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322D2DFF" w14:textId="77777777" w:rsidR="00987522" w:rsidRPr="007C5BB2" w:rsidRDefault="00987522" w:rsidP="00987522">
            <w:pPr>
              <w:spacing w:after="0" w:line="240" w:lineRule="auto"/>
              <w:jc w:val="right"/>
              <w:rPr>
                <w:rFonts w:cs="Arial"/>
                <w:color w:val="000000"/>
              </w:rPr>
            </w:pPr>
            <w:r w:rsidRPr="007C5BB2">
              <w:rPr>
                <w:rFonts w:cs="Arial"/>
                <w:color w:val="000000"/>
              </w:rPr>
              <w:t>11</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0A4A625C" w14:textId="77777777" w:rsidR="00987522" w:rsidRPr="007C5BB2" w:rsidRDefault="00987522" w:rsidP="00987522">
            <w:pPr>
              <w:spacing w:after="0" w:line="240" w:lineRule="auto"/>
              <w:jc w:val="right"/>
              <w:rPr>
                <w:rFonts w:cs="Arial"/>
                <w:color w:val="000000"/>
              </w:rPr>
            </w:pPr>
            <w:r w:rsidRPr="007C5BB2">
              <w:rPr>
                <w:rFonts w:cs="Arial"/>
                <w:color w:val="000000"/>
              </w:rPr>
              <w:t>5</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2AC2B47" w14:textId="77777777" w:rsidR="00987522" w:rsidRPr="00B25EB4" w:rsidRDefault="00987522" w:rsidP="00987522">
            <w:pPr>
              <w:spacing w:after="0" w:line="240" w:lineRule="auto"/>
              <w:jc w:val="right"/>
              <w:rPr>
                <w:rFonts w:cs="Arial"/>
                <w:b/>
                <w:bCs/>
                <w:color w:val="000000"/>
              </w:rPr>
            </w:pPr>
            <w:r w:rsidRPr="00B25EB4">
              <w:rPr>
                <w:rFonts w:cs="Arial"/>
                <w:b/>
                <w:bCs/>
              </w:rPr>
              <w:t>17</w:t>
            </w:r>
          </w:p>
        </w:tc>
      </w:tr>
      <w:tr w:rsidR="00987522" w:rsidRPr="007C5BB2" w14:paraId="0B4AF19C"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noWrap/>
            <w:hideMark/>
          </w:tcPr>
          <w:p w14:paraId="1A44D7B9" w14:textId="77777777" w:rsidR="00987522" w:rsidRPr="007C5BB2" w:rsidRDefault="00987522" w:rsidP="00987522">
            <w:pPr>
              <w:spacing w:after="0" w:line="240" w:lineRule="auto"/>
              <w:rPr>
                <w:rFonts w:cs="Arial"/>
                <w:color w:val="000000"/>
              </w:rPr>
            </w:pPr>
            <w:r w:rsidRPr="007C5BB2">
              <w:rPr>
                <w:rFonts w:cs="Arial"/>
                <w:color w:val="000000"/>
              </w:rPr>
              <w:t>Tas.</w:t>
            </w:r>
          </w:p>
        </w:tc>
        <w:tc>
          <w:tcPr>
            <w:tcW w:w="1453" w:type="dxa"/>
            <w:tcBorders>
              <w:top w:val="single" w:sz="4" w:space="0" w:color="auto"/>
              <w:left w:val="single" w:sz="4" w:space="0" w:color="auto"/>
              <w:bottom w:val="single" w:sz="4" w:space="0" w:color="auto"/>
              <w:right w:val="single" w:sz="4" w:space="0" w:color="auto"/>
            </w:tcBorders>
            <w:noWrap/>
            <w:hideMark/>
          </w:tcPr>
          <w:p w14:paraId="5E14953F" w14:textId="77777777" w:rsidR="00987522" w:rsidRPr="007C5BB2" w:rsidRDefault="00987522" w:rsidP="00987522">
            <w:pPr>
              <w:spacing w:after="0" w:line="240" w:lineRule="auto"/>
              <w:jc w:val="right"/>
              <w:rPr>
                <w:rFonts w:cs="Arial"/>
                <w:color w:val="000000"/>
              </w:rPr>
            </w:pPr>
            <w:r w:rsidRPr="007C5BB2">
              <w:rPr>
                <w:rFonts w:cs="Arial"/>
                <w:color w:val="000000"/>
              </w:rPr>
              <w:t>0</w:t>
            </w:r>
          </w:p>
        </w:tc>
        <w:tc>
          <w:tcPr>
            <w:tcW w:w="1453" w:type="dxa"/>
            <w:tcBorders>
              <w:top w:val="single" w:sz="4" w:space="0" w:color="auto"/>
              <w:left w:val="single" w:sz="4" w:space="0" w:color="auto"/>
              <w:bottom w:val="single" w:sz="4" w:space="0" w:color="auto"/>
              <w:right w:val="single" w:sz="4" w:space="0" w:color="auto"/>
            </w:tcBorders>
            <w:noWrap/>
            <w:hideMark/>
          </w:tcPr>
          <w:p w14:paraId="56AE75D7" w14:textId="77777777" w:rsidR="00987522" w:rsidRPr="007C5BB2" w:rsidRDefault="00987522" w:rsidP="00987522">
            <w:pPr>
              <w:spacing w:after="0" w:line="240" w:lineRule="auto"/>
              <w:jc w:val="right"/>
              <w:rPr>
                <w:rFonts w:cs="Arial"/>
                <w:color w:val="000000"/>
              </w:rPr>
            </w:pPr>
            <w:r w:rsidRPr="007C5BB2">
              <w:rPr>
                <w:rFonts w:cs="Arial"/>
                <w:color w:val="000000"/>
              </w:rPr>
              <w:t>5</w:t>
            </w:r>
          </w:p>
        </w:tc>
        <w:tc>
          <w:tcPr>
            <w:tcW w:w="1453" w:type="dxa"/>
            <w:tcBorders>
              <w:top w:val="single" w:sz="4" w:space="0" w:color="auto"/>
              <w:left w:val="single" w:sz="4" w:space="0" w:color="auto"/>
              <w:bottom w:val="single" w:sz="4" w:space="0" w:color="auto"/>
              <w:right w:val="single" w:sz="4" w:space="0" w:color="auto"/>
            </w:tcBorders>
            <w:noWrap/>
            <w:hideMark/>
          </w:tcPr>
          <w:p w14:paraId="7DEB9EC8" w14:textId="77777777" w:rsidR="00987522" w:rsidRPr="007C5BB2" w:rsidRDefault="00987522" w:rsidP="00987522">
            <w:pPr>
              <w:spacing w:after="0" w:line="240" w:lineRule="auto"/>
              <w:jc w:val="right"/>
              <w:rPr>
                <w:rFonts w:cs="Arial"/>
                <w:color w:val="000000"/>
              </w:rPr>
            </w:pPr>
            <w:r w:rsidRPr="007C5BB2">
              <w:rPr>
                <w:rFonts w:cs="Arial"/>
                <w:color w:val="000000"/>
              </w:rPr>
              <w:t>151</w:t>
            </w:r>
          </w:p>
        </w:tc>
        <w:tc>
          <w:tcPr>
            <w:tcW w:w="1453" w:type="dxa"/>
            <w:tcBorders>
              <w:top w:val="single" w:sz="4" w:space="0" w:color="auto"/>
              <w:left w:val="single" w:sz="4" w:space="0" w:color="auto"/>
              <w:bottom w:val="single" w:sz="4" w:space="0" w:color="auto"/>
              <w:right w:val="single" w:sz="4" w:space="0" w:color="auto"/>
            </w:tcBorders>
            <w:hideMark/>
          </w:tcPr>
          <w:p w14:paraId="53374B27" w14:textId="77777777" w:rsidR="00987522" w:rsidRPr="00B25EB4" w:rsidRDefault="00987522" w:rsidP="00987522">
            <w:pPr>
              <w:spacing w:after="0" w:line="240" w:lineRule="auto"/>
              <w:jc w:val="right"/>
              <w:rPr>
                <w:rFonts w:cs="Arial"/>
                <w:b/>
                <w:bCs/>
                <w:color w:val="000000"/>
              </w:rPr>
            </w:pPr>
            <w:r w:rsidRPr="00B25EB4">
              <w:rPr>
                <w:rFonts w:cs="Arial"/>
                <w:b/>
                <w:bCs/>
              </w:rPr>
              <w:t>156</w:t>
            </w:r>
          </w:p>
        </w:tc>
      </w:tr>
      <w:tr w:rsidR="00987522" w:rsidRPr="007C5BB2" w14:paraId="50A9128C" w14:textId="77777777" w:rsidTr="007C5BB2">
        <w:trPr>
          <w:trHeight w:val="206"/>
        </w:trPr>
        <w:tc>
          <w:tcPr>
            <w:tcW w:w="112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5523AA5D" w14:textId="77777777" w:rsidR="00987522" w:rsidRPr="007C5BB2" w:rsidRDefault="00987522" w:rsidP="00987522">
            <w:pPr>
              <w:spacing w:after="0" w:line="240" w:lineRule="auto"/>
              <w:rPr>
                <w:rFonts w:cs="Arial"/>
                <w:b/>
                <w:bCs/>
                <w:color w:val="000000"/>
              </w:rPr>
            </w:pPr>
            <w:r w:rsidRPr="007C5BB2">
              <w:rPr>
                <w:rFonts w:cs="Arial"/>
                <w:b/>
                <w:bCs/>
                <w:color w:val="000000"/>
              </w:rPr>
              <w:t>Total</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544B9092" w14:textId="77777777" w:rsidR="00987522" w:rsidRPr="007C5BB2" w:rsidRDefault="00987522" w:rsidP="00987522">
            <w:pPr>
              <w:spacing w:after="0" w:line="240" w:lineRule="auto"/>
              <w:jc w:val="right"/>
              <w:rPr>
                <w:rFonts w:cs="Arial"/>
                <w:b/>
                <w:bCs/>
                <w:color w:val="000000"/>
              </w:rPr>
            </w:pPr>
            <w:r w:rsidRPr="007C5BB2">
              <w:rPr>
                <w:rFonts w:cs="Arial"/>
                <w:b/>
                <w:bCs/>
              </w:rPr>
              <w:t>708</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71F60242" w14:textId="77777777" w:rsidR="00987522" w:rsidRPr="007C5BB2" w:rsidRDefault="00987522" w:rsidP="00987522">
            <w:pPr>
              <w:spacing w:after="0" w:line="240" w:lineRule="auto"/>
              <w:jc w:val="right"/>
              <w:rPr>
                <w:rFonts w:cs="Arial"/>
                <w:b/>
                <w:bCs/>
                <w:color w:val="000000"/>
              </w:rPr>
            </w:pPr>
            <w:r w:rsidRPr="007C5BB2">
              <w:rPr>
                <w:rFonts w:cs="Arial"/>
                <w:b/>
                <w:bCs/>
              </w:rPr>
              <w:t>359</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05C19A49" w14:textId="77777777" w:rsidR="00987522" w:rsidRPr="007C5BB2" w:rsidRDefault="00987522" w:rsidP="00987522">
            <w:pPr>
              <w:spacing w:after="0" w:line="240" w:lineRule="auto"/>
              <w:jc w:val="right"/>
              <w:rPr>
                <w:rFonts w:cs="Arial"/>
                <w:b/>
                <w:bCs/>
                <w:color w:val="000000"/>
              </w:rPr>
            </w:pPr>
            <w:r w:rsidRPr="007C5BB2">
              <w:rPr>
                <w:rFonts w:cs="Arial"/>
                <w:b/>
                <w:bCs/>
              </w:rPr>
              <w:t>323</w:t>
            </w:r>
          </w:p>
        </w:tc>
        <w:tc>
          <w:tcPr>
            <w:tcW w:w="145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F48A32E" w14:textId="77777777" w:rsidR="00987522" w:rsidRPr="007C5BB2" w:rsidRDefault="00987522" w:rsidP="00987522">
            <w:pPr>
              <w:spacing w:after="0" w:line="240" w:lineRule="auto"/>
              <w:jc w:val="right"/>
              <w:rPr>
                <w:rFonts w:cs="Arial"/>
                <w:b/>
                <w:bCs/>
                <w:color w:val="000000"/>
              </w:rPr>
            </w:pPr>
            <w:r w:rsidRPr="007C5BB2">
              <w:rPr>
                <w:rFonts w:cs="Arial"/>
                <w:b/>
                <w:bCs/>
                <w:color w:val="000000"/>
              </w:rPr>
              <w:t>1,390</w:t>
            </w:r>
          </w:p>
        </w:tc>
      </w:tr>
    </w:tbl>
    <w:p w14:paraId="01396200" w14:textId="548BB8D9" w:rsidR="00987522" w:rsidRPr="00E57528" w:rsidRDefault="00987522" w:rsidP="00987522">
      <w:pPr>
        <w:rPr>
          <w:i/>
          <w:iCs/>
          <w:sz w:val="16"/>
          <w:szCs w:val="16"/>
        </w:rPr>
      </w:pPr>
      <w:r w:rsidRPr="00E57528">
        <w:rPr>
          <w:i/>
          <w:iCs/>
          <w:sz w:val="16"/>
          <w:szCs w:val="16"/>
        </w:rPr>
        <w:t xml:space="preserve">Note: </w:t>
      </w:r>
      <w:bookmarkStart w:id="11" w:name="_Hlk35777556"/>
      <w:r w:rsidRPr="00E57528">
        <w:rPr>
          <w:i/>
          <w:iCs/>
          <w:sz w:val="16"/>
          <w:szCs w:val="16"/>
        </w:rPr>
        <w:t xml:space="preserve">the information for outages of less than 4 hours and no outages </w:t>
      </w:r>
      <w:r w:rsidR="00861F0F">
        <w:rPr>
          <w:i/>
          <w:iCs/>
          <w:sz w:val="16"/>
          <w:szCs w:val="16"/>
        </w:rPr>
        <w:t xml:space="preserve">was </w:t>
      </w:r>
      <w:r w:rsidR="001F1869">
        <w:rPr>
          <w:i/>
          <w:iCs/>
          <w:sz w:val="16"/>
          <w:szCs w:val="16"/>
        </w:rPr>
        <w:t xml:space="preserve">only </w:t>
      </w:r>
      <w:r w:rsidR="00861F0F">
        <w:rPr>
          <w:i/>
          <w:iCs/>
          <w:sz w:val="16"/>
          <w:szCs w:val="16"/>
        </w:rPr>
        <w:t>reported by</w:t>
      </w:r>
      <w:r w:rsidRPr="00E57528">
        <w:rPr>
          <w:i/>
          <w:iCs/>
          <w:sz w:val="16"/>
          <w:szCs w:val="16"/>
        </w:rPr>
        <w:t xml:space="preserve"> three of the four carriers.  </w:t>
      </w:r>
    </w:p>
    <w:bookmarkEnd w:id="11"/>
    <w:p w14:paraId="11714503" w14:textId="24C6F491" w:rsidR="00987522" w:rsidRDefault="00987522" w:rsidP="00987522">
      <w:r>
        <w:t xml:space="preserve">During the review period, facilities were impacted for four hours or more by bushfires in NSW, Victoria, SA and ACT. Bushfires in Tasmania impacted facilities for less than four hours during the review period. No </w:t>
      </w:r>
      <w:r w:rsidR="00630FAE">
        <w:t xml:space="preserve">outages were reported for </w:t>
      </w:r>
      <w:r>
        <w:t xml:space="preserve">facilities in </w:t>
      </w:r>
      <w:r w:rsidR="00B644FB">
        <w:t>Queensland (</w:t>
      </w:r>
      <w:r>
        <w:t>Qld</w:t>
      </w:r>
      <w:r w:rsidR="00B644FB">
        <w:t>)</w:t>
      </w:r>
      <w:r>
        <w:t xml:space="preserve">, </w:t>
      </w:r>
      <w:r w:rsidR="00B644FB">
        <w:t>Western Australia (</w:t>
      </w:r>
      <w:r>
        <w:t>WA</w:t>
      </w:r>
      <w:r w:rsidR="00B644FB">
        <w:t>)</w:t>
      </w:r>
      <w:r>
        <w:t xml:space="preserve"> or </w:t>
      </w:r>
      <w:r w:rsidR="00B644FB">
        <w:t>the Northern Territory (</w:t>
      </w:r>
      <w:r>
        <w:t>NT</w:t>
      </w:r>
      <w:r w:rsidR="00B644FB">
        <w:t>),</w:t>
      </w:r>
      <w:r>
        <w:t xml:space="preserve"> despite bushfires burning</w:t>
      </w:r>
      <w:r w:rsidRPr="005E7AD4">
        <w:rPr>
          <w:i/>
          <w:iCs/>
          <w:color w:val="FF0000"/>
        </w:rPr>
        <w:t xml:space="preserve"> </w:t>
      </w:r>
      <w:r w:rsidRPr="00B25EB4">
        <w:t>in those</w:t>
      </w:r>
      <w:r w:rsidRPr="00FB66A9">
        <w:rPr>
          <w:i/>
          <w:iCs/>
        </w:rPr>
        <w:t xml:space="preserve"> </w:t>
      </w:r>
      <w:r w:rsidRPr="00320361">
        <w:t xml:space="preserve">areas. </w:t>
      </w:r>
    </w:p>
    <w:p w14:paraId="4171419B" w14:textId="77777777" w:rsidR="00987522" w:rsidRDefault="00987522" w:rsidP="00987522">
      <w:r>
        <w:t xml:space="preserve">NSW had the highest number of facilities impacted by the bushfires during the review period (818), followed by Victoria (324). </w:t>
      </w:r>
    </w:p>
    <w:p w14:paraId="30EEC185" w14:textId="5EAE0B2F" w:rsidR="00987522" w:rsidRDefault="00B644FB" w:rsidP="00987522">
      <w:r>
        <w:t xml:space="preserve">Of all the facilities impacted, </w:t>
      </w:r>
      <w:r w:rsidR="00987522" w:rsidRPr="00C43638">
        <w:t>51 per cent</w:t>
      </w:r>
      <w:r w:rsidR="00987522">
        <w:t xml:space="preserve"> experienced outages of four hours or more during the review period, while </w:t>
      </w:r>
      <w:r w:rsidR="00987522" w:rsidRPr="00C43638">
        <w:t>26 per cent</w:t>
      </w:r>
      <w:r w:rsidR="00987522">
        <w:t xml:space="preserve"> experienced outages of less than four hours. The remaining </w:t>
      </w:r>
      <w:r w:rsidR="00987522" w:rsidRPr="00C43638">
        <w:t>23</w:t>
      </w:r>
      <w:r w:rsidR="00987522">
        <w:t xml:space="preserve"> per cent of facilities were impacted but did not experience any outages. </w:t>
      </w:r>
    </w:p>
    <w:p w14:paraId="5282E42E" w14:textId="77777777" w:rsidR="00987522" w:rsidRPr="0017076F" w:rsidRDefault="00987522" w:rsidP="00987522">
      <w:pPr>
        <w:pStyle w:val="Heading2"/>
      </w:pPr>
      <w:bookmarkStart w:id="12" w:name="_Toc37080607"/>
      <w:bookmarkStart w:id="13" w:name="_Hlk35778915"/>
      <w:r w:rsidRPr="0017076F">
        <w:t>Impacts to cables</w:t>
      </w:r>
      <w:bookmarkEnd w:id="12"/>
      <w:r w:rsidRPr="0017076F">
        <w:t xml:space="preserve"> </w:t>
      </w:r>
    </w:p>
    <w:p w14:paraId="0278A2E3" w14:textId="77777777" w:rsidR="00987522" w:rsidRPr="00B47CBF" w:rsidRDefault="00987522" w:rsidP="007C5BB2">
      <w:pPr>
        <w:pStyle w:val="Paragraphbeforelist"/>
      </w:pPr>
      <w:r w:rsidRPr="00B47CBF">
        <w:t>The carriers also advised of the following bushfire impacts to the cable elements of their fixed-line networks</w:t>
      </w:r>
      <w:r>
        <w:t xml:space="preserve"> for the entire bushfire season</w:t>
      </w:r>
      <w:r w:rsidRPr="00B47CBF">
        <w:t>:</w:t>
      </w:r>
    </w:p>
    <w:p w14:paraId="690DA0B3" w14:textId="003141FF" w:rsidR="00987522" w:rsidRPr="00FF328F" w:rsidRDefault="00987522" w:rsidP="007C5BB2">
      <w:pPr>
        <w:pStyle w:val="Bulletlevel1"/>
      </w:pPr>
      <w:r w:rsidRPr="00FF328F">
        <w:t>51 kilometres of copper cable was damaged and need</w:t>
      </w:r>
      <w:r w:rsidR="00751487">
        <w:t>ed to be</w:t>
      </w:r>
      <w:r w:rsidRPr="00FF328F">
        <w:t xml:space="preserve"> replaced</w:t>
      </w:r>
    </w:p>
    <w:p w14:paraId="4ADAE2BF" w14:textId="78AB9BB1" w:rsidR="00987522" w:rsidRPr="00FF328F" w:rsidRDefault="00987522" w:rsidP="007C5BB2">
      <w:pPr>
        <w:pStyle w:val="Bulletlevel1"/>
      </w:pPr>
      <w:r w:rsidRPr="00FF328F">
        <w:t>8.8 kilometres of optical fibre cable was damaged and need</w:t>
      </w:r>
      <w:r w:rsidR="00751487">
        <w:t>ed</w:t>
      </w:r>
      <w:r w:rsidRPr="00FF328F">
        <w:t xml:space="preserve"> to be replaced</w:t>
      </w:r>
    </w:p>
    <w:p w14:paraId="4A39A38F" w14:textId="77777777" w:rsidR="00987522" w:rsidRPr="00FF328F" w:rsidRDefault="00987522" w:rsidP="007C5BB2">
      <w:pPr>
        <w:pStyle w:val="Bulletlevel1last"/>
      </w:pPr>
      <w:r w:rsidRPr="00FF328F">
        <w:t>several cable networks that were under construction and nearly complete were damaged by the bushfires, including an aerial transmission link near Mallacoota that will need to be rebuilt.</w:t>
      </w:r>
    </w:p>
    <w:p w14:paraId="20448D8D" w14:textId="06C079AD" w:rsidR="00987522" w:rsidRDefault="00987522" w:rsidP="00987522">
      <w:r>
        <w:t>While a significantly larger length of copper cable was damaged than fibre optic cable, it is not possible for the ACMA to draw any conclusions about the resilience of either type of cable</w:t>
      </w:r>
      <w:r w:rsidR="00641A07">
        <w:t xml:space="preserve"> based on the data collected.  The </w:t>
      </w:r>
      <w:r>
        <w:t>prevalence of certain types of cable in the areas impacted</w:t>
      </w:r>
      <w:r w:rsidR="00641A07">
        <w:t xml:space="preserve"> by bushfires is likely to be relevant to any consideration of the relative resilience of different types of cabling to bushfires.</w:t>
      </w:r>
    </w:p>
    <w:p w14:paraId="00F72395" w14:textId="3A1B8D8F" w:rsidR="00987522" w:rsidRPr="00267692" w:rsidRDefault="00987522" w:rsidP="00987522">
      <w:r w:rsidRPr="00B47CBF">
        <w:lastRenderedPageBreak/>
        <w:t xml:space="preserve">One of the carriers noted that aerial infrastructure </w:t>
      </w:r>
      <w:r w:rsidR="00641A07">
        <w:t>wa</w:t>
      </w:r>
      <w:r w:rsidRPr="00B47CBF">
        <w:t xml:space="preserve">s subject to damage </w:t>
      </w:r>
      <w:r>
        <w:t>due to</w:t>
      </w:r>
      <w:r w:rsidRPr="00B47CBF">
        <w:t xml:space="preserve"> expos</w:t>
      </w:r>
      <w:r>
        <w:t>ure</w:t>
      </w:r>
      <w:r w:rsidRPr="00B47CBF">
        <w:t xml:space="preserve"> to heat and </w:t>
      </w:r>
      <w:r>
        <w:t xml:space="preserve">the </w:t>
      </w:r>
      <w:r w:rsidRPr="00B47CBF">
        <w:t>flames of a bushfire. However, it is not uncommon for fire to enter underground pit and pipe networks</w:t>
      </w:r>
      <w:r w:rsidR="00B644FB">
        <w:t>,</w:t>
      </w:r>
      <w:r w:rsidRPr="00B47CBF">
        <w:t xml:space="preserve"> causing damage to underground infrastructure. </w:t>
      </w:r>
      <w:r>
        <w:t>While u</w:t>
      </w:r>
      <w:r w:rsidRPr="00B47CBF">
        <w:t xml:space="preserve">nderground infrastructure is </w:t>
      </w:r>
      <w:r>
        <w:t>generally</w:t>
      </w:r>
      <w:r w:rsidRPr="00B47CBF">
        <w:t xml:space="preserve"> more resilient to bushfires, </w:t>
      </w:r>
      <w:r>
        <w:t>it is</w:t>
      </w:r>
      <w:r w:rsidRPr="00B47CBF">
        <w:t xml:space="preserve"> not immune to damage.</w:t>
      </w:r>
      <w:r>
        <w:t xml:space="preserve"> </w:t>
      </w:r>
    </w:p>
    <w:p w14:paraId="241CB7F0" w14:textId="77777777" w:rsidR="00987522" w:rsidRPr="001F0C85" w:rsidRDefault="00987522" w:rsidP="00987522">
      <w:pPr>
        <w:pStyle w:val="Heading2"/>
      </w:pPr>
      <w:bookmarkStart w:id="14" w:name="_Toc37080608"/>
      <w:r>
        <w:t>Facilities which experienced o</w:t>
      </w:r>
      <w:r w:rsidRPr="001F0C85">
        <w:t xml:space="preserve">utages of less than </w:t>
      </w:r>
      <w:r>
        <w:t xml:space="preserve">four </w:t>
      </w:r>
      <w:r w:rsidRPr="001F0C85">
        <w:t>hours</w:t>
      </w:r>
      <w:bookmarkEnd w:id="14"/>
    </w:p>
    <w:bookmarkEnd w:id="13"/>
    <w:p w14:paraId="7CC93D7D" w14:textId="09463D75" w:rsidR="00987522" w:rsidRPr="007C5BB2" w:rsidRDefault="00987522" w:rsidP="007C5BB2">
      <w:pPr>
        <w:pStyle w:val="Paragraph"/>
        <w:rPr>
          <w:szCs w:val="21"/>
        </w:rPr>
      </w:pPr>
      <w:r w:rsidRPr="007C5BB2">
        <w:t xml:space="preserve">During the review period, 359 facilities experienced outages of less than four hours. </w:t>
      </w:r>
      <w:r w:rsidR="00E810F1">
        <w:t>These outages were caused</w:t>
      </w:r>
      <w:r w:rsidR="00CD0CCC">
        <w:t xml:space="preserve"> by power disruptions</w:t>
      </w:r>
      <w:r w:rsidRPr="007C5BB2">
        <w:t xml:space="preserve">. This means that the outages were </w:t>
      </w:r>
      <w:r w:rsidRPr="007C5BB2">
        <w:rPr>
          <w:szCs w:val="21"/>
        </w:rPr>
        <w:t xml:space="preserve">resolved by the restoration of power. </w:t>
      </w:r>
    </w:p>
    <w:p w14:paraId="4F48DECE" w14:textId="71C634B8" w:rsidR="00987522" w:rsidRPr="007C5BB2" w:rsidRDefault="00B644FB" w:rsidP="007C5BB2">
      <w:pPr>
        <w:pStyle w:val="Paragraph"/>
      </w:pPr>
      <w:r w:rsidRPr="007C5BB2">
        <w:t>Most</w:t>
      </w:r>
      <w:r w:rsidR="00987522" w:rsidRPr="007C5BB2">
        <w:t xml:space="preserve"> facilities </w:t>
      </w:r>
      <w:r>
        <w:t>that</w:t>
      </w:r>
      <w:r w:rsidRPr="007C5BB2">
        <w:t xml:space="preserve"> </w:t>
      </w:r>
      <w:r w:rsidR="00987522" w:rsidRPr="007C5BB2">
        <w:t xml:space="preserve">experienced outages of less than four hours occurred in NSW (47 per cent) and Victoria (42 per cent).  </w:t>
      </w:r>
    </w:p>
    <w:p w14:paraId="399866C5" w14:textId="0DE77EEF" w:rsidR="00987522" w:rsidRPr="007C5BB2" w:rsidRDefault="00987522" w:rsidP="007C5BB2">
      <w:pPr>
        <w:pStyle w:val="Paragraph"/>
        <w:rPr>
          <w:i/>
          <w:iCs/>
          <w:color w:val="FF0000"/>
        </w:rPr>
      </w:pPr>
      <w:r w:rsidRPr="007C5BB2">
        <w:t xml:space="preserve">An additional </w:t>
      </w:r>
      <w:r w:rsidR="00074925">
        <w:t>323</w:t>
      </w:r>
      <w:r w:rsidRPr="007C5BB2">
        <w:t xml:space="preserve"> facilities were impacted by the bushfires, either directly or indirectly, but did not experience any outage. This is because the facilities were supported by backup power until </w:t>
      </w:r>
      <w:r w:rsidR="00641A07">
        <w:t xml:space="preserve">mains </w:t>
      </w:r>
      <w:r w:rsidRPr="007C5BB2">
        <w:t>power was restored.</w:t>
      </w:r>
      <w:r w:rsidRPr="007C5BB2">
        <w:rPr>
          <w:i/>
          <w:iCs/>
          <w:color w:val="FF0000"/>
        </w:rPr>
        <w:t xml:space="preserve"> </w:t>
      </w:r>
    </w:p>
    <w:p w14:paraId="26AB568E" w14:textId="77777777" w:rsidR="00987522" w:rsidRPr="001F0C85" w:rsidRDefault="00987522" w:rsidP="00987522">
      <w:pPr>
        <w:pStyle w:val="Heading2"/>
      </w:pPr>
      <w:bookmarkStart w:id="15" w:name="_Toc37080609"/>
      <w:r>
        <w:t>Facilities which experienced o</w:t>
      </w:r>
      <w:r w:rsidRPr="001F0C85">
        <w:t xml:space="preserve">utages of </w:t>
      </w:r>
      <w:r>
        <w:t xml:space="preserve">four </w:t>
      </w:r>
      <w:r w:rsidRPr="001F0C85">
        <w:t>hours</w:t>
      </w:r>
      <w:r>
        <w:t xml:space="preserve"> or more</w:t>
      </w:r>
      <w:bookmarkEnd w:id="15"/>
    </w:p>
    <w:p w14:paraId="42979A3D" w14:textId="5BE16FDA" w:rsidR="00FF328F" w:rsidRPr="00C43638" w:rsidRDefault="00987522" w:rsidP="00987522">
      <w:r>
        <w:t xml:space="preserve">The rest of this report looks at facilities </w:t>
      </w:r>
      <w:r w:rsidR="00B644FB">
        <w:t xml:space="preserve">that </w:t>
      </w:r>
      <w:r>
        <w:t>experienced outages of four hours or more. This is because o</w:t>
      </w:r>
      <w:r w:rsidRPr="00C20572">
        <w:t xml:space="preserve">utages below this threshold </w:t>
      </w:r>
      <w:r>
        <w:t xml:space="preserve">provide limited insights into the resilience of telecommunications networks and are likely to have a lesser impact </w:t>
      </w:r>
      <w:r w:rsidRPr="00B94DBE">
        <w:t>on the users of the networks.</w:t>
      </w:r>
      <w:r>
        <w:t xml:space="preserve"> </w:t>
      </w:r>
    </w:p>
    <w:p w14:paraId="1004555F" w14:textId="50915F6F" w:rsidR="00987522" w:rsidRPr="0017076F" w:rsidRDefault="00987522" w:rsidP="007C5BB2">
      <w:pPr>
        <w:pStyle w:val="Heading1"/>
      </w:pPr>
      <w:bookmarkStart w:id="16" w:name="_Toc37080610"/>
      <w:r w:rsidRPr="007C5BB2">
        <w:lastRenderedPageBreak/>
        <w:t>Number</w:t>
      </w:r>
      <w:r w:rsidRPr="0017076F">
        <w:t xml:space="preserve"> of outages</w:t>
      </w:r>
      <w:bookmarkEnd w:id="16"/>
      <w:r w:rsidRPr="0017076F">
        <w:t xml:space="preserve"> </w:t>
      </w:r>
    </w:p>
    <w:p w14:paraId="114BD87C" w14:textId="77777777" w:rsidR="00987522" w:rsidRPr="009D3FBD" w:rsidRDefault="00987522" w:rsidP="007C5BB2">
      <w:pPr>
        <w:pStyle w:val="Heading2"/>
      </w:pPr>
      <w:bookmarkStart w:id="17" w:name="_Toc37080611"/>
      <w:r w:rsidRPr="009D3FBD">
        <w:t xml:space="preserve">By </w:t>
      </w:r>
      <w:r>
        <w:t>location and network type</w:t>
      </w:r>
      <w:bookmarkEnd w:id="17"/>
    </w:p>
    <w:p w14:paraId="5E7079F1" w14:textId="0C7D46E5" w:rsidR="00020C27" w:rsidRDefault="00987522" w:rsidP="00B25EB4">
      <w:pPr>
        <w:pStyle w:val="Paragraph"/>
      </w:pPr>
      <w:r w:rsidRPr="001E2ED8">
        <w:t>Figure 1</w:t>
      </w:r>
      <w:r w:rsidRPr="00262F4C">
        <w:t xml:space="preserve"> maps the number of outage</w:t>
      </w:r>
      <w:r w:rsidR="000424DB">
        <w:t xml:space="preserve"> incident</w:t>
      </w:r>
      <w:r w:rsidRPr="00262F4C">
        <w:t>s by network type</w:t>
      </w:r>
      <w:r>
        <w:t xml:space="preserve"> for outages of four hours or more</w:t>
      </w:r>
      <w:r w:rsidRPr="00262F4C">
        <w:t xml:space="preserve">. </w:t>
      </w:r>
      <w:r w:rsidR="00020C27" w:rsidRPr="00262F4C">
        <w:t xml:space="preserve">The number of </w:t>
      </w:r>
      <w:r w:rsidR="00020C27">
        <w:t>‘</w:t>
      </w:r>
      <w:r w:rsidR="00020C27" w:rsidRPr="00262F4C">
        <w:t>outage</w:t>
      </w:r>
      <w:r w:rsidR="00020C27">
        <w:t xml:space="preserve"> incident</w:t>
      </w:r>
      <w:r w:rsidR="00020C27" w:rsidRPr="00262F4C">
        <w:t>s</w:t>
      </w:r>
      <w:r w:rsidR="00020C27">
        <w:t>’</w:t>
      </w:r>
      <w:r w:rsidR="00020C27" w:rsidRPr="00262F4C">
        <w:t xml:space="preserve"> refers to the count of outage</w:t>
      </w:r>
      <w:r w:rsidR="00020C27">
        <w:t>s</w:t>
      </w:r>
      <w:r w:rsidR="00020C27" w:rsidRPr="00262F4C">
        <w:t xml:space="preserve"> </w:t>
      </w:r>
      <w:r w:rsidR="00020C27">
        <w:t>at the impacted facilities</w:t>
      </w:r>
      <w:r w:rsidR="00020C27" w:rsidRPr="00262F4C">
        <w:t xml:space="preserve">, noting that a single facility can have multiple outages. </w:t>
      </w:r>
      <w:r w:rsidR="000424DB">
        <w:t>This data is in contrast to that in Table 1 above</w:t>
      </w:r>
      <w:r w:rsidR="00020C27">
        <w:t>,</w:t>
      </w:r>
      <w:r w:rsidR="000424DB">
        <w:t xml:space="preserve"> which relates to the </w:t>
      </w:r>
      <w:r w:rsidR="00020C27">
        <w:t xml:space="preserve">count of </w:t>
      </w:r>
      <w:r w:rsidR="000424DB">
        <w:t xml:space="preserve">facilities which </w:t>
      </w:r>
      <w:r w:rsidR="00DC795C">
        <w:t xml:space="preserve">experienced </w:t>
      </w:r>
      <w:r w:rsidR="000424DB">
        <w:t xml:space="preserve">one or more outage incidents during the review period. </w:t>
      </w:r>
    </w:p>
    <w:p w14:paraId="005BDF0D" w14:textId="00D6CDFB" w:rsidR="00987522" w:rsidRPr="008270C1" w:rsidRDefault="00E86F4F" w:rsidP="00020C27">
      <w:pPr>
        <w:pStyle w:val="Figureheading"/>
      </w:pPr>
      <w:r>
        <w:t>Outage incidents</w:t>
      </w:r>
      <w:r w:rsidR="00B644FB">
        <w:t>,</w:t>
      </w:r>
      <w:r w:rsidR="00987522" w:rsidRPr="008270C1">
        <w:t xml:space="preserve"> by location and network type</w:t>
      </w:r>
    </w:p>
    <w:p w14:paraId="5F88AF0B" w14:textId="5241DE4B" w:rsidR="00987522" w:rsidRDefault="00D84828" w:rsidP="00B34202">
      <w:pPr>
        <w:pStyle w:val="CommentText"/>
        <w:ind w:left="993" w:right="-126" w:hanging="993"/>
        <w:rPr>
          <w:b/>
          <w:bCs/>
          <w:color w:val="00B050"/>
          <w:sz w:val="22"/>
          <w:szCs w:val="22"/>
        </w:rPr>
      </w:pPr>
      <w:r>
        <w:rPr>
          <w:noProof/>
        </w:rPr>
        <w:drawing>
          <wp:inline distT="0" distB="0" distL="0" distR="0" wp14:anchorId="06EAAC56" wp14:editId="61DFE310">
            <wp:extent cx="5400000" cy="3834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00000" cy="3834000"/>
                    </a:xfrm>
                    <a:prstGeom prst="rect">
                      <a:avLst/>
                    </a:prstGeom>
                    <a:noFill/>
                    <a:ln>
                      <a:noFill/>
                    </a:ln>
                  </pic:spPr>
                </pic:pic>
              </a:graphicData>
            </a:graphic>
          </wp:inline>
        </w:drawing>
      </w:r>
    </w:p>
    <w:p w14:paraId="24BBC80F" w14:textId="77777777" w:rsidR="00987522" w:rsidRPr="0017076F" w:rsidRDefault="00987522" w:rsidP="007C5BB2">
      <w:pPr>
        <w:pStyle w:val="Heading2"/>
      </w:pPr>
      <w:bookmarkStart w:id="18" w:name="_Toc37080612"/>
      <w:r w:rsidRPr="0017076F">
        <w:t>By state and network type</w:t>
      </w:r>
      <w:bookmarkEnd w:id="18"/>
    </w:p>
    <w:p w14:paraId="52F6B812" w14:textId="758DC51F" w:rsidR="00987522" w:rsidRDefault="00987522" w:rsidP="007C5BB2">
      <w:pPr>
        <w:pStyle w:val="Paragraph"/>
      </w:pPr>
      <w:r>
        <w:t xml:space="preserve">Figure 2 </w:t>
      </w:r>
      <w:r w:rsidR="00A72B35">
        <w:t>and table</w:t>
      </w:r>
      <w:r>
        <w:t xml:space="preserve"> 2 show the number of outage</w:t>
      </w:r>
      <w:r w:rsidR="000A50AC">
        <w:t xml:space="preserve"> incident</w:t>
      </w:r>
      <w:r>
        <w:t>s by state and network type. There were 888 outage</w:t>
      </w:r>
      <w:r w:rsidR="000A50AC">
        <w:t xml:space="preserve"> incident</w:t>
      </w:r>
      <w:r>
        <w:t xml:space="preserve">s of </w:t>
      </w:r>
      <w:r w:rsidR="00B644FB">
        <w:t>four</w:t>
      </w:r>
      <w:r>
        <w:t xml:space="preserve"> hours or more during the review period. Of these, 57 per cent (509) were on fixed</w:t>
      </w:r>
      <w:r w:rsidR="00B644FB">
        <w:t>-</w:t>
      </w:r>
      <w:r>
        <w:t xml:space="preserve">line networks and 36 per cent (322) were on mobile networks. </w:t>
      </w:r>
      <w:r w:rsidR="00F01BD7">
        <w:t>T</w:t>
      </w:r>
      <w:r w:rsidR="00F01BD7" w:rsidRPr="00F01BD7">
        <w:t>he remaining 7</w:t>
      </w:r>
      <w:r w:rsidR="00F810FD">
        <w:t xml:space="preserve"> per cent</w:t>
      </w:r>
      <w:r w:rsidR="00F01BD7" w:rsidRPr="00F01BD7">
        <w:t xml:space="preserve"> </w:t>
      </w:r>
      <w:r w:rsidR="00F01BD7">
        <w:t>comprise</w:t>
      </w:r>
      <w:r w:rsidR="00020C27">
        <w:t>d</w:t>
      </w:r>
      <w:r w:rsidR="00F01BD7">
        <w:t xml:space="preserve"> of f</w:t>
      </w:r>
      <w:r w:rsidR="00F01BD7" w:rsidRPr="00F01BD7">
        <w:t xml:space="preserve">ixed wireless </w:t>
      </w:r>
      <w:r w:rsidR="00F810FD">
        <w:t xml:space="preserve">networks </w:t>
      </w:r>
      <w:r w:rsidR="00F01BD7" w:rsidRPr="00F01BD7">
        <w:t>and other</w:t>
      </w:r>
      <w:r w:rsidR="00F75D7F">
        <w:t xml:space="preserve"> facilities</w:t>
      </w:r>
      <w:r w:rsidR="00020C27">
        <w:rPr>
          <w:rStyle w:val="FootnoteReference"/>
        </w:rPr>
        <w:footnoteReference w:id="2"/>
      </w:r>
      <w:r w:rsidR="00F01BD7" w:rsidRPr="00F01BD7">
        <w:t xml:space="preserve">. </w:t>
      </w:r>
      <w:r>
        <w:t>NSW had the highest number of outage</w:t>
      </w:r>
      <w:r w:rsidR="00AB5088">
        <w:t xml:space="preserve"> incident</w:t>
      </w:r>
      <w:r>
        <w:t>s for both mobile and fixed</w:t>
      </w:r>
      <w:r w:rsidR="00B644FB">
        <w:t>-</w:t>
      </w:r>
      <w:r>
        <w:t>line facilities, with 434 fixed line outages (85 per cent of all fixed</w:t>
      </w:r>
      <w:r w:rsidR="00B644FB">
        <w:t>-</w:t>
      </w:r>
      <w:r>
        <w:t>line outages) and 214 mobile outages (66 per cent of all fixed</w:t>
      </w:r>
      <w:r w:rsidR="00B644FB">
        <w:t>-</w:t>
      </w:r>
      <w:r>
        <w:t>line outages).</w:t>
      </w:r>
    </w:p>
    <w:p w14:paraId="5E007576" w14:textId="7FE717B1" w:rsidR="00987522" w:rsidRDefault="00987522" w:rsidP="007C5BB2">
      <w:pPr>
        <w:pStyle w:val="Paragraph"/>
      </w:pPr>
      <w:r>
        <w:t>The most fixed</w:t>
      </w:r>
      <w:r w:rsidR="00B644FB">
        <w:t>-</w:t>
      </w:r>
      <w:r>
        <w:t xml:space="preserve">line individual services affected by any one outage </w:t>
      </w:r>
      <w:r w:rsidR="00AB5088">
        <w:t xml:space="preserve">incident </w:t>
      </w:r>
      <w:r>
        <w:t>was 2</w:t>
      </w:r>
      <w:r w:rsidR="00B644FB">
        <w:t>,</w:t>
      </w:r>
      <w:r>
        <w:t>305. The number of fixed</w:t>
      </w:r>
      <w:r w:rsidR="00B644FB">
        <w:t>-</w:t>
      </w:r>
      <w:r>
        <w:t xml:space="preserve">line services impacted represents the number of fixed services </w:t>
      </w:r>
      <w:r w:rsidR="00B644FB">
        <w:t xml:space="preserve">that </w:t>
      </w:r>
      <w:r>
        <w:t xml:space="preserve">are serviced by the impacted facility. </w:t>
      </w:r>
    </w:p>
    <w:p w14:paraId="42E91905" w14:textId="66B07709" w:rsidR="00987522" w:rsidRPr="00987522" w:rsidRDefault="00987522" w:rsidP="007C5BB2">
      <w:pPr>
        <w:pStyle w:val="Paragraph"/>
      </w:pPr>
      <w:r>
        <w:lastRenderedPageBreak/>
        <w:t xml:space="preserve">We do not have information on the number of mobile services impacted because the number of calls attempted is not captured if the mobile facility is down. It is also difficult to estimate the number of mobile services </w:t>
      </w:r>
      <w:r w:rsidR="00B644FB">
        <w:t xml:space="preserve">that </w:t>
      </w:r>
      <w:r>
        <w:t>may have been impacted based on historical data</w:t>
      </w:r>
      <w:r w:rsidR="00B644FB">
        <w:t>,</w:t>
      </w:r>
      <w:r>
        <w:t xml:space="preserve"> because the 2019</w:t>
      </w:r>
      <w:r w:rsidR="00B644FB">
        <w:t>–</w:t>
      </w:r>
      <w:r>
        <w:t xml:space="preserve">20 summer was not typical. </w:t>
      </w:r>
      <w:r w:rsidR="00793474">
        <w:t>One of the carriers</w:t>
      </w:r>
      <w:r>
        <w:t xml:space="preserve"> advised that the types of users, their movements and calling patterns appear to have been very different this summer to previous summers. We also note that not all mobile network outages will result in customer service outages. In some cases, there may be overlapping coverage from neighbouring mobile sites. </w:t>
      </w:r>
    </w:p>
    <w:p w14:paraId="10DF1FCE" w14:textId="57668B6A" w:rsidR="00646560" w:rsidRDefault="008270C1" w:rsidP="00646560">
      <w:pPr>
        <w:pStyle w:val="Figureheading"/>
      </w:pPr>
      <w:r w:rsidRPr="008270C1">
        <w:t xml:space="preserve"> N</w:t>
      </w:r>
      <w:r w:rsidR="00987522" w:rsidRPr="008270C1">
        <w:t>umber of outage</w:t>
      </w:r>
      <w:r w:rsidR="00AF116B">
        <w:t xml:space="preserve"> incident</w:t>
      </w:r>
      <w:r w:rsidR="00987522" w:rsidRPr="008270C1">
        <w:t>s</w:t>
      </w:r>
      <w:r w:rsidR="00B644FB">
        <w:t>,</w:t>
      </w:r>
      <w:r w:rsidR="00987522" w:rsidRPr="008270C1">
        <w:t xml:space="preserve"> by state and network type</w:t>
      </w:r>
      <w:r w:rsidR="00B0109B">
        <w:br/>
      </w:r>
    </w:p>
    <w:p w14:paraId="7B5248D1" w14:textId="7D0CB5BF" w:rsidR="00B0109B" w:rsidRPr="00646560" w:rsidRDefault="00B0109B" w:rsidP="00B0109B">
      <w:pPr>
        <w:pStyle w:val="Figureheading"/>
        <w:numPr>
          <w:ilvl w:val="0"/>
          <w:numId w:val="0"/>
        </w:numPr>
      </w:pPr>
      <w:r>
        <w:rPr>
          <w:noProof/>
        </w:rPr>
        <w:drawing>
          <wp:inline distT="0" distB="0" distL="0" distR="0" wp14:anchorId="6BA56213" wp14:editId="32045340">
            <wp:extent cx="4871085" cy="2562225"/>
            <wp:effectExtent l="0" t="0" r="5715"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871085" cy="2562225"/>
                    </a:xfrm>
                    <a:prstGeom prst="rect">
                      <a:avLst/>
                    </a:prstGeom>
                  </pic:spPr>
                </pic:pic>
              </a:graphicData>
            </a:graphic>
          </wp:inline>
        </w:drawing>
      </w:r>
    </w:p>
    <w:p w14:paraId="42685AD5" w14:textId="77777777" w:rsidR="00987522" w:rsidRPr="00686C33" w:rsidRDefault="00987522" w:rsidP="00987522">
      <w:pPr>
        <w:pStyle w:val="CommentText"/>
        <w:rPr>
          <w:i/>
          <w:iCs/>
          <w:sz w:val="16"/>
          <w:szCs w:val="16"/>
        </w:rPr>
      </w:pPr>
      <w:r w:rsidRPr="00686C33">
        <w:rPr>
          <w:i/>
          <w:iCs/>
          <w:sz w:val="16"/>
          <w:szCs w:val="16"/>
        </w:rPr>
        <w:t xml:space="preserve">* </w:t>
      </w:r>
      <w:bookmarkStart w:id="19" w:name="_Hlk37074317"/>
      <w:r w:rsidRPr="00686C33">
        <w:rPr>
          <w:i/>
          <w:iCs/>
          <w:sz w:val="16"/>
          <w:szCs w:val="16"/>
        </w:rPr>
        <w:t>The other category refers to equipment shelters containing electrical and switching equipment for fixed-line and mobile networks.</w:t>
      </w:r>
    </w:p>
    <w:bookmarkEnd w:id="19"/>
    <w:p w14:paraId="3BB9F33C" w14:textId="13FF4145" w:rsidR="001E2A0C" w:rsidRDefault="001E2A0C" w:rsidP="001E2A0C">
      <w:pPr>
        <w:pStyle w:val="Tableheading"/>
        <w:tabs>
          <w:tab w:val="clear" w:pos="964"/>
          <w:tab w:val="num" w:pos="360"/>
        </w:tabs>
        <w:rPr>
          <w:b w:val="0"/>
          <w:bCs w:val="0"/>
        </w:rPr>
      </w:pPr>
      <w:r>
        <w:t xml:space="preserve">Number of </w:t>
      </w:r>
      <w:r w:rsidR="009D762A">
        <w:t>outage incidents</w:t>
      </w:r>
      <w:r>
        <w:t>, by state and network type</w:t>
      </w:r>
      <w:r>
        <w:br/>
      </w:r>
    </w:p>
    <w:tbl>
      <w:tblPr>
        <w:tblW w:w="8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399"/>
        <w:gridCol w:w="1400"/>
        <w:gridCol w:w="1400"/>
        <w:gridCol w:w="1400"/>
        <w:gridCol w:w="1400"/>
        <w:gridCol w:w="1400"/>
      </w:tblGrid>
      <w:tr w:rsidR="001E2A0C" w:rsidRPr="007C5BB2" w14:paraId="2FC5DF8F"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179FDAB" w14:textId="23861A31" w:rsidR="001E2A0C" w:rsidRPr="007C5BB2" w:rsidRDefault="001E2A0C" w:rsidP="001E2A0C">
            <w:pPr>
              <w:pStyle w:val="Paragraph"/>
              <w:spacing w:after="0"/>
              <w:rPr>
                <w:b/>
                <w:bCs/>
                <w:color w:val="FFFFFF" w:themeColor="background1"/>
              </w:rPr>
            </w:pPr>
            <w:r>
              <w:rPr>
                <w:b/>
                <w:bCs/>
                <w:color w:val="FFFFFF" w:themeColor="background1"/>
              </w:rPr>
              <w:t>Network type</w:t>
            </w:r>
          </w:p>
        </w:tc>
        <w:tc>
          <w:tcPr>
            <w:tcW w:w="1400"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0058307" w14:textId="0DB85AA9" w:rsidR="001E2A0C" w:rsidRPr="007C5BB2" w:rsidRDefault="001E2A0C" w:rsidP="001E2A0C">
            <w:pPr>
              <w:pStyle w:val="Paragraph"/>
              <w:spacing w:after="0"/>
              <w:jc w:val="right"/>
              <w:rPr>
                <w:b/>
                <w:bCs/>
                <w:color w:val="FFFFFF" w:themeColor="background1"/>
              </w:rPr>
            </w:pPr>
            <w:r>
              <w:rPr>
                <w:b/>
                <w:bCs/>
                <w:color w:val="FFFFFF" w:themeColor="background1"/>
              </w:rPr>
              <w:t>NSW</w:t>
            </w:r>
          </w:p>
        </w:tc>
        <w:tc>
          <w:tcPr>
            <w:tcW w:w="1400"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1E8091C4" w14:textId="0089813F" w:rsidR="001E2A0C" w:rsidRPr="007C5BB2" w:rsidRDefault="001E2A0C" w:rsidP="001E2A0C">
            <w:pPr>
              <w:pStyle w:val="Paragraph"/>
              <w:spacing w:after="0"/>
              <w:jc w:val="right"/>
              <w:rPr>
                <w:b/>
                <w:bCs/>
                <w:color w:val="FFFFFF" w:themeColor="background1"/>
              </w:rPr>
            </w:pPr>
            <w:r>
              <w:rPr>
                <w:b/>
                <w:bCs/>
                <w:color w:val="FFFFFF" w:themeColor="background1"/>
              </w:rPr>
              <w:t>Vic.</w:t>
            </w:r>
          </w:p>
        </w:tc>
        <w:tc>
          <w:tcPr>
            <w:tcW w:w="1400"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4564C72C" w14:textId="5394A15D" w:rsidR="001E2A0C" w:rsidRPr="007C5BB2" w:rsidRDefault="001E2A0C" w:rsidP="001E2A0C">
            <w:pPr>
              <w:pStyle w:val="Paragraph"/>
              <w:spacing w:after="0"/>
              <w:jc w:val="right"/>
              <w:rPr>
                <w:b/>
                <w:bCs/>
                <w:color w:val="FFFFFF" w:themeColor="background1"/>
              </w:rPr>
            </w:pPr>
            <w:r>
              <w:rPr>
                <w:b/>
                <w:bCs/>
                <w:color w:val="FFFFFF" w:themeColor="background1"/>
              </w:rPr>
              <w:t>SA</w:t>
            </w:r>
          </w:p>
        </w:tc>
        <w:tc>
          <w:tcPr>
            <w:tcW w:w="1400"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6B97F3AD" w14:textId="1F39CB93" w:rsidR="001E2A0C" w:rsidRPr="007C5BB2" w:rsidRDefault="001E2A0C" w:rsidP="001E2A0C">
            <w:pPr>
              <w:pStyle w:val="Paragraph"/>
              <w:spacing w:after="0"/>
              <w:jc w:val="right"/>
              <w:rPr>
                <w:b/>
                <w:bCs/>
                <w:color w:val="FFFFFF" w:themeColor="background1"/>
              </w:rPr>
            </w:pPr>
            <w:r>
              <w:rPr>
                <w:b/>
                <w:bCs/>
                <w:color w:val="FFFFFF" w:themeColor="background1"/>
              </w:rPr>
              <w:t>ACT</w:t>
            </w:r>
          </w:p>
        </w:tc>
        <w:tc>
          <w:tcPr>
            <w:tcW w:w="1400"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4639BAF3" w14:textId="4DFC8570" w:rsidR="001E2A0C" w:rsidRPr="007C5BB2" w:rsidRDefault="001E2A0C" w:rsidP="001E2A0C">
            <w:pPr>
              <w:pStyle w:val="Paragraph"/>
              <w:spacing w:after="0"/>
              <w:jc w:val="right"/>
              <w:rPr>
                <w:b/>
                <w:bCs/>
                <w:color w:val="FFFFFF" w:themeColor="background1"/>
              </w:rPr>
            </w:pPr>
            <w:r w:rsidRPr="007C5BB2">
              <w:rPr>
                <w:b/>
                <w:bCs/>
                <w:color w:val="FFFFFF" w:themeColor="background1"/>
              </w:rPr>
              <w:t>Total</w:t>
            </w:r>
          </w:p>
        </w:tc>
      </w:tr>
      <w:tr w:rsidR="001E2A0C" w:rsidRPr="007C5BB2" w14:paraId="4DE9E4A3"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noWrap/>
          </w:tcPr>
          <w:p w14:paraId="551E3E46" w14:textId="134D6316" w:rsidR="001E2A0C" w:rsidRPr="007C5BB2" w:rsidRDefault="001E2A0C" w:rsidP="001E2A0C">
            <w:pPr>
              <w:spacing w:after="0" w:line="240" w:lineRule="auto"/>
              <w:rPr>
                <w:rFonts w:cs="Arial"/>
                <w:color w:val="000000"/>
              </w:rPr>
            </w:pPr>
            <w:r>
              <w:rPr>
                <w:rFonts w:cs="Arial"/>
                <w:color w:val="000000"/>
              </w:rPr>
              <w:t>Fixed line</w:t>
            </w:r>
          </w:p>
        </w:tc>
        <w:tc>
          <w:tcPr>
            <w:tcW w:w="1400" w:type="dxa"/>
            <w:tcBorders>
              <w:top w:val="single" w:sz="4" w:space="0" w:color="auto"/>
              <w:left w:val="single" w:sz="4" w:space="0" w:color="auto"/>
              <w:bottom w:val="single" w:sz="4" w:space="0" w:color="auto"/>
              <w:right w:val="single" w:sz="4" w:space="0" w:color="auto"/>
            </w:tcBorders>
            <w:noWrap/>
          </w:tcPr>
          <w:p w14:paraId="0447EEA8" w14:textId="72BC6D75" w:rsidR="001E2A0C" w:rsidRPr="007C5BB2" w:rsidRDefault="001E2A0C" w:rsidP="001E2A0C">
            <w:pPr>
              <w:spacing w:after="0" w:line="240" w:lineRule="auto"/>
              <w:jc w:val="right"/>
              <w:rPr>
                <w:rFonts w:cs="Arial"/>
                <w:color w:val="000000"/>
              </w:rPr>
            </w:pPr>
            <w:r>
              <w:rPr>
                <w:rFonts w:cs="Arial"/>
                <w:color w:val="000000"/>
              </w:rPr>
              <w:t>434</w:t>
            </w:r>
          </w:p>
        </w:tc>
        <w:tc>
          <w:tcPr>
            <w:tcW w:w="1400" w:type="dxa"/>
            <w:tcBorders>
              <w:top w:val="single" w:sz="4" w:space="0" w:color="auto"/>
              <w:left w:val="single" w:sz="4" w:space="0" w:color="auto"/>
              <w:bottom w:val="single" w:sz="4" w:space="0" w:color="auto"/>
              <w:right w:val="single" w:sz="4" w:space="0" w:color="auto"/>
            </w:tcBorders>
            <w:noWrap/>
          </w:tcPr>
          <w:p w14:paraId="569B53BC" w14:textId="1ABBD82C" w:rsidR="001E2A0C" w:rsidRPr="007C5BB2" w:rsidRDefault="001E2A0C" w:rsidP="001E2A0C">
            <w:pPr>
              <w:spacing w:after="0" w:line="240" w:lineRule="auto"/>
              <w:jc w:val="right"/>
              <w:rPr>
                <w:rFonts w:cs="Arial"/>
                <w:color w:val="000000"/>
              </w:rPr>
            </w:pPr>
            <w:r>
              <w:rPr>
                <w:rFonts w:cs="Arial"/>
                <w:color w:val="000000"/>
              </w:rPr>
              <w:t>60</w:t>
            </w:r>
          </w:p>
        </w:tc>
        <w:tc>
          <w:tcPr>
            <w:tcW w:w="1400" w:type="dxa"/>
            <w:tcBorders>
              <w:top w:val="single" w:sz="4" w:space="0" w:color="auto"/>
              <w:left w:val="single" w:sz="4" w:space="0" w:color="auto"/>
              <w:bottom w:val="single" w:sz="4" w:space="0" w:color="auto"/>
              <w:right w:val="single" w:sz="4" w:space="0" w:color="auto"/>
            </w:tcBorders>
            <w:noWrap/>
          </w:tcPr>
          <w:p w14:paraId="1FE82FB0" w14:textId="1BF0E59E" w:rsidR="001E2A0C" w:rsidRPr="007C5BB2" w:rsidRDefault="001E2A0C" w:rsidP="001E2A0C">
            <w:pPr>
              <w:spacing w:after="0" w:line="240" w:lineRule="auto"/>
              <w:jc w:val="right"/>
              <w:rPr>
                <w:rFonts w:cs="Arial"/>
                <w:color w:val="000000"/>
              </w:rPr>
            </w:pPr>
            <w:r>
              <w:rPr>
                <w:rFonts w:cs="Arial"/>
                <w:color w:val="000000"/>
              </w:rPr>
              <w:t>15</w:t>
            </w:r>
          </w:p>
        </w:tc>
        <w:tc>
          <w:tcPr>
            <w:tcW w:w="1400" w:type="dxa"/>
            <w:tcBorders>
              <w:top w:val="single" w:sz="4" w:space="0" w:color="auto"/>
              <w:left w:val="single" w:sz="4" w:space="0" w:color="auto"/>
              <w:bottom w:val="single" w:sz="4" w:space="0" w:color="auto"/>
              <w:right w:val="single" w:sz="4" w:space="0" w:color="auto"/>
            </w:tcBorders>
          </w:tcPr>
          <w:p w14:paraId="03FF1FA8" w14:textId="599B41AA" w:rsidR="001E2A0C" w:rsidRPr="001E2A0C" w:rsidRDefault="001E2A0C" w:rsidP="001E2A0C">
            <w:pPr>
              <w:spacing w:after="0" w:line="240" w:lineRule="auto"/>
              <w:jc w:val="right"/>
              <w:rPr>
                <w:rFonts w:cs="Arial"/>
                <w:color w:val="000000"/>
              </w:rPr>
            </w:pPr>
            <w:r>
              <w:rPr>
                <w:rFonts w:cs="Arial"/>
                <w:color w:val="000000"/>
              </w:rPr>
              <w:t>0</w:t>
            </w:r>
          </w:p>
        </w:tc>
        <w:tc>
          <w:tcPr>
            <w:tcW w:w="1400" w:type="dxa"/>
            <w:tcBorders>
              <w:top w:val="single" w:sz="4" w:space="0" w:color="auto"/>
              <w:left w:val="single" w:sz="4" w:space="0" w:color="auto"/>
              <w:bottom w:val="single" w:sz="4" w:space="0" w:color="auto"/>
              <w:right w:val="single" w:sz="4" w:space="0" w:color="auto"/>
            </w:tcBorders>
          </w:tcPr>
          <w:p w14:paraId="297A24FE" w14:textId="1B2ED5B7" w:rsidR="001E2A0C" w:rsidRPr="00B25EB4" w:rsidRDefault="001E2A0C" w:rsidP="001E2A0C">
            <w:pPr>
              <w:spacing w:after="0" w:line="240" w:lineRule="auto"/>
              <w:jc w:val="right"/>
              <w:rPr>
                <w:rFonts w:cs="Arial"/>
                <w:b/>
                <w:bCs/>
                <w:color w:val="000000"/>
              </w:rPr>
            </w:pPr>
            <w:r>
              <w:rPr>
                <w:rFonts w:cs="Arial"/>
                <w:b/>
                <w:bCs/>
                <w:color w:val="000000"/>
              </w:rPr>
              <w:t>509</w:t>
            </w:r>
          </w:p>
        </w:tc>
      </w:tr>
      <w:tr w:rsidR="001E2A0C" w:rsidRPr="007C5BB2" w14:paraId="0FA63491"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20F51C2E" w14:textId="2358E0B4" w:rsidR="001E2A0C" w:rsidRPr="007C5BB2" w:rsidRDefault="001E2A0C" w:rsidP="001E2A0C">
            <w:pPr>
              <w:spacing w:after="0" w:line="240" w:lineRule="auto"/>
              <w:rPr>
                <w:rFonts w:cs="Arial"/>
                <w:color w:val="000000"/>
              </w:rPr>
            </w:pPr>
            <w:r>
              <w:rPr>
                <w:rFonts w:cs="Arial"/>
                <w:color w:val="000000"/>
              </w:rPr>
              <w:t>Mobile</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7646D7D1" w14:textId="6079B67E" w:rsidR="001E2A0C" w:rsidRPr="007C5BB2" w:rsidRDefault="001E2A0C" w:rsidP="001E2A0C">
            <w:pPr>
              <w:spacing w:after="0" w:line="240" w:lineRule="auto"/>
              <w:jc w:val="right"/>
              <w:rPr>
                <w:rFonts w:cs="Arial"/>
                <w:color w:val="000000"/>
              </w:rPr>
            </w:pPr>
            <w:r>
              <w:rPr>
                <w:rFonts w:cs="Arial"/>
                <w:color w:val="000000"/>
              </w:rPr>
              <w:t>214</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16D2553B" w14:textId="21B03D9F" w:rsidR="001E2A0C" w:rsidRPr="007C5BB2" w:rsidRDefault="001E2A0C" w:rsidP="001E2A0C">
            <w:pPr>
              <w:spacing w:after="0" w:line="240" w:lineRule="auto"/>
              <w:jc w:val="right"/>
              <w:rPr>
                <w:rFonts w:cs="Arial"/>
                <w:color w:val="000000"/>
              </w:rPr>
            </w:pPr>
            <w:r>
              <w:rPr>
                <w:rFonts w:cs="Arial"/>
                <w:color w:val="000000"/>
              </w:rPr>
              <w:t>75</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1E1C65EB" w14:textId="02754911" w:rsidR="001E2A0C" w:rsidRPr="007C5BB2" w:rsidRDefault="001E2A0C" w:rsidP="001E2A0C">
            <w:pPr>
              <w:spacing w:after="0" w:line="240" w:lineRule="auto"/>
              <w:jc w:val="right"/>
              <w:rPr>
                <w:rFonts w:cs="Arial"/>
                <w:color w:val="000000"/>
              </w:rPr>
            </w:pPr>
            <w:r>
              <w:rPr>
                <w:rFonts w:cs="Arial"/>
                <w:color w:val="000000"/>
              </w:rPr>
              <w:t>32</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1C07FCC" w14:textId="3432ED00" w:rsidR="001E2A0C" w:rsidRPr="001E2A0C" w:rsidRDefault="001E2A0C" w:rsidP="001E2A0C">
            <w:pPr>
              <w:spacing w:after="0" w:line="240" w:lineRule="auto"/>
              <w:jc w:val="right"/>
              <w:rPr>
                <w:rFonts w:cs="Arial"/>
                <w:color w:val="000000"/>
              </w:rPr>
            </w:pPr>
            <w:r>
              <w:rPr>
                <w:rFonts w:cs="Arial"/>
                <w:color w:val="000000"/>
              </w:rPr>
              <w:t>1</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27EA5AA" w14:textId="58E50455" w:rsidR="001E2A0C" w:rsidRPr="00B25EB4" w:rsidRDefault="001E2A0C" w:rsidP="001E2A0C">
            <w:pPr>
              <w:spacing w:after="0" w:line="240" w:lineRule="auto"/>
              <w:jc w:val="right"/>
              <w:rPr>
                <w:rFonts w:cs="Arial"/>
                <w:b/>
                <w:bCs/>
                <w:color w:val="000000"/>
              </w:rPr>
            </w:pPr>
            <w:r>
              <w:rPr>
                <w:rFonts w:cs="Arial"/>
                <w:b/>
                <w:bCs/>
                <w:color w:val="000000"/>
              </w:rPr>
              <w:t>322</w:t>
            </w:r>
          </w:p>
        </w:tc>
      </w:tr>
      <w:tr w:rsidR="001E2A0C" w:rsidRPr="007C5BB2" w14:paraId="7A427A26"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noWrap/>
          </w:tcPr>
          <w:p w14:paraId="763B4EED" w14:textId="1A0D7577" w:rsidR="001E2A0C" w:rsidRPr="007C5BB2" w:rsidRDefault="001E2A0C" w:rsidP="001E2A0C">
            <w:pPr>
              <w:spacing w:after="0" w:line="240" w:lineRule="auto"/>
              <w:rPr>
                <w:rFonts w:cs="Arial"/>
                <w:color w:val="000000"/>
              </w:rPr>
            </w:pPr>
            <w:r>
              <w:rPr>
                <w:rFonts w:cs="Arial"/>
                <w:color w:val="000000"/>
              </w:rPr>
              <w:t>Fixed wireless</w:t>
            </w:r>
          </w:p>
        </w:tc>
        <w:tc>
          <w:tcPr>
            <w:tcW w:w="1400" w:type="dxa"/>
            <w:tcBorders>
              <w:top w:val="single" w:sz="4" w:space="0" w:color="auto"/>
              <w:left w:val="single" w:sz="4" w:space="0" w:color="auto"/>
              <w:bottom w:val="single" w:sz="4" w:space="0" w:color="auto"/>
              <w:right w:val="single" w:sz="4" w:space="0" w:color="auto"/>
            </w:tcBorders>
            <w:noWrap/>
          </w:tcPr>
          <w:p w14:paraId="5C4FD966" w14:textId="13CAD19A" w:rsidR="001E2A0C" w:rsidRPr="007C5BB2" w:rsidRDefault="001E2A0C" w:rsidP="001E2A0C">
            <w:pPr>
              <w:spacing w:after="0" w:line="240" w:lineRule="auto"/>
              <w:jc w:val="right"/>
              <w:rPr>
                <w:rFonts w:cs="Arial"/>
                <w:color w:val="000000"/>
              </w:rPr>
            </w:pPr>
            <w:r>
              <w:rPr>
                <w:rFonts w:cs="Arial"/>
                <w:color w:val="000000"/>
              </w:rPr>
              <w:t>32</w:t>
            </w:r>
          </w:p>
        </w:tc>
        <w:tc>
          <w:tcPr>
            <w:tcW w:w="1400" w:type="dxa"/>
            <w:tcBorders>
              <w:top w:val="single" w:sz="4" w:space="0" w:color="auto"/>
              <w:left w:val="single" w:sz="4" w:space="0" w:color="auto"/>
              <w:bottom w:val="single" w:sz="4" w:space="0" w:color="auto"/>
              <w:right w:val="single" w:sz="4" w:space="0" w:color="auto"/>
            </w:tcBorders>
            <w:noWrap/>
          </w:tcPr>
          <w:p w14:paraId="7E540F45" w14:textId="7704835F" w:rsidR="001E2A0C" w:rsidRPr="007C5BB2" w:rsidRDefault="001E2A0C" w:rsidP="001E2A0C">
            <w:pPr>
              <w:spacing w:after="0" w:line="240" w:lineRule="auto"/>
              <w:jc w:val="right"/>
              <w:rPr>
                <w:rFonts w:cs="Arial"/>
                <w:color w:val="000000"/>
              </w:rPr>
            </w:pPr>
            <w:r>
              <w:rPr>
                <w:rFonts w:cs="Arial"/>
                <w:color w:val="000000"/>
              </w:rPr>
              <w:t>22</w:t>
            </w:r>
          </w:p>
        </w:tc>
        <w:tc>
          <w:tcPr>
            <w:tcW w:w="1400" w:type="dxa"/>
            <w:tcBorders>
              <w:top w:val="single" w:sz="4" w:space="0" w:color="auto"/>
              <w:left w:val="single" w:sz="4" w:space="0" w:color="auto"/>
              <w:bottom w:val="single" w:sz="4" w:space="0" w:color="auto"/>
              <w:right w:val="single" w:sz="4" w:space="0" w:color="auto"/>
            </w:tcBorders>
            <w:noWrap/>
          </w:tcPr>
          <w:p w14:paraId="79DAB583" w14:textId="6880CBD8" w:rsidR="001E2A0C" w:rsidRPr="007C5BB2" w:rsidRDefault="001E2A0C" w:rsidP="001E2A0C">
            <w:pPr>
              <w:spacing w:after="0" w:line="240" w:lineRule="auto"/>
              <w:jc w:val="right"/>
              <w:rPr>
                <w:rFonts w:cs="Arial"/>
                <w:color w:val="000000"/>
              </w:rPr>
            </w:pPr>
            <w:r>
              <w:rPr>
                <w:rFonts w:cs="Arial"/>
                <w:color w:val="000000"/>
              </w:rPr>
              <w:t>0</w:t>
            </w:r>
          </w:p>
        </w:tc>
        <w:tc>
          <w:tcPr>
            <w:tcW w:w="1400" w:type="dxa"/>
            <w:tcBorders>
              <w:top w:val="single" w:sz="4" w:space="0" w:color="auto"/>
              <w:left w:val="single" w:sz="4" w:space="0" w:color="auto"/>
              <w:bottom w:val="single" w:sz="4" w:space="0" w:color="auto"/>
              <w:right w:val="single" w:sz="4" w:space="0" w:color="auto"/>
            </w:tcBorders>
          </w:tcPr>
          <w:p w14:paraId="4D1F4E6C" w14:textId="20BAF577" w:rsidR="001E2A0C" w:rsidRPr="001E2A0C" w:rsidRDefault="001E2A0C" w:rsidP="001E2A0C">
            <w:pPr>
              <w:spacing w:after="0" w:line="240" w:lineRule="auto"/>
              <w:jc w:val="right"/>
              <w:rPr>
                <w:rFonts w:cs="Arial"/>
                <w:color w:val="000000"/>
              </w:rPr>
            </w:pPr>
            <w:r>
              <w:rPr>
                <w:rFonts w:cs="Arial"/>
                <w:color w:val="000000"/>
              </w:rPr>
              <w:t>0</w:t>
            </w:r>
          </w:p>
        </w:tc>
        <w:tc>
          <w:tcPr>
            <w:tcW w:w="1400" w:type="dxa"/>
            <w:tcBorders>
              <w:top w:val="single" w:sz="4" w:space="0" w:color="auto"/>
              <w:left w:val="single" w:sz="4" w:space="0" w:color="auto"/>
              <w:bottom w:val="single" w:sz="4" w:space="0" w:color="auto"/>
              <w:right w:val="single" w:sz="4" w:space="0" w:color="auto"/>
            </w:tcBorders>
          </w:tcPr>
          <w:p w14:paraId="56724EB6" w14:textId="1CC697A5" w:rsidR="001E2A0C" w:rsidRPr="00B25EB4" w:rsidRDefault="001E2A0C" w:rsidP="001E2A0C">
            <w:pPr>
              <w:spacing w:after="0" w:line="240" w:lineRule="auto"/>
              <w:jc w:val="right"/>
              <w:rPr>
                <w:rFonts w:cs="Arial"/>
                <w:b/>
                <w:bCs/>
                <w:color w:val="000000"/>
              </w:rPr>
            </w:pPr>
            <w:r>
              <w:rPr>
                <w:rFonts w:cs="Arial"/>
                <w:b/>
                <w:bCs/>
                <w:color w:val="000000"/>
              </w:rPr>
              <w:t>54</w:t>
            </w:r>
          </w:p>
        </w:tc>
      </w:tr>
      <w:tr w:rsidR="001E2A0C" w:rsidRPr="007C5BB2" w14:paraId="1A3C5490"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6355026F" w14:textId="6FF32B21" w:rsidR="001E2A0C" w:rsidRPr="007C5BB2" w:rsidRDefault="001E2A0C" w:rsidP="001E2A0C">
            <w:pPr>
              <w:spacing w:after="0" w:line="240" w:lineRule="auto"/>
              <w:rPr>
                <w:rFonts w:cs="Arial"/>
                <w:color w:val="000000"/>
              </w:rPr>
            </w:pPr>
            <w:r>
              <w:rPr>
                <w:rFonts w:cs="Arial"/>
                <w:color w:val="000000"/>
              </w:rPr>
              <w:t>Other</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4F4B3543" w14:textId="66D7B0E6" w:rsidR="001E2A0C" w:rsidRPr="007C5BB2" w:rsidRDefault="001E2A0C" w:rsidP="001E2A0C">
            <w:pPr>
              <w:spacing w:after="0" w:line="240" w:lineRule="auto"/>
              <w:jc w:val="right"/>
              <w:rPr>
                <w:rFonts w:cs="Arial"/>
                <w:color w:val="000000"/>
              </w:rPr>
            </w:pPr>
            <w:r>
              <w:rPr>
                <w:rFonts w:cs="Arial"/>
                <w:color w:val="000000"/>
              </w:rPr>
              <w:t>1</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13473C7C" w14:textId="0330D1B2" w:rsidR="001E2A0C" w:rsidRPr="007C5BB2" w:rsidRDefault="001E2A0C" w:rsidP="001E2A0C">
            <w:pPr>
              <w:spacing w:after="0" w:line="240" w:lineRule="auto"/>
              <w:jc w:val="right"/>
              <w:rPr>
                <w:rFonts w:cs="Arial"/>
                <w:color w:val="000000"/>
              </w:rPr>
            </w:pPr>
            <w:r>
              <w:rPr>
                <w:rFonts w:cs="Arial"/>
                <w:color w:val="000000"/>
              </w:rPr>
              <w:t>2</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2EE81F2A" w14:textId="3018FFEE" w:rsidR="001E2A0C" w:rsidRPr="007C5BB2" w:rsidRDefault="001E2A0C" w:rsidP="001E2A0C">
            <w:pPr>
              <w:spacing w:after="0" w:line="240" w:lineRule="auto"/>
              <w:jc w:val="right"/>
              <w:rPr>
                <w:rFonts w:cs="Arial"/>
                <w:color w:val="000000"/>
              </w:rPr>
            </w:pPr>
            <w:r>
              <w:rPr>
                <w:rFonts w:cs="Arial"/>
                <w:color w:val="000000"/>
              </w:rPr>
              <w:t>0</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B0EE25" w14:textId="362FE8E6" w:rsidR="001E2A0C" w:rsidRPr="001E2A0C" w:rsidRDefault="001E2A0C" w:rsidP="001E2A0C">
            <w:pPr>
              <w:spacing w:after="0" w:line="240" w:lineRule="auto"/>
              <w:jc w:val="right"/>
              <w:rPr>
                <w:rFonts w:cs="Arial"/>
                <w:color w:val="000000"/>
              </w:rPr>
            </w:pPr>
            <w:r>
              <w:rPr>
                <w:rFonts w:cs="Arial"/>
                <w:color w:val="000000"/>
              </w:rPr>
              <w:t>0</w:t>
            </w:r>
          </w:p>
        </w:tc>
        <w:tc>
          <w:tcPr>
            <w:tcW w:w="140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A0057FD" w14:textId="09B460C6" w:rsidR="001E2A0C" w:rsidRPr="00B25EB4" w:rsidRDefault="001E2A0C" w:rsidP="001E2A0C">
            <w:pPr>
              <w:spacing w:after="0" w:line="240" w:lineRule="auto"/>
              <w:jc w:val="right"/>
              <w:rPr>
                <w:rFonts w:cs="Arial"/>
                <w:b/>
                <w:bCs/>
                <w:color w:val="000000"/>
              </w:rPr>
            </w:pPr>
            <w:r>
              <w:rPr>
                <w:rFonts w:cs="Arial"/>
                <w:b/>
                <w:bCs/>
                <w:color w:val="000000"/>
              </w:rPr>
              <w:t>3</w:t>
            </w:r>
          </w:p>
        </w:tc>
      </w:tr>
      <w:tr w:rsidR="001E2A0C" w:rsidRPr="007C5BB2" w14:paraId="1F6E33FE" w14:textId="77777777" w:rsidTr="001E2A0C">
        <w:trPr>
          <w:trHeight w:val="206"/>
        </w:trPr>
        <w:tc>
          <w:tcPr>
            <w:tcW w:w="1399" w:type="dxa"/>
            <w:tcBorders>
              <w:top w:val="single" w:sz="4" w:space="0" w:color="auto"/>
              <w:left w:val="single" w:sz="4" w:space="0" w:color="auto"/>
              <w:bottom w:val="single" w:sz="4" w:space="0" w:color="auto"/>
              <w:right w:val="single" w:sz="4" w:space="0" w:color="auto"/>
            </w:tcBorders>
            <w:noWrap/>
          </w:tcPr>
          <w:p w14:paraId="1784CF03" w14:textId="7C1C3347" w:rsidR="001E2A0C" w:rsidRPr="001E2A0C" w:rsidRDefault="001E2A0C" w:rsidP="001E2A0C">
            <w:pPr>
              <w:spacing w:after="0" w:line="240" w:lineRule="auto"/>
              <w:rPr>
                <w:rFonts w:cs="Arial"/>
                <w:b/>
                <w:bCs/>
                <w:color w:val="000000"/>
              </w:rPr>
            </w:pPr>
            <w:r w:rsidRPr="001E2A0C">
              <w:rPr>
                <w:rFonts w:cs="Arial"/>
                <w:b/>
                <w:bCs/>
                <w:color w:val="000000"/>
              </w:rPr>
              <w:t>Total</w:t>
            </w:r>
          </w:p>
        </w:tc>
        <w:tc>
          <w:tcPr>
            <w:tcW w:w="1400" w:type="dxa"/>
            <w:tcBorders>
              <w:top w:val="single" w:sz="4" w:space="0" w:color="auto"/>
              <w:left w:val="single" w:sz="4" w:space="0" w:color="auto"/>
              <w:bottom w:val="single" w:sz="4" w:space="0" w:color="auto"/>
              <w:right w:val="single" w:sz="4" w:space="0" w:color="auto"/>
            </w:tcBorders>
            <w:noWrap/>
          </w:tcPr>
          <w:p w14:paraId="5D06707E" w14:textId="07596855" w:rsidR="001E2A0C" w:rsidRPr="001E2A0C" w:rsidRDefault="001E2A0C" w:rsidP="001E2A0C">
            <w:pPr>
              <w:spacing w:after="0" w:line="240" w:lineRule="auto"/>
              <w:jc w:val="right"/>
              <w:rPr>
                <w:rFonts w:cs="Arial"/>
                <w:b/>
                <w:bCs/>
                <w:color w:val="000000"/>
              </w:rPr>
            </w:pPr>
            <w:r w:rsidRPr="001E2A0C">
              <w:rPr>
                <w:rFonts w:cs="Arial"/>
                <w:b/>
                <w:bCs/>
                <w:color w:val="000000"/>
              </w:rPr>
              <w:t>681</w:t>
            </w:r>
          </w:p>
        </w:tc>
        <w:tc>
          <w:tcPr>
            <w:tcW w:w="1400" w:type="dxa"/>
            <w:tcBorders>
              <w:top w:val="single" w:sz="4" w:space="0" w:color="auto"/>
              <w:left w:val="single" w:sz="4" w:space="0" w:color="auto"/>
              <w:bottom w:val="single" w:sz="4" w:space="0" w:color="auto"/>
              <w:right w:val="single" w:sz="4" w:space="0" w:color="auto"/>
            </w:tcBorders>
            <w:noWrap/>
          </w:tcPr>
          <w:p w14:paraId="5B1679C6" w14:textId="1CACAADD" w:rsidR="001E2A0C" w:rsidRPr="001E2A0C" w:rsidRDefault="001E2A0C" w:rsidP="001E2A0C">
            <w:pPr>
              <w:spacing w:after="0" w:line="240" w:lineRule="auto"/>
              <w:jc w:val="right"/>
              <w:rPr>
                <w:rFonts w:cs="Arial"/>
                <w:b/>
                <w:bCs/>
                <w:color w:val="000000"/>
              </w:rPr>
            </w:pPr>
            <w:r w:rsidRPr="001E2A0C">
              <w:rPr>
                <w:rFonts w:cs="Arial"/>
                <w:b/>
                <w:bCs/>
                <w:color w:val="000000"/>
              </w:rPr>
              <w:t>159</w:t>
            </w:r>
          </w:p>
        </w:tc>
        <w:tc>
          <w:tcPr>
            <w:tcW w:w="1400" w:type="dxa"/>
            <w:tcBorders>
              <w:top w:val="single" w:sz="4" w:space="0" w:color="auto"/>
              <w:left w:val="single" w:sz="4" w:space="0" w:color="auto"/>
              <w:bottom w:val="single" w:sz="4" w:space="0" w:color="auto"/>
              <w:right w:val="single" w:sz="4" w:space="0" w:color="auto"/>
            </w:tcBorders>
            <w:noWrap/>
          </w:tcPr>
          <w:p w14:paraId="084A7F45" w14:textId="240916A0" w:rsidR="001E2A0C" w:rsidRPr="001E2A0C" w:rsidRDefault="001E2A0C" w:rsidP="001E2A0C">
            <w:pPr>
              <w:spacing w:after="0" w:line="240" w:lineRule="auto"/>
              <w:jc w:val="right"/>
              <w:rPr>
                <w:rFonts w:cs="Arial"/>
                <w:b/>
                <w:bCs/>
                <w:color w:val="000000"/>
              </w:rPr>
            </w:pPr>
            <w:r w:rsidRPr="001E2A0C">
              <w:rPr>
                <w:rFonts w:cs="Arial"/>
                <w:b/>
                <w:bCs/>
                <w:color w:val="000000"/>
              </w:rPr>
              <w:t>47</w:t>
            </w:r>
          </w:p>
        </w:tc>
        <w:tc>
          <w:tcPr>
            <w:tcW w:w="1400" w:type="dxa"/>
            <w:tcBorders>
              <w:top w:val="single" w:sz="4" w:space="0" w:color="auto"/>
              <w:left w:val="single" w:sz="4" w:space="0" w:color="auto"/>
              <w:bottom w:val="single" w:sz="4" w:space="0" w:color="auto"/>
              <w:right w:val="single" w:sz="4" w:space="0" w:color="auto"/>
            </w:tcBorders>
          </w:tcPr>
          <w:p w14:paraId="5009C659" w14:textId="4AB7E5FA" w:rsidR="001E2A0C" w:rsidRPr="001E2A0C" w:rsidRDefault="001E2A0C" w:rsidP="001E2A0C">
            <w:pPr>
              <w:spacing w:after="0" w:line="240" w:lineRule="auto"/>
              <w:jc w:val="right"/>
              <w:rPr>
                <w:rFonts w:cs="Arial"/>
                <w:b/>
                <w:bCs/>
                <w:color w:val="000000"/>
              </w:rPr>
            </w:pPr>
            <w:r w:rsidRPr="001E2A0C">
              <w:rPr>
                <w:rFonts w:cs="Arial"/>
                <w:b/>
                <w:bCs/>
                <w:color w:val="000000"/>
              </w:rPr>
              <w:t>1</w:t>
            </w:r>
          </w:p>
        </w:tc>
        <w:tc>
          <w:tcPr>
            <w:tcW w:w="1400" w:type="dxa"/>
            <w:tcBorders>
              <w:top w:val="single" w:sz="4" w:space="0" w:color="auto"/>
              <w:left w:val="single" w:sz="4" w:space="0" w:color="auto"/>
              <w:bottom w:val="single" w:sz="4" w:space="0" w:color="auto"/>
              <w:right w:val="single" w:sz="4" w:space="0" w:color="auto"/>
            </w:tcBorders>
          </w:tcPr>
          <w:p w14:paraId="2D01217B" w14:textId="43590F97" w:rsidR="001E2A0C" w:rsidRPr="001E2A0C" w:rsidRDefault="001E2A0C" w:rsidP="001E2A0C">
            <w:pPr>
              <w:spacing w:after="0" w:line="240" w:lineRule="auto"/>
              <w:jc w:val="right"/>
              <w:rPr>
                <w:rFonts w:cs="Arial"/>
                <w:b/>
                <w:bCs/>
                <w:color w:val="000000"/>
              </w:rPr>
            </w:pPr>
            <w:r w:rsidRPr="001E2A0C">
              <w:rPr>
                <w:rFonts w:cs="Arial"/>
                <w:b/>
                <w:bCs/>
                <w:color w:val="000000"/>
              </w:rPr>
              <w:t>888</w:t>
            </w:r>
          </w:p>
        </w:tc>
      </w:tr>
    </w:tbl>
    <w:p w14:paraId="38716755" w14:textId="77777777" w:rsidR="00987522" w:rsidRPr="0017076F" w:rsidRDefault="00987522" w:rsidP="007C5BB2">
      <w:pPr>
        <w:pStyle w:val="Heading2"/>
      </w:pPr>
      <w:bookmarkStart w:id="20" w:name="_Toc37080613"/>
      <w:r w:rsidRPr="0017076F">
        <w:t>By root cause</w:t>
      </w:r>
      <w:bookmarkEnd w:id="20"/>
      <w:r w:rsidRPr="0017076F">
        <w:t xml:space="preserve"> </w:t>
      </w:r>
    </w:p>
    <w:p w14:paraId="71960C6E" w14:textId="3A0E9470" w:rsidR="00987522" w:rsidRDefault="00987522" w:rsidP="007C5BB2">
      <w:pPr>
        <w:pStyle w:val="Paragraphbeforelist"/>
      </w:pPr>
      <w:r w:rsidRPr="00C43638">
        <w:t xml:space="preserve">Figure </w:t>
      </w:r>
      <w:r>
        <w:t xml:space="preserve">3 </w:t>
      </w:r>
      <w:r w:rsidRPr="00C43638">
        <w:t>maps outage</w:t>
      </w:r>
      <w:r w:rsidR="00380F04">
        <w:t xml:space="preserve"> incidents </w:t>
      </w:r>
      <w:r w:rsidRPr="00C43638">
        <w:t xml:space="preserve">by the primary cause of the outage. </w:t>
      </w:r>
      <w:bookmarkStart w:id="21" w:name="_Hlk35853436"/>
      <w:r w:rsidR="00B644FB">
        <w:t>Eighty-eight</w:t>
      </w:r>
      <w:r w:rsidR="00B644FB" w:rsidRPr="00C43638">
        <w:t xml:space="preserve"> </w:t>
      </w:r>
      <w:r w:rsidRPr="00C43638">
        <w:t>per cent of outage</w:t>
      </w:r>
      <w:r w:rsidR="00380F04">
        <w:t xml:space="preserve"> incidents</w:t>
      </w:r>
      <w:r w:rsidRPr="00C43638">
        <w:t xml:space="preserve"> were caused by power outages and only </w:t>
      </w:r>
      <w:r>
        <w:t xml:space="preserve">one </w:t>
      </w:r>
      <w:r w:rsidRPr="00C43638">
        <w:t xml:space="preserve">per cent </w:t>
      </w:r>
      <w:r w:rsidR="00B644FB">
        <w:t>was</w:t>
      </w:r>
      <w:r w:rsidR="00B644FB" w:rsidRPr="00C43638">
        <w:t xml:space="preserve"> </w:t>
      </w:r>
      <w:r w:rsidRPr="00C43638">
        <w:t xml:space="preserve">caused by direct fire damage. Other </w:t>
      </w:r>
      <w:r w:rsidR="00380F04">
        <w:t xml:space="preserve">causes of </w:t>
      </w:r>
      <w:r w:rsidRPr="00C43638">
        <w:t xml:space="preserve">outage </w:t>
      </w:r>
      <w:r w:rsidR="00300901">
        <w:t>incident</w:t>
      </w:r>
      <w:r w:rsidR="00380F04">
        <w:t>s</w:t>
      </w:r>
      <w:r w:rsidR="00300901">
        <w:t xml:space="preserve"> </w:t>
      </w:r>
      <w:r w:rsidRPr="00C43638">
        <w:t>comprise 11 per cent of the total</w:t>
      </w:r>
      <w:r>
        <w:t xml:space="preserve"> and include:</w:t>
      </w:r>
    </w:p>
    <w:p w14:paraId="2467CF06" w14:textId="77777777" w:rsidR="00987522" w:rsidRPr="00E57528" w:rsidRDefault="00987522" w:rsidP="007C5BB2">
      <w:pPr>
        <w:pStyle w:val="Bulletlevel1"/>
      </w:pPr>
      <w:r w:rsidRPr="00E57528">
        <w:t>where there were multiple contributing factors</w:t>
      </w:r>
    </w:p>
    <w:p w14:paraId="3D7DE4C8" w14:textId="00EFDCAB" w:rsidR="00987522" w:rsidRPr="00E57528" w:rsidRDefault="00987522" w:rsidP="007C5BB2">
      <w:pPr>
        <w:pStyle w:val="Bulletlevel1"/>
      </w:pPr>
      <w:r w:rsidRPr="00E57528">
        <w:t xml:space="preserve">a generator </w:t>
      </w:r>
      <w:r w:rsidR="00B644FB">
        <w:t xml:space="preserve">that </w:t>
      </w:r>
      <w:r w:rsidRPr="00E57528">
        <w:t xml:space="preserve">needed refuelling </w:t>
      </w:r>
    </w:p>
    <w:p w14:paraId="21BEB110" w14:textId="3C0217BA" w:rsidR="00987522" w:rsidRPr="00E57528" w:rsidRDefault="00987522" w:rsidP="007C5BB2">
      <w:pPr>
        <w:pStyle w:val="Bulletlevel1"/>
      </w:pPr>
      <w:r w:rsidRPr="00E57528">
        <w:lastRenderedPageBreak/>
        <w:t>loss of transmission due to the carrier’s network power outage</w:t>
      </w:r>
      <w:r w:rsidR="005532FD">
        <w:rPr>
          <w:rStyle w:val="FootnoteReference"/>
        </w:rPr>
        <w:footnoteReference w:id="3"/>
      </w:r>
    </w:p>
    <w:p w14:paraId="2B9B7593" w14:textId="538F6C06" w:rsidR="00987522" w:rsidRPr="00E57528" w:rsidRDefault="00987522" w:rsidP="007C5BB2">
      <w:pPr>
        <w:pStyle w:val="Bulletlevel1last"/>
      </w:pPr>
      <w:r w:rsidRPr="00E57528">
        <w:t>damage to an upstream/downstream facility in the carrier’s network</w:t>
      </w:r>
      <w:r w:rsidR="00B94290">
        <w:rPr>
          <w:rStyle w:val="FootnoteReference"/>
        </w:rPr>
        <w:footnoteReference w:id="4"/>
      </w:r>
      <w:r w:rsidRPr="00E57528">
        <w:t xml:space="preserve">. </w:t>
      </w:r>
    </w:p>
    <w:bookmarkEnd w:id="21"/>
    <w:p w14:paraId="1168FA8A" w14:textId="3281ADCC" w:rsidR="00987522" w:rsidRPr="008270C1" w:rsidRDefault="008270C1" w:rsidP="00686C33">
      <w:pPr>
        <w:pStyle w:val="Figureheading"/>
      </w:pPr>
      <w:r>
        <w:t xml:space="preserve"> </w:t>
      </w:r>
      <w:r w:rsidR="00AF116B">
        <w:t>O</w:t>
      </w:r>
      <w:r w:rsidR="00987522" w:rsidRPr="008270C1">
        <w:t>utage</w:t>
      </w:r>
      <w:r w:rsidR="00AF116B">
        <w:t xml:space="preserve"> incident</w:t>
      </w:r>
      <w:r w:rsidR="00987522" w:rsidRPr="008270C1">
        <w:t>s</w:t>
      </w:r>
      <w:r w:rsidR="001A28E4">
        <w:t>,</w:t>
      </w:r>
      <w:r w:rsidR="00987522" w:rsidRPr="008270C1">
        <w:t xml:space="preserve"> by location and root cause</w:t>
      </w:r>
    </w:p>
    <w:p w14:paraId="208B4C99" w14:textId="38CDB844" w:rsidR="00987522" w:rsidRPr="008270C1" w:rsidRDefault="00296861" w:rsidP="00E57528">
      <w:pPr>
        <w:pStyle w:val="CommentText"/>
        <w:rPr>
          <w:b/>
          <w:bCs/>
          <w:color w:val="00B050"/>
          <w:sz w:val="22"/>
          <w:szCs w:val="22"/>
        </w:rPr>
      </w:pPr>
      <w:r>
        <w:rPr>
          <w:noProof/>
        </w:rPr>
        <w:drawing>
          <wp:inline distT="0" distB="0" distL="0" distR="0" wp14:anchorId="08C8CACF" wp14:editId="6E6A5574">
            <wp:extent cx="5400000" cy="3756827"/>
            <wp:effectExtent l="0" t="0" r="0" b="0"/>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stretch>
                      <a:fillRect/>
                    </a:stretch>
                  </pic:blipFill>
                  <pic:spPr bwMode="auto">
                    <a:xfrm>
                      <a:off x="0" y="0"/>
                      <a:ext cx="5400000" cy="3756827"/>
                    </a:xfrm>
                    <a:prstGeom prst="rect">
                      <a:avLst/>
                    </a:prstGeom>
                    <a:noFill/>
                    <a:ln>
                      <a:noFill/>
                    </a:ln>
                  </pic:spPr>
                </pic:pic>
              </a:graphicData>
            </a:graphic>
          </wp:inline>
        </w:drawing>
      </w:r>
    </w:p>
    <w:p w14:paraId="1B065C88" w14:textId="77777777" w:rsidR="00987522" w:rsidRPr="008270C1" w:rsidRDefault="00987522" w:rsidP="007C5BB2">
      <w:pPr>
        <w:pStyle w:val="Heading2"/>
      </w:pPr>
      <w:bookmarkStart w:id="22" w:name="_Toc37080614"/>
      <w:r w:rsidRPr="008270C1">
        <w:t>By root cause and facility type</w:t>
      </w:r>
      <w:bookmarkEnd w:id="22"/>
    </w:p>
    <w:p w14:paraId="5E1883CD" w14:textId="624C1C7E" w:rsidR="00987522" w:rsidRPr="00C43638" w:rsidRDefault="00987522" w:rsidP="007C5BB2">
      <w:pPr>
        <w:pStyle w:val="Paragraph"/>
      </w:pPr>
      <w:r w:rsidRPr="00C43638">
        <w:t xml:space="preserve">Figure </w:t>
      </w:r>
      <w:r>
        <w:t>4</w:t>
      </w:r>
      <w:r w:rsidRPr="00C43638">
        <w:t xml:space="preserve"> </w:t>
      </w:r>
      <w:r w:rsidR="00C366BA">
        <w:t xml:space="preserve">and table 3 </w:t>
      </w:r>
      <w:r w:rsidRPr="00C43638">
        <w:t>show that nodes experienced the highest number of outages during the review period, accounting for 56 per cent of total outage</w:t>
      </w:r>
      <w:r w:rsidR="00AF116B">
        <w:t xml:space="preserve"> incident</w:t>
      </w:r>
      <w:r w:rsidRPr="00C43638">
        <w:t xml:space="preserve">s. </w:t>
      </w:r>
      <w:r w:rsidR="00B644FB">
        <w:t>Ninety-three</w:t>
      </w:r>
      <w:r w:rsidR="00B644FB" w:rsidRPr="00C43638">
        <w:t xml:space="preserve"> </w:t>
      </w:r>
      <w:r w:rsidRPr="00C43638">
        <w:t>per cent of node</w:t>
      </w:r>
      <w:r w:rsidR="00C84560">
        <w:rPr>
          <w:rStyle w:val="FootnoteReference"/>
        </w:rPr>
        <w:footnoteReference w:id="5"/>
      </w:r>
      <w:r w:rsidRPr="00C43638">
        <w:t xml:space="preserve"> outages were caused by power outages. None of the </w:t>
      </w:r>
      <w:r w:rsidR="00B644FB">
        <w:t>n</w:t>
      </w:r>
      <w:r w:rsidRPr="00C43638">
        <w:t xml:space="preserve">ode outages were directly attributed to fire damage.  </w:t>
      </w:r>
    </w:p>
    <w:p w14:paraId="316D3D64" w14:textId="1CEDF746" w:rsidR="00987522" w:rsidRPr="008270C1" w:rsidRDefault="00987522" w:rsidP="007C5BB2">
      <w:pPr>
        <w:pStyle w:val="Paragraph"/>
      </w:pPr>
      <w:r w:rsidRPr="00C43638">
        <w:t xml:space="preserve">Mobile base </w:t>
      </w:r>
      <w:r>
        <w:t xml:space="preserve">stations </w:t>
      </w:r>
      <w:r w:rsidRPr="00C43638">
        <w:t>experienced the second largest number of outages, accounting for 36 per cent of total outage</w:t>
      </w:r>
      <w:r w:rsidR="00AF116B">
        <w:t xml:space="preserve"> incident</w:t>
      </w:r>
      <w:r w:rsidRPr="00C43638">
        <w:t xml:space="preserve">s. Similarly, </w:t>
      </w:r>
      <w:r>
        <w:t xml:space="preserve">for </w:t>
      </w:r>
      <w:r w:rsidRPr="00AD4A57">
        <w:t>nodes</w:t>
      </w:r>
      <w:r w:rsidRPr="00C43638">
        <w:t>, most of these outages are due to power outages (73 per</w:t>
      </w:r>
      <w:r>
        <w:t xml:space="preserve"> cent)</w:t>
      </w:r>
      <w:r w:rsidR="00B644FB">
        <w:t>.</w:t>
      </w:r>
      <w:r>
        <w:t xml:space="preserve"> Fire damage accounted for only three per cent of the total mobile base station outages. </w:t>
      </w:r>
    </w:p>
    <w:p w14:paraId="0FCB50F7" w14:textId="3779E432" w:rsidR="00B0109B" w:rsidRDefault="008270C1" w:rsidP="00B0109B">
      <w:pPr>
        <w:pStyle w:val="Figureheading"/>
      </w:pPr>
      <w:r w:rsidRPr="00E57528">
        <w:lastRenderedPageBreak/>
        <w:t>N</w:t>
      </w:r>
      <w:r w:rsidR="00987522" w:rsidRPr="00686C33">
        <w:t>umber of outage</w:t>
      </w:r>
      <w:r w:rsidR="00AF116B">
        <w:t xml:space="preserve"> incident</w:t>
      </w:r>
      <w:r w:rsidR="00987522" w:rsidRPr="00686C33">
        <w:t>s, by root cause and facility type</w:t>
      </w:r>
      <w:r w:rsidR="00B0109B">
        <w:br/>
      </w:r>
    </w:p>
    <w:p w14:paraId="557B854B" w14:textId="02FCD0B9" w:rsidR="00987522" w:rsidRPr="00B0109B" w:rsidRDefault="00B0109B" w:rsidP="00B0109B">
      <w:pPr>
        <w:pStyle w:val="Figureheading"/>
        <w:numPr>
          <w:ilvl w:val="0"/>
          <w:numId w:val="0"/>
        </w:numPr>
      </w:pPr>
      <w:r>
        <w:rPr>
          <w:noProof/>
        </w:rPr>
        <w:drawing>
          <wp:inline distT="0" distB="0" distL="0" distR="0" wp14:anchorId="2C1D219E" wp14:editId="5298CED1">
            <wp:extent cx="4871085" cy="2587625"/>
            <wp:effectExtent l="0" t="0" r="5715"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871085" cy="2587625"/>
                    </a:xfrm>
                    <a:prstGeom prst="rect">
                      <a:avLst/>
                    </a:prstGeom>
                  </pic:spPr>
                </pic:pic>
              </a:graphicData>
            </a:graphic>
          </wp:inline>
        </w:drawing>
      </w:r>
    </w:p>
    <w:p w14:paraId="5FEED703" w14:textId="77777777" w:rsidR="00F11ACE" w:rsidRDefault="00F11ACE" w:rsidP="00B0109B">
      <w:pPr>
        <w:pStyle w:val="Figureheading"/>
        <w:numPr>
          <w:ilvl w:val="0"/>
          <w:numId w:val="0"/>
        </w:numPr>
      </w:pPr>
    </w:p>
    <w:p w14:paraId="7A71D167" w14:textId="5A3424BC" w:rsidR="00F11ACE" w:rsidRDefault="00F11ACE" w:rsidP="00F11ACE">
      <w:pPr>
        <w:pStyle w:val="Tableheading"/>
      </w:pPr>
      <w:r w:rsidRPr="00F11ACE">
        <w:t xml:space="preserve">Number of </w:t>
      </w:r>
      <w:r w:rsidR="009D762A">
        <w:t>outage incidents</w:t>
      </w:r>
      <w:r w:rsidRPr="00F11ACE">
        <w:t xml:space="preserve">, by </w:t>
      </w:r>
      <w:r>
        <w:t>root cause and facility type</w:t>
      </w:r>
      <w:r>
        <w:br/>
      </w:r>
    </w:p>
    <w:tbl>
      <w:tblPr>
        <w:tblW w:w="7880" w:type="dxa"/>
        <w:tblLayout w:type="fixed"/>
        <w:tblLook w:val="04A0" w:firstRow="1" w:lastRow="0" w:firstColumn="1" w:lastColumn="0" w:noHBand="0" w:noVBand="1"/>
      </w:tblPr>
      <w:tblGrid>
        <w:gridCol w:w="1576"/>
        <w:gridCol w:w="1576"/>
        <w:gridCol w:w="1576"/>
        <w:gridCol w:w="1576"/>
        <w:gridCol w:w="1576"/>
      </w:tblGrid>
      <w:tr w:rsidR="00F11ACE" w:rsidRPr="00F11ACE" w14:paraId="26E9D5A3" w14:textId="77777777" w:rsidTr="00F11ACE">
        <w:trPr>
          <w:trHeight w:val="315"/>
        </w:trPr>
        <w:tc>
          <w:tcPr>
            <w:tcW w:w="1576"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4D174DE1" w14:textId="77777777" w:rsidR="00F11ACE" w:rsidRPr="00F11ACE" w:rsidRDefault="00F11ACE" w:rsidP="00F11ACE">
            <w:pPr>
              <w:spacing w:after="0" w:line="240" w:lineRule="auto"/>
              <w:rPr>
                <w:rFonts w:cs="Arial"/>
                <w:b/>
                <w:bCs/>
                <w:color w:val="FFFFFF"/>
                <w:szCs w:val="20"/>
              </w:rPr>
            </w:pPr>
            <w:r w:rsidRPr="00F11ACE">
              <w:rPr>
                <w:rFonts w:cs="Arial"/>
                <w:b/>
                <w:bCs/>
                <w:color w:val="FFFFFF"/>
                <w:szCs w:val="20"/>
              </w:rPr>
              <w:t>Facility type</w:t>
            </w:r>
          </w:p>
        </w:tc>
        <w:tc>
          <w:tcPr>
            <w:tcW w:w="1576" w:type="dxa"/>
            <w:tcBorders>
              <w:top w:val="single" w:sz="8" w:space="0" w:color="auto"/>
              <w:left w:val="nil"/>
              <w:bottom w:val="single" w:sz="8" w:space="0" w:color="auto"/>
              <w:right w:val="single" w:sz="8" w:space="0" w:color="auto"/>
            </w:tcBorders>
            <w:shd w:val="clear" w:color="000000" w:fill="404040"/>
            <w:noWrap/>
            <w:vAlign w:val="center"/>
            <w:hideMark/>
          </w:tcPr>
          <w:p w14:paraId="121398D1" w14:textId="77777777" w:rsidR="00F11ACE" w:rsidRPr="00F11ACE" w:rsidRDefault="00F11ACE" w:rsidP="00F11ACE">
            <w:pPr>
              <w:spacing w:after="0" w:line="240" w:lineRule="auto"/>
              <w:jc w:val="right"/>
              <w:rPr>
                <w:rFonts w:cs="Arial"/>
                <w:b/>
                <w:bCs/>
                <w:color w:val="FFFFFF"/>
                <w:szCs w:val="20"/>
              </w:rPr>
            </w:pPr>
            <w:r w:rsidRPr="00F11ACE">
              <w:rPr>
                <w:rFonts w:cs="Arial"/>
                <w:b/>
                <w:bCs/>
                <w:color w:val="FFFFFF"/>
                <w:szCs w:val="20"/>
              </w:rPr>
              <w:t>Power outage</w:t>
            </w:r>
          </w:p>
        </w:tc>
        <w:tc>
          <w:tcPr>
            <w:tcW w:w="1576" w:type="dxa"/>
            <w:tcBorders>
              <w:top w:val="single" w:sz="8" w:space="0" w:color="auto"/>
              <w:left w:val="nil"/>
              <w:bottom w:val="single" w:sz="8" w:space="0" w:color="auto"/>
              <w:right w:val="single" w:sz="8" w:space="0" w:color="auto"/>
            </w:tcBorders>
            <w:shd w:val="clear" w:color="000000" w:fill="404040"/>
            <w:noWrap/>
            <w:vAlign w:val="center"/>
            <w:hideMark/>
          </w:tcPr>
          <w:p w14:paraId="14DA48DE" w14:textId="77777777" w:rsidR="00F11ACE" w:rsidRPr="00F11ACE" w:rsidRDefault="00F11ACE" w:rsidP="00F11ACE">
            <w:pPr>
              <w:spacing w:after="0" w:line="240" w:lineRule="auto"/>
              <w:jc w:val="right"/>
              <w:rPr>
                <w:rFonts w:cs="Arial"/>
                <w:b/>
                <w:bCs/>
                <w:color w:val="FFFFFF"/>
                <w:szCs w:val="20"/>
              </w:rPr>
            </w:pPr>
            <w:r w:rsidRPr="00F11ACE">
              <w:rPr>
                <w:rFonts w:cs="Arial"/>
                <w:b/>
                <w:bCs/>
                <w:color w:val="FFFFFF"/>
                <w:szCs w:val="20"/>
              </w:rPr>
              <w:t>Other</w:t>
            </w:r>
          </w:p>
        </w:tc>
        <w:tc>
          <w:tcPr>
            <w:tcW w:w="1576" w:type="dxa"/>
            <w:tcBorders>
              <w:top w:val="single" w:sz="8" w:space="0" w:color="auto"/>
              <w:left w:val="nil"/>
              <w:bottom w:val="single" w:sz="8" w:space="0" w:color="auto"/>
              <w:right w:val="single" w:sz="8" w:space="0" w:color="auto"/>
            </w:tcBorders>
            <w:shd w:val="clear" w:color="000000" w:fill="404040"/>
            <w:noWrap/>
            <w:vAlign w:val="center"/>
            <w:hideMark/>
          </w:tcPr>
          <w:p w14:paraId="152A364E" w14:textId="77777777" w:rsidR="00F11ACE" w:rsidRPr="00F11ACE" w:rsidRDefault="00F11ACE" w:rsidP="00F11ACE">
            <w:pPr>
              <w:spacing w:after="0" w:line="240" w:lineRule="auto"/>
              <w:jc w:val="right"/>
              <w:rPr>
                <w:rFonts w:cs="Arial"/>
                <w:b/>
                <w:bCs/>
                <w:color w:val="FFFFFF"/>
                <w:szCs w:val="20"/>
              </w:rPr>
            </w:pPr>
            <w:r w:rsidRPr="00F11ACE">
              <w:rPr>
                <w:rFonts w:cs="Arial"/>
                <w:b/>
                <w:bCs/>
                <w:color w:val="FFFFFF"/>
                <w:szCs w:val="20"/>
              </w:rPr>
              <w:t>Fire damage</w:t>
            </w:r>
          </w:p>
        </w:tc>
        <w:tc>
          <w:tcPr>
            <w:tcW w:w="1576" w:type="dxa"/>
            <w:tcBorders>
              <w:top w:val="single" w:sz="8" w:space="0" w:color="auto"/>
              <w:left w:val="nil"/>
              <w:bottom w:val="single" w:sz="8" w:space="0" w:color="auto"/>
              <w:right w:val="single" w:sz="8" w:space="0" w:color="auto"/>
            </w:tcBorders>
            <w:shd w:val="clear" w:color="000000" w:fill="404040"/>
            <w:vAlign w:val="center"/>
            <w:hideMark/>
          </w:tcPr>
          <w:p w14:paraId="0F721705" w14:textId="77777777" w:rsidR="00F11ACE" w:rsidRPr="00F11ACE" w:rsidRDefault="00F11ACE" w:rsidP="00F11ACE">
            <w:pPr>
              <w:spacing w:after="0" w:line="240" w:lineRule="auto"/>
              <w:jc w:val="right"/>
              <w:rPr>
                <w:rFonts w:cs="Arial"/>
                <w:b/>
                <w:bCs/>
                <w:color w:val="FFFFFF"/>
                <w:szCs w:val="20"/>
              </w:rPr>
            </w:pPr>
            <w:r w:rsidRPr="00F11ACE">
              <w:rPr>
                <w:rFonts w:cs="Arial"/>
                <w:b/>
                <w:bCs/>
                <w:color w:val="FFFFFF"/>
                <w:szCs w:val="20"/>
              </w:rPr>
              <w:t>Total</w:t>
            </w:r>
          </w:p>
        </w:tc>
      </w:tr>
      <w:tr w:rsidR="00F11ACE" w:rsidRPr="00F11ACE" w14:paraId="0279FCFD" w14:textId="77777777" w:rsidTr="00F11ACE">
        <w:trPr>
          <w:trHeight w:val="315"/>
        </w:trPr>
        <w:tc>
          <w:tcPr>
            <w:tcW w:w="1576" w:type="dxa"/>
            <w:tcBorders>
              <w:top w:val="nil"/>
              <w:left w:val="single" w:sz="8" w:space="0" w:color="auto"/>
              <w:bottom w:val="single" w:sz="8" w:space="0" w:color="auto"/>
              <w:right w:val="single" w:sz="8" w:space="0" w:color="auto"/>
            </w:tcBorders>
            <w:shd w:val="clear" w:color="auto" w:fill="auto"/>
            <w:noWrap/>
            <w:vAlign w:val="center"/>
            <w:hideMark/>
          </w:tcPr>
          <w:p w14:paraId="73B5983E" w14:textId="77777777" w:rsidR="00F11ACE" w:rsidRPr="00F11ACE" w:rsidRDefault="00F11ACE" w:rsidP="00F11ACE">
            <w:pPr>
              <w:spacing w:after="0" w:line="240" w:lineRule="auto"/>
              <w:rPr>
                <w:rFonts w:cs="Arial"/>
                <w:color w:val="000000"/>
                <w:szCs w:val="20"/>
              </w:rPr>
            </w:pPr>
            <w:r w:rsidRPr="00F11ACE">
              <w:rPr>
                <w:rFonts w:cs="Arial"/>
                <w:color w:val="000000"/>
                <w:szCs w:val="20"/>
              </w:rPr>
              <w:t>Node</w:t>
            </w:r>
          </w:p>
        </w:tc>
        <w:tc>
          <w:tcPr>
            <w:tcW w:w="1576" w:type="dxa"/>
            <w:tcBorders>
              <w:top w:val="nil"/>
              <w:left w:val="nil"/>
              <w:bottom w:val="single" w:sz="8" w:space="0" w:color="auto"/>
              <w:right w:val="single" w:sz="8" w:space="0" w:color="auto"/>
            </w:tcBorders>
            <w:shd w:val="clear" w:color="auto" w:fill="auto"/>
            <w:noWrap/>
            <w:vAlign w:val="center"/>
            <w:hideMark/>
          </w:tcPr>
          <w:p w14:paraId="189E6E0C"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460</w:t>
            </w:r>
          </w:p>
        </w:tc>
        <w:tc>
          <w:tcPr>
            <w:tcW w:w="1576" w:type="dxa"/>
            <w:tcBorders>
              <w:top w:val="nil"/>
              <w:left w:val="nil"/>
              <w:bottom w:val="single" w:sz="8" w:space="0" w:color="auto"/>
              <w:right w:val="single" w:sz="8" w:space="0" w:color="auto"/>
            </w:tcBorders>
            <w:shd w:val="clear" w:color="auto" w:fill="auto"/>
            <w:noWrap/>
            <w:vAlign w:val="center"/>
            <w:hideMark/>
          </w:tcPr>
          <w:p w14:paraId="10F08F04"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36</w:t>
            </w:r>
          </w:p>
        </w:tc>
        <w:tc>
          <w:tcPr>
            <w:tcW w:w="1576" w:type="dxa"/>
            <w:tcBorders>
              <w:top w:val="nil"/>
              <w:left w:val="nil"/>
              <w:bottom w:val="single" w:sz="8" w:space="0" w:color="auto"/>
              <w:right w:val="single" w:sz="8" w:space="0" w:color="auto"/>
            </w:tcBorders>
            <w:shd w:val="clear" w:color="auto" w:fill="auto"/>
            <w:noWrap/>
            <w:vAlign w:val="center"/>
            <w:hideMark/>
          </w:tcPr>
          <w:p w14:paraId="77AB38F5"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auto" w:fill="auto"/>
            <w:vAlign w:val="center"/>
            <w:hideMark/>
          </w:tcPr>
          <w:p w14:paraId="7EB50B28"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496</w:t>
            </w:r>
          </w:p>
        </w:tc>
      </w:tr>
      <w:tr w:rsidR="00F11ACE" w:rsidRPr="00F11ACE" w14:paraId="18AF5F17" w14:textId="77777777" w:rsidTr="00F11ACE">
        <w:trPr>
          <w:trHeight w:val="315"/>
        </w:trPr>
        <w:tc>
          <w:tcPr>
            <w:tcW w:w="1576" w:type="dxa"/>
            <w:tcBorders>
              <w:top w:val="nil"/>
              <w:left w:val="single" w:sz="8" w:space="0" w:color="auto"/>
              <w:bottom w:val="single" w:sz="8" w:space="0" w:color="auto"/>
              <w:right w:val="single" w:sz="8" w:space="0" w:color="auto"/>
            </w:tcBorders>
            <w:shd w:val="clear" w:color="000000" w:fill="F2F2F2"/>
            <w:noWrap/>
            <w:vAlign w:val="center"/>
            <w:hideMark/>
          </w:tcPr>
          <w:p w14:paraId="1CEB2857" w14:textId="77777777" w:rsidR="00F11ACE" w:rsidRPr="00F11ACE" w:rsidRDefault="00F11ACE" w:rsidP="00F11ACE">
            <w:pPr>
              <w:spacing w:after="0" w:line="240" w:lineRule="auto"/>
              <w:rPr>
                <w:rFonts w:cs="Arial"/>
                <w:color w:val="000000"/>
                <w:szCs w:val="20"/>
              </w:rPr>
            </w:pPr>
            <w:r w:rsidRPr="00F11ACE">
              <w:rPr>
                <w:rFonts w:cs="Arial"/>
                <w:color w:val="000000"/>
                <w:szCs w:val="20"/>
              </w:rPr>
              <w:t>Base station - mobile</w:t>
            </w:r>
          </w:p>
        </w:tc>
        <w:tc>
          <w:tcPr>
            <w:tcW w:w="1576" w:type="dxa"/>
            <w:tcBorders>
              <w:top w:val="nil"/>
              <w:left w:val="nil"/>
              <w:bottom w:val="single" w:sz="8" w:space="0" w:color="auto"/>
              <w:right w:val="single" w:sz="8" w:space="0" w:color="auto"/>
            </w:tcBorders>
            <w:shd w:val="clear" w:color="000000" w:fill="F2F2F2"/>
            <w:noWrap/>
            <w:vAlign w:val="center"/>
            <w:hideMark/>
          </w:tcPr>
          <w:p w14:paraId="04774E74"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249</w:t>
            </w:r>
          </w:p>
        </w:tc>
        <w:tc>
          <w:tcPr>
            <w:tcW w:w="1576" w:type="dxa"/>
            <w:tcBorders>
              <w:top w:val="nil"/>
              <w:left w:val="nil"/>
              <w:bottom w:val="single" w:sz="8" w:space="0" w:color="auto"/>
              <w:right w:val="single" w:sz="8" w:space="0" w:color="auto"/>
            </w:tcBorders>
            <w:shd w:val="clear" w:color="000000" w:fill="F2F2F2"/>
            <w:noWrap/>
            <w:vAlign w:val="center"/>
            <w:hideMark/>
          </w:tcPr>
          <w:p w14:paraId="70096F23"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62</w:t>
            </w:r>
          </w:p>
        </w:tc>
        <w:tc>
          <w:tcPr>
            <w:tcW w:w="1576" w:type="dxa"/>
            <w:tcBorders>
              <w:top w:val="nil"/>
              <w:left w:val="nil"/>
              <w:bottom w:val="single" w:sz="8" w:space="0" w:color="auto"/>
              <w:right w:val="single" w:sz="8" w:space="0" w:color="auto"/>
            </w:tcBorders>
            <w:shd w:val="clear" w:color="000000" w:fill="F2F2F2"/>
            <w:noWrap/>
            <w:vAlign w:val="center"/>
            <w:hideMark/>
          </w:tcPr>
          <w:p w14:paraId="34F977FE"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11</w:t>
            </w:r>
          </w:p>
        </w:tc>
        <w:tc>
          <w:tcPr>
            <w:tcW w:w="1576" w:type="dxa"/>
            <w:tcBorders>
              <w:top w:val="nil"/>
              <w:left w:val="nil"/>
              <w:bottom w:val="single" w:sz="8" w:space="0" w:color="auto"/>
              <w:right w:val="single" w:sz="8" w:space="0" w:color="auto"/>
            </w:tcBorders>
            <w:shd w:val="clear" w:color="000000" w:fill="F2F2F2"/>
            <w:noWrap/>
            <w:vAlign w:val="center"/>
            <w:hideMark/>
          </w:tcPr>
          <w:p w14:paraId="617D22DD"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322</w:t>
            </w:r>
          </w:p>
        </w:tc>
      </w:tr>
      <w:tr w:rsidR="00F11ACE" w:rsidRPr="00F11ACE" w14:paraId="5F51E817" w14:textId="77777777" w:rsidTr="00F11ACE">
        <w:trPr>
          <w:trHeight w:val="315"/>
        </w:trPr>
        <w:tc>
          <w:tcPr>
            <w:tcW w:w="1576" w:type="dxa"/>
            <w:tcBorders>
              <w:top w:val="nil"/>
              <w:left w:val="single" w:sz="8" w:space="0" w:color="auto"/>
              <w:bottom w:val="single" w:sz="8" w:space="0" w:color="auto"/>
              <w:right w:val="single" w:sz="8" w:space="0" w:color="auto"/>
            </w:tcBorders>
            <w:shd w:val="clear" w:color="auto" w:fill="auto"/>
            <w:noWrap/>
            <w:vAlign w:val="center"/>
            <w:hideMark/>
          </w:tcPr>
          <w:p w14:paraId="1ADFB0ED" w14:textId="77777777" w:rsidR="00F11ACE" w:rsidRPr="00F11ACE" w:rsidRDefault="00F11ACE" w:rsidP="00F11ACE">
            <w:pPr>
              <w:spacing w:after="0" w:line="240" w:lineRule="auto"/>
              <w:rPr>
                <w:rFonts w:cs="Arial"/>
                <w:color w:val="000000"/>
                <w:szCs w:val="20"/>
              </w:rPr>
            </w:pPr>
            <w:r w:rsidRPr="00F11ACE">
              <w:rPr>
                <w:rFonts w:cs="Arial"/>
                <w:color w:val="000000"/>
                <w:szCs w:val="20"/>
              </w:rPr>
              <w:t>Base station - fixed wireless</w:t>
            </w:r>
          </w:p>
        </w:tc>
        <w:tc>
          <w:tcPr>
            <w:tcW w:w="1576" w:type="dxa"/>
            <w:tcBorders>
              <w:top w:val="nil"/>
              <w:left w:val="nil"/>
              <w:bottom w:val="single" w:sz="8" w:space="0" w:color="auto"/>
              <w:right w:val="single" w:sz="8" w:space="0" w:color="auto"/>
            </w:tcBorders>
            <w:shd w:val="clear" w:color="auto" w:fill="auto"/>
            <w:noWrap/>
            <w:vAlign w:val="center"/>
            <w:hideMark/>
          </w:tcPr>
          <w:p w14:paraId="12933716"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54</w:t>
            </w:r>
          </w:p>
        </w:tc>
        <w:tc>
          <w:tcPr>
            <w:tcW w:w="1576" w:type="dxa"/>
            <w:tcBorders>
              <w:top w:val="nil"/>
              <w:left w:val="nil"/>
              <w:bottom w:val="single" w:sz="8" w:space="0" w:color="auto"/>
              <w:right w:val="single" w:sz="8" w:space="0" w:color="auto"/>
            </w:tcBorders>
            <w:shd w:val="clear" w:color="auto" w:fill="auto"/>
            <w:noWrap/>
            <w:vAlign w:val="center"/>
            <w:hideMark/>
          </w:tcPr>
          <w:p w14:paraId="34B5094E"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auto" w:fill="auto"/>
            <w:noWrap/>
            <w:vAlign w:val="center"/>
            <w:hideMark/>
          </w:tcPr>
          <w:p w14:paraId="2032C5A9"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auto" w:fill="auto"/>
            <w:vAlign w:val="center"/>
            <w:hideMark/>
          </w:tcPr>
          <w:p w14:paraId="56D5B371"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54</w:t>
            </w:r>
          </w:p>
        </w:tc>
      </w:tr>
      <w:tr w:rsidR="00F11ACE" w:rsidRPr="00F11ACE" w14:paraId="705C0766" w14:textId="77777777" w:rsidTr="00F11ACE">
        <w:trPr>
          <w:trHeight w:val="315"/>
        </w:trPr>
        <w:tc>
          <w:tcPr>
            <w:tcW w:w="1576" w:type="dxa"/>
            <w:tcBorders>
              <w:top w:val="nil"/>
              <w:left w:val="single" w:sz="8" w:space="0" w:color="auto"/>
              <w:bottom w:val="single" w:sz="8" w:space="0" w:color="auto"/>
              <w:right w:val="single" w:sz="8" w:space="0" w:color="auto"/>
            </w:tcBorders>
            <w:shd w:val="clear" w:color="000000" w:fill="F2F2F2"/>
            <w:noWrap/>
            <w:vAlign w:val="center"/>
            <w:hideMark/>
          </w:tcPr>
          <w:p w14:paraId="6441A5BA" w14:textId="77777777" w:rsidR="00F11ACE" w:rsidRPr="00F11ACE" w:rsidRDefault="00F11ACE" w:rsidP="00F11ACE">
            <w:pPr>
              <w:spacing w:after="0" w:line="240" w:lineRule="auto"/>
              <w:rPr>
                <w:rFonts w:cs="Arial"/>
                <w:color w:val="000000"/>
                <w:szCs w:val="20"/>
              </w:rPr>
            </w:pPr>
            <w:r w:rsidRPr="00F11ACE">
              <w:rPr>
                <w:rFonts w:cs="Arial"/>
                <w:color w:val="000000"/>
                <w:szCs w:val="20"/>
              </w:rPr>
              <w:t>Exchange</w:t>
            </w:r>
          </w:p>
        </w:tc>
        <w:tc>
          <w:tcPr>
            <w:tcW w:w="1576" w:type="dxa"/>
            <w:tcBorders>
              <w:top w:val="nil"/>
              <w:left w:val="nil"/>
              <w:bottom w:val="single" w:sz="8" w:space="0" w:color="auto"/>
              <w:right w:val="single" w:sz="8" w:space="0" w:color="auto"/>
            </w:tcBorders>
            <w:shd w:val="clear" w:color="000000" w:fill="F2F2F2"/>
            <w:noWrap/>
            <w:vAlign w:val="center"/>
            <w:hideMark/>
          </w:tcPr>
          <w:p w14:paraId="457FB593"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13</w:t>
            </w:r>
          </w:p>
        </w:tc>
        <w:tc>
          <w:tcPr>
            <w:tcW w:w="1576" w:type="dxa"/>
            <w:tcBorders>
              <w:top w:val="nil"/>
              <w:left w:val="nil"/>
              <w:bottom w:val="single" w:sz="8" w:space="0" w:color="auto"/>
              <w:right w:val="single" w:sz="8" w:space="0" w:color="auto"/>
            </w:tcBorders>
            <w:shd w:val="clear" w:color="000000" w:fill="F2F2F2"/>
            <w:noWrap/>
            <w:vAlign w:val="center"/>
            <w:hideMark/>
          </w:tcPr>
          <w:p w14:paraId="4F659C8C"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000000" w:fill="F2F2F2"/>
            <w:noWrap/>
            <w:vAlign w:val="center"/>
            <w:hideMark/>
          </w:tcPr>
          <w:p w14:paraId="08338007"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000000" w:fill="F2F2F2"/>
            <w:noWrap/>
            <w:vAlign w:val="center"/>
            <w:hideMark/>
          </w:tcPr>
          <w:p w14:paraId="3AC345DD"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13</w:t>
            </w:r>
          </w:p>
        </w:tc>
      </w:tr>
      <w:tr w:rsidR="00F11ACE" w:rsidRPr="00F11ACE" w14:paraId="219D8030" w14:textId="77777777" w:rsidTr="00F11ACE">
        <w:trPr>
          <w:trHeight w:val="315"/>
        </w:trPr>
        <w:tc>
          <w:tcPr>
            <w:tcW w:w="1576" w:type="dxa"/>
            <w:tcBorders>
              <w:top w:val="nil"/>
              <w:left w:val="single" w:sz="8" w:space="0" w:color="auto"/>
              <w:bottom w:val="single" w:sz="8" w:space="0" w:color="auto"/>
              <w:right w:val="single" w:sz="8" w:space="0" w:color="auto"/>
            </w:tcBorders>
            <w:shd w:val="clear" w:color="auto" w:fill="auto"/>
            <w:noWrap/>
            <w:vAlign w:val="center"/>
            <w:hideMark/>
          </w:tcPr>
          <w:p w14:paraId="1594C546" w14:textId="77777777" w:rsidR="00F11ACE" w:rsidRPr="00F11ACE" w:rsidRDefault="00F11ACE" w:rsidP="00F11ACE">
            <w:pPr>
              <w:spacing w:after="0" w:line="240" w:lineRule="auto"/>
              <w:rPr>
                <w:rFonts w:cs="Arial"/>
                <w:color w:val="000000"/>
                <w:szCs w:val="20"/>
              </w:rPr>
            </w:pPr>
            <w:r w:rsidRPr="00F11ACE">
              <w:rPr>
                <w:rFonts w:cs="Arial"/>
                <w:color w:val="000000"/>
                <w:szCs w:val="20"/>
              </w:rPr>
              <w:t>Equipment shelter</w:t>
            </w:r>
          </w:p>
        </w:tc>
        <w:tc>
          <w:tcPr>
            <w:tcW w:w="1576" w:type="dxa"/>
            <w:tcBorders>
              <w:top w:val="nil"/>
              <w:left w:val="nil"/>
              <w:bottom w:val="single" w:sz="8" w:space="0" w:color="auto"/>
              <w:right w:val="single" w:sz="8" w:space="0" w:color="auto"/>
            </w:tcBorders>
            <w:shd w:val="clear" w:color="auto" w:fill="auto"/>
            <w:noWrap/>
            <w:vAlign w:val="center"/>
            <w:hideMark/>
          </w:tcPr>
          <w:p w14:paraId="0760D398"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3</w:t>
            </w:r>
          </w:p>
        </w:tc>
        <w:tc>
          <w:tcPr>
            <w:tcW w:w="1576" w:type="dxa"/>
            <w:tcBorders>
              <w:top w:val="nil"/>
              <w:left w:val="nil"/>
              <w:bottom w:val="single" w:sz="8" w:space="0" w:color="auto"/>
              <w:right w:val="single" w:sz="8" w:space="0" w:color="auto"/>
            </w:tcBorders>
            <w:shd w:val="clear" w:color="auto" w:fill="auto"/>
            <w:noWrap/>
            <w:vAlign w:val="center"/>
            <w:hideMark/>
          </w:tcPr>
          <w:p w14:paraId="28A2146F"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auto" w:fill="auto"/>
            <w:noWrap/>
            <w:vAlign w:val="center"/>
            <w:hideMark/>
          </w:tcPr>
          <w:p w14:paraId="6CF6B239" w14:textId="77777777" w:rsidR="00F11ACE" w:rsidRPr="00F11ACE" w:rsidRDefault="00F11ACE" w:rsidP="00F11ACE">
            <w:pPr>
              <w:spacing w:after="0" w:line="240" w:lineRule="auto"/>
              <w:jc w:val="right"/>
              <w:rPr>
                <w:rFonts w:cs="Arial"/>
                <w:color w:val="000000"/>
                <w:szCs w:val="20"/>
              </w:rPr>
            </w:pPr>
            <w:r w:rsidRPr="00F11ACE">
              <w:rPr>
                <w:rFonts w:cs="Arial"/>
                <w:color w:val="000000"/>
                <w:szCs w:val="20"/>
              </w:rPr>
              <w:t>0</w:t>
            </w:r>
          </w:p>
        </w:tc>
        <w:tc>
          <w:tcPr>
            <w:tcW w:w="1576" w:type="dxa"/>
            <w:tcBorders>
              <w:top w:val="nil"/>
              <w:left w:val="nil"/>
              <w:bottom w:val="single" w:sz="8" w:space="0" w:color="auto"/>
              <w:right w:val="single" w:sz="8" w:space="0" w:color="auto"/>
            </w:tcBorders>
            <w:shd w:val="clear" w:color="auto" w:fill="auto"/>
            <w:noWrap/>
            <w:vAlign w:val="center"/>
            <w:hideMark/>
          </w:tcPr>
          <w:p w14:paraId="4F2034FC"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3</w:t>
            </w:r>
          </w:p>
        </w:tc>
      </w:tr>
      <w:tr w:rsidR="00F11ACE" w:rsidRPr="00F11ACE" w14:paraId="58781871" w14:textId="77777777" w:rsidTr="00F11ACE">
        <w:trPr>
          <w:trHeight w:val="315"/>
        </w:trPr>
        <w:tc>
          <w:tcPr>
            <w:tcW w:w="1576" w:type="dxa"/>
            <w:tcBorders>
              <w:top w:val="nil"/>
              <w:left w:val="single" w:sz="8" w:space="0" w:color="auto"/>
              <w:bottom w:val="single" w:sz="8" w:space="0" w:color="auto"/>
              <w:right w:val="single" w:sz="8" w:space="0" w:color="auto"/>
            </w:tcBorders>
            <w:shd w:val="clear" w:color="000000" w:fill="F2F2F2"/>
            <w:noWrap/>
            <w:vAlign w:val="center"/>
            <w:hideMark/>
          </w:tcPr>
          <w:p w14:paraId="324B86B5" w14:textId="77777777" w:rsidR="00F11ACE" w:rsidRPr="00F11ACE" w:rsidRDefault="00F11ACE" w:rsidP="00F11ACE">
            <w:pPr>
              <w:spacing w:after="0" w:line="240" w:lineRule="auto"/>
              <w:rPr>
                <w:rFonts w:cs="Arial"/>
                <w:b/>
                <w:bCs/>
                <w:color w:val="000000"/>
                <w:szCs w:val="20"/>
              </w:rPr>
            </w:pPr>
            <w:r w:rsidRPr="00F11ACE">
              <w:rPr>
                <w:rFonts w:cs="Arial"/>
                <w:b/>
                <w:bCs/>
                <w:color w:val="000000"/>
                <w:szCs w:val="20"/>
              </w:rPr>
              <w:t>Total</w:t>
            </w:r>
          </w:p>
        </w:tc>
        <w:tc>
          <w:tcPr>
            <w:tcW w:w="1576" w:type="dxa"/>
            <w:tcBorders>
              <w:top w:val="nil"/>
              <w:left w:val="nil"/>
              <w:bottom w:val="single" w:sz="8" w:space="0" w:color="auto"/>
              <w:right w:val="single" w:sz="8" w:space="0" w:color="auto"/>
            </w:tcBorders>
            <w:shd w:val="clear" w:color="000000" w:fill="F2F2F2"/>
            <w:noWrap/>
            <w:vAlign w:val="center"/>
            <w:hideMark/>
          </w:tcPr>
          <w:p w14:paraId="167B9C5B"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779</w:t>
            </w:r>
          </w:p>
        </w:tc>
        <w:tc>
          <w:tcPr>
            <w:tcW w:w="1576" w:type="dxa"/>
            <w:tcBorders>
              <w:top w:val="nil"/>
              <w:left w:val="nil"/>
              <w:bottom w:val="single" w:sz="8" w:space="0" w:color="auto"/>
              <w:right w:val="single" w:sz="8" w:space="0" w:color="auto"/>
            </w:tcBorders>
            <w:shd w:val="clear" w:color="000000" w:fill="F2F2F2"/>
            <w:noWrap/>
            <w:vAlign w:val="center"/>
            <w:hideMark/>
          </w:tcPr>
          <w:p w14:paraId="1F2A174B"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98</w:t>
            </w:r>
          </w:p>
        </w:tc>
        <w:tc>
          <w:tcPr>
            <w:tcW w:w="1576" w:type="dxa"/>
            <w:tcBorders>
              <w:top w:val="nil"/>
              <w:left w:val="nil"/>
              <w:bottom w:val="single" w:sz="8" w:space="0" w:color="auto"/>
              <w:right w:val="single" w:sz="8" w:space="0" w:color="auto"/>
            </w:tcBorders>
            <w:shd w:val="clear" w:color="000000" w:fill="F2F2F2"/>
            <w:noWrap/>
            <w:vAlign w:val="center"/>
            <w:hideMark/>
          </w:tcPr>
          <w:p w14:paraId="2CCC4F9F"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11</w:t>
            </w:r>
          </w:p>
        </w:tc>
        <w:tc>
          <w:tcPr>
            <w:tcW w:w="1576" w:type="dxa"/>
            <w:tcBorders>
              <w:top w:val="nil"/>
              <w:left w:val="nil"/>
              <w:bottom w:val="single" w:sz="8" w:space="0" w:color="auto"/>
              <w:right w:val="single" w:sz="8" w:space="0" w:color="auto"/>
            </w:tcBorders>
            <w:shd w:val="clear" w:color="000000" w:fill="F2F2F2"/>
            <w:noWrap/>
            <w:vAlign w:val="center"/>
            <w:hideMark/>
          </w:tcPr>
          <w:p w14:paraId="35174328" w14:textId="77777777" w:rsidR="00F11ACE" w:rsidRPr="00F11ACE" w:rsidRDefault="00F11ACE" w:rsidP="00F11ACE">
            <w:pPr>
              <w:spacing w:after="0" w:line="240" w:lineRule="auto"/>
              <w:jc w:val="right"/>
              <w:rPr>
                <w:rFonts w:cs="Arial"/>
                <w:b/>
                <w:bCs/>
                <w:color w:val="000000"/>
                <w:szCs w:val="20"/>
              </w:rPr>
            </w:pPr>
            <w:r w:rsidRPr="00F11ACE">
              <w:rPr>
                <w:rFonts w:cs="Arial"/>
                <w:b/>
                <w:bCs/>
                <w:color w:val="000000"/>
                <w:szCs w:val="20"/>
              </w:rPr>
              <w:t>888</w:t>
            </w:r>
          </w:p>
        </w:tc>
      </w:tr>
    </w:tbl>
    <w:p w14:paraId="37DFE8E7" w14:textId="77777777" w:rsidR="00F11ACE" w:rsidRDefault="00F11ACE" w:rsidP="00F11ACE">
      <w:pPr>
        <w:pStyle w:val="Tableheading"/>
        <w:numPr>
          <w:ilvl w:val="0"/>
          <w:numId w:val="0"/>
        </w:numPr>
      </w:pPr>
    </w:p>
    <w:p w14:paraId="7EB57F29" w14:textId="77777777" w:rsidR="00987522" w:rsidRDefault="00987522" w:rsidP="00E57528">
      <w:pPr>
        <w:pStyle w:val="Heading2"/>
        <w:rPr>
          <w:rFonts w:eastAsiaTheme="majorEastAsia"/>
        </w:rPr>
      </w:pPr>
      <w:bookmarkStart w:id="23" w:name="_Toc37080615"/>
      <w:r w:rsidRPr="00D3227B">
        <w:rPr>
          <w:rFonts w:eastAsiaTheme="majorEastAsia"/>
        </w:rPr>
        <w:t>Peak period</w:t>
      </w:r>
      <w:bookmarkEnd w:id="23"/>
    </w:p>
    <w:p w14:paraId="13DC3DD6" w14:textId="1D722095" w:rsidR="00987522" w:rsidDel="002058DB" w:rsidRDefault="00987522" w:rsidP="007C5BB2">
      <w:pPr>
        <w:pStyle w:val="Paragraph"/>
      </w:pPr>
      <w:r w:rsidRPr="0017076F">
        <w:t xml:space="preserve">Figure </w:t>
      </w:r>
      <w:r w:rsidRPr="00FB66A9">
        <w:t>5</w:t>
      </w:r>
      <w:r w:rsidRPr="0017076F">
        <w:t xml:space="preserve"> shows when outage</w:t>
      </w:r>
      <w:r w:rsidR="00AF116B">
        <w:t xml:space="preserve"> incident</w:t>
      </w:r>
      <w:r w:rsidRPr="0017076F">
        <w:t>s occurred through the review period.</w:t>
      </w:r>
      <w:r>
        <w:rPr>
          <w:b/>
          <w:bCs/>
          <w:color w:val="00B050"/>
        </w:rPr>
        <w:t xml:space="preserve"> </w:t>
      </w:r>
      <w:r w:rsidRPr="0017076F">
        <w:t>It does not show the duration of those outages.</w:t>
      </w:r>
      <w:r>
        <w:t xml:space="preserve"> </w:t>
      </w:r>
    </w:p>
    <w:p w14:paraId="033CEAA0" w14:textId="6AE81427" w:rsidR="00987522" w:rsidRPr="003B3930" w:rsidRDefault="00E57528" w:rsidP="00686C33">
      <w:pPr>
        <w:pStyle w:val="Figureheading"/>
      </w:pPr>
      <w:r>
        <w:lastRenderedPageBreak/>
        <w:t>N</w:t>
      </w:r>
      <w:r w:rsidR="00987522">
        <w:t>umber of outage</w:t>
      </w:r>
      <w:r w:rsidR="00AF116B">
        <w:t xml:space="preserve"> incident</w:t>
      </w:r>
      <w:r w:rsidR="00987522">
        <w:t>s, by outage date and state</w:t>
      </w:r>
      <w:r w:rsidR="00B0109B">
        <w:br/>
      </w:r>
    </w:p>
    <w:p w14:paraId="5301B239" w14:textId="02BA7B06" w:rsidR="00987522" w:rsidRDefault="00B0109B" w:rsidP="00987522">
      <w:pPr>
        <w:pStyle w:val="CommentText"/>
      </w:pPr>
      <w:r>
        <w:rPr>
          <w:noProof/>
        </w:rPr>
        <w:drawing>
          <wp:inline distT="0" distB="0" distL="0" distR="0" wp14:anchorId="44FAC3A8" wp14:editId="41A56FB0">
            <wp:extent cx="4871085" cy="2619375"/>
            <wp:effectExtent l="0" t="0" r="5715"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4871085" cy="2619375"/>
                    </a:xfrm>
                    <a:prstGeom prst="rect">
                      <a:avLst/>
                    </a:prstGeom>
                  </pic:spPr>
                </pic:pic>
              </a:graphicData>
            </a:graphic>
          </wp:inline>
        </w:drawing>
      </w:r>
    </w:p>
    <w:p w14:paraId="031F1419" w14:textId="645A151A" w:rsidR="00987522" w:rsidRPr="00815792" w:rsidRDefault="00987522" w:rsidP="007C5BB2">
      <w:pPr>
        <w:pStyle w:val="Paragraph"/>
      </w:pPr>
      <w:r>
        <w:t>This figure shows that the peak number of outages (306) occurred in NSW between 31</w:t>
      </w:r>
      <w:r w:rsidRPr="00815792">
        <w:t xml:space="preserve"> December 2019 to 1 January 2020. This represents almost 45 per cent of the total outage</w:t>
      </w:r>
      <w:r w:rsidR="00AF116B">
        <w:t xml:space="preserve"> incident</w:t>
      </w:r>
      <w:r w:rsidRPr="00815792">
        <w:t xml:space="preserve">s in NSW during the review period. These appear to be direct impacts of the Currowan and Green Valley bushfires. </w:t>
      </w:r>
    </w:p>
    <w:p w14:paraId="5A52AFF6" w14:textId="41C8838C" w:rsidR="00987522" w:rsidRPr="00815792" w:rsidRDefault="00987522" w:rsidP="007C5BB2">
      <w:pPr>
        <w:pStyle w:val="Paragraph"/>
      </w:pPr>
      <w:r w:rsidRPr="00815792">
        <w:t>In th</w:t>
      </w:r>
      <w:r>
        <w:t>e</w:t>
      </w:r>
      <w:r w:rsidRPr="00815792">
        <w:t xml:space="preserve"> same two-day period, </w:t>
      </w:r>
      <w:r w:rsidR="00760804">
        <w:t xml:space="preserve">71 </w:t>
      </w:r>
      <w:r w:rsidR="00716409">
        <w:t>outage incidents</w:t>
      </w:r>
      <w:r w:rsidRPr="00815792">
        <w:t xml:space="preserve"> occurred in Victoria. This again represents almost 45 per cent of the total outage</w:t>
      </w:r>
      <w:r w:rsidR="00AF116B">
        <w:t xml:space="preserve"> incident</w:t>
      </w:r>
      <w:r w:rsidRPr="00815792">
        <w:t xml:space="preserve">s in Victoria during the review period. </w:t>
      </w:r>
      <w:r w:rsidR="00AF116B">
        <w:t>O</w:t>
      </w:r>
      <w:r w:rsidRPr="00815792">
        <w:t>utage</w:t>
      </w:r>
      <w:r w:rsidR="00AF116B">
        <w:t xml:space="preserve"> incident</w:t>
      </w:r>
      <w:r w:rsidRPr="00815792">
        <w:t xml:space="preserve">s </w:t>
      </w:r>
      <w:r w:rsidR="00AF116B">
        <w:t xml:space="preserve">that occurred </w:t>
      </w:r>
      <w:r w:rsidRPr="00815792">
        <w:t>during this two-day period appear to be direct impacts of bushfires in East Gippsland and the Green Valley bushfire, which crossed the Murray into north</w:t>
      </w:r>
      <w:r w:rsidR="00B644FB">
        <w:t>-</w:t>
      </w:r>
      <w:r w:rsidRPr="00815792">
        <w:t xml:space="preserve">eastern Victoria. </w:t>
      </w:r>
    </w:p>
    <w:p w14:paraId="31356901" w14:textId="765C769C" w:rsidR="00987522" w:rsidRPr="00815792" w:rsidRDefault="00987522" w:rsidP="007C5BB2">
      <w:pPr>
        <w:pStyle w:val="Paragraph"/>
      </w:pPr>
      <w:r w:rsidRPr="00815792">
        <w:t>In SA, most outage</w:t>
      </w:r>
      <w:r w:rsidR="00AF116B">
        <w:t xml:space="preserve"> incident</w:t>
      </w:r>
      <w:r w:rsidRPr="00815792">
        <w:t xml:space="preserve">s occurred on 20 December 2019 as a result of the Cudlee Creek bushfire in the Adelaide Hills. </w:t>
      </w:r>
    </w:p>
    <w:p w14:paraId="690A26C6" w14:textId="543F258C" w:rsidR="00987522" w:rsidRDefault="00AF116B" w:rsidP="007C5BB2">
      <w:pPr>
        <w:pStyle w:val="Paragraph"/>
      </w:pPr>
      <w:r>
        <w:t>O</w:t>
      </w:r>
      <w:r w:rsidR="00987522" w:rsidRPr="00815792">
        <w:t>utage</w:t>
      </w:r>
      <w:r>
        <w:t xml:space="preserve"> incident</w:t>
      </w:r>
      <w:r w:rsidR="00987522" w:rsidRPr="00815792">
        <w:t xml:space="preserve">s </w:t>
      </w:r>
      <w:r>
        <w:t xml:space="preserve">that occurred </w:t>
      </w:r>
      <w:r w:rsidR="00987522" w:rsidRPr="00815792">
        <w:t>as a direct result of the Kangaroo Island bushfires peaked on 10 January 202</w:t>
      </w:r>
      <w:r w:rsidR="00987522" w:rsidRPr="00267692">
        <w:t>0.</w:t>
      </w:r>
      <w:r w:rsidR="00987522" w:rsidRPr="00815792">
        <w:t xml:space="preserve"> </w:t>
      </w:r>
    </w:p>
    <w:p w14:paraId="457E6AD9" w14:textId="77777777" w:rsidR="00987522" w:rsidRDefault="00987522" w:rsidP="00E57528">
      <w:pPr>
        <w:pStyle w:val="Heading2"/>
      </w:pPr>
      <w:bookmarkStart w:id="24" w:name="_Toc37080616"/>
      <w:r>
        <w:t>Length of outages</w:t>
      </w:r>
      <w:bookmarkEnd w:id="24"/>
    </w:p>
    <w:p w14:paraId="4436C5E7" w14:textId="6932B90E" w:rsidR="00B644FB" w:rsidRDefault="00987522" w:rsidP="007C5BB2">
      <w:pPr>
        <w:pStyle w:val="Paragraph"/>
      </w:pPr>
      <w:bookmarkStart w:id="25" w:name="_Hlk35613593"/>
      <w:r>
        <w:t>The length of a</w:t>
      </w:r>
      <w:r w:rsidR="00300901">
        <w:t>n</w:t>
      </w:r>
      <w:r>
        <w:t xml:space="preserve"> outage</w:t>
      </w:r>
      <w:r w:rsidR="00300901">
        <w:t xml:space="preserve"> incident</w:t>
      </w:r>
      <w:r>
        <w:t xml:space="preserve"> is calculated from the time the outage commenced until the time the facility is permanently restored. The average length of outage</w:t>
      </w:r>
      <w:r w:rsidR="00AF116B">
        <w:t xml:space="preserve"> incident</w:t>
      </w:r>
      <w:r>
        <w:t xml:space="preserve">s is calculated based on facilities </w:t>
      </w:r>
      <w:r w:rsidR="00B644FB">
        <w:t xml:space="preserve">that </w:t>
      </w:r>
      <w:r>
        <w:t xml:space="preserve">were restored by the end of the review </w:t>
      </w:r>
      <w:r w:rsidRPr="00C43638">
        <w:t xml:space="preserve">period. </w:t>
      </w:r>
      <w:r w:rsidR="00515FCB">
        <w:t xml:space="preserve">39 facilities had not been restored by the end of the review period and are not included in this </w:t>
      </w:r>
      <w:r w:rsidR="00E61F8C">
        <w:t>calculation</w:t>
      </w:r>
      <w:r w:rsidR="00515FCB">
        <w:t xml:space="preserve">. </w:t>
      </w:r>
      <w:r>
        <w:t>Figure 6</w:t>
      </w:r>
      <w:r w:rsidRPr="00C43638">
        <w:t xml:space="preserve"> </w:t>
      </w:r>
      <w:r>
        <w:t>shows the average length of outage</w:t>
      </w:r>
      <w:r w:rsidR="00AF116B">
        <w:t xml:space="preserve"> incident</w:t>
      </w:r>
      <w:r>
        <w:t xml:space="preserve">s by facility type. </w:t>
      </w:r>
    </w:p>
    <w:p w14:paraId="1DD5D669" w14:textId="77E9E5EC" w:rsidR="00987522" w:rsidRDefault="00987522" w:rsidP="007C5BB2">
      <w:pPr>
        <w:pStyle w:val="Paragraph"/>
      </w:pPr>
      <w:r>
        <w:t>T</w:t>
      </w:r>
      <w:r w:rsidRPr="00C43638">
        <w:t xml:space="preserve">he average length of outages for the review period was </w:t>
      </w:r>
      <w:r w:rsidRPr="0062699F">
        <w:t>3.</w:t>
      </w:r>
      <w:r w:rsidR="00B644FB" w:rsidRPr="0062699F">
        <w:t>5</w:t>
      </w:r>
      <w:r w:rsidR="00B644FB">
        <w:t> </w:t>
      </w:r>
      <w:r w:rsidRPr="0062699F">
        <w:t>days.</w:t>
      </w:r>
      <w:r w:rsidRPr="00C43638">
        <w:t xml:space="preserve"> </w:t>
      </w:r>
      <w:r>
        <w:t>Mobile base stations</w:t>
      </w:r>
      <w:r w:rsidRPr="00C43638">
        <w:t xml:space="preserve"> on average experienced the shortest outages (</w:t>
      </w:r>
      <w:r>
        <w:t>2.5</w:t>
      </w:r>
      <w:r w:rsidRPr="00C43638">
        <w:t xml:space="preserve"> days) and equipment shelters experienced the longest </w:t>
      </w:r>
      <w:r w:rsidR="007809D1">
        <w:t>outages</w:t>
      </w:r>
      <w:r w:rsidR="007809D1" w:rsidRPr="00C43638">
        <w:t xml:space="preserve"> </w:t>
      </w:r>
      <w:r w:rsidRPr="00C43638">
        <w:t>(</w:t>
      </w:r>
      <w:r>
        <w:t>23</w:t>
      </w:r>
      <w:r w:rsidRPr="00C43638">
        <w:t xml:space="preserve"> days). </w:t>
      </w:r>
    </w:p>
    <w:p w14:paraId="2F8F29E0" w14:textId="24F03E6F" w:rsidR="00987522" w:rsidRDefault="00987522" w:rsidP="007C5BB2">
      <w:pPr>
        <w:pStyle w:val="Paragraph"/>
      </w:pPr>
      <w:r w:rsidRPr="00C43638">
        <w:t>However, these figures largely exclude outage</w:t>
      </w:r>
      <w:r w:rsidR="00EA213D">
        <w:t xml:space="preserve"> incident</w:t>
      </w:r>
      <w:r w:rsidRPr="00C43638">
        <w:t xml:space="preserve">s </w:t>
      </w:r>
      <w:r w:rsidR="00B644FB">
        <w:t>that</w:t>
      </w:r>
      <w:r w:rsidR="00B644FB" w:rsidRPr="00C43638">
        <w:t xml:space="preserve"> </w:t>
      </w:r>
      <w:r w:rsidRPr="00C43638">
        <w:t>were caused</w:t>
      </w:r>
      <w:r>
        <w:t xml:space="preserve"> by fire damage</w:t>
      </w:r>
      <w:r w:rsidR="00074925">
        <w:t xml:space="preserve"> directly</w:t>
      </w:r>
      <w:r>
        <w:t xml:space="preserve">. This indicates that </w:t>
      </w:r>
      <w:r w:rsidRPr="00E42F02">
        <w:t xml:space="preserve">facilities </w:t>
      </w:r>
      <w:r w:rsidR="00B644FB">
        <w:t>that</w:t>
      </w:r>
      <w:r w:rsidR="00B644FB" w:rsidRPr="00E42F02">
        <w:t xml:space="preserve"> </w:t>
      </w:r>
      <w:r w:rsidRPr="00E42F02">
        <w:t>were directly damaged by fire take significantly longer to restore.</w:t>
      </w:r>
    </w:p>
    <w:p w14:paraId="224644E7" w14:textId="1FECC23C" w:rsidR="00987522" w:rsidRDefault="00987522" w:rsidP="007C5BB2">
      <w:pPr>
        <w:pStyle w:val="Paragraph"/>
      </w:pPr>
      <w:r>
        <w:t xml:space="preserve">Of the 11 facilities </w:t>
      </w:r>
      <w:r w:rsidR="00B644FB">
        <w:t xml:space="preserve">that </w:t>
      </w:r>
      <w:r>
        <w:t xml:space="preserve">were directly damaged by fire during the review period, only one had been restored by 31 January. The remaining 10 facilities were damaged </w:t>
      </w:r>
      <w:r>
        <w:lastRenderedPageBreak/>
        <w:t xml:space="preserve">between 20 December 2019 to 3 January 2020 and were not restored by the end of the review period. </w:t>
      </w:r>
    </w:p>
    <w:p w14:paraId="7B533907" w14:textId="640949B7" w:rsidR="00987522" w:rsidRPr="00E57528" w:rsidRDefault="00987522" w:rsidP="007C5BB2">
      <w:pPr>
        <w:pStyle w:val="Paragraph"/>
      </w:pPr>
      <w:r>
        <w:t>It is important to note that the length of outage</w:t>
      </w:r>
      <w:r w:rsidR="00065E32">
        <w:t xml:space="preserve"> incident</w:t>
      </w:r>
      <w:r>
        <w:t xml:space="preserve">s represents the amount of time that a facility was impacted. It does not necessarily represent the amount of time that customer services were impacted. This is because temporary facilities were deployed in some instances to restore customer services. </w:t>
      </w:r>
      <w:bookmarkEnd w:id="25"/>
    </w:p>
    <w:p w14:paraId="42BFCBF0" w14:textId="773F531D" w:rsidR="00987522" w:rsidRPr="00475333" w:rsidRDefault="00E57528" w:rsidP="00686C33">
      <w:pPr>
        <w:pStyle w:val="Figureheading"/>
      </w:pPr>
      <w:r>
        <w:t>Average</w:t>
      </w:r>
      <w:r w:rsidR="00987522">
        <w:t xml:space="preserve"> length of outage</w:t>
      </w:r>
      <w:r w:rsidR="00065E32">
        <w:t xml:space="preserve"> incident</w:t>
      </w:r>
      <w:r w:rsidR="00987522">
        <w:t xml:space="preserve">s (days), by facility type </w:t>
      </w:r>
    </w:p>
    <w:p w14:paraId="2E59CFD7" w14:textId="0026030F" w:rsidR="00987522" w:rsidRDefault="00B0109B" w:rsidP="00987522">
      <w:pPr>
        <w:pStyle w:val="CommentText"/>
        <w:rPr>
          <w:b/>
          <w:bCs/>
          <w:color w:val="00B050"/>
          <w:sz w:val="22"/>
          <w:szCs w:val="22"/>
        </w:rPr>
      </w:pPr>
      <w:r>
        <w:rPr>
          <w:noProof/>
        </w:rPr>
        <w:drawing>
          <wp:inline distT="0" distB="0" distL="0" distR="0" wp14:anchorId="42388FEA" wp14:editId="49FCBE86">
            <wp:extent cx="4871085" cy="2620645"/>
            <wp:effectExtent l="0" t="0" r="5715" b="825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871085" cy="2620645"/>
                    </a:xfrm>
                    <a:prstGeom prst="rect">
                      <a:avLst/>
                    </a:prstGeom>
                  </pic:spPr>
                </pic:pic>
              </a:graphicData>
            </a:graphic>
          </wp:inline>
        </w:drawing>
      </w:r>
    </w:p>
    <w:p w14:paraId="46DF5259" w14:textId="0B91FCC3" w:rsidR="00C05F6F" w:rsidRPr="00C366BA" w:rsidRDefault="00727FF7" w:rsidP="00987522">
      <w:pPr>
        <w:pStyle w:val="CommentText"/>
        <w:rPr>
          <w:i/>
          <w:sz w:val="16"/>
          <w:szCs w:val="16"/>
        </w:rPr>
      </w:pPr>
      <w:r>
        <w:rPr>
          <w:i/>
          <w:iCs/>
          <w:sz w:val="16"/>
          <w:szCs w:val="16"/>
        </w:rPr>
        <w:t xml:space="preserve">Note: </w:t>
      </w:r>
      <w:r w:rsidR="00C05F6F" w:rsidRPr="00C366BA">
        <w:rPr>
          <w:i/>
          <w:sz w:val="16"/>
          <w:szCs w:val="16"/>
        </w:rPr>
        <w:t>This figure only includes facilities which had been restored by the end of the review period</w:t>
      </w:r>
    </w:p>
    <w:p w14:paraId="468741CC" w14:textId="536467AF" w:rsidR="00987522" w:rsidRDefault="00987522" w:rsidP="00FF328F">
      <w:pPr>
        <w:pStyle w:val="Heading2"/>
      </w:pPr>
      <w:bookmarkStart w:id="26" w:name="_Toc37080617"/>
      <w:r w:rsidRPr="0021022E">
        <w:t xml:space="preserve">Observations about </w:t>
      </w:r>
      <w:r>
        <w:t>o</w:t>
      </w:r>
      <w:r w:rsidRPr="0021022E">
        <w:t>utage</w:t>
      </w:r>
      <w:r>
        <w:t>s</w:t>
      </w:r>
      <w:bookmarkEnd w:id="26"/>
    </w:p>
    <w:p w14:paraId="3E9DCCFC" w14:textId="3AC95A1C" w:rsidR="00FF328F" w:rsidRPr="00FF328F" w:rsidRDefault="00FF328F" w:rsidP="00320A2C">
      <w:pPr>
        <w:pStyle w:val="Bulletlevel1"/>
      </w:pPr>
      <w:r>
        <w:t>Most of the outage</w:t>
      </w:r>
      <w:r w:rsidR="00065E32">
        <w:t xml:space="preserve"> incident</w:t>
      </w:r>
      <w:r>
        <w:t xml:space="preserve">s were caused by power outages rather than direct fire damage. </w:t>
      </w:r>
      <w:r w:rsidR="002E0E54">
        <w:t>Direct fire damage only accounted for one per cent of outage</w:t>
      </w:r>
      <w:r w:rsidR="00065E32">
        <w:t xml:space="preserve"> incident</w:t>
      </w:r>
      <w:r w:rsidR="002E0E54">
        <w:t xml:space="preserve">s. </w:t>
      </w:r>
      <w:r>
        <w:t xml:space="preserve">This indicates that reliance on mains power </w:t>
      </w:r>
      <w:r w:rsidR="00344829">
        <w:t xml:space="preserve">does </w:t>
      </w:r>
      <w:r>
        <w:t>affect network resiliency</w:t>
      </w:r>
      <w:r w:rsidR="009C396A">
        <w:t>.</w:t>
      </w:r>
    </w:p>
    <w:p w14:paraId="06E6422B" w14:textId="69D035F4" w:rsidR="00FF328F" w:rsidRPr="00FF328F" w:rsidRDefault="00FF328F" w:rsidP="007C5BB2">
      <w:pPr>
        <w:pStyle w:val="Bulletlevel1last"/>
      </w:pPr>
      <w:r>
        <w:t xml:space="preserve">The average length of </w:t>
      </w:r>
      <w:r w:rsidR="00065E32">
        <w:t xml:space="preserve">an </w:t>
      </w:r>
      <w:r>
        <w:t>outage</w:t>
      </w:r>
      <w:r w:rsidR="0006449C">
        <w:t xml:space="preserve"> incident</w:t>
      </w:r>
      <w:r>
        <w:t xml:space="preserve"> was 3.5 days</w:t>
      </w:r>
      <w:r w:rsidR="00CA3501">
        <w:t xml:space="preserve"> and the median was 1.6 days</w:t>
      </w:r>
      <w:r>
        <w:t>, which indicates that facilities were generally restored promptly.</w:t>
      </w:r>
      <w:r w:rsidRPr="00FF328F">
        <w:t xml:space="preserve"> </w:t>
      </w:r>
    </w:p>
    <w:p w14:paraId="7BB940FE" w14:textId="7F3E8754" w:rsidR="00686C33" w:rsidRDefault="00686C33" w:rsidP="00686C33">
      <w:pPr>
        <w:pStyle w:val="Heading1"/>
      </w:pPr>
      <w:bookmarkStart w:id="27" w:name="_Toc37080618"/>
      <w:r>
        <w:lastRenderedPageBreak/>
        <w:t>Restoration actions</w:t>
      </w:r>
      <w:bookmarkEnd w:id="27"/>
    </w:p>
    <w:p w14:paraId="525DA0C5" w14:textId="4AC17BDA" w:rsidR="00987522" w:rsidRPr="00B8521D" w:rsidRDefault="00987522" w:rsidP="00686C33">
      <w:pPr>
        <w:pStyle w:val="Heading2"/>
      </w:pPr>
      <w:bookmarkStart w:id="28" w:name="_Toc37080619"/>
      <w:r w:rsidRPr="00B8521D">
        <w:t>Temporary restoration actions</w:t>
      </w:r>
      <w:bookmarkEnd w:id="28"/>
    </w:p>
    <w:p w14:paraId="6CED86F9" w14:textId="73B2CCBF" w:rsidR="00987522" w:rsidRPr="007C5BB2" w:rsidRDefault="00987522" w:rsidP="007C5BB2">
      <w:pPr>
        <w:pStyle w:val="Heading3"/>
      </w:pPr>
      <w:bookmarkStart w:id="29" w:name="_Toc37080620"/>
      <w:r w:rsidRPr="007C5BB2">
        <w:t>By number of outages and facility type</w:t>
      </w:r>
      <w:bookmarkEnd w:id="29"/>
    </w:p>
    <w:p w14:paraId="6F5FDD63" w14:textId="2F9BA70E" w:rsidR="00987522" w:rsidRDefault="00987522" w:rsidP="007C5BB2">
      <w:pPr>
        <w:pStyle w:val="Paragraph"/>
      </w:pPr>
      <w:r>
        <w:t xml:space="preserve">Temporary restoration action was taken </w:t>
      </w:r>
      <w:r w:rsidR="00B644FB">
        <w:t>for</w:t>
      </w:r>
      <w:r>
        <w:t xml:space="preserve"> 320 outage</w:t>
      </w:r>
      <w:r w:rsidR="00065E32">
        <w:t xml:space="preserve"> incident</w:t>
      </w:r>
      <w:r>
        <w:t>s, which represents 36</w:t>
      </w:r>
      <w:r w:rsidR="00B644FB">
        <w:t xml:space="preserve"> per cent</w:t>
      </w:r>
      <w:r>
        <w:t xml:space="preserve"> of all outage</w:t>
      </w:r>
      <w:r w:rsidR="00065E32">
        <w:t xml:space="preserve"> incident</w:t>
      </w:r>
      <w:r>
        <w:t>s (320 out of 888). Figure 7</w:t>
      </w:r>
      <w:r w:rsidRPr="00C43638">
        <w:t xml:space="preserve"> shows</w:t>
      </w:r>
      <w:r>
        <w:t xml:space="preserve"> that following an outage, the main action taken by carriers to temporarily restore services</w:t>
      </w:r>
      <w:r w:rsidRPr="005A5FB6">
        <w:t xml:space="preserve"> </w:t>
      </w:r>
      <w:r>
        <w:t>was to use generators, accounting for 93</w:t>
      </w:r>
      <w:r w:rsidR="00B644FB">
        <w:t xml:space="preserve"> per cent</w:t>
      </w:r>
      <w:r>
        <w:t xml:space="preserve"> of all temporary restoration action. In eight instances (2.5 per cent), temporary facilities were deployed</w:t>
      </w:r>
      <w:r w:rsidR="00B644FB">
        <w:t>,</w:t>
      </w:r>
      <w:r>
        <w:t xml:space="preserve"> such as Satellite Cells on Wheels (SATCOWs), Cells on Wheels (COWs) and 4G small cells.</w:t>
      </w:r>
    </w:p>
    <w:p w14:paraId="4BBD2490" w14:textId="77777777" w:rsidR="00987522" w:rsidRDefault="00987522" w:rsidP="007C5BB2">
      <w:pPr>
        <w:pStyle w:val="Paragraphbeforelist"/>
      </w:pPr>
      <w:r>
        <w:t>In 14 instances (4.5</w:t>
      </w:r>
      <w:r w:rsidRPr="001E2ED8">
        <w:t xml:space="preserve"> </w:t>
      </w:r>
      <w:r>
        <w:t xml:space="preserve">per cent), other kinds of temporary restoration actions were taken, including: </w:t>
      </w:r>
    </w:p>
    <w:p w14:paraId="32307D0F" w14:textId="39F18328" w:rsidR="00987522" w:rsidRPr="00FF328F" w:rsidRDefault="00987522" w:rsidP="007C5BB2">
      <w:pPr>
        <w:pStyle w:val="Bulletlevel1"/>
      </w:pPr>
      <w:r w:rsidRPr="00FF328F">
        <w:t>resetting, repairing or replacing damaged hardware and/or facilities</w:t>
      </w:r>
    </w:p>
    <w:p w14:paraId="70ADF092" w14:textId="34EA9E3C" w:rsidR="00987522" w:rsidRPr="00FF328F" w:rsidRDefault="00987522" w:rsidP="007C5BB2">
      <w:pPr>
        <w:pStyle w:val="Bulletlevel1last"/>
      </w:pPr>
      <w:r w:rsidRPr="00FF328F">
        <w:t>cooling and resetting air-conditioning equipment.</w:t>
      </w:r>
    </w:p>
    <w:p w14:paraId="5BF30C72" w14:textId="089326BC" w:rsidR="00987522" w:rsidRPr="00E64D9A" w:rsidRDefault="00FF328F" w:rsidP="00686C33">
      <w:pPr>
        <w:pStyle w:val="Figureheading"/>
      </w:pPr>
      <w:r>
        <w:t>N</w:t>
      </w:r>
      <w:r w:rsidR="00987522">
        <w:t xml:space="preserve">umber of </w:t>
      </w:r>
      <w:r w:rsidR="009D762A">
        <w:t>outage incidents</w:t>
      </w:r>
      <w:r w:rsidR="00987522">
        <w:t xml:space="preserve"> temporarily restored</w:t>
      </w:r>
      <w:r w:rsidR="009D762A">
        <w:t>,</w:t>
      </w:r>
      <w:r w:rsidR="00987522">
        <w:t xml:space="preserve"> by action</w:t>
      </w:r>
      <w:r w:rsidR="009D762A">
        <w:t xml:space="preserve"> taken</w:t>
      </w:r>
      <w:r w:rsidR="00B0109B">
        <w:br/>
      </w:r>
    </w:p>
    <w:p w14:paraId="1631518D" w14:textId="1C893706" w:rsidR="00987522" w:rsidRPr="00BE4CD2" w:rsidRDefault="00B0109B" w:rsidP="00B0109B">
      <w:r>
        <w:rPr>
          <w:noProof/>
        </w:rPr>
        <w:drawing>
          <wp:inline distT="0" distB="0" distL="0" distR="0" wp14:anchorId="571092EE" wp14:editId="0B9D66BC">
            <wp:extent cx="4724259" cy="2618740"/>
            <wp:effectExtent l="0" t="0" r="63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724259" cy="2618740"/>
                    </a:xfrm>
                    <a:prstGeom prst="rect">
                      <a:avLst/>
                    </a:prstGeom>
                  </pic:spPr>
                </pic:pic>
              </a:graphicData>
            </a:graphic>
          </wp:inline>
        </w:drawing>
      </w:r>
    </w:p>
    <w:p w14:paraId="7D12436B" w14:textId="77777777" w:rsidR="00987522" w:rsidRPr="007C5BB2" w:rsidRDefault="00987522" w:rsidP="007C5BB2">
      <w:pPr>
        <w:pStyle w:val="Heading3"/>
      </w:pPr>
      <w:bookmarkStart w:id="30" w:name="_Toc37080621"/>
      <w:r w:rsidRPr="007C5BB2">
        <w:t>By facility type</w:t>
      </w:r>
      <w:bookmarkEnd w:id="30"/>
    </w:p>
    <w:p w14:paraId="40B15EBA" w14:textId="1041B4BF" w:rsidR="00987522" w:rsidRDefault="00987522" w:rsidP="007C5BB2">
      <w:pPr>
        <w:pStyle w:val="Paragraph"/>
      </w:pPr>
      <w:r>
        <w:t xml:space="preserve">Figure 8 </w:t>
      </w:r>
      <w:r w:rsidR="00C366BA">
        <w:t xml:space="preserve">and table 4 </w:t>
      </w:r>
      <w:r>
        <w:t xml:space="preserve">show that the deployment of temporary facilities was only used for responding to mobile base station outages.  However, generators were used to temporarily restore outages across all facility types. </w:t>
      </w:r>
    </w:p>
    <w:p w14:paraId="6F8BCCF9" w14:textId="4B5BF181" w:rsidR="00987522" w:rsidRDefault="00FF328F" w:rsidP="00686C33">
      <w:pPr>
        <w:pStyle w:val="Figureheading"/>
      </w:pPr>
      <w:r>
        <w:lastRenderedPageBreak/>
        <w:t>N</w:t>
      </w:r>
      <w:r w:rsidR="00987522">
        <w:t xml:space="preserve">umber of </w:t>
      </w:r>
      <w:r w:rsidR="009D762A">
        <w:t>outage incidents</w:t>
      </w:r>
      <w:r w:rsidR="00987522">
        <w:t xml:space="preserve"> temporarily restored, by action </w:t>
      </w:r>
      <w:r w:rsidR="009D762A">
        <w:t>taken</w:t>
      </w:r>
      <w:r w:rsidR="00987522">
        <w:t xml:space="preserve"> and facility type</w:t>
      </w:r>
      <w:r w:rsidR="00B0109B">
        <w:br/>
      </w:r>
    </w:p>
    <w:p w14:paraId="614370A1" w14:textId="4CA27C35" w:rsidR="00987522" w:rsidRPr="0017076F" w:rsidRDefault="00B0109B" w:rsidP="00987522">
      <w:r>
        <w:rPr>
          <w:noProof/>
        </w:rPr>
        <w:drawing>
          <wp:inline distT="0" distB="0" distL="0" distR="0" wp14:anchorId="36B5CD02" wp14:editId="4BF3429B">
            <wp:extent cx="4871085" cy="2579370"/>
            <wp:effectExtent l="0" t="0" r="571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871085" cy="2579370"/>
                    </a:xfrm>
                    <a:prstGeom prst="rect">
                      <a:avLst/>
                    </a:prstGeom>
                  </pic:spPr>
                </pic:pic>
              </a:graphicData>
            </a:graphic>
          </wp:inline>
        </w:drawing>
      </w:r>
    </w:p>
    <w:p w14:paraId="7344BA36" w14:textId="214CBBDB" w:rsidR="00987522" w:rsidRPr="00E57528" w:rsidRDefault="00727FF7" w:rsidP="00E57528">
      <w:pPr>
        <w:pStyle w:val="Tableorfigurenotemultiple"/>
      </w:pPr>
      <w:r>
        <w:t>Note:</w:t>
      </w:r>
      <w:r w:rsidRPr="00AE44EE">
        <w:t xml:space="preserve"> </w:t>
      </w:r>
      <w:r w:rsidR="00987522" w:rsidRPr="00E57528">
        <w:t>Other kinds of temporary restoration actions included resetting, repairing or replacing damaged hardware and/or facilities and cooling and resetting air-conditioning equipment.</w:t>
      </w:r>
    </w:p>
    <w:p w14:paraId="5D906014" w14:textId="06C2B643" w:rsidR="00646CD1" w:rsidRDefault="00646CD1" w:rsidP="00E57528">
      <w:pPr>
        <w:pStyle w:val="Tableorfigurenotemultiple"/>
      </w:pPr>
    </w:p>
    <w:p w14:paraId="5A739182" w14:textId="0D80A4FD" w:rsidR="00646CD1" w:rsidRDefault="00646CD1" w:rsidP="00646CD1">
      <w:pPr>
        <w:pStyle w:val="Tableheading"/>
        <w:rPr>
          <w:i/>
          <w:iCs/>
        </w:rPr>
      </w:pPr>
      <w:r>
        <w:t xml:space="preserve">Number of </w:t>
      </w:r>
      <w:r w:rsidR="009D762A">
        <w:t>outage incidents</w:t>
      </w:r>
      <w:r>
        <w:t xml:space="preserve"> temporarily restored, by action</w:t>
      </w:r>
      <w:r w:rsidR="009D762A">
        <w:t xml:space="preserve"> taken</w:t>
      </w:r>
      <w:r>
        <w:t xml:space="preserve"> and facility type</w:t>
      </w:r>
      <w:r>
        <w:rPr>
          <w:i/>
          <w:iCs/>
        </w:rPr>
        <w:br/>
      </w:r>
    </w:p>
    <w:tbl>
      <w:tblPr>
        <w:tblW w:w="7787" w:type="dxa"/>
        <w:tblLayout w:type="fixed"/>
        <w:tblLook w:val="04A0" w:firstRow="1" w:lastRow="0" w:firstColumn="1" w:lastColumn="0" w:noHBand="0" w:noVBand="1"/>
      </w:tblPr>
      <w:tblGrid>
        <w:gridCol w:w="1557"/>
        <w:gridCol w:w="1557"/>
        <w:gridCol w:w="1558"/>
        <w:gridCol w:w="1557"/>
        <w:gridCol w:w="1558"/>
      </w:tblGrid>
      <w:tr w:rsidR="00646CD1" w:rsidRPr="00646CD1" w14:paraId="216B56CB" w14:textId="77777777" w:rsidTr="00FA5999">
        <w:trPr>
          <w:trHeight w:val="315"/>
        </w:trPr>
        <w:tc>
          <w:tcPr>
            <w:tcW w:w="1557"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1C2FCABC" w14:textId="77777777" w:rsidR="00646CD1" w:rsidRPr="00646CD1" w:rsidRDefault="00646CD1" w:rsidP="00646CD1">
            <w:pPr>
              <w:spacing w:after="0" w:line="240" w:lineRule="auto"/>
              <w:rPr>
                <w:rFonts w:cs="Arial"/>
                <w:b/>
                <w:bCs/>
                <w:color w:val="FFFFFF"/>
                <w:szCs w:val="20"/>
              </w:rPr>
            </w:pPr>
            <w:r w:rsidRPr="00646CD1">
              <w:rPr>
                <w:rFonts w:cs="Arial"/>
                <w:b/>
                <w:bCs/>
                <w:color w:val="FFFFFF"/>
                <w:szCs w:val="20"/>
              </w:rPr>
              <w:t>Facility type</w:t>
            </w:r>
          </w:p>
        </w:tc>
        <w:tc>
          <w:tcPr>
            <w:tcW w:w="1557" w:type="dxa"/>
            <w:tcBorders>
              <w:top w:val="single" w:sz="8" w:space="0" w:color="auto"/>
              <w:left w:val="nil"/>
              <w:bottom w:val="single" w:sz="8" w:space="0" w:color="auto"/>
              <w:right w:val="single" w:sz="8" w:space="0" w:color="auto"/>
            </w:tcBorders>
            <w:shd w:val="clear" w:color="000000" w:fill="404040"/>
            <w:noWrap/>
            <w:vAlign w:val="center"/>
            <w:hideMark/>
          </w:tcPr>
          <w:p w14:paraId="70814C09" w14:textId="77777777" w:rsidR="00646CD1" w:rsidRPr="00646CD1" w:rsidRDefault="00646CD1" w:rsidP="00646CD1">
            <w:pPr>
              <w:spacing w:after="0" w:line="240" w:lineRule="auto"/>
              <w:jc w:val="right"/>
              <w:rPr>
                <w:rFonts w:cs="Arial"/>
                <w:b/>
                <w:bCs/>
                <w:color w:val="FFFFFF"/>
                <w:szCs w:val="20"/>
              </w:rPr>
            </w:pPr>
            <w:r w:rsidRPr="00646CD1">
              <w:rPr>
                <w:rFonts w:cs="Arial"/>
                <w:b/>
                <w:bCs/>
                <w:color w:val="FFFFFF"/>
                <w:szCs w:val="20"/>
              </w:rPr>
              <w:t>Generator</w:t>
            </w:r>
          </w:p>
        </w:tc>
        <w:tc>
          <w:tcPr>
            <w:tcW w:w="1558" w:type="dxa"/>
            <w:tcBorders>
              <w:top w:val="single" w:sz="8" w:space="0" w:color="auto"/>
              <w:left w:val="nil"/>
              <w:bottom w:val="single" w:sz="8" w:space="0" w:color="auto"/>
              <w:right w:val="single" w:sz="8" w:space="0" w:color="auto"/>
            </w:tcBorders>
            <w:shd w:val="clear" w:color="000000" w:fill="404040"/>
            <w:noWrap/>
            <w:vAlign w:val="center"/>
            <w:hideMark/>
          </w:tcPr>
          <w:p w14:paraId="2B4EE8E3" w14:textId="77777777" w:rsidR="00646CD1" w:rsidRPr="00646CD1" w:rsidRDefault="00646CD1" w:rsidP="00646CD1">
            <w:pPr>
              <w:spacing w:after="0" w:line="240" w:lineRule="auto"/>
              <w:jc w:val="right"/>
              <w:rPr>
                <w:rFonts w:cs="Arial"/>
                <w:b/>
                <w:bCs/>
                <w:color w:val="FFFFFF"/>
                <w:szCs w:val="20"/>
              </w:rPr>
            </w:pPr>
            <w:r w:rsidRPr="00646CD1">
              <w:rPr>
                <w:rFonts w:cs="Arial"/>
                <w:b/>
                <w:bCs/>
                <w:color w:val="FFFFFF"/>
                <w:szCs w:val="20"/>
              </w:rPr>
              <w:t>Other</w:t>
            </w:r>
          </w:p>
        </w:tc>
        <w:tc>
          <w:tcPr>
            <w:tcW w:w="1557" w:type="dxa"/>
            <w:tcBorders>
              <w:top w:val="single" w:sz="8" w:space="0" w:color="auto"/>
              <w:left w:val="nil"/>
              <w:bottom w:val="single" w:sz="8" w:space="0" w:color="auto"/>
              <w:right w:val="single" w:sz="8" w:space="0" w:color="auto"/>
            </w:tcBorders>
            <w:shd w:val="clear" w:color="000000" w:fill="404040"/>
            <w:noWrap/>
            <w:vAlign w:val="center"/>
            <w:hideMark/>
          </w:tcPr>
          <w:p w14:paraId="0D490A6F" w14:textId="156D8D71" w:rsidR="00646CD1" w:rsidRPr="00646CD1" w:rsidRDefault="00646CD1" w:rsidP="00646CD1">
            <w:pPr>
              <w:spacing w:after="0" w:line="240" w:lineRule="auto"/>
              <w:jc w:val="right"/>
              <w:rPr>
                <w:rFonts w:cs="Arial"/>
                <w:b/>
                <w:bCs/>
                <w:color w:val="FFFFFF"/>
                <w:szCs w:val="20"/>
              </w:rPr>
            </w:pPr>
            <w:r w:rsidRPr="00646CD1">
              <w:rPr>
                <w:rFonts w:cs="Arial"/>
                <w:b/>
                <w:bCs/>
                <w:color w:val="FFFFFF"/>
                <w:szCs w:val="20"/>
              </w:rPr>
              <w:t xml:space="preserve">Deployed temporary </w:t>
            </w:r>
            <w:r>
              <w:rPr>
                <w:rFonts w:cs="Arial"/>
                <w:b/>
                <w:bCs/>
                <w:color w:val="FFFFFF"/>
                <w:szCs w:val="20"/>
              </w:rPr>
              <w:t>facilities</w:t>
            </w:r>
          </w:p>
        </w:tc>
        <w:tc>
          <w:tcPr>
            <w:tcW w:w="1558" w:type="dxa"/>
            <w:tcBorders>
              <w:top w:val="single" w:sz="8" w:space="0" w:color="auto"/>
              <w:left w:val="nil"/>
              <w:bottom w:val="single" w:sz="8" w:space="0" w:color="auto"/>
              <w:right w:val="single" w:sz="8" w:space="0" w:color="auto"/>
            </w:tcBorders>
            <w:shd w:val="clear" w:color="000000" w:fill="404040"/>
            <w:vAlign w:val="center"/>
            <w:hideMark/>
          </w:tcPr>
          <w:p w14:paraId="4622001E" w14:textId="77777777" w:rsidR="00646CD1" w:rsidRPr="00646CD1" w:rsidRDefault="00646CD1" w:rsidP="00646CD1">
            <w:pPr>
              <w:spacing w:after="0" w:line="240" w:lineRule="auto"/>
              <w:jc w:val="right"/>
              <w:rPr>
                <w:rFonts w:cs="Arial"/>
                <w:b/>
                <w:bCs/>
                <w:color w:val="FFFFFF"/>
                <w:szCs w:val="20"/>
              </w:rPr>
            </w:pPr>
            <w:r w:rsidRPr="00646CD1">
              <w:rPr>
                <w:rFonts w:cs="Arial"/>
                <w:b/>
                <w:bCs/>
                <w:color w:val="FFFFFF"/>
                <w:szCs w:val="20"/>
              </w:rPr>
              <w:t>Total</w:t>
            </w:r>
          </w:p>
        </w:tc>
      </w:tr>
      <w:tr w:rsidR="00646CD1" w:rsidRPr="00646CD1" w14:paraId="5D7DBEAF" w14:textId="77777777" w:rsidTr="00FA5999">
        <w:trPr>
          <w:trHeight w:val="315"/>
        </w:trPr>
        <w:tc>
          <w:tcPr>
            <w:tcW w:w="1557" w:type="dxa"/>
            <w:tcBorders>
              <w:top w:val="nil"/>
              <w:left w:val="single" w:sz="8" w:space="0" w:color="auto"/>
              <w:bottom w:val="single" w:sz="8" w:space="0" w:color="auto"/>
              <w:right w:val="single" w:sz="8" w:space="0" w:color="auto"/>
            </w:tcBorders>
            <w:shd w:val="clear" w:color="auto" w:fill="auto"/>
            <w:noWrap/>
            <w:vAlign w:val="center"/>
            <w:hideMark/>
          </w:tcPr>
          <w:p w14:paraId="2DED5FB2" w14:textId="77777777" w:rsidR="00646CD1" w:rsidRPr="00646CD1" w:rsidRDefault="00646CD1" w:rsidP="00646CD1">
            <w:pPr>
              <w:spacing w:after="0" w:line="240" w:lineRule="auto"/>
              <w:rPr>
                <w:rFonts w:cs="Arial"/>
                <w:color w:val="000000"/>
                <w:szCs w:val="20"/>
              </w:rPr>
            </w:pPr>
            <w:r w:rsidRPr="00646CD1">
              <w:rPr>
                <w:rFonts w:cs="Arial"/>
                <w:color w:val="000000"/>
                <w:szCs w:val="20"/>
              </w:rPr>
              <w:t>Base station - mobile</w:t>
            </w:r>
          </w:p>
        </w:tc>
        <w:tc>
          <w:tcPr>
            <w:tcW w:w="1557" w:type="dxa"/>
            <w:tcBorders>
              <w:top w:val="nil"/>
              <w:left w:val="nil"/>
              <w:bottom w:val="single" w:sz="8" w:space="0" w:color="auto"/>
              <w:right w:val="single" w:sz="8" w:space="0" w:color="auto"/>
            </w:tcBorders>
            <w:shd w:val="clear" w:color="auto" w:fill="auto"/>
            <w:noWrap/>
            <w:vAlign w:val="center"/>
            <w:hideMark/>
          </w:tcPr>
          <w:p w14:paraId="067D011D"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119</w:t>
            </w:r>
          </w:p>
        </w:tc>
        <w:tc>
          <w:tcPr>
            <w:tcW w:w="1558" w:type="dxa"/>
            <w:tcBorders>
              <w:top w:val="nil"/>
              <w:left w:val="nil"/>
              <w:bottom w:val="single" w:sz="8" w:space="0" w:color="auto"/>
              <w:right w:val="single" w:sz="8" w:space="0" w:color="auto"/>
            </w:tcBorders>
            <w:shd w:val="clear" w:color="auto" w:fill="auto"/>
            <w:noWrap/>
            <w:vAlign w:val="center"/>
            <w:hideMark/>
          </w:tcPr>
          <w:p w14:paraId="04A07A06"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14</w:t>
            </w:r>
          </w:p>
        </w:tc>
        <w:tc>
          <w:tcPr>
            <w:tcW w:w="1557" w:type="dxa"/>
            <w:tcBorders>
              <w:top w:val="nil"/>
              <w:left w:val="nil"/>
              <w:bottom w:val="single" w:sz="8" w:space="0" w:color="auto"/>
              <w:right w:val="single" w:sz="8" w:space="0" w:color="auto"/>
            </w:tcBorders>
            <w:shd w:val="clear" w:color="auto" w:fill="auto"/>
            <w:noWrap/>
            <w:vAlign w:val="center"/>
            <w:hideMark/>
          </w:tcPr>
          <w:p w14:paraId="1B75EC68"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8</w:t>
            </w:r>
          </w:p>
        </w:tc>
        <w:tc>
          <w:tcPr>
            <w:tcW w:w="1558" w:type="dxa"/>
            <w:tcBorders>
              <w:top w:val="nil"/>
              <w:left w:val="nil"/>
              <w:bottom w:val="single" w:sz="8" w:space="0" w:color="auto"/>
              <w:right w:val="single" w:sz="8" w:space="0" w:color="auto"/>
            </w:tcBorders>
            <w:shd w:val="clear" w:color="auto" w:fill="auto"/>
            <w:vAlign w:val="center"/>
            <w:hideMark/>
          </w:tcPr>
          <w:p w14:paraId="15FB1C6A"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141</w:t>
            </w:r>
          </w:p>
        </w:tc>
      </w:tr>
      <w:tr w:rsidR="00646CD1" w:rsidRPr="00646CD1" w14:paraId="6B12B30E" w14:textId="77777777" w:rsidTr="00FA5999">
        <w:trPr>
          <w:trHeight w:val="315"/>
        </w:trPr>
        <w:tc>
          <w:tcPr>
            <w:tcW w:w="1557" w:type="dxa"/>
            <w:tcBorders>
              <w:top w:val="nil"/>
              <w:left w:val="single" w:sz="8" w:space="0" w:color="auto"/>
              <w:bottom w:val="single" w:sz="8" w:space="0" w:color="auto"/>
              <w:right w:val="single" w:sz="8" w:space="0" w:color="auto"/>
            </w:tcBorders>
            <w:shd w:val="clear" w:color="000000" w:fill="F2F2F2"/>
            <w:noWrap/>
            <w:vAlign w:val="center"/>
            <w:hideMark/>
          </w:tcPr>
          <w:p w14:paraId="3C0937E9" w14:textId="77777777" w:rsidR="00646CD1" w:rsidRPr="00646CD1" w:rsidRDefault="00646CD1" w:rsidP="00646CD1">
            <w:pPr>
              <w:spacing w:after="0" w:line="240" w:lineRule="auto"/>
              <w:rPr>
                <w:rFonts w:cs="Arial"/>
                <w:color w:val="000000"/>
                <w:szCs w:val="20"/>
              </w:rPr>
            </w:pPr>
            <w:r w:rsidRPr="00646CD1">
              <w:rPr>
                <w:rFonts w:cs="Arial"/>
                <w:color w:val="000000"/>
                <w:szCs w:val="20"/>
              </w:rPr>
              <w:t>Node</w:t>
            </w:r>
          </w:p>
        </w:tc>
        <w:tc>
          <w:tcPr>
            <w:tcW w:w="1557" w:type="dxa"/>
            <w:tcBorders>
              <w:top w:val="nil"/>
              <w:left w:val="nil"/>
              <w:bottom w:val="single" w:sz="8" w:space="0" w:color="auto"/>
              <w:right w:val="single" w:sz="8" w:space="0" w:color="auto"/>
            </w:tcBorders>
            <w:shd w:val="clear" w:color="000000" w:fill="F2F2F2"/>
            <w:noWrap/>
            <w:vAlign w:val="center"/>
            <w:hideMark/>
          </w:tcPr>
          <w:p w14:paraId="48B2B48B"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123</w:t>
            </w:r>
          </w:p>
        </w:tc>
        <w:tc>
          <w:tcPr>
            <w:tcW w:w="1558" w:type="dxa"/>
            <w:tcBorders>
              <w:top w:val="nil"/>
              <w:left w:val="nil"/>
              <w:bottom w:val="single" w:sz="8" w:space="0" w:color="auto"/>
              <w:right w:val="single" w:sz="8" w:space="0" w:color="auto"/>
            </w:tcBorders>
            <w:shd w:val="clear" w:color="000000" w:fill="F2F2F2"/>
            <w:noWrap/>
            <w:vAlign w:val="center"/>
            <w:hideMark/>
          </w:tcPr>
          <w:p w14:paraId="0AC51C9B"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7" w:type="dxa"/>
            <w:tcBorders>
              <w:top w:val="nil"/>
              <w:left w:val="nil"/>
              <w:bottom w:val="single" w:sz="8" w:space="0" w:color="auto"/>
              <w:right w:val="single" w:sz="8" w:space="0" w:color="auto"/>
            </w:tcBorders>
            <w:shd w:val="clear" w:color="000000" w:fill="F2F2F2"/>
            <w:noWrap/>
            <w:vAlign w:val="center"/>
            <w:hideMark/>
          </w:tcPr>
          <w:p w14:paraId="46E70D32"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8" w:type="dxa"/>
            <w:tcBorders>
              <w:top w:val="nil"/>
              <w:left w:val="nil"/>
              <w:bottom w:val="single" w:sz="8" w:space="0" w:color="auto"/>
              <w:right w:val="single" w:sz="8" w:space="0" w:color="auto"/>
            </w:tcBorders>
            <w:shd w:val="clear" w:color="000000" w:fill="F2F2F2"/>
            <w:noWrap/>
            <w:vAlign w:val="center"/>
            <w:hideMark/>
          </w:tcPr>
          <w:p w14:paraId="28F21B6B"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123</w:t>
            </w:r>
          </w:p>
        </w:tc>
      </w:tr>
      <w:tr w:rsidR="00646CD1" w:rsidRPr="00646CD1" w14:paraId="540DC5CC" w14:textId="77777777" w:rsidTr="00FA5999">
        <w:trPr>
          <w:trHeight w:val="315"/>
        </w:trPr>
        <w:tc>
          <w:tcPr>
            <w:tcW w:w="1557" w:type="dxa"/>
            <w:tcBorders>
              <w:top w:val="nil"/>
              <w:left w:val="single" w:sz="8" w:space="0" w:color="auto"/>
              <w:bottom w:val="single" w:sz="8" w:space="0" w:color="auto"/>
              <w:right w:val="single" w:sz="8" w:space="0" w:color="auto"/>
            </w:tcBorders>
            <w:shd w:val="clear" w:color="auto" w:fill="auto"/>
            <w:noWrap/>
            <w:vAlign w:val="center"/>
            <w:hideMark/>
          </w:tcPr>
          <w:p w14:paraId="476C2276" w14:textId="77777777" w:rsidR="00646CD1" w:rsidRPr="00646CD1" w:rsidRDefault="00646CD1" w:rsidP="00646CD1">
            <w:pPr>
              <w:spacing w:after="0" w:line="240" w:lineRule="auto"/>
              <w:rPr>
                <w:rFonts w:cs="Arial"/>
                <w:color w:val="000000"/>
                <w:szCs w:val="20"/>
              </w:rPr>
            </w:pPr>
            <w:r w:rsidRPr="00646CD1">
              <w:rPr>
                <w:rFonts w:cs="Arial"/>
                <w:color w:val="000000"/>
                <w:szCs w:val="20"/>
              </w:rPr>
              <w:t>Base station - fixed wireless</w:t>
            </w:r>
          </w:p>
        </w:tc>
        <w:tc>
          <w:tcPr>
            <w:tcW w:w="1557" w:type="dxa"/>
            <w:tcBorders>
              <w:top w:val="nil"/>
              <w:left w:val="nil"/>
              <w:bottom w:val="single" w:sz="8" w:space="0" w:color="auto"/>
              <w:right w:val="single" w:sz="8" w:space="0" w:color="auto"/>
            </w:tcBorders>
            <w:shd w:val="clear" w:color="auto" w:fill="auto"/>
            <w:noWrap/>
            <w:vAlign w:val="center"/>
            <w:hideMark/>
          </w:tcPr>
          <w:p w14:paraId="1A72E4CF"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42</w:t>
            </w:r>
          </w:p>
        </w:tc>
        <w:tc>
          <w:tcPr>
            <w:tcW w:w="1558" w:type="dxa"/>
            <w:tcBorders>
              <w:top w:val="nil"/>
              <w:left w:val="nil"/>
              <w:bottom w:val="single" w:sz="8" w:space="0" w:color="auto"/>
              <w:right w:val="single" w:sz="8" w:space="0" w:color="auto"/>
            </w:tcBorders>
            <w:shd w:val="clear" w:color="auto" w:fill="auto"/>
            <w:noWrap/>
            <w:vAlign w:val="center"/>
            <w:hideMark/>
          </w:tcPr>
          <w:p w14:paraId="44C087CE"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7" w:type="dxa"/>
            <w:tcBorders>
              <w:top w:val="nil"/>
              <w:left w:val="nil"/>
              <w:bottom w:val="single" w:sz="8" w:space="0" w:color="auto"/>
              <w:right w:val="single" w:sz="8" w:space="0" w:color="auto"/>
            </w:tcBorders>
            <w:shd w:val="clear" w:color="auto" w:fill="auto"/>
            <w:noWrap/>
            <w:vAlign w:val="center"/>
            <w:hideMark/>
          </w:tcPr>
          <w:p w14:paraId="2926C2ED"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8" w:type="dxa"/>
            <w:tcBorders>
              <w:top w:val="nil"/>
              <w:left w:val="nil"/>
              <w:bottom w:val="single" w:sz="8" w:space="0" w:color="auto"/>
              <w:right w:val="single" w:sz="8" w:space="0" w:color="auto"/>
            </w:tcBorders>
            <w:shd w:val="clear" w:color="auto" w:fill="auto"/>
            <w:vAlign w:val="center"/>
            <w:hideMark/>
          </w:tcPr>
          <w:p w14:paraId="4F10D6D0"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42</w:t>
            </w:r>
          </w:p>
        </w:tc>
      </w:tr>
      <w:tr w:rsidR="00646CD1" w:rsidRPr="00646CD1" w14:paraId="0B09D240" w14:textId="77777777" w:rsidTr="00FA5999">
        <w:trPr>
          <w:trHeight w:val="315"/>
        </w:trPr>
        <w:tc>
          <w:tcPr>
            <w:tcW w:w="1557" w:type="dxa"/>
            <w:tcBorders>
              <w:top w:val="nil"/>
              <w:left w:val="single" w:sz="8" w:space="0" w:color="auto"/>
              <w:bottom w:val="single" w:sz="8" w:space="0" w:color="auto"/>
              <w:right w:val="single" w:sz="8" w:space="0" w:color="auto"/>
            </w:tcBorders>
            <w:shd w:val="clear" w:color="000000" w:fill="F2F2F2"/>
            <w:noWrap/>
            <w:vAlign w:val="center"/>
            <w:hideMark/>
          </w:tcPr>
          <w:p w14:paraId="2F6A13F4" w14:textId="77777777" w:rsidR="00646CD1" w:rsidRPr="00646CD1" w:rsidRDefault="00646CD1" w:rsidP="00646CD1">
            <w:pPr>
              <w:spacing w:after="0" w:line="240" w:lineRule="auto"/>
              <w:rPr>
                <w:rFonts w:cs="Arial"/>
                <w:color w:val="000000"/>
                <w:szCs w:val="20"/>
              </w:rPr>
            </w:pPr>
            <w:r w:rsidRPr="00646CD1">
              <w:rPr>
                <w:rFonts w:cs="Arial"/>
                <w:color w:val="000000"/>
                <w:szCs w:val="20"/>
              </w:rPr>
              <w:t>Exchange</w:t>
            </w:r>
          </w:p>
        </w:tc>
        <w:tc>
          <w:tcPr>
            <w:tcW w:w="1557" w:type="dxa"/>
            <w:tcBorders>
              <w:top w:val="nil"/>
              <w:left w:val="nil"/>
              <w:bottom w:val="single" w:sz="8" w:space="0" w:color="auto"/>
              <w:right w:val="single" w:sz="8" w:space="0" w:color="auto"/>
            </w:tcBorders>
            <w:shd w:val="clear" w:color="000000" w:fill="F2F2F2"/>
            <w:noWrap/>
            <w:vAlign w:val="center"/>
            <w:hideMark/>
          </w:tcPr>
          <w:p w14:paraId="138C4040"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11</w:t>
            </w:r>
          </w:p>
        </w:tc>
        <w:tc>
          <w:tcPr>
            <w:tcW w:w="1558" w:type="dxa"/>
            <w:tcBorders>
              <w:top w:val="nil"/>
              <w:left w:val="nil"/>
              <w:bottom w:val="single" w:sz="8" w:space="0" w:color="auto"/>
              <w:right w:val="single" w:sz="8" w:space="0" w:color="auto"/>
            </w:tcBorders>
            <w:shd w:val="clear" w:color="000000" w:fill="F2F2F2"/>
            <w:noWrap/>
            <w:vAlign w:val="center"/>
            <w:hideMark/>
          </w:tcPr>
          <w:p w14:paraId="06898B1B"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7" w:type="dxa"/>
            <w:tcBorders>
              <w:top w:val="nil"/>
              <w:left w:val="nil"/>
              <w:bottom w:val="single" w:sz="8" w:space="0" w:color="auto"/>
              <w:right w:val="single" w:sz="8" w:space="0" w:color="auto"/>
            </w:tcBorders>
            <w:shd w:val="clear" w:color="000000" w:fill="F2F2F2"/>
            <w:noWrap/>
            <w:vAlign w:val="center"/>
            <w:hideMark/>
          </w:tcPr>
          <w:p w14:paraId="65AA3298"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8" w:type="dxa"/>
            <w:tcBorders>
              <w:top w:val="nil"/>
              <w:left w:val="nil"/>
              <w:bottom w:val="single" w:sz="8" w:space="0" w:color="auto"/>
              <w:right w:val="single" w:sz="8" w:space="0" w:color="auto"/>
            </w:tcBorders>
            <w:shd w:val="clear" w:color="000000" w:fill="F2F2F2"/>
            <w:noWrap/>
            <w:vAlign w:val="center"/>
            <w:hideMark/>
          </w:tcPr>
          <w:p w14:paraId="4D63DC5E"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11</w:t>
            </w:r>
          </w:p>
        </w:tc>
      </w:tr>
      <w:tr w:rsidR="00646CD1" w:rsidRPr="00646CD1" w14:paraId="286E7FE0" w14:textId="77777777" w:rsidTr="00FA5999">
        <w:trPr>
          <w:trHeight w:val="315"/>
        </w:trPr>
        <w:tc>
          <w:tcPr>
            <w:tcW w:w="1557" w:type="dxa"/>
            <w:tcBorders>
              <w:top w:val="nil"/>
              <w:left w:val="single" w:sz="8" w:space="0" w:color="auto"/>
              <w:bottom w:val="single" w:sz="8" w:space="0" w:color="auto"/>
              <w:right w:val="single" w:sz="8" w:space="0" w:color="auto"/>
            </w:tcBorders>
            <w:shd w:val="clear" w:color="auto" w:fill="auto"/>
            <w:noWrap/>
            <w:vAlign w:val="center"/>
            <w:hideMark/>
          </w:tcPr>
          <w:p w14:paraId="12D39B66" w14:textId="77777777" w:rsidR="00646CD1" w:rsidRPr="00646CD1" w:rsidRDefault="00646CD1" w:rsidP="00646CD1">
            <w:pPr>
              <w:spacing w:after="0" w:line="240" w:lineRule="auto"/>
              <w:rPr>
                <w:rFonts w:cs="Arial"/>
                <w:color w:val="000000"/>
                <w:szCs w:val="20"/>
              </w:rPr>
            </w:pPr>
            <w:r w:rsidRPr="00646CD1">
              <w:rPr>
                <w:rFonts w:cs="Arial"/>
                <w:color w:val="000000"/>
                <w:szCs w:val="20"/>
              </w:rPr>
              <w:t>Equipment shelter</w:t>
            </w:r>
          </w:p>
        </w:tc>
        <w:tc>
          <w:tcPr>
            <w:tcW w:w="1557" w:type="dxa"/>
            <w:tcBorders>
              <w:top w:val="nil"/>
              <w:left w:val="nil"/>
              <w:bottom w:val="single" w:sz="8" w:space="0" w:color="auto"/>
              <w:right w:val="single" w:sz="8" w:space="0" w:color="auto"/>
            </w:tcBorders>
            <w:shd w:val="clear" w:color="auto" w:fill="auto"/>
            <w:noWrap/>
            <w:vAlign w:val="center"/>
            <w:hideMark/>
          </w:tcPr>
          <w:p w14:paraId="5AFD49BB"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3</w:t>
            </w:r>
          </w:p>
        </w:tc>
        <w:tc>
          <w:tcPr>
            <w:tcW w:w="1558" w:type="dxa"/>
            <w:tcBorders>
              <w:top w:val="nil"/>
              <w:left w:val="nil"/>
              <w:bottom w:val="single" w:sz="8" w:space="0" w:color="auto"/>
              <w:right w:val="single" w:sz="8" w:space="0" w:color="auto"/>
            </w:tcBorders>
            <w:shd w:val="clear" w:color="auto" w:fill="auto"/>
            <w:noWrap/>
            <w:vAlign w:val="center"/>
            <w:hideMark/>
          </w:tcPr>
          <w:p w14:paraId="4202752F"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7" w:type="dxa"/>
            <w:tcBorders>
              <w:top w:val="nil"/>
              <w:left w:val="nil"/>
              <w:bottom w:val="single" w:sz="8" w:space="0" w:color="auto"/>
              <w:right w:val="single" w:sz="8" w:space="0" w:color="auto"/>
            </w:tcBorders>
            <w:shd w:val="clear" w:color="auto" w:fill="auto"/>
            <w:noWrap/>
            <w:vAlign w:val="center"/>
            <w:hideMark/>
          </w:tcPr>
          <w:p w14:paraId="73565547" w14:textId="77777777" w:rsidR="00646CD1" w:rsidRPr="00646CD1" w:rsidRDefault="00646CD1" w:rsidP="00646CD1">
            <w:pPr>
              <w:spacing w:after="0" w:line="240" w:lineRule="auto"/>
              <w:jc w:val="right"/>
              <w:rPr>
                <w:rFonts w:cs="Arial"/>
                <w:color w:val="000000"/>
                <w:szCs w:val="20"/>
              </w:rPr>
            </w:pPr>
            <w:r w:rsidRPr="00646CD1">
              <w:rPr>
                <w:rFonts w:cs="Arial"/>
                <w:color w:val="000000"/>
                <w:szCs w:val="20"/>
              </w:rPr>
              <w:t>0</w:t>
            </w:r>
          </w:p>
        </w:tc>
        <w:tc>
          <w:tcPr>
            <w:tcW w:w="1558" w:type="dxa"/>
            <w:tcBorders>
              <w:top w:val="nil"/>
              <w:left w:val="nil"/>
              <w:bottom w:val="single" w:sz="8" w:space="0" w:color="auto"/>
              <w:right w:val="single" w:sz="8" w:space="0" w:color="auto"/>
            </w:tcBorders>
            <w:shd w:val="clear" w:color="auto" w:fill="auto"/>
            <w:noWrap/>
            <w:vAlign w:val="center"/>
            <w:hideMark/>
          </w:tcPr>
          <w:p w14:paraId="52127064"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3</w:t>
            </w:r>
          </w:p>
        </w:tc>
      </w:tr>
      <w:tr w:rsidR="00646CD1" w:rsidRPr="00646CD1" w14:paraId="012BE558" w14:textId="77777777" w:rsidTr="00FA5999">
        <w:trPr>
          <w:trHeight w:val="315"/>
        </w:trPr>
        <w:tc>
          <w:tcPr>
            <w:tcW w:w="1557" w:type="dxa"/>
            <w:tcBorders>
              <w:top w:val="nil"/>
              <w:left w:val="single" w:sz="8" w:space="0" w:color="auto"/>
              <w:bottom w:val="single" w:sz="8" w:space="0" w:color="auto"/>
              <w:right w:val="single" w:sz="8" w:space="0" w:color="auto"/>
            </w:tcBorders>
            <w:shd w:val="clear" w:color="000000" w:fill="F2F2F2"/>
            <w:noWrap/>
            <w:vAlign w:val="center"/>
            <w:hideMark/>
          </w:tcPr>
          <w:p w14:paraId="322C7C28" w14:textId="77777777" w:rsidR="00646CD1" w:rsidRPr="00646CD1" w:rsidRDefault="00646CD1" w:rsidP="00646CD1">
            <w:pPr>
              <w:spacing w:after="0" w:line="240" w:lineRule="auto"/>
              <w:rPr>
                <w:rFonts w:cs="Arial"/>
                <w:b/>
                <w:bCs/>
                <w:color w:val="000000"/>
                <w:szCs w:val="20"/>
              </w:rPr>
            </w:pPr>
            <w:r w:rsidRPr="00646CD1">
              <w:rPr>
                <w:rFonts w:cs="Arial"/>
                <w:b/>
                <w:bCs/>
                <w:color w:val="000000"/>
                <w:szCs w:val="20"/>
              </w:rPr>
              <w:t>Total</w:t>
            </w:r>
          </w:p>
        </w:tc>
        <w:tc>
          <w:tcPr>
            <w:tcW w:w="1557" w:type="dxa"/>
            <w:tcBorders>
              <w:top w:val="nil"/>
              <w:left w:val="nil"/>
              <w:bottom w:val="single" w:sz="8" w:space="0" w:color="auto"/>
              <w:right w:val="single" w:sz="8" w:space="0" w:color="auto"/>
            </w:tcBorders>
            <w:shd w:val="clear" w:color="000000" w:fill="F2F2F2"/>
            <w:noWrap/>
            <w:vAlign w:val="center"/>
            <w:hideMark/>
          </w:tcPr>
          <w:p w14:paraId="6FA3E4D1"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298</w:t>
            </w:r>
          </w:p>
        </w:tc>
        <w:tc>
          <w:tcPr>
            <w:tcW w:w="1558" w:type="dxa"/>
            <w:tcBorders>
              <w:top w:val="nil"/>
              <w:left w:val="nil"/>
              <w:bottom w:val="single" w:sz="8" w:space="0" w:color="auto"/>
              <w:right w:val="single" w:sz="8" w:space="0" w:color="auto"/>
            </w:tcBorders>
            <w:shd w:val="clear" w:color="000000" w:fill="F2F2F2"/>
            <w:noWrap/>
            <w:vAlign w:val="center"/>
            <w:hideMark/>
          </w:tcPr>
          <w:p w14:paraId="7D8E2167"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14</w:t>
            </w:r>
          </w:p>
        </w:tc>
        <w:tc>
          <w:tcPr>
            <w:tcW w:w="1557" w:type="dxa"/>
            <w:tcBorders>
              <w:top w:val="nil"/>
              <w:left w:val="nil"/>
              <w:bottom w:val="single" w:sz="8" w:space="0" w:color="auto"/>
              <w:right w:val="single" w:sz="8" w:space="0" w:color="auto"/>
            </w:tcBorders>
            <w:shd w:val="clear" w:color="000000" w:fill="F2F2F2"/>
            <w:noWrap/>
            <w:vAlign w:val="center"/>
            <w:hideMark/>
          </w:tcPr>
          <w:p w14:paraId="50A479CF"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8</w:t>
            </w:r>
          </w:p>
        </w:tc>
        <w:tc>
          <w:tcPr>
            <w:tcW w:w="1558" w:type="dxa"/>
            <w:tcBorders>
              <w:top w:val="nil"/>
              <w:left w:val="nil"/>
              <w:bottom w:val="single" w:sz="8" w:space="0" w:color="auto"/>
              <w:right w:val="single" w:sz="8" w:space="0" w:color="auto"/>
            </w:tcBorders>
            <w:shd w:val="clear" w:color="000000" w:fill="F2F2F2"/>
            <w:noWrap/>
            <w:vAlign w:val="center"/>
            <w:hideMark/>
          </w:tcPr>
          <w:p w14:paraId="50E1CABF" w14:textId="77777777" w:rsidR="00646CD1" w:rsidRPr="00646CD1" w:rsidRDefault="00646CD1" w:rsidP="00646CD1">
            <w:pPr>
              <w:spacing w:after="0" w:line="240" w:lineRule="auto"/>
              <w:jc w:val="right"/>
              <w:rPr>
                <w:rFonts w:cs="Arial"/>
                <w:b/>
                <w:bCs/>
                <w:color w:val="000000"/>
                <w:szCs w:val="20"/>
              </w:rPr>
            </w:pPr>
            <w:r w:rsidRPr="00646CD1">
              <w:rPr>
                <w:rFonts w:cs="Arial"/>
                <w:b/>
                <w:bCs/>
                <w:color w:val="000000"/>
                <w:szCs w:val="20"/>
              </w:rPr>
              <w:t>320</w:t>
            </w:r>
          </w:p>
        </w:tc>
      </w:tr>
    </w:tbl>
    <w:p w14:paraId="2EA88EC6" w14:textId="77777777" w:rsidR="00987522" w:rsidRPr="007C5BB2" w:rsidRDefault="00987522" w:rsidP="007C5BB2">
      <w:pPr>
        <w:pStyle w:val="Heading2"/>
      </w:pPr>
      <w:bookmarkStart w:id="31" w:name="_Toc37080622"/>
      <w:r w:rsidRPr="007C5BB2">
        <w:t>Permanent restoration actions</w:t>
      </w:r>
      <w:bookmarkEnd w:id="31"/>
    </w:p>
    <w:p w14:paraId="1379FDCD" w14:textId="1B462686" w:rsidR="00987522" w:rsidRPr="001B1737" w:rsidRDefault="00987522" w:rsidP="00686C33">
      <w:pPr>
        <w:pStyle w:val="Heading3"/>
      </w:pPr>
      <w:bookmarkStart w:id="32" w:name="_Toc37080623"/>
      <w:r w:rsidRPr="001B1737">
        <w:t>By outage</w:t>
      </w:r>
      <w:r w:rsidR="00085BE1">
        <w:t xml:space="preserve"> incident</w:t>
      </w:r>
      <w:r w:rsidRPr="001B1737">
        <w:t xml:space="preserve">s and </w:t>
      </w:r>
      <w:r>
        <w:t xml:space="preserve">network </w:t>
      </w:r>
      <w:r w:rsidRPr="001B1737">
        <w:t>type</w:t>
      </w:r>
      <w:bookmarkEnd w:id="32"/>
    </w:p>
    <w:p w14:paraId="4A0A59F8" w14:textId="2190D744" w:rsidR="00987522" w:rsidRDefault="00987522" w:rsidP="007C5BB2">
      <w:pPr>
        <w:pStyle w:val="Paragraph"/>
      </w:pPr>
      <w:r>
        <w:t>By the end of the review period</w:t>
      </w:r>
      <w:r w:rsidR="00B644FB">
        <w:t>,</w:t>
      </w:r>
      <w:r>
        <w:t xml:space="preserve"> 96 per cent (849) of all facilit</w:t>
      </w:r>
      <w:r w:rsidR="00862B2D">
        <w:t xml:space="preserve">ies that experienced </w:t>
      </w:r>
      <w:r>
        <w:t xml:space="preserve">outages had been permanently restored. </w:t>
      </w:r>
    </w:p>
    <w:p w14:paraId="0A2A574A" w14:textId="64627075" w:rsidR="00987522" w:rsidRDefault="00987522" w:rsidP="007C5BB2">
      <w:pPr>
        <w:pStyle w:val="Paragraph"/>
      </w:pPr>
      <w:r>
        <w:t>Figure 9</w:t>
      </w:r>
      <w:r w:rsidRPr="00C22422">
        <w:t xml:space="preserve"> </w:t>
      </w:r>
      <w:r w:rsidR="00C366BA">
        <w:t xml:space="preserve">and table 5 </w:t>
      </w:r>
      <w:r w:rsidRPr="00C22422">
        <w:t xml:space="preserve">show that in </w:t>
      </w:r>
      <w:r w:rsidR="00B644FB" w:rsidRPr="00C22422">
        <w:t>most</w:t>
      </w:r>
      <w:r w:rsidRPr="00C22422">
        <w:t xml:space="preserve"> </w:t>
      </w:r>
      <w:r w:rsidRPr="00C43638">
        <w:t>cases (88 per cent), permanent restoration of a</w:t>
      </w:r>
      <w:r w:rsidR="00300901">
        <w:t>n</w:t>
      </w:r>
      <w:r w:rsidRPr="00C43638">
        <w:t xml:space="preserve"> outage </w:t>
      </w:r>
      <w:r w:rsidR="00300901">
        <w:t xml:space="preserve">incident </w:t>
      </w:r>
      <w:r w:rsidRPr="00C43638">
        <w:t>occurred when power to the site was restored. The carriers</w:t>
      </w:r>
      <w:r>
        <w:t xml:space="preserve"> advised that s</w:t>
      </w:r>
      <w:r w:rsidRPr="00C22422">
        <w:t xml:space="preserve">ite power was restored either automatically </w:t>
      </w:r>
      <w:r>
        <w:t xml:space="preserve">or </w:t>
      </w:r>
      <w:r w:rsidRPr="00C22422">
        <w:t>once mains power was restored</w:t>
      </w:r>
      <w:r>
        <w:t xml:space="preserve"> by the power company.</w:t>
      </w:r>
    </w:p>
    <w:p w14:paraId="15635D58" w14:textId="16E793C2" w:rsidR="00987522" w:rsidRDefault="00987522" w:rsidP="007C5BB2">
      <w:pPr>
        <w:pStyle w:val="Paragraph"/>
      </w:pPr>
      <w:r>
        <w:t xml:space="preserve">In eight per cent of cases, the carriers reset, repaired or replaced hardware or facilities to permanently restore </w:t>
      </w:r>
      <w:r w:rsidR="007809D1">
        <w:t>the facility</w:t>
      </w:r>
      <w:r>
        <w:t xml:space="preserve">. </w:t>
      </w:r>
    </w:p>
    <w:p w14:paraId="2000B9EF" w14:textId="756BCA2A" w:rsidR="00987522" w:rsidRPr="00BE4CD2" w:rsidRDefault="00987522" w:rsidP="007C5BB2">
      <w:pPr>
        <w:pStyle w:val="Paragraph"/>
      </w:pPr>
      <w:r>
        <w:lastRenderedPageBreak/>
        <w:t>Other actions taken by the carriers to permanently restore facilit</w:t>
      </w:r>
      <w:r w:rsidR="007809D1">
        <w:t>ies</w:t>
      </w:r>
      <w:r>
        <w:t xml:space="preserve"> were similar to </w:t>
      </w:r>
      <w:r w:rsidRPr="00AD4A57">
        <w:t xml:space="preserve">temporary restoration actions </w:t>
      </w:r>
      <w:r>
        <w:t xml:space="preserve">and included cooling facilities and resetting air-conditioning equipment. Some </w:t>
      </w:r>
      <w:r w:rsidR="007809D1">
        <w:t xml:space="preserve">facilities </w:t>
      </w:r>
      <w:r>
        <w:t>were permanently restored once the upstream site was restored.</w:t>
      </w:r>
    </w:p>
    <w:p w14:paraId="3EFC487E" w14:textId="5BFA7C39" w:rsidR="00B9032D" w:rsidRDefault="00686C33" w:rsidP="00B9032D">
      <w:pPr>
        <w:pStyle w:val="Figureheading"/>
      </w:pPr>
      <w:r>
        <w:t>N</w:t>
      </w:r>
      <w:r w:rsidR="00987522">
        <w:t xml:space="preserve">umber of </w:t>
      </w:r>
      <w:r w:rsidR="009D762A">
        <w:t>outage incidents</w:t>
      </w:r>
      <w:r w:rsidR="00987522">
        <w:t xml:space="preserve"> permanently restored</w:t>
      </w:r>
      <w:r w:rsidR="00B644FB">
        <w:t>,</w:t>
      </w:r>
      <w:r w:rsidR="00987522">
        <w:t xml:space="preserve"> by action </w:t>
      </w:r>
      <w:r w:rsidR="009D762A">
        <w:t>taken</w:t>
      </w:r>
      <w:r w:rsidR="00987522">
        <w:t xml:space="preserve"> and network type</w:t>
      </w:r>
      <w:r w:rsidR="00B9032D">
        <w:br/>
      </w:r>
    </w:p>
    <w:p w14:paraId="623C90B3" w14:textId="5FACC456" w:rsidR="00987522" w:rsidRDefault="00B0109B" w:rsidP="00987522">
      <w:r>
        <w:rPr>
          <w:noProof/>
        </w:rPr>
        <w:drawing>
          <wp:inline distT="0" distB="0" distL="0" distR="0" wp14:anchorId="07C4760A" wp14:editId="5E09188D">
            <wp:extent cx="4871085" cy="2280920"/>
            <wp:effectExtent l="0" t="0" r="5715" b="508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871085" cy="2280920"/>
                    </a:xfrm>
                    <a:prstGeom prst="rect">
                      <a:avLst/>
                    </a:prstGeom>
                  </pic:spPr>
                </pic:pic>
              </a:graphicData>
            </a:graphic>
          </wp:inline>
        </w:drawing>
      </w:r>
    </w:p>
    <w:p w14:paraId="01F4F2E2" w14:textId="77777777" w:rsidR="0055390B" w:rsidRDefault="0055390B" w:rsidP="00987522"/>
    <w:p w14:paraId="2E885C83" w14:textId="488ED5AD" w:rsidR="00FA5999" w:rsidRDefault="00FA5999" w:rsidP="00FA5999">
      <w:pPr>
        <w:pStyle w:val="Tableheading"/>
      </w:pPr>
      <w:r w:rsidRPr="00FA5999">
        <w:t xml:space="preserve">Number of </w:t>
      </w:r>
      <w:r w:rsidR="009D762A">
        <w:t>outage incidents</w:t>
      </w:r>
      <w:r w:rsidRPr="00FA5999">
        <w:t xml:space="preserve"> permanently restored, by action</w:t>
      </w:r>
      <w:r w:rsidR="009D762A">
        <w:t xml:space="preserve"> taken</w:t>
      </w:r>
      <w:r w:rsidRPr="00FA5999">
        <w:t xml:space="preserve"> and network type</w:t>
      </w:r>
      <w:r>
        <w:br/>
      </w:r>
    </w:p>
    <w:tbl>
      <w:tblPr>
        <w:tblW w:w="8386" w:type="dxa"/>
        <w:tblLayout w:type="fixed"/>
        <w:tblLook w:val="04A0" w:firstRow="1" w:lastRow="0" w:firstColumn="1" w:lastColumn="0" w:noHBand="0" w:noVBand="1"/>
      </w:tblPr>
      <w:tblGrid>
        <w:gridCol w:w="1396"/>
        <w:gridCol w:w="1398"/>
        <w:gridCol w:w="1398"/>
        <w:gridCol w:w="1398"/>
        <w:gridCol w:w="1398"/>
        <w:gridCol w:w="1398"/>
      </w:tblGrid>
      <w:tr w:rsidR="00FA5999" w:rsidRPr="00FA5999" w14:paraId="50EA2AC2" w14:textId="77777777" w:rsidTr="001A46E4">
        <w:trPr>
          <w:trHeight w:val="269"/>
        </w:trPr>
        <w:tc>
          <w:tcPr>
            <w:tcW w:w="1396"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12526A45" w14:textId="77777777" w:rsidR="00FA5999" w:rsidRPr="00FA5999" w:rsidRDefault="00FA5999" w:rsidP="00FA5999">
            <w:pPr>
              <w:spacing w:after="0" w:line="240" w:lineRule="auto"/>
              <w:rPr>
                <w:rFonts w:cs="Arial"/>
                <w:b/>
                <w:bCs/>
                <w:color w:val="FFFFFF"/>
                <w:szCs w:val="20"/>
              </w:rPr>
            </w:pPr>
            <w:r w:rsidRPr="00FA5999">
              <w:rPr>
                <w:rFonts w:cs="Arial"/>
                <w:b/>
                <w:bCs/>
                <w:color w:val="FFFFFF"/>
                <w:szCs w:val="20"/>
              </w:rPr>
              <w:t>Network type</w:t>
            </w:r>
          </w:p>
        </w:tc>
        <w:tc>
          <w:tcPr>
            <w:tcW w:w="1398" w:type="dxa"/>
            <w:tcBorders>
              <w:top w:val="single" w:sz="8" w:space="0" w:color="auto"/>
              <w:left w:val="nil"/>
              <w:bottom w:val="single" w:sz="8" w:space="0" w:color="auto"/>
              <w:right w:val="single" w:sz="8" w:space="0" w:color="auto"/>
            </w:tcBorders>
            <w:shd w:val="clear" w:color="000000" w:fill="404040"/>
            <w:noWrap/>
            <w:vAlign w:val="center"/>
            <w:hideMark/>
          </w:tcPr>
          <w:p w14:paraId="7EC3A3C4" w14:textId="77777777" w:rsidR="00FA5999" w:rsidRPr="00FA5999" w:rsidRDefault="00FA5999" w:rsidP="00FA5999">
            <w:pPr>
              <w:spacing w:after="0" w:line="240" w:lineRule="auto"/>
              <w:jc w:val="right"/>
              <w:rPr>
                <w:rFonts w:cs="Arial"/>
                <w:b/>
                <w:bCs/>
                <w:color w:val="FFFFFF"/>
                <w:szCs w:val="20"/>
              </w:rPr>
            </w:pPr>
            <w:r w:rsidRPr="00FA5999">
              <w:rPr>
                <w:rFonts w:cs="Arial"/>
                <w:b/>
                <w:bCs/>
                <w:color w:val="FFFFFF"/>
                <w:szCs w:val="20"/>
              </w:rPr>
              <w:t>Site power restored</w:t>
            </w:r>
          </w:p>
        </w:tc>
        <w:tc>
          <w:tcPr>
            <w:tcW w:w="1398" w:type="dxa"/>
            <w:tcBorders>
              <w:top w:val="single" w:sz="8" w:space="0" w:color="auto"/>
              <w:left w:val="nil"/>
              <w:bottom w:val="single" w:sz="8" w:space="0" w:color="auto"/>
              <w:right w:val="single" w:sz="8" w:space="0" w:color="auto"/>
            </w:tcBorders>
            <w:shd w:val="clear" w:color="000000" w:fill="404040"/>
            <w:noWrap/>
            <w:vAlign w:val="center"/>
            <w:hideMark/>
          </w:tcPr>
          <w:p w14:paraId="326E9A14" w14:textId="77777777" w:rsidR="00FA5999" w:rsidRPr="00FA5999" w:rsidRDefault="00FA5999" w:rsidP="00FA5999">
            <w:pPr>
              <w:spacing w:after="0" w:line="240" w:lineRule="auto"/>
              <w:jc w:val="right"/>
              <w:rPr>
                <w:rFonts w:cs="Arial"/>
                <w:b/>
                <w:bCs/>
                <w:color w:val="FFFFFF"/>
                <w:szCs w:val="20"/>
              </w:rPr>
            </w:pPr>
            <w:r w:rsidRPr="00FA5999">
              <w:rPr>
                <w:rFonts w:cs="Arial"/>
                <w:b/>
                <w:bCs/>
                <w:color w:val="FFFFFF"/>
                <w:szCs w:val="20"/>
              </w:rPr>
              <w:t>Hardware or facilities replaced</w:t>
            </w:r>
          </w:p>
        </w:tc>
        <w:tc>
          <w:tcPr>
            <w:tcW w:w="1398" w:type="dxa"/>
            <w:tcBorders>
              <w:top w:val="single" w:sz="8" w:space="0" w:color="auto"/>
              <w:left w:val="nil"/>
              <w:bottom w:val="single" w:sz="8" w:space="0" w:color="auto"/>
              <w:right w:val="single" w:sz="8" w:space="0" w:color="auto"/>
            </w:tcBorders>
            <w:shd w:val="clear" w:color="000000" w:fill="404040"/>
            <w:noWrap/>
            <w:vAlign w:val="center"/>
            <w:hideMark/>
          </w:tcPr>
          <w:p w14:paraId="5819BF1D" w14:textId="77777777" w:rsidR="00FA5999" w:rsidRPr="00FA5999" w:rsidRDefault="00FA5999" w:rsidP="00FA5999">
            <w:pPr>
              <w:spacing w:after="0" w:line="240" w:lineRule="auto"/>
              <w:jc w:val="right"/>
              <w:rPr>
                <w:rFonts w:cs="Arial"/>
                <w:b/>
                <w:bCs/>
                <w:color w:val="FFFFFF"/>
                <w:szCs w:val="20"/>
              </w:rPr>
            </w:pPr>
            <w:r w:rsidRPr="00FA5999">
              <w:rPr>
                <w:rFonts w:cs="Arial"/>
                <w:b/>
                <w:bCs/>
                <w:color w:val="FFFFFF"/>
                <w:szCs w:val="20"/>
              </w:rPr>
              <w:t>Other</w:t>
            </w:r>
          </w:p>
        </w:tc>
        <w:tc>
          <w:tcPr>
            <w:tcW w:w="1398" w:type="dxa"/>
            <w:tcBorders>
              <w:top w:val="single" w:sz="8" w:space="0" w:color="auto"/>
              <w:left w:val="nil"/>
              <w:bottom w:val="single" w:sz="8" w:space="0" w:color="auto"/>
              <w:right w:val="single" w:sz="8" w:space="0" w:color="auto"/>
            </w:tcBorders>
            <w:shd w:val="clear" w:color="000000" w:fill="404040"/>
            <w:noWrap/>
            <w:vAlign w:val="center"/>
            <w:hideMark/>
          </w:tcPr>
          <w:p w14:paraId="6EC5B12C" w14:textId="77777777" w:rsidR="00FA5999" w:rsidRPr="00FA5999" w:rsidRDefault="00FA5999" w:rsidP="00FA5999">
            <w:pPr>
              <w:spacing w:after="0" w:line="240" w:lineRule="auto"/>
              <w:jc w:val="right"/>
              <w:rPr>
                <w:rFonts w:cs="Arial"/>
                <w:b/>
                <w:bCs/>
                <w:color w:val="FFFFFF"/>
                <w:szCs w:val="20"/>
              </w:rPr>
            </w:pPr>
            <w:r w:rsidRPr="00FA5999">
              <w:rPr>
                <w:rFonts w:cs="Arial"/>
                <w:b/>
                <w:bCs/>
                <w:color w:val="FFFFFF"/>
                <w:szCs w:val="20"/>
              </w:rPr>
              <w:t>Hardware of facilities reset or repaired</w:t>
            </w:r>
          </w:p>
        </w:tc>
        <w:tc>
          <w:tcPr>
            <w:tcW w:w="1398" w:type="dxa"/>
            <w:tcBorders>
              <w:top w:val="single" w:sz="8" w:space="0" w:color="auto"/>
              <w:left w:val="nil"/>
              <w:bottom w:val="single" w:sz="8" w:space="0" w:color="auto"/>
              <w:right w:val="single" w:sz="8" w:space="0" w:color="auto"/>
            </w:tcBorders>
            <w:shd w:val="clear" w:color="000000" w:fill="404040"/>
            <w:vAlign w:val="center"/>
            <w:hideMark/>
          </w:tcPr>
          <w:p w14:paraId="312AC591" w14:textId="77777777" w:rsidR="00FA5999" w:rsidRPr="00FA5999" w:rsidRDefault="00FA5999" w:rsidP="00FA5999">
            <w:pPr>
              <w:spacing w:after="0" w:line="240" w:lineRule="auto"/>
              <w:jc w:val="right"/>
              <w:rPr>
                <w:rFonts w:cs="Arial"/>
                <w:b/>
                <w:bCs/>
                <w:color w:val="FFFFFF"/>
                <w:szCs w:val="20"/>
              </w:rPr>
            </w:pPr>
            <w:r w:rsidRPr="00FA5999">
              <w:rPr>
                <w:rFonts w:cs="Arial"/>
                <w:b/>
                <w:bCs/>
                <w:color w:val="FFFFFF"/>
                <w:szCs w:val="20"/>
              </w:rPr>
              <w:t>Total</w:t>
            </w:r>
          </w:p>
        </w:tc>
      </w:tr>
      <w:tr w:rsidR="00FA5999" w:rsidRPr="00FA5999" w14:paraId="319AE642" w14:textId="77777777" w:rsidTr="001A46E4">
        <w:trPr>
          <w:trHeight w:val="269"/>
        </w:trPr>
        <w:tc>
          <w:tcPr>
            <w:tcW w:w="1396" w:type="dxa"/>
            <w:tcBorders>
              <w:top w:val="nil"/>
              <w:left w:val="single" w:sz="8" w:space="0" w:color="auto"/>
              <w:bottom w:val="single" w:sz="8" w:space="0" w:color="auto"/>
              <w:right w:val="single" w:sz="8" w:space="0" w:color="auto"/>
            </w:tcBorders>
            <w:shd w:val="clear" w:color="auto" w:fill="auto"/>
            <w:noWrap/>
            <w:vAlign w:val="center"/>
            <w:hideMark/>
          </w:tcPr>
          <w:p w14:paraId="42774193" w14:textId="77777777" w:rsidR="00FA5999" w:rsidRPr="00FA5999" w:rsidRDefault="00FA5999" w:rsidP="00FA5999">
            <w:pPr>
              <w:spacing w:after="0" w:line="240" w:lineRule="auto"/>
              <w:rPr>
                <w:rFonts w:cs="Arial"/>
                <w:color w:val="000000"/>
                <w:szCs w:val="20"/>
              </w:rPr>
            </w:pPr>
            <w:r w:rsidRPr="00FA5999">
              <w:rPr>
                <w:rFonts w:cs="Arial"/>
                <w:color w:val="000000"/>
                <w:szCs w:val="20"/>
              </w:rPr>
              <w:t>Fixed line</w:t>
            </w:r>
          </w:p>
        </w:tc>
        <w:tc>
          <w:tcPr>
            <w:tcW w:w="1398" w:type="dxa"/>
            <w:tcBorders>
              <w:top w:val="nil"/>
              <w:left w:val="nil"/>
              <w:bottom w:val="single" w:sz="8" w:space="0" w:color="auto"/>
              <w:right w:val="single" w:sz="8" w:space="0" w:color="auto"/>
            </w:tcBorders>
            <w:shd w:val="clear" w:color="auto" w:fill="auto"/>
            <w:noWrap/>
            <w:vAlign w:val="center"/>
            <w:hideMark/>
          </w:tcPr>
          <w:p w14:paraId="741B69DC"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462</w:t>
            </w:r>
          </w:p>
        </w:tc>
        <w:tc>
          <w:tcPr>
            <w:tcW w:w="1398" w:type="dxa"/>
            <w:tcBorders>
              <w:top w:val="nil"/>
              <w:left w:val="nil"/>
              <w:bottom w:val="single" w:sz="8" w:space="0" w:color="auto"/>
              <w:right w:val="single" w:sz="8" w:space="0" w:color="auto"/>
            </w:tcBorders>
            <w:shd w:val="clear" w:color="auto" w:fill="auto"/>
            <w:noWrap/>
            <w:vAlign w:val="center"/>
            <w:hideMark/>
          </w:tcPr>
          <w:p w14:paraId="5AB9055F"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28</w:t>
            </w:r>
          </w:p>
        </w:tc>
        <w:tc>
          <w:tcPr>
            <w:tcW w:w="1398" w:type="dxa"/>
            <w:tcBorders>
              <w:top w:val="nil"/>
              <w:left w:val="nil"/>
              <w:bottom w:val="single" w:sz="8" w:space="0" w:color="auto"/>
              <w:right w:val="single" w:sz="8" w:space="0" w:color="auto"/>
            </w:tcBorders>
            <w:shd w:val="clear" w:color="auto" w:fill="auto"/>
            <w:noWrap/>
            <w:vAlign w:val="center"/>
            <w:hideMark/>
          </w:tcPr>
          <w:p w14:paraId="070FEF72"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auto" w:fill="auto"/>
            <w:noWrap/>
            <w:vAlign w:val="center"/>
            <w:hideMark/>
          </w:tcPr>
          <w:p w14:paraId="0961AB67"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12</w:t>
            </w:r>
          </w:p>
        </w:tc>
        <w:tc>
          <w:tcPr>
            <w:tcW w:w="1398" w:type="dxa"/>
            <w:tcBorders>
              <w:top w:val="nil"/>
              <w:left w:val="nil"/>
              <w:bottom w:val="single" w:sz="8" w:space="0" w:color="auto"/>
              <w:right w:val="single" w:sz="8" w:space="0" w:color="auto"/>
            </w:tcBorders>
            <w:shd w:val="clear" w:color="auto" w:fill="auto"/>
            <w:vAlign w:val="center"/>
            <w:hideMark/>
          </w:tcPr>
          <w:p w14:paraId="02F950BC"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502</w:t>
            </w:r>
          </w:p>
        </w:tc>
      </w:tr>
      <w:tr w:rsidR="00FA5999" w:rsidRPr="00FA5999" w14:paraId="6A7F65B0" w14:textId="77777777" w:rsidTr="001A46E4">
        <w:trPr>
          <w:trHeight w:val="269"/>
        </w:trPr>
        <w:tc>
          <w:tcPr>
            <w:tcW w:w="1396" w:type="dxa"/>
            <w:tcBorders>
              <w:top w:val="nil"/>
              <w:left w:val="single" w:sz="8" w:space="0" w:color="auto"/>
              <w:bottom w:val="single" w:sz="8" w:space="0" w:color="auto"/>
              <w:right w:val="single" w:sz="8" w:space="0" w:color="auto"/>
            </w:tcBorders>
            <w:shd w:val="clear" w:color="000000" w:fill="F2F2F2"/>
            <w:noWrap/>
            <w:vAlign w:val="center"/>
            <w:hideMark/>
          </w:tcPr>
          <w:p w14:paraId="1E804108" w14:textId="77777777" w:rsidR="00FA5999" w:rsidRPr="00FA5999" w:rsidRDefault="00FA5999" w:rsidP="00FA5999">
            <w:pPr>
              <w:spacing w:after="0" w:line="240" w:lineRule="auto"/>
              <w:rPr>
                <w:rFonts w:cs="Arial"/>
                <w:color w:val="000000"/>
                <w:szCs w:val="20"/>
              </w:rPr>
            </w:pPr>
            <w:r w:rsidRPr="00FA5999">
              <w:rPr>
                <w:rFonts w:cs="Arial"/>
                <w:color w:val="000000"/>
                <w:szCs w:val="20"/>
              </w:rPr>
              <w:t>Mobile</w:t>
            </w:r>
          </w:p>
        </w:tc>
        <w:tc>
          <w:tcPr>
            <w:tcW w:w="1398" w:type="dxa"/>
            <w:tcBorders>
              <w:top w:val="nil"/>
              <w:left w:val="nil"/>
              <w:bottom w:val="single" w:sz="8" w:space="0" w:color="auto"/>
              <w:right w:val="single" w:sz="8" w:space="0" w:color="auto"/>
            </w:tcBorders>
            <w:shd w:val="clear" w:color="000000" w:fill="F2F2F2"/>
            <w:noWrap/>
            <w:vAlign w:val="center"/>
            <w:hideMark/>
          </w:tcPr>
          <w:p w14:paraId="394B8C39"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232</w:t>
            </w:r>
          </w:p>
        </w:tc>
        <w:tc>
          <w:tcPr>
            <w:tcW w:w="1398" w:type="dxa"/>
            <w:tcBorders>
              <w:top w:val="nil"/>
              <w:left w:val="nil"/>
              <w:bottom w:val="single" w:sz="8" w:space="0" w:color="auto"/>
              <w:right w:val="single" w:sz="8" w:space="0" w:color="auto"/>
            </w:tcBorders>
            <w:shd w:val="clear" w:color="000000" w:fill="F2F2F2"/>
            <w:noWrap/>
            <w:vAlign w:val="center"/>
            <w:hideMark/>
          </w:tcPr>
          <w:p w14:paraId="224F4904"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19</w:t>
            </w:r>
          </w:p>
        </w:tc>
        <w:tc>
          <w:tcPr>
            <w:tcW w:w="1398" w:type="dxa"/>
            <w:tcBorders>
              <w:top w:val="nil"/>
              <w:left w:val="nil"/>
              <w:bottom w:val="single" w:sz="8" w:space="0" w:color="auto"/>
              <w:right w:val="single" w:sz="8" w:space="0" w:color="auto"/>
            </w:tcBorders>
            <w:shd w:val="clear" w:color="000000" w:fill="F2F2F2"/>
            <w:noWrap/>
            <w:vAlign w:val="center"/>
            <w:hideMark/>
          </w:tcPr>
          <w:p w14:paraId="56B0DDEB"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29</w:t>
            </w:r>
          </w:p>
        </w:tc>
        <w:tc>
          <w:tcPr>
            <w:tcW w:w="1398" w:type="dxa"/>
            <w:tcBorders>
              <w:top w:val="nil"/>
              <w:left w:val="nil"/>
              <w:bottom w:val="single" w:sz="8" w:space="0" w:color="auto"/>
              <w:right w:val="single" w:sz="8" w:space="0" w:color="auto"/>
            </w:tcBorders>
            <w:shd w:val="clear" w:color="000000" w:fill="F2F2F2"/>
            <w:noWrap/>
            <w:vAlign w:val="center"/>
            <w:hideMark/>
          </w:tcPr>
          <w:p w14:paraId="5A3E5470"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11</w:t>
            </w:r>
          </w:p>
        </w:tc>
        <w:tc>
          <w:tcPr>
            <w:tcW w:w="1398" w:type="dxa"/>
            <w:tcBorders>
              <w:top w:val="nil"/>
              <w:left w:val="nil"/>
              <w:bottom w:val="single" w:sz="8" w:space="0" w:color="auto"/>
              <w:right w:val="single" w:sz="8" w:space="0" w:color="auto"/>
            </w:tcBorders>
            <w:shd w:val="clear" w:color="000000" w:fill="F2F2F2"/>
            <w:noWrap/>
            <w:vAlign w:val="center"/>
            <w:hideMark/>
          </w:tcPr>
          <w:p w14:paraId="243A4540"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291</w:t>
            </w:r>
          </w:p>
        </w:tc>
      </w:tr>
      <w:tr w:rsidR="00FA5999" w:rsidRPr="00FA5999" w14:paraId="09D5F071" w14:textId="77777777" w:rsidTr="001A46E4">
        <w:trPr>
          <w:trHeight w:val="269"/>
        </w:trPr>
        <w:tc>
          <w:tcPr>
            <w:tcW w:w="1396" w:type="dxa"/>
            <w:tcBorders>
              <w:top w:val="nil"/>
              <w:left w:val="single" w:sz="8" w:space="0" w:color="auto"/>
              <w:bottom w:val="single" w:sz="8" w:space="0" w:color="auto"/>
              <w:right w:val="single" w:sz="8" w:space="0" w:color="auto"/>
            </w:tcBorders>
            <w:shd w:val="clear" w:color="auto" w:fill="auto"/>
            <w:noWrap/>
            <w:vAlign w:val="center"/>
            <w:hideMark/>
          </w:tcPr>
          <w:p w14:paraId="346D0F0B" w14:textId="77777777" w:rsidR="00FA5999" w:rsidRPr="00FA5999" w:rsidRDefault="00FA5999" w:rsidP="00FA5999">
            <w:pPr>
              <w:spacing w:after="0" w:line="240" w:lineRule="auto"/>
              <w:rPr>
                <w:rFonts w:cs="Arial"/>
                <w:color w:val="000000"/>
                <w:szCs w:val="20"/>
              </w:rPr>
            </w:pPr>
            <w:r w:rsidRPr="00FA5999">
              <w:rPr>
                <w:rFonts w:cs="Arial"/>
                <w:color w:val="000000"/>
                <w:szCs w:val="20"/>
              </w:rPr>
              <w:t>Fixed wireless</w:t>
            </w:r>
          </w:p>
        </w:tc>
        <w:tc>
          <w:tcPr>
            <w:tcW w:w="1398" w:type="dxa"/>
            <w:tcBorders>
              <w:top w:val="nil"/>
              <w:left w:val="nil"/>
              <w:bottom w:val="single" w:sz="8" w:space="0" w:color="auto"/>
              <w:right w:val="single" w:sz="8" w:space="0" w:color="auto"/>
            </w:tcBorders>
            <w:shd w:val="clear" w:color="auto" w:fill="auto"/>
            <w:noWrap/>
            <w:vAlign w:val="center"/>
            <w:hideMark/>
          </w:tcPr>
          <w:p w14:paraId="56E6E75F"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54</w:t>
            </w:r>
          </w:p>
        </w:tc>
        <w:tc>
          <w:tcPr>
            <w:tcW w:w="1398" w:type="dxa"/>
            <w:tcBorders>
              <w:top w:val="nil"/>
              <w:left w:val="nil"/>
              <w:bottom w:val="single" w:sz="8" w:space="0" w:color="auto"/>
              <w:right w:val="single" w:sz="8" w:space="0" w:color="auto"/>
            </w:tcBorders>
            <w:shd w:val="clear" w:color="auto" w:fill="auto"/>
            <w:noWrap/>
            <w:vAlign w:val="center"/>
            <w:hideMark/>
          </w:tcPr>
          <w:p w14:paraId="73470133"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auto" w:fill="auto"/>
            <w:noWrap/>
            <w:vAlign w:val="center"/>
            <w:hideMark/>
          </w:tcPr>
          <w:p w14:paraId="0605EBA1"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auto" w:fill="auto"/>
            <w:noWrap/>
            <w:vAlign w:val="center"/>
            <w:hideMark/>
          </w:tcPr>
          <w:p w14:paraId="2C2D3AC2"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auto" w:fill="auto"/>
            <w:vAlign w:val="center"/>
            <w:hideMark/>
          </w:tcPr>
          <w:p w14:paraId="5E33F1F3"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54</w:t>
            </w:r>
          </w:p>
        </w:tc>
      </w:tr>
      <w:tr w:rsidR="00FA5999" w:rsidRPr="00FA5999" w14:paraId="173BC819" w14:textId="77777777" w:rsidTr="001A46E4">
        <w:trPr>
          <w:trHeight w:val="269"/>
        </w:trPr>
        <w:tc>
          <w:tcPr>
            <w:tcW w:w="1396" w:type="dxa"/>
            <w:tcBorders>
              <w:top w:val="nil"/>
              <w:left w:val="single" w:sz="8" w:space="0" w:color="auto"/>
              <w:bottom w:val="single" w:sz="8" w:space="0" w:color="auto"/>
              <w:right w:val="single" w:sz="8" w:space="0" w:color="auto"/>
            </w:tcBorders>
            <w:shd w:val="clear" w:color="000000" w:fill="F2F2F2"/>
            <w:noWrap/>
            <w:vAlign w:val="center"/>
            <w:hideMark/>
          </w:tcPr>
          <w:p w14:paraId="6F75C782" w14:textId="77777777" w:rsidR="00FA5999" w:rsidRPr="00FA5999" w:rsidRDefault="00FA5999" w:rsidP="00FA5999">
            <w:pPr>
              <w:spacing w:after="0" w:line="240" w:lineRule="auto"/>
              <w:rPr>
                <w:rFonts w:cs="Arial"/>
                <w:color w:val="000000"/>
                <w:szCs w:val="20"/>
              </w:rPr>
            </w:pPr>
            <w:r w:rsidRPr="00FA5999">
              <w:rPr>
                <w:rFonts w:cs="Arial"/>
                <w:color w:val="000000"/>
                <w:szCs w:val="20"/>
              </w:rPr>
              <w:t>Other</w:t>
            </w:r>
          </w:p>
        </w:tc>
        <w:tc>
          <w:tcPr>
            <w:tcW w:w="1398" w:type="dxa"/>
            <w:tcBorders>
              <w:top w:val="nil"/>
              <w:left w:val="nil"/>
              <w:bottom w:val="single" w:sz="8" w:space="0" w:color="auto"/>
              <w:right w:val="single" w:sz="8" w:space="0" w:color="auto"/>
            </w:tcBorders>
            <w:shd w:val="clear" w:color="000000" w:fill="F2F2F2"/>
            <w:noWrap/>
            <w:vAlign w:val="center"/>
            <w:hideMark/>
          </w:tcPr>
          <w:p w14:paraId="1473C9BB"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2</w:t>
            </w:r>
          </w:p>
        </w:tc>
        <w:tc>
          <w:tcPr>
            <w:tcW w:w="1398" w:type="dxa"/>
            <w:tcBorders>
              <w:top w:val="nil"/>
              <w:left w:val="nil"/>
              <w:bottom w:val="single" w:sz="8" w:space="0" w:color="auto"/>
              <w:right w:val="single" w:sz="8" w:space="0" w:color="auto"/>
            </w:tcBorders>
            <w:shd w:val="clear" w:color="000000" w:fill="F2F2F2"/>
            <w:noWrap/>
            <w:vAlign w:val="center"/>
            <w:hideMark/>
          </w:tcPr>
          <w:p w14:paraId="390EB605"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000000" w:fill="F2F2F2"/>
            <w:noWrap/>
            <w:vAlign w:val="center"/>
            <w:hideMark/>
          </w:tcPr>
          <w:p w14:paraId="0469A24E"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000000" w:fill="F2F2F2"/>
            <w:noWrap/>
            <w:vAlign w:val="center"/>
            <w:hideMark/>
          </w:tcPr>
          <w:p w14:paraId="63843E8F" w14:textId="77777777" w:rsidR="00FA5999" w:rsidRPr="00FA5999" w:rsidRDefault="00FA5999" w:rsidP="00FA5999">
            <w:pPr>
              <w:spacing w:after="0" w:line="240" w:lineRule="auto"/>
              <w:jc w:val="right"/>
              <w:rPr>
                <w:rFonts w:cs="Arial"/>
                <w:color w:val="000000"/>
                <w:szCs w:val="20"/>
              </w:rPr>
            </w:pPr>
            <w:r w:rsidRPr="00FA5999">
              <w:rPr>
                <w:rFonts w:cs="Arial"/>
                <w:color w:val="000000"/>
                <w:szCs w:val="20"/>
              </w:rPr>
              <w:t>0</w:t>
            </w:r>
          </w:p>
        </w:tc>
        <w:tc>
          <w:tcPr>
            <w:tcW w:w="1398" w:type="dxa"/>
            <w:tcBorders>
              <w:top w:val="nil"/>
              <w:left w:val="nil"/>
              <w:bottom w:val="single" w:sz="8" w:space="0" w:color="auto"/>
              <w:right w:val="single" w:sz="8" w:space="0" w:color="auto"/>
            </w:tcBorders>
            <w:shd w:val="clear" w:color="000000" w:fill="F2F2F2"/>
            <w:noWrap/>
            <w:vAlign w:val="center"/>
            <w:hideMark/>
          </w:tcPr>
          <w:p w14:paraId="6360E4F0"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2</w:t>
            </w:r>
          </w:p>
        </w:tc>
      </w:tr>
      <w:tr w:rsidR="00FA5999" w:rsidRPr="00FA5999" w14:paraId="0ED73E92" w14:textId="77777777" w:rsidTr="001A46E4">
        <w:trPr>
          <w:trHeight w:val="269"/>
        </w:trPr>
        <w:tc>
          <w:tcPr>
            <w:tcW w:w="1396" w:type="dxa"/>
            <w:tcBorders>
              <w:top w:val="nil"/>
              <w:left w:val="single" w:sz="8" w:space="0" w:color="auto"/>
              <w:bottom w:val="single" w:sz="8" w:space="0" w:color="auto"/>
              <w:right w:val="single" w:sz="8" w:space="0" w:color="auto"/>
            </w:tcBorders>
            <w:shd w:val="clear" w:color="auto" w:fill="auto"/>
            <w:noWrap/>
            <w:vAlign w:val="center"/>
            <w:hideMark/>
          </w:tcPr>
          <w:p w14:paraId="6B7812B0" w14:textId="77777777" w:rsidR="00FA5999" w:rsidRPr="00FA5999" w:rsidRDefault="00FA5999" w:rsidP="00FA5999">
            <w:pPr>
              <w:spacing w:after="0" w:line="240" w:lineRule="auto"/>
              <w:rPr>
                <w:rFonts w:cs="Arial"/>
                <w:b/>
                <w:bCs/>
                <w:color w:val="000000"/>
                <w:szCs w:val="20"/>
              </w:rPr>
            </w:pPr>
            <w:r w:rsidRPr="00FA5999">
              <w:rPr>
                <w:rFonts w:cs="Arial"/>
                <w:b/>
                <w:bCs/>
                <w:color w:val="000000"/>
                <w:szCs w:val="20"/>
              </w:rPr>
              <w:t>Total</w:t>
            </w:r>
          </w:p>
        </w:tc>
        <w:tc>
          <w:tcPr>
            <w:tcW w:w="1398" w:type="dxa"/>
            <w:tcBorders>
              <w:top w:val="nil"/>
              <w:left w:val="nil"/>
              <w:bottom w:val="single" w:sz="8" w:space="0" w:color="auto"/>
              <w:right w:val="single" w:sz="8" w:space="0" w:color="auto"/>
            </w:tcBorders>
            <w:shd w:val="clear" w:color="auto" w:fill="auto"/>
            <w:noWrap/>
            <w:vAlign w:val="center"/>
            <w:hideMark/>
          </w:tcPr>
          <w:p w14:paraId="7871DF32"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750</w:t>
            </w:r>
          </w:p>
        </w:tc>
        <w:tc>
          <w:tcPr>
            <w:tcW w:w="1398" w:type="dxa"/>
            <w:tcBorders>
              <w:top w:val="nil"/>
              <w:left w:val="nil"/>
              <w:bottom w:val="single" w:sz="8" w:space="0" w:color="auto"/>
              <w:right w:val="single" w:sz="8" w:space="0" w:color="auto"/>
            </w:tcBorders>
            <w:shd w:val="clear" w:color="auto" w:fill="auto"/>
            <w:noWrap/>
            <w:vAlign w:val="center"/>
            <w:hideMark/>
          </w:tcPr>
          <w:p w14:paraId="438C8BB5"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47</w:t>
            </w:r>
          </w:p>
        </w:tc>
        <w:tc>
          <w:tcPr>
            <w:tcW w:w="1398" w:type="dxa"/>
            <w:tcBorders>
              <w:top w:val="nil"/>
              <w:left w:val="nil"/>
              <w:bottom w:val="single" w:sz="8" w:space="0" w:color="auto"/>
              <w:right w:val="single" w:sz="8" w:space="0" w:color="auto"/>
            </w:tcBorders>
            <w:shd w:val="clear" w:color="auto" w:fill="auto"/>
            <w:noWrap/>
            <w:vAlign w:val="center"/>
            <w:hideMark/>
          </w:tcPr>
          <w:p w14:paraId="01D8730D"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29</w:t>
            </w:r>
          </w:p>
        </w:tc>
        <w:tc>
          <w:tcPr>
            <w:tcW w:w="1398" w:type="dxa"/>
            <w:tcBorders>
              <w:top w:val="nil"/>
              <w:left w:val="nil"/>
              <w:bottom w:val="single" w:sz="8" w:space="0" w:color="auto"/>
              <w:right w:val="single" w:sz="8" w:space="0" w:color="auto"/>
            </w:tcBorders>
            <w:shd w:val="clear" w:color="auto" w:fill="auto"/>
            <w:noWrap/>
            <w:vAlign w:val="center"/>
            <w:hideMark/>
          </w:tcPr>
          <w:p w14:paraId="67C27A75"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23</w:t>
            </w:r>
          </w:p>
        </w:tc>
        <w:tc>
          <w:tcPr>
            <w:tcW w:w="1398" w:type="dxa"/>
            <w:tcBorders>
              <w:top w:val="nil"/>
              <w:left w:val="nil"/>
              <w:bottom w:val="single" w:sz="8" w:space="0" w:color="auto"/>
              <w:right w:val="single" w:sz="8" w:space="0" w:color="auto"/>
            </w:tcBorders>
            <w:shd w:val="clear" w:color="auto" w:fill="auto"/>
            <w:noWrap/>
            <w:vAlign w:val="center"/>
            <w:hideMark/>
          </w:tcPr>
          <w:p w14:paraId="2AE0D850" w14:textId="77777777" w:rsidR="00FA5999" w:rsidRPr="00FA5999" w:rsidRDefault="00FA5999" w:rsidP="00FA5999">
            <w:pPr>
              <w:spacing w:after="0" w:line="240" w:lineRule="auto"/>
              <w:jc w:val="right"/>
              <w:rPr>
                <w:rFonts w:cs="Arial"/>
                <w:b/>
                <w:bCs/>
                <w:color w:val="000000"/>
                <w:szCs w:val="20"/>
              </w:rPr>
            </w:pPr>
            <w:r w:rsidRPr="00FA5999">
              <w:rPr>
                <w:rFonts w:cs="Arial"/>
                <w:b/>
                <w:bCs/>
                <w:color w:val="000000"/>
                <w:szCs w:val="20"/>
              </w:rPr>
              <w:t>849</w:t>
            </w:r>
          </w:p>
        </w:tc>
      </w:tr>
    </w:tbl>
    <w:p w14:paraId="48880E53" w14:textId="11011B8E" w:rsidR="00987522" w:rsidRPr="00CA6275" w:rsidRDefault="00727FF7" w:rsidP="00B25EB4">
      <w:pPr>
        <w:pStyle w:val="Tableorfigurenote"/>
      </w:pPr>
      <w:r w:rsidRPr="00EE1F6A">
        <w:t>Note:</w:t>
      </w:r>
      <w:r w:rsidR="00987522" w:rsidRPr="00EE1F6A">
        <w:t xml:space="preserve"> </w:t>
      </w:r>
      <w:r w:rsidR="00987522" w:rsidRPr="0033450B">
        <w:t xml:space="preserve">The other category </w:t>
      </w:r>
      <w:r w:rsidR="00987522">
        <w:t>includes</w:t>
      </w:r>
      <w:r w:rsidR="00987522" w:rsidRPr="0033450B">
        <w:t xml:space="preserve"> equipment shelters containing electrical and switching equipment for </w:t>
      </w:r>
      <w:r w:rsidR="00987522">
        <w:t xml:space="preserve">both </w:t>
      </w:r>
      <w:r w:rsidR="00987522" w:rsidRPr="0033450B">
        <w:t>fixed-line and mobile networks.</w:t>
      </w:r>
    </w:p>
    <w:p w14:paraId="269A6430" w14:textId="728AD0A7" w:rsidR="00987522" w:rsidRPr="001B1737" w:rsidRDefault="00987522" w:rsidP="00686C33">
      <w:pPr>
        <w:pStyle w:val="Heading3"/>
      </w:pPr>
      <w:bookmarkStart w:id="33" w:name="_Toc37080624"/>
      <w:r w:rsidRPr="001B1737">
        <w:t>By average time to restore outage</w:t>
      </w:r>
      <w:r w:rsidR="00085BE1">
        <w:t xml:space="preserve"> incident</w:t>
      </w:r>
      <w:r w:rsidRPr="001B1737">
        <w:t>s</w:t>
      </w:r>
      <w:bookmarkEnd w:id="33"/>
    </w:p>
    <w:p w14:paraId="51D19B2E" w14:textId="782411A7" w:rsidR="00987522" w:rsidRPr="00686C33" w:rsidRDefault="00987522" w:rsidP="007C5BB2">
      <w:pPr>
        <w:pStyle w:val="Paragraph"/>
      </w:pPr>
      <w:r>
        <w:t xml:space="preserve">The time to permanently restore </w:t>
      </w:r>
      <w:r w:rsidR="00065E32">
        <w:t xml:space="preserve">an </w:t>
      </w:r>
      <w:r>
        <w:t>outage</w:t>
      </w:r>
      <w:r w:rsidR="00065E32">
        <w:t xml:space="preserve"> incident </w:t>
      </w:r>
      <w:r>
        <w:t>is calculated from the time restoration action commenced until it was completed. In many instances, there was a</w:t>
      </w:r>
      <w:r w:rsidDel="00AD4A57">
        <w:t xml:space="preserve"> </w:t>
      </w:r>
      <w:r>
        <w:t>lag between when the outage occurred and when restoration activity commenced</w:t>
      </w:r>
      <w:r w:rsidR="00B644FB">
        <w:t>—</w:t>
      </w:r>
      <w:r>
        <w:t>for example, see section about restricted access. This explains why the average length of outage</w:t>
      </w:r>
      <w:r w:rsidR="00C366BA">
        <w:t xml:space="preserve"> incident</w:t>
      </w:r>
      <w:r>
        <w:t xml:space="preserve">s is longer that the average time taken to permanently restore facilities. </w:t>
      </w:r>
      <w:r w:rsidRPr="00CA6275">
        <w:t xml:space="preserve">Table </w:t>
      </w:r>
      <w:r w:rsidR="00DD316E">
        <w:t xml:space="preserve">6 </w:t>
      </w:r>
      <w:r>
        <w:t>indicates that on average, restoration of outage</w:t>
      </w:r>
      <w:r w:rsidR="00DD316E">
        <w:t xml:space="preserve"> incident</w:t>
      </w:r>
      <w:r>
        <w:t xml:space="preserve">s commenced one day after the outage commenced. </w:t>
      </w:r>
    </w:p>
    <w:p w14:paraId="713B16EA" w14:textId="188B5879" w:rsidR="00987522" w:rsidRPr="00686C33" w:rsidRDefault="00686C33" w:rsidP="00686C33">
      <w:pPr>
        <w:pStyle w:val="Tableheading"/>
      </w:pPr>
      <w:r>
        <w:lastRenderedPageBreak/>
        <w:t>A</w:t>
      </w:r>
      <w:r w:rsidR="00987522" w:rsidRPr="00686C33">
        <w:t xml:space="preserve">verage length of </w:t>
      </w:r>
      <w:r w:rsidR="009D762A">
        <w:t>outage incidents</w:t>
      </w:r>
      <w:r w:rsidR="00987522" w:rsidRPr="00686C33">
        <w:t xml:space="preserve"> (days), average time to start restoration (days) and average time to restore </w:t>
      </w:r>
      <w:r w:rsidR="009D762A">
        <w:t>outage incidents</w:t>
      </w:r>
      <w:r w:rsidR="00987522" w:rsidRPr="00686C33">
        <w:t xml:space="preserve"> (days), by state</w:t>
      </w:r>
    </w:p>
    <w:tbl>
      <w:tblPr>
        <w:tblW w:w="8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961"/>
        <w:gridCol w:w="2369"/>
        <w:gridCol w:w="2370"/>
        <w:gridCol w:w="2370"/>
      </w:tblGrid>
      <w:tr w:rsidR="00987522" w:rsidRPr="007C5BB2" w14:paraId="727E245E" w14:textId="77777777" w:rsidTr="007C5BB2">
        <w:trPr>
          <w:trHeight w:val="253"/>
        </w:trPr>
        <w:tc>
          <w:tcPr>
            <w:tcW w:w="961"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02EAFBBC" w14:textId="77777777" w:rsidR="00987522" w:rsidRPr="007C5BB2" w:rsidRDefault="00987522" w:rsidP="00987522">
            <w:pPr>
              <w:spacing w:after="0" w:line="240" w:lineRule="auto"/>
              <w:rPr>
                <w:rFonts w:cs="Arial"/>
                <w:b/>
                <w:bCs/>
                <w:color w:val="FFFFFF" w:themeColor="background1"/>
              </w:rPr>
            </w:pPr>
            <w:r w:rsidRPr="007C5BB2">
              <w:rPr>
                <w:rFonts w:cs="Arial"/>
                <w:b/>
                <w:bCs/>
                <w:color w:val="FFFFFF" w:themeColor="background1"/>
              </w:rPr>
              <w:t>State</w:t>
            </w:r>
          </w:p>
        </w:tc>
        <w:tc>
          <w:tcPr>
            <w:tcW w:w="2368"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0BC7FDFE" w14:textId="574621DF" w:rsidR="00987522" w:rsidRPr="007C5BB2" w:rsidRDefault="00987522" w:rsidP="007C5BB2">
            <w:pPr>
              <w:spacing w:after="0" w:line="240" w:lineRule="auto"/>
              <w:jc w:val="right"/>
              <w:rPr>
                <w:rFonts w:cs="Arial"/>
                <w:b/>
                <w:bCs/>
                <w:color w:val="FFFFFF" w:themeColor="background1"/>
              </w:rPr>
            </w:pPr>
            <w:r w:rsidRPr="007C5BB2">
              <w:rPr>
                <w:rFonts w:cs="Arial"/>
                <w:b/>
                <w:bCs/>
                <w:color w:val="FFFFFF" w:themeColor="background1"/>
              </w:rPr>
              <w:t xml:space="preserve">Average length of </w:t>
            </w:r>
            <w:r w:rsidR="009D762A">
              <w:rPr>
                <w:rFonts w:cs="Arial"/>
                <w:b/>
                <w:bCs/>
                <w:color w:val="FFFFFF" w:themeColor="background1"/>
              </w:rPr>
              <w:t>outage incidents</w:t>
            </w:r>
            <w:r w:rsidRPr="007C5BB2">
              <w:rPr>
                <w:rFonts w:cs="Arial"/>
                <w:b/>
                <w:bCs/>
                <w:color w:val="FFFFFF" w:themeColor="background1"/>
              </w:rPr>
              <w:t xml:space="preserve"> (days)</w:t>
            </w:r>
          </w:p>
        </w:tc>
        <w:tc>
          <w:tcPr>
            <w:tcW w:w="2369"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1267B093" w14:textId="77777777" w:rsidR="00987522" w:rsidRPr="007C5BB2" w:rsidRDefault="00987522" w:rsidP="007C5BB2">
            <w:pPr>
              <w:spacing w:after="0" w:line="240" w:lineRule="auto"/>
              <w:jc w:val="right"/>
              <w:rPr>
                <w:rFonts w:cs="Arial"/>
                <w:b/>
                <w:bCs/>
                <w:color w:val="FFFFFF" w:themeColor="background1"/>
              </w:rPr>
            </w:pPr>
            <w:r w:rsidRPr="007C5BB2">
              <w:rPr>
                <w:rFonts w:cs="Arial"/>
                <w:b/>
                <w:bCs/>
                <w:color w:val="FFFFFF" w:themeColor="background1"/>
              </w:rPr>
              <w:t>Average time to start restoration (days)</w:t>
            </w:r>
          </w:p>
        </w:tc>
        <w:tc>
          <w:tcPr>
            <w:tcW w:w="2369"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2EEDC3D2" w14:textId="48D0E835" w:rsidR="00987522" w:rsidRPr="007C5BB2" w:rsidRDefault="00987522" w:rsidP="007C5BB2">
            <w:pPr>
              <w:spacing w:after="0" w:line="240" w:lineRule="auto"/>
              <w:jc w:val="right"/>
              <w:rPr>
                <w:rFonts w:cs="Arial"/>
                <w:b/>
                <w:bCs/>
                <w:color w:val="FFFFFF" w:themeColor="background1"/>
              </w:rPr>
            </w:pPr>
            <w:r w:rsidRPr="007C5BB2">
              <w:rPr>
                <w:rFonts w:cs="Arial"/>
                <w:b/>
                <w:bCs/>
                <w:color w:val="FFFFFF" w:themeColor="background1"/>
              </w:rPr>
              <w:t xml:space="preserve">Average time to restore </w:t>
            </w:r>
            <w:r w:rsidR="009D762A">
              <w:rPr>
                <w:rFonts w:cs="Arial"/>
                <w:b/>
                <w:bCs/>
                <w:color w:val="FFFFFF" w:themeColor="background1"/>
              </w:rPr>
              <w:t>outage incidents</w:t>
            </w:r>
            <w:r w:rsidRPr="007C5BB2">
              <w:rPr>
                <w:rFonts w:cs="Arial"/>
                <w:b/>
                <w:bCs/>
                <w:color w:val="FFFFFF" w:themeColor="background1"/>
              </w:rPr>
              <w:t xml:space="preserve"> (days)</w:t>
            </w:r>
          </w:p>
        </w:tc>
      </w:tr>
      <w:tr w:rsidR="00987522" w:rsidRPr="007C5BB2" w14:paraId="15A58E32" w14:textId="77777777" w:rsidTr="007C5BB2">
        <w:trPr>
          <w:trHeight w:val="253"/>
        </w:trPr>
        <w:tc>
          <w:tcPr>
            <w:tcW w:w="961" w:type="dxa"/>
            <w:tcBorders>
              <w:top w:val="single" w:sz="4" w:space="0" w:color="auto"/>
              <w:left w:val="single" w:sz="4" w:space="0" w:color="auto"/>
              <w:bottom w:val="single" w:sz="4" w:space="0" w:color="auto"/>
              <w:right w:val="single" w:sz="4" w:space="0" w:color="auto"/>
            </w:tcBorders>
            <w:noWrap/>
            <w:hideMark/>
          </w:tcPr>
          <w:p w14:paraId="6C4620DF" w14:textId="77777777" w:rsidR="00987522" w:rsidRPr="007C5BB2" w:rsidRDefault="00987522" w:rsidP="00987522">
            <w:pPr>
              <w:spacing w:after="0" w:line="240" w:lineRule="auto"/>
              <w:rPr>
                <w:rFonts w:cs="Arial"/>
                <w:color w:val="000000"/>
              </w:rPr>
            </w:pPr>
            <w:r w:rsidRPr="007C5BB2">
              <w:rPr>
                <w:rFonts w:cs="Arial"/>
                <w:color w:val="000000"/>
              </w:rPr>
              <w:t>Vic.</w:t>
            </w:r>
          </w:p>
        </w:tc>
        <w:tc>
          <w:tcPr>
            <w:tcW w:w="2368" w:type="dxa"/>
            <w:tcBorders>
              <w:top w:val="single" w:sz="4" w:space="0" w:color="auto"/>
              <w:left w:val="single" w:sz="4" w:space="0" w:color="auto"/>
              <w:bottom w:val="single" w:sz="4" w:space="0" w:color="auto"/>
              <w:right w:val="single" w:sz="4" w:space="0" w:color="auto"/>
            </w:tcBorders>
            <w:noWrap/>
            <w:hideMark/>
          </w:tcPr>
          <w:p w14:paraId="5967F0D7" w14:textId="77777777" w:rsidR="00987522" w:rsidRPr="007C5BB2" w:rsidRDefault="00987522" w:rsidP="00987522">
            <w:pPr>
              <w:spacing w:after="0" w:line="240" w:lineRule="auto"/>
              <w:jc w:val="right"/>
              <w:rPr>
                <w:rFonts w:cs="Arial"/>
                <w:color w:val="000000"/>
              </w:rPr>
            </w:pPr>
            <w:r w:rsidRPr="007C5BB2">
              <w:rPr>
                <w:rFonts w:cs="Arial"/>
                <w:color w:val="000000"/>
              </w:rPr>
              <w:t>4.6</w:t>
            </w:r>
          </w:p>
        </w:tc>
        <w:tc>
          <w:tcPr>
            <w:tcW w:w="2369" w:type="dxa"/>
            <w:tcBorders>
              <w:top w:val="single" w:sz="4" w:space="0" w:color="auto"/>
              <w:left w:val="single" w:sz="4" w:space="0" w:color="auto"/>
              <w:bottom w:val="single" w:sz="4" w:space="0" w:color="auto"/>
              <w:right w:val="single" w:sz="4" w:space="0" w:color="auto"/>
            </w:tcBorders>
            <w:hideMark/>
          </w:tcPr>
          <w:p w14:paraId="038F3C41" w14:textId="77777777" w:rsidR="00987522" w:rsidRPr="007C5BB2" w:rsidRDefault="00987522" w:rsidP="00987522">
            <w:pPr>
              <w:spacing w:after="0" w:line="240" w:lineRule="auto"/>
              <w:jc w:val="right"/>
              <w:rPr>
                <w:rFonts w:cs="Arial"/>
                <w:color w:val="000000"/>
              </w:rPr>
            </w:pPr>
            <w:r w:rsidRPr="007C5BB2">
              <w:rPr>
                <w:rFonts w:cs="Arial"/>
                <w:color w:val="000000"/>
              </w:rPr>
              <w:t>1.2</w:t>
            </w:r>
          </w:p>
        </w:tc>
        <w:tc>
          <w:tcPr>
            <w:tcW w:w="2369" w:type="dxa"/>
            <w:tcBorders>
              <w:top w:val="single" w:sz="4" w:space="0" w:color="auto"/>
              <w:left w:val="single" w:sz="4" w:space="0" w:color="auto"/>
              <w:bottom w:val="single" w:sz="4" w:space="0" w:color="auto"/>
              <w:right w:val="single" w:sz="4" w:space="0" w:color="auto"/>
            </w:tcBorders>
            <w:noWrap/>
            <w:hideMark/>
          </w:tcPr>
          <w:p w14:paraId="29073C6B" w14:textId="77777777" w:rsidR="00987522" w:rsidRPr="007C5BB2" w:rsidRDefault="00987522" w:rsidP="00987522">
            <w:pPr>
              <w:spacing w:after="0" w:line="240" w:lineRule="auto"/>
              <w:jc w:val="right"/>
              <w:rPr>
                <w:rFonts w:cs="Arial"/>
                <w:color w:val="000000"/>
              </w:rPr>
            </w:pPr>
            <w:r w:rsidRPr="007C5BB2">
              <w:rPr>
                <w:rFonts w:cs="Arial"/>
                <w:color w:val="000000"/>
              </w:rPr>
              <w:t>3.4</w:t>
            </w:r>
          </w:p>
        </w:tc>
      </w:tr>
      <w:tr w:rsidR="00987522" w:rsidRPr="007C5BB2" w14:paraId="4C62EE1A" w14:textId="77777777" w:rsidTr="005B5640">
        <w:trPr>
          <w:trHeight w:val="253"/>
        </w:trPr>
        <w:tc>
          <w:tcPr>
            <w:tcW w:w="96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0B4CC5EC" w14:textId="77777777" w:rsidR="00987522" w:rsidRPr="007C5BB2" w:rsidRDefault="00987522" w:rsidP="00987522">
            <w:pPr>
              <w:spacing w:after="0" w:line="240" w:lineRule="auto"/>
              <w:rPr>
                <w:rFonts w:cs="Arial"/>
                <w:color w:val="000000"/>
              </w:rPr>
            </w:pPr>
            <w:r w:rsidRPr="007C5BB2">
              <w:rPr>
                <w:rFonts w:cs="Arial"/>
                <w:color w:val="000000"/>
              </w:rPr>
              <w:t>NSW</w:t>
            </w:r>
          </w:p>
        </w:tc>
        <w:tc>
          <w:tcPr>
            <w:tcW w:w="236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B51933A" w14:textId="77777777" w:rsidR="00987522" w:rsidRPr="007C5BB2" w:rsidRDefault="00987522" w:rsidP="00987522">
            <w:pPr>
              <w:spacing w:after="0" w:line="240" w:lineRule="auto"/>
              <w:jc w:val="right"/>
              <w:rPr>
                <w:rFonts w:cs="Arial"/>
                <w:color w:val="000000"/>
              </w:rPr>
            </w:pPr>
            <w:r w:rsidRPr="007C5BB2">
              <w:rPr>
                <w:rFonts w:cs="Arial"/>
                <w:color w:val="000000"/>
              </w:rPr>
              <w:t>3.3</w:t>
            </w:r>
          </w:p>
        </w:tc>
        <w:tc>
          <w:tcPr>
            <w:tcW w:w="236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389DD28" w14:textId="77777777" w:rsidR="00987522" w:rsidRPr="007C5BB2" w:rsidRDefault="00987522" w:rsidP="00987522">
            <w:pPr>
              <w:spacing w:after="0" w:line="240" w:lineRule="auto"/>
              <w:jc w:val="right"/>
              <w:rPr>
                <w:rFonts w:cs="Arial"/>
                <w:color w:val="000000"/>
              </w:rPr>
            </w:pPr>
            <w:r w:rsidRPr="007C5BB2">
              <w:rPr>
                <w:rFonts w:cs="Arial"/>
                <w:color w:val="000000"/>
              </w:rPr>
              <w:t>1.0</w:t>
            </w:r>
          </w:p>
        </w:tc>
        <w:tc>
          <w:tcPr>
            <w:tcW w:w="236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7AF60D23" w14:textId="77777777" w:rsidR="00987522" w:rsidRPr="007C5BB2" w:rsidRDefault="00987522" w:rsidP="00987522">
            <w:pPr>
              <w:spacing w:after="0" w:line="240" w:lineRule="auto"/>
              <w:jc w:val="right"/>
              <w:rPr>
                <w:rFonts w:cs="Arial"/>
                <w:color w:val="000000"/>
              </w:rPr>
            </w:pPr>
            <w:r w:rsidRPr="007C5BB2">
              <w:rPr>
                <w:rFonts w:cs="Arial"/>
                <w:color w:val="000000"/>
              </w:rPr>
              <w:t>2.3</w:t>
            </w:r>
          </w:p>
        </w:tc>
      </w:tr>
      <w:tr w:rsidR="00987522" w:rsidRPr="007C5BB2" w14:paraId="6371E7D2" w14:textId="77777777" w:rsidTr="007C5BB2">
        <w:trPr>
          <w:trHeight w:val="253"/>
        </w:trPr>
        <w:tc>
          <w:tcPr>
            <w:tcW w:w="961" w:type="dxa"/>
            <w:tcBorders>
              <w:top w:val="single" w:sz="4" w:space="0" w:color="auto"/>
              <w:left w:val="single" w:sz="4" w:space="0" w:color="auto"/>
              <w:bottom w:val="single" w:sz="4" w:space="0" w:color="auto"/>
              <w:right w:val="single" w:sz="4" w:space="0" w:color="auto"/>
            </w:tcBorders>
            <w:noWrap/>
            <w:hideMark/>
          </w:tcPr>
          <w:p w14:paraId="0A5534FD" w14:textId="77777777" w:rsidR="00987522" w:rsidRPr="007C5BB2" w:rsidRDefault="00987522" w:rsidP="00987522">
            <w:pPr>
              <w:spacing w:after="0" w:line="240" w:lineRule="auto"/>
              <w:rPr>
                <w:rFonts w:cs="Arial"/>
                <w:color w:val="000000"/>
              </w:rPr>
            </w:pPr>
            <w:r w:rsidRPr="007C5BB2">
              <w:rPr>
                <w:rFonts w:cs="Arial"/>
                <w:color w:val="000000"/>
              </w:rPr>
              <w:t>ACT</w:t>
            </w:r>
          </w:p>
        </w:tc>
        <w:tc>
          <w:tcPr>
            <w:tcW w:w="2368" w:type="dxa"/>
            <w:tcBorders>
              <w:top w:val="single" w:sz="4" w:space="0" w:color="auto"/>
              <w:left w:val="single" w:sz="4" w:space="0" w:color="auto"/>
              <w:bottom w:val="single" w:sz="4" w:space="0" w:color="auto"/>
              <w:right w:val="single" w:sz="4" w:space="0" w:color="auto"/>
            </w:tcBorders>
            <w:noWrap/>
            <w:hideMark/>
          </w:tcPr>
          <w:p w14:paraId="01DE83B6" w14:textId="77777777" w:rsidR="00987522" w:rsidRPr="007C5BB2" w:rsidRDefault="00987522" w:rsidP="00987522">
            <w:pPr>
              <w:spacing w:after="0" w:line="240" w:lineRule="auto"/>
              <w:jc w:val="right"/>
              <w:rPr>
                <w:rFonts w:cs="Arial"/>
                <w:color w:val="000000"/>
              </w:rPr>
            </w:pPr>
            <w:r w:rsidRPr="007C5BB2">
              <w:rPr>
                <w:rFonts w:cs="Arial"/>
                <w:color w:val="000000"/>
              </w:rPr>
              <w:t>3.0</w:t>
            </w:r>
          </w:p>
        </w:tc>
        <w:tc>
          <w:tcPr>
            <w:tcW w:w="2369" w:type="dxa"/>
            <w:tcBorders>
              <w:top w:val="single" w:sz="4" w:space="0" w:color="auto"/>
              <w:left w:val="single" w:sz="4" w:space="0" w:color="auto"/>
              <w:bottom w:val="single" w:sz="4" w:space="0" w:color="auto"/>
              <w:right w:val="single" w:sz="4" w:space="0" w:color="auto"/>
            </w:tcBorders>
            <w:hideMark/>
          </w:tcPr>
          <w:p w14:paraId="506FA0A0" w14:textId="77777777" w:rsidR="00987522" w:rsidRPr="007C5BB2" w:rsidRDefault="00987522" w:rsidP="00987522">
            <w:pPr>
              <w:spacing w:after="0" w:line="240" w:lineRule="auto"/>
              <w:jc w:val="right"/>
              <w:rPr>
                <w:rFonts w:cs="Arial"/>
                <w:color w:val="000000"/>
              </w:rPr>
            </w:pPr>
            <w:r w:rsidRPr="007C5BB2">
              <w:rPr>
                <w:rFonts w:cs="Arial"/>
                <w:color w:val="000000"/>
              </w:rPr>
              <w:t>1.3</w:t>
            </w:r>
          </w:p>
        </w:tc>
        <w:tc>
          <w:tcPr>
            <w:tcW w:w="2369" w:type="dxa"/>
            <w:tcBorders>
              <w:top w:val="single" w:sz="4" w:space="0" w:color="auto"/>
              <w:left w:val="single" w:sz="4" w:space="0" w:color="auto"/>
              <w:bottom w:val="single" w:sz="4" w:space="0" w:color="auto"/>
              <w:right w:val="single" w:sz="4" w:space="0" w:color="auto"/>
            </w:tcBorders>
            <w:noWrap/>
            <w:hideMark/>
          </w:tcPr>
          <w:p w14:paraId="65720D37" w14:textId="77777777" w:rsidR="00987522" w:rsidRPr="007C5BB2" w:rsidRDefault="00987522" w:rsidP="00987522">
            <w:pPr>
              <w:spacing w:after="0" w:line="240" w:lineRule="auto"/>
              <w:jc w:val="right"/>
              <w:rPr>
                <w:rFonts w:cs="Arial"/>
                <w:color w:val="000000"/>
              </w:rPr>
            </w:pPr>
            <w:r w:rsidRPr="007C5BB2">
              <w:rPr>
                <w:rFonts w:cs="Arial"/>
                <w:color w:val="000000"/>
              </w:rPr>
              <w:t>1.7</w:t>
            </w:r>
          </w:p>
        </w:tc>
      </w:tr>
      <w:tr w:rsidR="00987522" w:rsidRPr="007C5BB2" w14:paraId="1672BBB3" w14:textId="77777777" w:rsidTr="005B5640">
        <w:trPr>
          <w:trHeight w:val="253"/>
        </w:trPr>
        <w:tc>
          <w:tcPr>
            <w:tcW w:w="96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23D75243" w14:textId="77777777" w:rsidR="00987522" w:rsidRPr="007C5BB2" w:rsidRDefault="00987522" w:rsidP="00987522">
            <w:pPr>
              <w:spacing w:after="0" w:line="240" w:lineRule="auto"/>
              <w:rPr>
                <w:rFonts w:cs="Arial"/>
                <w:color w:val="000000"/>
              </w:rPr>
            </w:pPr>
            <w:r w:rsidRPr="007C5BB2">
              <w:rPr>
                <w:rFonts w:cs="Arial"/>
                <w:color w:val="000000"/>
              </w:rPr>
              <w:t>SA</w:t>
            </w:r>
          </w:p>
        </w:tc>
        <w:tc>
          <w:tcPr>
            <w:tcW w:w="236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67B8831" w14:textId="77777777" w:rsidR="00987522" w:rsidRPr="007C5BB2" w:rsidRDefault="00987522" w:rsidP="00987522">
            <w:pPr>
              <w:spacing w:after="0" w:line="240" w:lineRule="auto"/>
              <w:jc w:val="right"/>
              <w:rPr>
                <w:rFonts w:cs="Arial"/>
                <w:color w:val="000000"/>
              </w:rPr>
            </w:pPr>
            <w:r w:rsidRPr="007C5BB2">
              <w:rPr>
                <w:rFonts w:cs="Arial"/>
                <w:color w:val="000000"/>
              </w:rPr>
              <w:t>2.4</w:t>
            </w:r>
          </w:p>
        </w:tc>
        <w:tc>
          <w:tcPr>
            <w:tcW w:w="236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C248DF4" w14:textId="77777777" w:rsidR="00987522" w:rsidRPr="007C5BB2" w:rsidRDefault="00987522" w:rsidP="00987522">
            <w:pPr>
              <w:spacing w:after="0" w:line="240" w:lineRule="auto"/>
              <w:jc w:val="right"/>
              <w:rPr>
                <w:rFonts w:cs="Arial"/>
                <w:color w:val="000000"/>
              </w:rPr>
            </w:pPr>
            <w:r w:rsidRPr="007C5BB2">
              <w:rPr>
                <w:rFonts w:cs="Arial"/>
                <w:color w:val="000000"/>
              </w:rPr>
              <w:t>0.3</w:t>
            </w:r>
          </w:p>
        </w:tc>
        <w:tc>
          <w:tcPr>
            <w:tcW w:w="236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41668E6D" w14:textId="77777777" w:rsidR="00987522" w:rsidRPr="007C5BB2" w:rsidRDefault="00987522" w:rsidP="00987522">
            <w:pPr>
              <w:spacing w:after="0" w:line="240" w:lineRule="auto"/>
              <w:jc w:val="right"/>
              <w:rPr>
                <w:rFonts w:cs="Arial"/>
                <w:color w:val="000000"/>
              </w:rPr>
            </w:pPr>
            <w:r w:rsidRPr="007C5BB2">
              <w:rPr>
                <w:rFonts w:cs="Arial"/>
                <w:color w:val="000000"/>
              </w:rPr>
              <w:t>2.1</w:t>
            </w:r>
          </w:p>
        </w:tc>
      </w:tr>
      <w:tr w:rsidR="00987522" w:rsidRPr="007C5BB2" w14:paraId="4CCD03DB" w14:textId="77777777" w:rsidTr="007C5BB2">
        <w:trPr>
          <w:trHeight w:val="253"/>
        </w:trPr>
        <w:tc>
          <w:tcPr>
            <w:tcW w:w="961" w:type="dxa"/>
            <w:tcBorders>
              <w:top w:val="single" w:sz="4" w:space="0" w:color="auto"/>
              <w:left w:val="single" w:sz="4" w:space="0" w:color="auto"/>
              <w:bottom w:val="single" w:sz="4" w:space="0" w:color="auto"/>
              <w:right w:val="single" w:sz="4" w:space="0" w:color="auto"/>
            </w:tcBorders>
            <w:noWrap/>
            <w:hideMark/>
          </w:tcPr>
          <w:p w14:paraId="4A977C2C" w14:textId="77777777" w:rsidR="00987522" w:rsidRPr="005B5640" w:rsidRDefault="00987522" w:rsidP="00987522">
            <w:pPr>
              <w:spacing w:after="0" w:line="240" w:lineRule="auto"/>
              <w:rPr>
                <w:rFonts w:cs="Arial"/>
                <w:b/>
                <w:bCs/>
                <w:color w:val="000000"/>
              </w:rPr>
            </w:pPr>
            <w:r w:rsidRPr="005B5640">
              <w:rPr>
                <w:rFonts w:cs="Arial"/>
                <w:b/>
                <w:bCs/>
                <w:color w:val="000000"/>
              </w:rPr>
              <w:t>Total</w:t>
            </w:r>
          </w:p>
        </w:tc>
        <w:tc>
          <w:tcPr>
            <w:tcW w:w="2368" w:type="dxa"/>
            <w:tcBorders>
              <w:top w:val="single" w:sz="4" w:space="0" w:color="auto"/>
              <w:left w:val="single" w:sz="4" w:space="0" w:color="auto"/>
              <w:bottom w:val="single" w:sz="4" w:space="0" w:color="auto"/>
              <w:right w:val="single" w:sz="4" w:space="0" w:color="auto"/>
            </w:tcBorders>
            <w:noWrap/>
            <w:hideMark/>
          </w:tcPr>
          <w:p w14:paraId="30837C07" w14:textId="77777777" w:rsidR="00987522" w:rsidRPr="005B5640" w:rsidRDefault="00987522" w:rsidP="00987522">
            <w:pPr>
              <w:spacing w:after="0" w:line="240" w:lineRule="auto"/>
              <w:jc w:val="right"/>
              <w:rPr>
                <w:rFonts w:cs="Arial"/>
                <w:b/>
                <w:bCs/>
                <w:color w:val="000000"/>
              </w:rPr>
            </w:pPr>
            <w:r w:rsidRPr="005B5640">
              <w:rPr>
                <w:rFonts w:cs="Arial"/>
                <w:b/>
                <w:bCs/>
                <w:color w:val="000000"/>
              </w:rPr>
              <w:t>3.5</w:t>
            </w:r>
          </w:p>
        </w:tc>
        <w:tc>
          <w:tcPr>
            <w:tcW w:w="2369" w:type="dxa"/>
            <w:tcBorders>
              <w:top w:val="single" w:sz="4" w:space="0" w:color="auto"/>
              <w:left w:val="single" w:sz="4" w:space="0" w:color="auto"/>
              <w:bottom w:val="single" w:sz="4" w:space="0" w:color="auto"/>
              <w:right w:val="single" w:sz="4" w:space="0" w:color="auto"/>
            </w:tcBorders>
            <w:hideMark/>
          </w:tcPr>
          <w:p w14:paraId="3F39DC6E" w14:textId="77777777" w:rsidR="00987522" w:rsidRPr="005B5640" w:rsidRDefault="00987522" w:rsidP="00987522">
            <w:pPr>
              <w:spacing w:after="0" w:line="240" w:lineRule="auto"/>
              <w:jc w:val="right"/>
              <w:rPr>
                <w:rFonts w:cs="Arial"/>
                <w:b/>
                <w:bCs/>
                <w:color w:val="000000"/>
              </w:rPr>
            </w:pPr>
            <w:r w:rsidRPr="005B5640">
              <w:rPr>
                <w:rFonts w:cs="Arial"/>
                <w:b/>
                <w:bCs/>
                <w:color w:val="000000"/>
              </w:rPr>
              <w:t>1.0</w:t>
            </w:r>
          </w:p>
        </w:tc>
        <w:tc>
          <w:tcPr>
            <w:tcW w:w="2369" w:type="dxa"/>
            <w:tcBorders>
              <w:top w:val="single" w:sz="4" w:space="0" w:color="auto"/>
              <w:left w:val="single" w:sz="4" w:space="0" w:color="auto"/>
              <w:bottom w:val="single" w:sz="4" w:space="0" w:color="auto"/>
              <w:right w:val="single" w:sz="4" w:space="0" w:color="auto"/>
            </w:tcBorders>
            <w:noWrap/>
            <w:hideMark/>
          </w:tcPr>
          <w:p w14:paraId="29CA312B" w14:textId="77777777" w:rsidR="00987522" w:rsidRPr="005B5640" w:rsidRDefault="00987522" w:rsidP="00987522">
            <w:pPr>
              <w:spacing w:after="0" w:line="240" w:lineRule="auto"/>
              <w:jc w:val="right"/>
              <w:rPr>
                <w:rFonts w:cs="Arial"/>
                <w:b/>
                <w:bCs/>
                <w:color w:val="000000"/>
              </w:rPr>
            </w:pPr>
            <w:r w:rsidRPr="005B5640">
              <w:rPr>
                <w:rFonts w:cs="Arial"/>
                <w:b/>
                <w:bCs/>
                <w:color w:val="000000"/>
              </w:rPr>
              <w:t>2.5</w:t>
            </w:r>
          </w:p>
        </w:tc>
      </w:tr>
    </w:tbl>
    <w:p w14:paraId="7019BC1A" w14:textId="77777777" w:rsidR="00987522" w:rsidRDefault="00987522" w:rsidP="00B25EB4">
      <w:pPr>
        <w:spacing w:after="120"/>
      </w:pPr>
    </w:p>
    <w:p w14:paraId="26521F98" w14:textId="058D22B9" w:rsidR="00987522" w:rsidRPr="003C6D6C" w:rsidRDefault="00987522" w:rsidP="00B25EB4">
      <w:pPr>
        <w:pStyle w:val="Heading3"/>
        <w:spacing w:before="240"/>
      </w:pPr>
      <w:bookmarkStart w:id="34" w:name="_Toc37080625"/>
      <w:r w:rsidRPr="003C6D6C">
        <w:t>By average time</w:t>
      </w:r>
      <w:r>
        <w:t xml:space="preserve"> and action</w:t>
      </w:r>
      <w:r w:rsidRPr="003C6D6C">
        <w:t xml:space="preserve"> to permanently restore </w:t>
      </w:r>
      <w:r>
        <w:t>outage</w:t>
      </w:r>
      <w:r w:rsidR="00085BE1">
        <w:t xml:space="preserve"> incident</w:t>
      </w:r>
      <w:r>
        <w:t>s</w:t>
      </w:r>
      <w:bookmarkEnd w:id="34"/>
    </w:p>
    <w:p w14:paraId="3792BE4B" w14:textId="66FB5FE5" w:rsidR="00987522" w:rsidRDefault="00751487" w:rsidP="005B5640">
      <w:pPr>
        <w:pStyle w:val="Paragraph"/>
      </w:pPr>
      <w:r>
        <w:t>Except for</w:t>
      </w:r>
      <w:r w:rsidR="00987522">
        <w:t xml:space="preserve"> the time taken to restore equipment shelters, the time taken to restore facilit</w:t>
      </w:r>
      <w:r w:rsidR="00AA06F0">
        <w:t>ies</w:t>
      </w:r>
      <w:r w:rsidR="00987522">
        <w:t xml:space="preserve"> was generally comparable across all facility types. </w:t>
      </w:r>
      <w:r w:rsidR="00987522" w:rsidRPr="00580635">
        <w:t xml:space="preserve">Table </w:t>
      </w:r>
      <w:r w:rsidR="00DD316E">
        <w:t xml:space="preserve">7 </w:t>
      </w:r>
      <w:r w:rsidR="00987522">
        <w:t xml:space="preserve">shows that the average time taken to permanently restore across all types of facilities was 2.5 days. </w:t>
      </w:r>
    </w:p>
    <w:p w14:paraId="139B264E" w14:textId="11E0202C" w:rsidR="00987522" w:rsidRPr="005D2FE4" w:rsidRDefault="00987522" w:rsidP="00987522">
      <w:r>
        <w:t>However, in relation to equipment shelters, the average time taken to restore the outage was much longer</w:t>
      </w:r>
      <w:r w:rsidR="00751487">
        <w:t>—</w:t>
      </w:r>
      <w:r>
        <w:t xml:space="preserve">nearly 21 days. </w:t>
      </w:r>
    </w:p>
    <w:p w14:paraId="421936C2" w14:textId="4E3EA2AE" w:rsidR="00987522" w:rsidRDefault="00686C33" w:rsidP="00686C33">
      <w:pPr>
        <w:pStyle w:val="ACMATableHeader"/>
      </w:pPr>
      <w:r>
        <w:t>A</w:t>
      </w:r>
      <w:r w:rsidR="00987522">
        <w:t xml:space="preserve">verage time to permanently restore </w:t>
      </w:r>
      <w:r w:rsidR="009D762A">
        <w:t>outage incidents</w:t>
      </w:r>
      <w:r w:rsidR="00987522">
        <w:t xml:space="preserve"> (days), by </w:t>
      </w:r>
      <w:r w:rsidR="009D762A">
        <w:t>action taken</w:t>
      </w:r>
      <w:r w:rsidR="00987522">
        <w:t xml:space="preserve"> and facility type</w:t>
      </w:r>
    </w:p>
    <w:tbl>
      <w:tblPr>
        <w:tblW w:w="89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561"/>
        <w:gridCol w:w="1475"/>
        <w:gridCol w:w="1476"/>
        <w:gridCol w:w="1476"/>
        <w:gridCol w:w="1476"/>
        <w:gridCol w:w="1476"/>
      </w:tblGrid>
      <w:tr w:rsidR="00987522" w:rsidRPr="005B5640" w14:paraId="134A12B1"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5C5681B3"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Facility type</w:t>
            </w:r>
          </w:p>
        </w:tc>
        <w:tc>
          <w:tcPr>
            <w:tcW w:w="1475"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DBA85F7"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Site power restored</w:t>
            </w:r>
          </w:p>
        </w:tc>
        <w:tc>
          <w:tcPr>
            <w:tcW w:w="1476"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7B2620B"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Hardware or facilities reset or repaired</w:t>
            </w:r>
          </w:p>
        </w:tc>
        <w:tc>
          <w:tcPr>
            <w:tcW w:w="1476"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11683004"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Hardware or facilities replaced</w:t>
            </w:r>
          </w:p>
        </w:tc>
        <w:tc>
          <w:tcPr>
            <w:tcW w:w="1476"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6506D235"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Other</w:t>
            </w:r>
          </w:p>
        </w:tc>
        <w:tc>
          <w:tcPr>
            <w:tcW w:w="1476"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51BB2367" w14:textId="77777777" w:rsidR="00987522" w:rsidRPr="005B5640" w:rsidRDefault="00987522" w:rsidP="005B5640">
            <w:pPr>
              <w:spacing w:after="0" w:line="240" w:lineRule="auto"/>
              <w:rPr>
                <w:rFonts w:cs="Arial"/>
                <w:b/>
                <w:bCs/>
                <w:color w:val="FFFFFF" w:themeColor="background1"/>
              </w:rPr>
            </w:pPr>
            <w:r w:rsidRPr="005B5640">
              <w:rPr>
                <w:rFonts w:cs="Arial"/>
                <w:b/>
                <w:bCs/>
                <w:color w:val="FFFFFF" w:themeColor="background1"/>
              </w:rPr>
              <w:t>Total</w:t>
            </w:r>
          </w:p>
        </w:tc>
      </w:tr>
      <w:tr w:rsidR="00987522" w:rsidRPr="005B5640" w14:paraId="1ADE881E"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noWrap/>
            <w:hideMark/>
          </w:tcPr>
          <w:p w14:paraId="1BBBD5D6" w14:textId="77777777" w:rsidR="00987522" w:rsidRPr="005B5640" w:rsidRDefault="00987522" w:rsidP="005B5640">
            <w:pPr>
              <w:spacing w:after="0" w:line="240" w:lineRule="auto"/>
              <w:rPr>
                <w:rFonts w:cs="Arial"/>
                <w:color w:val="000000"/>
              </w:rPr>
            </w:pPr>
            <w:r w:rsidRPr="005B5640">
              <w:rPr>
                <w:rFonts w:cs="Arial"/>
                <w:color w:val="000000"/>
              </w:rPr>
              <w:t>Equipment shelter</w:t>
            </w:r>
          </w:p>
        </w:tc>
        <w:tc>
          <w:tcPr>
            <w:tcW w:w="1475" w:type="dxa"/>
            <w:tcBorders>
              <w:top w:val="single" w:sz="4" w:space="0" w:color="auto"/>
              <w:left w:val="single" w:sz="4" w:space="0" w:color="auto"/>
              <w:bottom w:val="single" w:sz="4" w:space="0" w:color="auto"/>
              <w:right w:val="single" w:sz="4" w:space="0" w:color="auto"/>
            </w:tcBorders>
            <w:noWrap/>
            <w:hideMark/>
          </w:tcPr>
          <w:p w14:paraId="10073BCD" w14:textId="77777777" w:rsidR="00987522" w:rsidRPr="005B5640" w:rsidRDefault="00987522" w:rsidP="005B5640">
            <w:pPr>
              <w:spacing w:after="0" w:line="240" w:lineRule="auto"/>
              <w:jc w:val="right"/>
              <w:rPr>
                <w:rFonts w:cs="Arial"/>
                <w:color w:val="000000"/>
              </w:rPr>
            </w:pPr>
            <w:r w:rsidRPr="005B5640">
              <w:rPr>
                <w:rFonts w:cs="Arial"/>
                <w:color w:val="000000"/>
              </w:rPr>
              <w:t>20.9</w:t>
            </w:r>
          </w:p>
        </w:tc>
        <w:tc>
          <w:tcPr>
            <w:tcW w:w="1476" w:type="dxa"/>
            <w:tcBorders>
              <w:top w:val="single" w:sz="4" w:space="0" w:color="auto"/>
              <w:left w:val="single" w:sz="4" w:space="0" w:color="auto"/>
              <w:bottom w:val="single" w:sz="4" w:space="0" w:color="auto"/>
              <w:right w:val="single" w:sz="4" w:space="0" w:color="auto"/>
            </w:tcBorders>
            <w:noWrap/>
            <w:hideMark/>
          </w:tcPr>
          <w:p w14:paraId="008DDEC6" w14:textId="77777777" w:rsidR="00987522" w:rsidRPr="005B5640" w:rsidRDefault="00987522" w:rsidP="005B5640">
            <w:pPr>
              <w:spacing w:after="0"/>
              <w:rPr>
                <w:rFonts w:cs="Arial"/>
                <w:color w:val="000000"/>
              </w:rPr>
            </w:pPr>
          </w:p>
        </w:tc>
        <w:tc>
          <w:tcPr>
            <w:tcW w:w="1476" w:type="dxa"/>
            <w:tcBorders>
              <w:top w:val="single" w:sz="4" w:space="0" w:color="auto"/>
              <w:left w:val="single" w:sz="4" w:space="0" w:color="auto"/>
              <w:bottom w:val="single" w:sz="4" w:space="0" w:color="auto"/>
              <w:right w:val="single" w:sz="4" w:space="0" w:color="auto"/>
            </w:tcBorders>
            <w:noWrap/>
            <w:hideMark/>
          </w:tcPr>
          <w:p w14:paraId="5DA8075A"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noWrap/>
            <w:hideMark/>
          </w:tcPr>
          <w:p w14:paraId="122EF518"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noWrap/>
            <w:hideMark/>
          </w:tcPr>
          <w:p w14:paraId="2E7D6027" w14:textId="77777777" w:rsidR="00987522" w:rsidRPr="005B5640" w:rsidRDefault="00987522" w:rsidP="005B5640">
            <w:pPr>
              <w:spacing w:after="0" w:line="240" w:lineRule="auto"/>
              <w:jc w:val="right"/>
              <w:rPr>
                <w:rFonts w:cs="Arial"/>
                <w:color w:val="000000"/>
              </w:rPr>
            </w:pPr>
            <w:r w:rsidRPr="005B5640">
              <w:rPr>
                <w:rFonts w:cs="Arial"/>
                <w:color w:val="000000"/>
              </w:rPr>
              <w:t>20.9</w:t>
            </w:r>
          </w:p>
        </w:tc>
      </w:tr>
      <w:tr w:rsidR="00987522" w:rsidRPr="005B5640" w14:paraId="4A72059C"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618B978" w14:textId="5E3F01DD" w:rsidR="00987522" w:rsidRPr="005B5640" w:rsidRDefault="00987522" w:rsidP="005B5640">
            <w:pPr>
              <w:spacing w:after="0" w:line="240" w:lineRule="auto"/>
              <w:rPr>
                <w:rFonts w:cs="Arial"/>
                <w:color w:val="000000"/>
              </w:rPr>
            </w:pPr>
            <w:r w:rsidRPr="005B5640">
              <w:rPr>
                <w:rFonts w:cs="Arial"/>
                <w:color w:val="000000"/>
              </w:rPr>
              <w:t>Base station</w:t>
            </w:r>
            <w:r w:rsidR="00751487">
              <w:rPr>
                <w:rFonts w:cs="Arial"/>
                <w:color w:val="000000"/>
              </w:rPr>
              <w:t>—</w:t>
            </w:r>
            <w:r w:rsidRPr="005B5640">
              <w:rPr>
                <w:rFonts w:cs="Arial"/>
                <w:color w:val="000000"/>
              </w:rPr>
              <w:t>fixed wireless</w:t>
            </w:r>
          </w:p>
        </w:tc>
        <w:tc>
          <w:tcPr>
            <w:tcW w:w="147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5D9010E0" w14:textId="77777777" w:rsidR="00987522" w:rsidRPr="005B5640" w:rsidRDefault="00987522" w:rsidP="005B5640">
            <w:pPr>
              <w:spacing w:after="0" w:line="240" w:lineRule="auto"/>
              <w:jc w:val="right"/>
              <w:rPr>
                <w:rFonts w:cs="Arial"/>
                <w:color w:val="000000"/>
              </w:rPr>
            </w:pPr>
            <w:r w:rsidRPr="005B5640">
              <w:rPr>
                <w:rFonts w:cs="Arial"/>
                <w:color w:val="000000"/>
              </w:rPr>
              <w:t>3.6</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7AE44ADF" w14:textId="77777777" w:rsidR="00987522" w:rsidRPr="005B5640" w:rsidRDefault="00987522" w:rsidP="005B5640">
            <w:pPr>
              <w:spacing w:after="0"/>
              <w:rPr>
                <w:rFonts w:cs="Arial"/>
                <w:color w:val="00000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231943A0"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B441949"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E8AB5ED" w14:textId="77777777" w:rsidR="00987522" w:rsidRPr="005B5640" w:rsidRDefault="00987522" w:rsidP="005B5640">
            <w:pPr>
              <w:spacing w:after="0" w:line="240" w:lineRule="auto"/>
              <w:jc w:val="right"/>
              <w:rPr>
                <w:rFonts w:cs="Arial"/>
                <w:color w:val="000000"/>
              </w:rPr>
            </w:pPr>
            <w:r w:rsidRPr="005B5640">
              <w:rPr>
                <w:rFonts w:cs="Arial"/>
                <w:color w:val="000000"/>
              </w:rPr>
              <w:t>3.6</w:t>
            </w:r>
          </w:p>
        </w:tc>
      </w:tr>
      <w:tr w:rsidR="00987522" w:rsidRPr="005B5640" w14:paraId="7A267728"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noWrap/>
            <w:hideMark/>
          </w:tcPr>
          <w:p w14:paraId="134E1A93" w14:textId="77777777" w:rsidR="00987522" w:rsidRPr="005B5640" w:rsidRDefault="00987522" w:rsidP="005B5640">
            <w:pPr>
              <w:spacing w:after="0" w:line="240" w:lineRule="auto"/>
              <w:rPr>
                <w:rFonts w:cs="Arial"/>
                <w:color w:val="000000"/>
              </w:rPr>
            </w:pPr>
            <w:r w:rsidRPr="005B5640">
              <w:rPr>
                <w:rFonts w:cs="Arial"/>
                <w:color w:val="000000"/>
              </w:rPr>
              <w:t>Node</w:t>
            </w:r>
          </w:p>
        </w:tc>
        <w:tc>
          <w:tcPr>
            <w:tcW w:w="1475" w:type="dxa"/>
            <w:tcBorders>
              <w:top w:val="single" w:sz="4" w:space="0" w:color="auto"/>
              <w:left w:val="single" w:sz="4" w:space="0" w:color="auto"/>
              <w:bottom w:val="single" w:sz="4" w:space="0" w:color="auto"/>
              <w:right w:val="single" w:sz="4" w:space="0" w:color="auto"/>
            </w:tcBorders>
            <w:noWrap/>
            <w:hideMark/>
          </w:tcPr>
          <w:p w14:paraId="365E3845" w14:textId="77777777" w:rsidR="00987522" w:rsidRPr="005B5640" w:rsidRDefault="00987522" w:rsidP="005B5640">
            <w:pPr>
              <w:spacing w:after="0" w:line="240" w:lineRule="auto"/>
              <w:jc w:val="right"/>
              <w:rPr>
                <w:rFonts w:cs="Arial"/>
                <w:color w:val="000000"/>
              </w:rPr>
            </w:pPr>
            <w:r w:rsidRPr="005B5640">
              <w:rPr>
                <w:rFonts w:cs="Arial"/>
                <w:color w:val="000000"/>
              </w:rPr>
              <w:t>2.7</w:t>
            </w:r>
          </w:p>
        </w:tc>
        <w:tc>
          <w:tcPr>
            <w:tcW w:w="1476" w:type="dxa"/>
            <w:tcBorders>
              <w:top w:val="single" w:sz="4" w:space="0" w:color="auto"/>
              <w:left w:val="single" w:sz="4" w:space="0" w:color="auto"/>
              <w:bottom w:val="single" w:sz="4" w:space="0" w:color="auto"/>
              <w:right w:val="single" w:sz="4" w:space="0" w:color="auto"/>
            </w:tcBorders>
            <w:noWrap/>
            <w:hideMark/>
          </w:tcPr>
          <w:p w14:paraId="57A171C0" w14:textId="77777777" w:rsidR="00987522" w:rsidRPr="005B5640" w:rsidRDefault="00987522" w:rsidP="005B5640">
            <w:pPr>
              <w:spacing w:after="0" w:line="240" w:lineRule="auto"/>
              <w:jc w:val="right"/>
              <w:rPr>
                <w:rFonts w:cs="Arial"/>
                <w:color w:val="000000"/>
              </w:rPr>
            </w:pPr>
            <w:r w:rsidRPr="005B5640">
              <w:rPr>
                <w:rFonts w:cs="Arial"/>
                <w:color w:val="000000"/>
              </w:rPr>
              <w:t>5.6</w:t>
            </w:r>
          </w:p>
        </w:tc>
        <w:tc>
          <w:tcPr>
            <w:tcW w:w="1476" w:type="dxa"/>
            <w:tcBorders>
              <w:top w:val="single" w:sz="4" w:space="0" w:color="auto"/>
              <w:left w:val="single" w:sz="4" w:space="0" w:color="auto"/>
              <w:bottom w:val="single" w:sz="4" w:space="0" w:color="auto"/>
              <w:right w:val="single" w:sz="4" w:space="0" w:color="auto"/>
            </w:tcBorders>
            <w:noWrap/>
            <w:hideMark/>
          </w:tcPr>
          <w:p w14:paraId="6795C5EA" w14:textId="77777777" w:rsidR="00987522" w:rsidRPr="005B5640" w:rsidRDefault="00987522" w:rsidP="005B5640">
            <w:pPr>
              <w:spacing w:after="0" w:line="240" w:lineRule="auto"/>
              <w:jc w:val="right"/>
              <w:rPr>
                <w:rFonts w:cs="Arial"/>
                <w:color w:val="000000"/>
              </w:rPr>
            </w:pPr>
            <w:r w:rsidRPr="005B5640">
              <w:rPr>
                <w:rFonts w:cs="Arial"/>
                <w:color w:val="000000"/>
              </w:rPr>
              <w:t>5.0</w:t>
            </w:r>
          </w:p>
        </w:tc>
        <w:tc>
          <w:tcPr>
            <w:tcW w:w="1476" w:type="dxa"/>
            <w:tcBorders>
              <w:top w:val="single" w:sz="4" w:space="0" w:color="auto"/>
              <w:left w:val="single" w:sz="4" w:space="0" w:color="auto"/>
              <w:bottom w:val="single" w:sz="4" w:space="0" w:color="auto"/>
              <w:right w:val="single" w:sz="4" w:space="0" w:color="auto"/>
            </w:tcBorders>
            <w:noWrap/>
            <w:hideMark/>
          </w:tcPr>
          <w:p w14:paraId="77D682D0" w14:textId="77777777" w:rsidR="00987522" w:rsidRPr="005B5640" w:rsidRDefault="00987522" w:rsidP="005B5640">
            <w:pPr>
              <w:spacing w:after="0"/>
              <w:rPr>
                <w:rFonts w:cs="Arial"/>
                <w:color w:val="000000"/>
              </w:rPr>
            </w:pPr>
          </w:p>
        </w:tc>
        <w:tc>
          <w:tcPr>
            <w:tcW w:w="1476" w:type="dxa"/>
            <w:tcBorders>
              <w:top w:val="single" w:sz="4" w:space="0" w:color="auto"/>
              <w:left w:val="single" w:sz="4" w:space="0" w:color="auto"/>
              <w:bottom w:val="single" w:sz="4" w:space="0" w:color="auto"/>
              <w:right w:val="single" w:sz="4" w:space="0" w:color="auto"/>
            </w:tcBorders>
            <w:noWrap/>
            <w:hideMark/>
          </w:tcPr>
          <w:p w14:paraId="7B655979" w14:textId="77777777" w:rsidR="00987522" w:rsidRPr="005B5640" w:rsidRDefault="00987522" w:rsidP="005B5640">
            <w:pPr>
              <w:spacing w:after="0" w:line="240" w:lineRule="auto"/>
              <w:jc w:val="right"/>
              <w:rPr>
                <w:rFonts w:cs="Arial"/>
                <w:color w:val="000000"/>
              </w:rPr>
            </w:pPr>
            <w:r w:rsidRPr="005B5640">
              <w:rPr>
                <w:rFonts w:cs="Arial"/>
                <w:color w:val="000000"/>
              </w:rPr>
              <w:t>2.9</w:t>
            </w:r>
          </w:p>
        </w:tc>
      </w:tr>
      <w:tr w:rsidR="00987522" w:rsidRPr="005B5640" w14:paraId="26D89DD5"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30B631A4" w14:textId="77777777" w:rsidR="00987522" w:rsidRPr="005B5640" w:rsidRDefault="00987522" w:rsidP="005B5640">
            <w:pPr>
              <w:spacing w:after="0" w:line="240" w:lineRule="auto"/>
              <w:rPr>
                <w:rFonts w:cs="Arial"/>
                <w:color w:val="000000"/>
              </w:rPr>
            </w:pPr>
            <w:r w:rsidRPr="005B5640">
              <w:rPr>
                <w:rFonts w:cs="Arial"/>
                <w:color w:val="000000"/>
              </w:rPr>
              <w:t>Exchange</w:t>
            </w:r>
          </w:p>
        </w:tc>
        <w:tc>
          <w:tcPr>
            <w:tcW w:w="147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589B4102" w14:textId="77777777" w:rsidR="00987522" w:rsidRPr="005B5640" w:rsidRDefault="00987522" w:rsidP="005B5640">
            <w:pPr>
              <w:spacing w:after="0" w:line="240" w:lineRule="auto"/>
              <w:jc w:val="right"/>
              <w:rPr>
                <w:rFonts w:cs="Arial"/>
                <w:color w:val="000000"/>
              </w:rPr>
            </w:pPr>
            <w:r w:rsidRPr="005B5640">
              <w:rPr>
                <w:rFonts w:cs="Arial"/>
                <w:color w:val="000000"/>
              </w:rPr>
              <w:t>1.9</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5719E129" w14:textId="77777777" w:rsidR="00987522" w:rsidRPr="005B5640" w:rsidRDefault="00987522" w:rsidP="005B5640">
            <w:pPr>
              <w:spacing w:after="0"/>
              <w:rPr>
                <w:rFonts w:cs="Arial"/>
                <w:color w:val="00000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6DFD044"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23458989" w14:textId="77777777" w:rsidR="00987522" w:rsidRPr="005B5640" w:rsidRDefault="00987522" w:rsidP="005B5640">
            <w:pPr>
              <w:spacing w:after="0"/>
              <w:rPr>
                <w:rFonts w:cs="Arial"/>
                <w:szCs w:val="20"/>
              </w:rPr>
            </w:pP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3DBA1586" w14:textId="77777777" w:rsidR="00987522" w:rsidRPr="005B5640" w:rsidRDefault="00987522" w:rsidP="005B5640">
            <w:pPr>
              <w:spacing w:after="0" w:line="240" w:lineRule="auto"/>
              <w:jc w:val="right"/>
              <w:rPr>
                <w:rFonts w:cs="Arial"/>
                <w:color w:val="000000"/>
              </w:rPr>
            </w:pPr>
            <w:r w:rsidRPr="005B5640">
              <w:rPr>
                <w:rFonts w:cs="Arial"/>
                <w:color w:val="000000"/>
              </w:rPr>
              <w:t>1.9</w:t>
            </w:r>
          </w:p>
        </w:tc>
      </w:tr>
      <w:tr w:rsidR="00987522" w:rsidRPr="005B5640" w14:paraId="6E3002A0" w14:textId="77777777" w:rsidTr="00751487">
        <w:trPr>
          <w:trHeight w:val="330"/>
        </w:trPr>
        <w:tc>
          <w:tcPr>
            <w:tcW w:w="1560" w:type="dxa"/>
            <w:tcBorders>
              <w:top w:val="single" w:sz="4" w:space="0" w:color="auto"/>
              <w:left w:val="single" w:sz="4" w:space="0" w:color="auto"/>
              <w:bottom w:val="single" w:sz="4" w:space="0" w:color="auto"/>
              <w:right w:val="single" w:sz="4" w:space="0" w:color="auto"/>
            </w:tcBorders>
            <w:noWrap/>
            <w:hideMark/>
          </w:tcPr>
          <w:p w14:paraId="5F2BBA49" w14:textId="323758DF" w:rsidR="00987522" w:rsidRPr="005B5640" w:rsidRDefault="00987522" w:rsidP="005B5640">
            <w:pPr>
              <w:spacing w:after="0" w:line="240" w:lineRule="auto"/>
              <w:rPr>
                <w:rFonts w:cs="Arial"/>
                <w:color w:val="000000"/>
              </w:rPr>
            </w:pPr>
            <w:r w:rsidRPr="005B5640">
              <w:rPr>
                <w:rFonts w:cs="Arial"/>
                <w:color w:val="000000"/>
              </w:rPr>
              <w:t>Base station</w:t>
            </w:r>
            <w:r w:rsidR="00751487">
              <w:rPr>
                <w:rFonts w:cs="Arial"/>
                <w:color w:val="000000"/>
              </w:rPr>
              <w:t>—</w:t>
            </w:r>
            <w:r w:rsidRPr="005B5640">
              <w:rPr>
                <w:rFonts w:cs="Arial"/>
                <w:color w:val="000000"/>
              </w:rPr>
              <w:t>mobile</w:t>
            </w:r>
          </w:p>
        </w:tc>
        <w:tc>
          <w:tcPr>
            <w:tcW w:w="1475" w:type="dxa"/>
            <w:tcBorders>
              <w:top w:val="single" w:sz="4" w:space="0" w:color="auto"/>
              <w:left w:val="single" w:sz="4" w:space="0" w:color="auto"/>
              <w:bottom w:val="single" w:sz="4" w:space="0" w:color="auto"/>
              <w:right w:val="single" w:sz="4" w:space="0" w:color="auto"/>
            </w:tcBorders>
            <w:noWrap/>
            <w:hideMark/>
          </w:tcPr>
          <w:p w14:paraId="2B966E6B" w14:textId="77777777" w:rsidR="00987522" w:rsidRPr="005B5640" w:rsidRDefault="00987522" w:rsidP="005B5640">
            <w:pPr>
              <w:spacing w:after="0" w:line="240" w:lineRule="auto"/>
              <w:jc w:val="right"/>
              <w:rPr>
                <w:rFonts w:cs="Arial"/>
                <w:color w:val="000000"/>
              </w:rPr>
            </w:pPr>
            <w:r w:rsidRPr="005B5640">
              <w:rPr>
                <w:rFonts w:cs="Arial"/>
                <w:color w:val="000000"/>
              </w:rPr>
              <w:t>1.7</w:t>
            </w:r>
          </w:p>
        </w:tc>
        <w:tc>
          <w:tcPr>
            <w:tcW w:w="1476" w:type="dxa"/>
            <w:tcBorders>
              <w:top w:val="single" w:sz="4" w:space="0" w:color="auto"/>
              <w:left w:val="single" w:sz="4" w:space="0" w:color="auto"/>
              <w:bottom w:val="single" w:sz="4" w:space="0" w:color="auto"/>
              <w:right w:val="single" w:sz="4" w:space="0" w:color="auto"/>
            </w:tcBorders>
            <w:noWrap/>
            <w:hideMark/>
          </w:tcPr>
          <w:p w14:paraId="4516C7ED" w14:textId="77777777" w:rsidR="00987522" w:rsidRPr="005B5640" w:rsidRDefault="00987522" w:rsidP="005B5640">
            <w:pPr>
              <w:spacing w:after="0" w:line="240" w:lineRule="auto"/>
              <w:jc w:val="right"/>
              <w:rPr>
                <w:rFonts w:cs="Arial"/>
                <w:color w:val="000000"/>
              </w:rPr>
            </w:pPr>
            <w:r w:rsidRPr="005B5640">
              <w:rPr>
                <w:rFonts w:cs="Arial"/>
                <w:color w:val="000000"/>
              </w:rPr>
              <w:t>0.9</w:t>
            </w:r>
          </w:p>
        </w:tc>
        <w:tc>
          <w:tcPr>
            <w:tcW w:w="1476" w:type="dxa"/>
            <w:tcBorders>
              <w:top w:val="single" w:sz="4" w:space="0" w:color="auto"/>
              <w:left w:val="single" w:sz="4" w:space="0" w:color="auto"/>
              <w:bottom w:val="single" w:sz="4" w:space="0" w:color="auto"/>
              <w:right w:val="single" w:sz="4" w:space="0" w:color="auto"/>
            </w:tcBorders>
            <w:noWrap/>
            <w:hideMark/>
          </w:tcPr>
          <w:p w14:paraId="1600ACC3" w14:textId="77777777" w:rsidR="00987522" w:rsidRPr="005B5640" w:rsidRDefault="00987522" w:rsidP="005B5640">
            <w:pPr>
              <w:spacing w:after="0" w:line="240" w:lineRule="auto"/>
              <w:jc w:val="right"/>
              <w:rPr>
                <w:rFonts w:cs="Arial"/>
                <w:color w:val="000000"/>
              </w:rPr>
            </w:pPr>
            <w:r w:rsidRPr="005B5640">
              <w:rPr>
                <w:rFonts w:cs="Arial"/>
                <w:color w:val="000000"/>
              </w:rPr>
              <w:t>0.8</w:t>
            </w:r>
          </w:p>
        </w:tc>
        <w:tc>
          <w:tcPr>
            <w:tcW w:w="1476" w:type="dxa"/>
            <w:tcBorders>
              <w:top w:val="single" w:sz="4" w:space="0" w:color="auto"/>
              <w:left w:val="single" w:sz="4" w:space="0" w:color="auto"/>
              <w:bottom w:val="single" w:sz="4" w:space="0" w:color="auto"/>
              <w:right w:val="single" w:sz="4" w:space="0" w:color="auto"/>
            </w:tcBorders>
            <w:noWrap/>
            <w:hideMark/>
          </w:tcPr>
          <w:p w14:paraId="32F06A44" w14:textId="77777777" w:rsidR="00987522" w:rsidRPr="005B5640" w:rsidRDefault="00987522" w:rsidP="005B5640">
            <w:pPr>
              <w:spacing w:after="0" w:line="240" w:lineRule="auto"/>
              <w:jc w:val="right"/>
              <w:rPr>
                <w:rFonts w:cs="Arial"/>
                <w:color w:val="000000"/>
              </w:rPr>
            </w:pPr>
            <w:r w:rsidRPr="005B5640">
              <w:rPr>
                <w:rFonts w:cs="Arial"/>
                <w:color w:val="000000"/>
              </w:rPr>
              <w:t>0.0</w:t>
            </w:r>
          </w:p>
        </w:tc>
        <w:tc>
          <w:tcPr>
            <w:tcW w:w="1476" w:type="dxa"/>
            <w:tcBorders>
              <w:top w:val="single" w:sz="4" w:space="0" w:color="auto"/>
              <w:left w:val="single" w:sz="4" w:space="0" w:color="auto"/>
              <w:bottom w:val="single" w:sz="4" w:space="0" w:color="auto"/>
              <w:right w:val="single" w:sz="4" w:space="0" w:color="auto"/>
            </w:tcBorders>
            <w:noWrap/>
            <w:hideMark/>
          </w:tcPr>
          <w:p w14:paraId="4C2979BC" w14:textId="77777777" w:rsidR="00987522" w:rsidRPr="005B5640" w:rsidRDefault="00987522" w:rsidP="005B5640">
            <w:pPr>
              <w:spacing w:after="0" w:line="240" w:lineRule="auto"/>
              <w:jc w:val="right"/>
              <w:rPr>
                <w:rFonts w:cs="Arial"/>
                <w:color w:val="000000"/>
              </w:rPr>
            </w:pPr>
            <w:r w:rsidRPr="005B5640">
              <w:rPr>
                <w:rFonts w:cs="Arial"/>
                <w:color w:val="000000"/>
              </w:rPr>
              <w:t>1.4</w:t>
            </w:r>
          </w:p>
        </w:tc>
      </w:tr>
      <w:tr w:rsidR="00987522" w:rsidRPr="005B5640" w14:paraId="41CBA67A" w14:textId="77777777" w:rsidTr="00903E5E">
        <w:trPr>
          <w:trHeight w:val="330"/>
        </w:trPr>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42E1B274" w14:textId="77777777" w:rsidR="00987522" w:rsidRPr="005B5640" w:rsidRDefault="00987522" w:rsidP="005B5640">
            <w:pPr>
              <w:spacing w:after="0" w:line="240" w:lineRule="auto"/>
              <w:rPr>
                <w:rFonts w:cs="Arial"/>
                <w:b/>
                <w:bCs/>
                <w:color w:val="000000"/>
              </w:rPr>
            </w:pPr>
            <w:r w:rsidRPr="005B5640">
              <w:rPr>
                <w:rFonts w:cs="Arial"/>
                <w:b/>
                <w:bCs/>
                <w:color w:val="000000"/>
              </w:rPr>
              <w:t>Total</w:t>
            </w:r>
          </w:p>
        </w:tc>
        <w:tc>
          <w:tcPr>
            <w:tcW w:w="147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787EF92" w14:textId="77777777" w:rsidR="00987522" w:rsidRPr="005B5640" w:rsidRDefault="00987522" w:rsidP="005B5640">
            <w:pPr>
              <w:spacing w:after="0" w:line="240" w:lineRule="auto"/>
              <w:jc w:val="right"/>
              <w:rPr>
                <w:rFonts w:cs="Arial"/>
                <w:b/>
                <w:bCs/>
                <w:color w:val="000000"/>
              </w:rPr>
            </w:pPr>
            <w:r w:rsidRPr="005B5640">
              <w:rPr>
                <w:rFonts w:cs="Arial"/>
                <w:b/>
                <w:bCs/>
                <w:color w:val="000000"/>
              </w:rPr>
              <w:t>2.5</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4FE8F4D" w14:textId="77777777" w:rsidR="00987522" w:rsidRPr="005B5640" w:rsidRDefault="00987522" w:rsidP="005B5640">
            <w:pPr>
              <w:spacing w:after="0" w:line="240" w:lineRule="auto"/>
              <w:jc w:val="right"/>
              <w:rPr>
                <w:rFonts w:cs="Arial"/>
                <w:b/>
                <w:bCs/>
                <w:color w:val="000000"/>
              </w:rPr>
            </w:pPr>
            <w:r w:rsidRPr="005B5640">
              <w:rPr>
                <w:rFonts w:cs="Arial"/>
                <w:b/>
                <w:bCs/>
                <w:color w:val="000000"/>
              </w:rPr>
              <w:t>3.4</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4CC5FF5" w14:textId="77777777" w:rsidR="00987522" w:rsidRPr="005B5640" w:rsidRDefault="00987522" w:rsidP="005B5640">
            <w:pPr>
              <w:spacing w:after="0" w:line="240" w:lineRule="auto"/>
              <w:jc w:val="right"/>
              <w:rPr>
                <w:rFonts w:cs="Arial"/>
                <w:b/>
                <w:bCs/>
                <w:color w:val="000000"/>
              </w:rPr>
            </w:pPr>
            <w:r w:rsidRPr="005B5640">
              <w:rPr>
                <w:rFonts w:cs="Arial"/>
                <w:b/>
                <w:bCs/>
                <w:color w:val="000000"/>
              </w:rPr>
              <w:t>3.3</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7F89EB74" w14:textId="77777777" w:rsidR="00987522" w:rsidRPr="005B5640" w:rsidRDefault="00987522" w:rsidP="005B5640">
            <w:pPr>
              <w:spacing w:after="0" w:line="240" w:lineRule="auto"/>
              <w:jc w:val="right"/>
              <w:rPr>
                <w:rFonts w:cs="Arial"/>
                <w:b/>
                <w:bCs/>
                <w:color w:val="000000"/>
              </w:rPr>
            </w:pPr>
            <w:r w:rsidRPr="005B5640">
              <w:rPr>
                <w:rFonts w:cs="Arial"/>
                <w:b/>
                <w:bCs/>
                <w:color w:val="000000"/>
              </w:rPr>
              <w:t>0.0</w:t>
            </w:r>
          </w:p>
        </w:tc>
        <w:tc>
          <w:tcPr>
            <w:tcW w:w="147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691ABCD8" w14:textId="77777777" w:rsidR="00987522" w:rsidRPr="005B5640" w:rsidRDefault="00987522" w:rsidP="005B5640">
            <w:pPr>
              <w:spacing w:after="0" w:line="240" w:lineRule="auto"/>
              <w:jc w:val="right"/>
              <w:rPr>
                <w:rFonts w:cs="Arial"/>
                <w:b/>
                <w:bCs/>
                <w:color w:val="000000"/>
              </w:rPr>
            </w:pPr>
            <w:r w:rsidRPr="005B5640">
              <w:rPr>
                <w:rFonts w:cs="Arial"/>
                <w:b/>
                <w:bCs/>
                <w:color w:val="000000"/>
              </w:rPr>
              <w:t>2.5</w:t>
            </w:r>
          </w:p>
        </w:tc>
      </w:tr>
    </w:tbl>
    <w:p w14:paraId="3CBE6166" w14:textId="77777777" w:rsidR="00987522" w:rsidRDefault="00987522" w:rsidP="00B25EB4">
      <w:pPr>
        <w:spacing w:after="0"/>
        <w:rPr>
          <w:b/>
          <w:bCs/>
          <w:sz w:val="24"/>
        </w:rPr>
      </w:pPr>
    </w:p>
    <w:p w14:paraId="6EAB600B" w14:textId="53F3BD9C" w:rsidR="00987522" w:rsidRPr="00192B0F" w:rsidRDefault="00987522" w:rsidP="00B25EB4">
      <w:pPr>
        <w:pStyle w:val="Heading2"/>
        <w:spacing w:before="240"/>
      </w:pPr>
      <w:bookmarkStart w:id="35" w:name="_Toc37080626"/>
      <w:r w:rsidRPr="00192B0F">
        <w:t>Unrestored outages</w:t>
      </w:r>
      <w:bookmarkEnd w:id="35"/>
      <w:r w:rsidRPr="00192B0F">
        <w:t xml:space="preserve"> </w:t>
      </w:r>
    </w:p>
    <w:p w14:paraId="3F90659B" w14:textId="373B50DC" w:rsidR="00987522" w:rsidRPr="00722ADC" w:rsidRDefault="00987522" w:rsidP="005B5640">
      <w:pPr>
        <w:pStyle w:val="Paragraph"/>
      </w:pPr>
      <w:r>
        <w:t xml:space="preserve">By the end of the review period, there were </w:t>
      </w:r>
      <w:r w:rsidRPr="00722ADC">
        <w:t xml:space="preserve">39 </w:t>
      </w:r>
      <w:r w:rsidR="00AA06F0">
        <w:t>ongoing</w:t>
      </w:r>
      <w:r w:rsidR="00AA06F0" w:rsidRPr="00722ADC">
        <w:t xml:space="preserve"> </w:t>
      </w:r>
      <w:r w:rsidRPr="00722ADC">
        <w:t>outage</w:t>
      </w:r>
      <w:r w:rsidR="00065E32">
        <w:t xml:space="preserve"> incident</w:t>
      </w:r>
      <w:r w:rsidRPr="00722ADC">
        <w:t xml:space="preserve">s. This represented </w:t>
      </w:r>
      <w:r>
        <w:t xml:space="preserve">four per cent </w:t>
      </w:r>
      <w:r w:rsidRPr="00722ADC">
        <w:t>of all outages that occurred during the review period.</w:t>
      </w:r>
    </w:p>
    <w:p w14:paraId="2196BC75" w14:textId="7999CD4D" w:rsidR="00987522" w:rsidRDefault="00987522" w:rsidP="005B5640">
      <w:pPr>
        <w:pStyle w:val="Paragraph"/>
      </w:pPr>
      <w:r w:rsidRPr="00722ADC">
        <w:t>A</w:t>
      </w:r>
      <w:r w:rsidR="0012285C">
        <w:t>s of</w:t>
      </w:r>
      <w:r w:rsidRPr="00722ADC">
        <w:t xml:space="preserve"> </w:t>
      </w:r>
      <w:r w:rsidR="00D40FE6">
        <w:t>20 M</w:t>
      </w:r>
      <w:r w:rsidR="0012285C">
        <w:t>arch 2020,</w:t>
      </w:r>
      <w:r w:rsidRPr="00722ADC">
        <w:t xml:space="preserve"> 35 of these outages had been restored, with work on the remaining </w:t>
      </w:r>
      <w:r w:rsidRPr="008B2076">
        <w:t>four</w:t>
      </w:r>
      <w:r w:rsidRPr="00722ADC">
        <w:t xml:space="preserve"> facilities continuing.</w:t>
      </w:r>
      <w:r>
        <w:t xml:space="preserve"> </w:t>
      </w:r>
    </w:p>
    <w:p w14:paraId="62346A64" w14:textId="2F204FC4" w:rsidR="00987522" w:rsidRPr="00686C33" w:rsidRDefault="00987522" w:rsidP="005B5640">
      <w:pPr>
        <w:pStyle w:val="Paragraph"/>
      </w:pPr>
      <w:r w:rsidRPr="007A128C">
        <w:t xml:space="preserve">Figure 10 shows how many active outages there were on each day of the review period. It shows that the outage peak period </w:t>
      </w:r>
      <w:r>
        <w:t xml:space="preserve">during the review period </w:t>
      </w:r>
      <w:r w:rsidRPr="007A128C">
        <w:t xml:space="preserve">was from </w:t>
      </w:r>
      <w:r>
        <w:t xml:space="preserve">around </w:t>
      </w:r>
      <w:r w:rsidRPr="00031678">
        <w:t>31 December 2019 to 5 January 2020</w:t>
      </w:r>
      <w:r>
        <w:t>. As</w:t>
      </w:r>
      <w:r w:rsidRPr="007A128C">
        <w:t xml:space="preserve"> restoration action was taken by t</w:t>
      </w:r>
      <w:r>
        <w:t>h</w:t>
      </w:r>
      <w:r w:rsidRPr="007A128C">
        <w:t>e carriers</w:t>
      </w:r>
      <w:r w:rsidR="00751487">
        <w:t>,</w:t>
      </w:r>
      <w:r w:rsidRPr="007A128C">
        <w:t xml:space="preserve"> the </w:t>
      </w:r>
      <w:r>
        <w:t>o</w:t>
      </w:r>
      <w:r w:rsidRPr="007A128C">
        <w:t xml:space="preserve">utages </w:t>
      </w:r>
      <w:r>
        <w:t xml:space="preserve">gradually </w:t>
      </w:r>
      <w:r w:rsidRPr="007A128C">
        <w:t>decline</w:t>
      </w:r>
      <w:r>
        <w:t>d</w:t>
      </w:r>
      <w:r w:rsidRPr="007A128C">
        <w:t xml:space="preserve">. </w:t>
      </w:r>
    </w:p>
    <w:p w14:paraId="0FE26DD3" w14:textId="11B9D9E8" w:rsidR="00987522" w:rsidRPr="00686C33" w:rsidRDefault="00686C33" w:rsidP="00686C33">
      <w:pPr>
        <w:pStyle w:val="Figureheading"/>
      </w:pPr>
      <w:r>
        <w:lastRenderedPageBreak/>
        <w:t>N</w:t>
      </w:r>
      <w:r w:rsidR="00987522" w:rsidRPr="00686C33">
        <w:t xml:space="preserve">umber of unrestored </w:t>
      </w:r>
      <w:r w:rsidR="009D762A">
        <w:t>outage incidents</w:t>
      </w:r>
      <w:r w:rsidR="00987522" w:rsidRPr="00686C33">
        <w:t xml:space="preserve"> over time </w:t>
      </w:r>
      <w:r w:rsidR="00B9032D">
        <w:br/>
      </w:r>
    </w:p>
    <w:p w14:paraId="7C9BF5EA" w14:textId="6E06FDC9" w:rsidR="00987522" w:rsidRPr="00E03640" w:rsidRDefault="00B9032D" w:rsidP="00987522">
      <w:r>
        <w:rPr>
          <w:noProof/>
        </w:rPr>
        <w:drawing>
          <wp:inline distT="0" distB="0" distL="0" distR="0" wp14:anchorId="5AD8E141" wp14:editId="2C8B108F">
            <wp:extent cx="4871085" cy="2623820"/>
            <wp:effectExtent l="0" t="0" r="5715" b="508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871085" cy="2623820"/>
                    </a:xfrm>
                    <a:prstGeom prst="rect">
                      <a:avLst/>
                    </a:prstGeom>
                  </pic:spPr>
                </pic:pic>
              </a:graphicData>
            </a:graphic>
          </wp:inline>
        </w:drawing>
      </w:r>
    </w:p>
    <w:p w14:paraId="0636100B" w14:textId="77777777" w:rsidR="00987522" w:rsidRPr="005B5640" w:rsidRDefault="00987522" w:rsidP="00B25EB4">
      <w:pPr>
        <w:pStyle w:val="Heading3"/>
        <w:spacing w:before="240"/>
      </w:pPr>
      <w:bookmarkStart w:id="36" w:name="_Toc37080627"/>
      <w:r w:rsidRPr="005B5640">
        <w:t>By facility type</w:t>
      </w:r>
      <w:bookmarkEnd w:id="36"/>
    </w:p>
    <w:p w14:paraId="63121730" w14:textId="21E954ED" w:rsidR="00987522" w:rsidRDefault="00987522" w:rsidP="005B5640">
      <w:pPr>
        <w:pStyle w:val="Paragraph"/>
      </w:pPr>
      <w:r>
        <w:t xml:space="preserve">Figure 11 shows that at the end of the review period, mobile base stations comprised the majority (79 per cent) of unrestored outages. </w:t>
      </w:r>
    </w:p>
    <w:p w14:paraId="4810782F" w14:textId="36662147" w:rsidR="00987522" w:rsidRPr="00686C33" w:rsidRDefault="00686C33" w:rsidP="00686C33">
      <w:pPr>
        <w:pStyle w:val="Figureheading"/>
      </w:pPr>
      <w:r w:rsidRPr="00686C33">
        <w:t>N</w:t>
      </w:r>
      <w:r w:rsidR="00987522" w:rsidRPr="00686C33">
        <w:t xml:space="preserve">umber of unrestored </w:t>
      </w:r>
      <w:r w:rsidR="009D762A">
        <w:t>outage incidents</w:t>
      </w:r>
      <w:r w:rsidR="00987522" w:rsidRPr="00686C33">
        <w:t>, by facility type</w:t>
      </w:r>
      <w:r w:rsidR="00B9032D">
        <w:br/>
      </w:r>
    </w:p>
    <w:p w14:paraId="3ADF848E" w14:textId="39987F6D" w:rsidR="00987522" w:rsidRPr="000222B1" w:rsidRDefault="00B9032D" w:rsidP="00987522">
      <w:pPr>
        <w:pStyle w:val="CommentText"/>
        <w:rPr>
          <w:b/>
          <w:bCs/>
        </w:rPr>
      </w:pPr>
      <w:r>
        <w:rPr>
          <w:noProof/>
        </w:rPr>
        <w:drawing>
          <wp:inline distT="0" distB="0" distL="0" distR="0" wp14:anchorId="45C474EE" wp14:editId="57485E84">
            <wp:extent cx="4871085" cy="2549223"/>
            <wp:effectExtent l="0" t="0" r="5715" b="381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871085" cy="2549223"/>
                    </a:xfrm>
                    <a:prstGeom prst="rect">
                      <a:avLst/>
                    </a:prstGeom>
                  </pic:spPr>
                </pic:pic>
              </a:graphicData>
            </a:graphic>
          </wp:inline>
        </w:drawing>
      </w:r>
    </w:p>
    <w:p w14:paraId="2BED217D" w14:textId="77777777" w:rsidR="00987522" w:rsidRPr="005B5640" w:rsidRDefault="00987522" w:rsidP="005B5640">
      <w:pPr>
        <w:pStyle w:val="Heading3"/>
      </w:pPr>
      <w:bookmarkStart w:id="37" w:name="_Toc37080628"/>
      <w:r w:rsidRPr="005B5640">
        <w:t>By length of outage for unrestored facilities</w:t>
      </w:r>
      <w:bookmarkEnd w:id="37"/>
      <w:r w:rsidRPr="005B5640">
        <w:t xml:space="preserve"> </w:t>
      </w:r>
    </w:p>
    <w:p w14:paraId="432A9373" w14:textId="6E6EEDD2" w:rsidR="00987522" w:rsidRDefault="00987522" w:rsidP="005B5640">
      <w:pPr>
        <w:pStyle w:val="Paragraph"/>
      </w:pPr>
      <w:r w:rsidRPr="00BA0708">
        <w:t>Of the 39 facilit</w:t>
      </w:r>
      <w:r w:rsidR="00AA06F0">
        <w:t>ies</w:t>
      </w:r>
      <w:r w:rsidR="005971C3">
        <w:t xml:space="preserve"> </w:t>
      </w:r>
      <w:r w:rsidRPr="00BA0708">
        <w:t>that were unrestored at the end of the review period, 23 had been unrestored for between 31</w:t>
      </w:r>
      <w:r w:rsidR="00751487">
        <w:t>–</w:t>
      </w:r>
      <w:r w:rsidRPr="00BA0708">
        <w:t>40 days. One facility had been unrestored for more than 40 days.</w:t>
      </w:r>
    </w:p>
    <w:p w14:paraId="27C91A19" w14:textId="2969BA4E" w:rsidR="00987522" w:rsidRPr="00B9032D" w:rsidRDefault="00686C33" w:rsidP="00B9032D">
      <w:pPr>
        <w:pStyle w:val="Figureheading"/>
        <w:rPr>
          <w:color w:val="auto"/>
        </w:rPr>
      </w:pPr>
      <w:r w:rsidRPr="00686C33">
        <w:lastRenderedPageBreak/>
        <w:t>N</w:t>
      </w:r>
      <w:r w:rsidR="00987522" w:rsidRPr="00686C33">
        <w:t xml:space="preserve">umber of unrestored </w:t>
      </w:r>
      <w:r w:rsidR="009D762A">
        <w:t>outage incidents</w:t>
      </w:r>
      <w:r w:rsidR="00987522" w:rsidRPr="00686C33">
        <w:t xml:space="preserve"> at the end of the review period, grouped by length of outage (days)</w:t>
      </w:r>
      <w:r w:rsidR="00987522" w:rsidRPr="00686C33">
        <w:rPr>
          <w:color w:val="auto"/>
        </w:rPr>
        <w:t xml:space="preserve"> </w:t>
      </w:r>
      <w:r w:rsidR="00B9032D">
        <w:rPr>
          <w:color w:val="auto"/>
        </w:rPr>
        <w:br/>
      </w:r>
    </w:p>
    <w:p w14:paraId="68FAEAD9" w14:textId="3E1F54FF" w:rsidR="00987522" w:rsidRDefault="00B9032D" w:rsidP="00987522">
      <w:pPr>
        <w:spacing w:after="0" w:line="240" w:lineRule="auto"/>
        <w:rPr>
          <w:b/>
          <w:bCs/>
          <w:color w:val="00B050"/>
        </w:rPr>
      </w:pPr>
      <w:r>
        <w:rPr>
          <w:noProof/>
        </w:rPr>
        <w:drawing>
          <wp:inline distT="0" distB="0" distL="0" distR="0" wp14:anchorId="2E29027A" wp14:editId="696CF665">
            <wp:extent cx="4729269" cy="261493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729269" cy="2614930"/>
                    </a:xfrm>
                    <a:prstGeom prst="rect">
                      <a:avLst/>
                    </a:prstGeom>
                  </pic:spPr>
                </pic:pic>
              </a:graphicData>
            </a:graphic>
          </wp:inline>
        </w:drawing>
      </w:r>
    </w:p>
    <w:p w14:paraId="7E5B52F7" w14:textId="77777777" w:rsidR="00987522" w:rsidRPr="005B5640" w:rsidRDefault="00987522" w:rsidP="00B25EB4">
      <w:pPr>
        <w:pStyle w:val="Heading3"/>
        <w:spacing w:before="240"/>
      </w:pPr>
      <w:bookmarkStart w:id="38" w:name="_Toc37080629"/>
      <w:r w:rsidRPr="005B5640">
        <w:t>By root cause of outage</w:t>
      </w:r>
      <w:bookmarkEnd w:id="38"/>
    </w:p>
    <w:p w14:paraId="7E77E3D3" w14:textId="6A98F806" w:rsidR="00987522" w:rsidRPr="005B5640" w:rsidRDefault="00987522" w:rsidP="005B5640">
      <w:pPr>
        <w:pStyle w:val="Paragraph"/>
      </w:pPr>
      <w:r>
        <w:t>Figure 13 shows that 26 per cent (10) of the unrestored outage</w:t>
      </w:r>
      <w:r w:rsidR="00065E32">
        <w:t xml:space="preserve"> incident</w:t>
      </w:r>
      <w:r>
        <w:t xml:space="preserve">s were the result of fire damage and 33 per cent (13) were attributed to power outages. The remaining 41 percent of outages (16) were due to other causes, including damage to an upstream or downstream facility in the carrier’s network, multiple contributing factors, which may include </w:t>
      </w:r>
      <w:r w:rsidR="00AA06F0">
        <w:t xml:space="preserve">the effect of </w:t>
      </w:r>
      <w:r>
        <w:t>extreme temperatures, loss of transmission or unstable power supply, hardware failure or the need to refuel generators.</w:t>
      </w:r>
    </w:p>
    <w:p w14:paraId="586C18DA" w14:textId="27879266" w:rsidR="00987522" w:rsidRPr="00686C33" w:rsidRDefault="00686C33" w:rsidP="00686C33">
      <w:pPr>
        <w:pStyle w:val="Figureheading"/>
      </w:pPr>
      <w:r w:rsidRPr="00686C33">
        <w:t>N</w:t>
      </w:r>
      <w:r w:rsidR="00987522" w:rsidRPr="00686C33">
        <w:t xml:space="preserve">umber of unrestored </w:t>
      </w:r>
      <w:r w:rsidR="009D762A">
        <w:t>outage incidents</w:t>
      </w:r>
      <w:r w:rsidR="00987522" w:rsidRPr="00686C33">
        <w:t>, by root cause</w:t>
      </w:r>
      <w:r w:rsidR="00B9032D">
        <w:br/>
      </w:r>
    </w:p>
    <w:p w14:paraId="5F3CD052" w14:textId="65B1F3DC" w:rsidR="00987522" w:rsidRPr="00686C33" w:rsidRDefault="00B9032D" w:rsidP="00686C33">
      <w:pPr>
        <w:pStyle w:val="CommentText"/>
        <w:rPr>
          <w:b/>
          <w:bCs/>
          <w:color w:val="00B050"/>
          <w:sz w:val="22"/>
          <w:szCs w:val="22"/>
        </w:rPr>
      </w:pPr>
      <w:r>
        <w:rPr>
          <w:noProof/>
        </w:rPr>
        <w:drawing>
          <wp:inline distT="0" distB="0" distL="0" distR="0" wp14:anchorId="79C9ACCF" wp14:editId="78BF8082">
            <wp:extent cx="4871085" cy="2609215"/>
            <wp:effectExtent l="0" t="0" r="5715" b="63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4871085" cy="2609215"/>
                    </a:xfrm>
                    <a:prstGeom prst="rect">
                      <a:avLst/>
                    </a:prstGeom>
                  </pic:spPr>
                </pic:pic>
              </a:graphicData>
            </a:graphic>
          </wp:inline>
        </w:drawing>
      </w:r>
    </w:p>
    <w:p w14:paraId="3B10B2E1" w14:textId="77777777" w:rsidR="00987522" w:rsidRPr="00192B0F" w:rsidRDefault="00987522" w:rsidP="00686C33">
      <w:pPr>
        <w:pStyle w:val="Heading2"/>
      </w:pPr>
      <w:bookmarkStart w:id="39" w:name="_Toc37080630"/>
      <w:r w:rsidRPr="00192B0F">
        <w:t>Access to sites</w:t>
      </w:r>
      <w:bookmarkEnd w:id="39"/>
    </w:p>
    <w:p w14:paraId="0AAB3A75" w14:textId="74254A4C" w:rsidR="00987522" w:rsidRDefault="00987522" w:rsidP="00B25EB4">
      <w:pPr>
        <w:pStyle w:val="Paragraph"/>
      </w:pPr>
      <w:r>
        <w:t>Following bushfires, fallen trees (or the risk of falling trees) and ongoing fire activity can limit access to roads and facility sites. The carriers worked with Emergency Service Organisations (ESOs) and the Australian Defence Force (if involved), to gain access to sites as soon as possible</w:t>
      </w:r>
      <w:r w:rsidR="00751487">
        <w:t>,</w:t>
      </w:r>
      <w:r>
        <w:t xml:space="preserve"> but only once ESOs advise</w:t>
      </w:r>
      <w:r w:rsidR="00751487">
        <w:t>d</w:t>
      </w:r>
      <w:r>
        <w:t xml:space="preserve"> it </w:t>
      </w:r>
      <w:r w:rsidR="00751487">
        <w:t xml:space="preserve">was </w:t>
      </w:r>
      <w:r>
        <w:t xml:space="preserve">safe to enter. </w:t>
      </w:r>
      <w:r>
        <w:lastRenderedPageBreak/>
        <w:t xml:space="preserve">While access to sites is restricted, carriers are unable to assess damage, deploy temporary facilities or undertake necessary remediation </w:t>
      </w:r>
      <w:r w:rsidR="00AA06F0">
        <w:t xml:space="preserve">or restoration </w:t>
      </w:r>
      <w:r>
        <w:t>activities.</w:t>
      </w:r>
    </w:p>
    <w:p w14:paraId="65EE5060" w14:textId="17080F3A" w:rsidR="00987522" w:rsidRPr="001B1737" w:rsidRDefault="00987522" w:rsidP="00686C33">
      <w:pPr>
        <w:pStyle w:val="Heading3"/>
      </w:pPr>
      <w:bookmarkStart w:id="40" w:name="_Toc37080631"/>
      <w:r w:rsidRPr="001B1737">
        <w:t>By number of outage</w:t>
      </w:r>
      <w:r w:rsidR="00085BE1">
        <w:t xml:space="preserve"> incident</w:t>
      </w:r>
      <w:r w:rsidRPr="001B1737">
        <w:t>s and network</w:t>
      </w:r>
      <w:bookmarkEnd w:id="40"/>
    </w:p>
    <w:p w14:paraId="028E63B9" w14:textId="2B3CD214" w:rsidR="00987522" w:rsidRPr="000D0523" w:rsidRDefault="00987522" w:rsidP="00987522">
      <w:r w:rsidRPr="000D0523">
        <w:t xml:space="preserve">Figure 14 shows that 100 per cent of facilities in equipment shelters </w:t>
      </w:r>
      <w:r w:rsidR="00751487">
        <w:t>that</w:t>
      </w:r>
      <w:r w:rsidR="00751487" w:rsidRPr="000D0523">
        <w:t xml:space="preserve"> </w:t>
      </w:r>
      <w:r w:rsidRPr="000D0523">
        <w:t xml:space="preserve">were used for both fixed-line and mobile networks (represented as ‘other’) </w:t>
      </w:r>
      <w:r w:rsidR="00AA06F0">
        <w:t xml:space="preserve">that experienced outages </w:t>
      </w:r>
      <w:r w:rsidRPr="000D0523">
        <w:t>were affected by site access restrictions. Nearly 80 per cent of fixed wireless networks and 72 per cent of fixed line networks</w:t>
      </w:r>
      <w:r w:rsidRPr="000D0523" w:rsidDel="002964B2">
        <w:t xml:space="preserve"> </w:t>
      </w:r>
      <w:r w:rsidR="00751487">
        <w:t>that</w:t>
      </w:r>
      <w:r w:rsidR="00751487" w:rsidRPr="000D0523">
        <w:t xml:space="preserve"> </w:t>
      </w:r>
      <w:r w:rsidRPr="000D0523">
        <w:t>experienced outage</w:t>
      </w:r>
      <w:r w:rsidR="00D52F92">
        <w:t xml:space="preserve"> incident</w:t>
      </w:r>
      <w:r w:rsidRPr="000D0523">
        <w:t>s also experienced site access restrictions.</w:t>
      </w:r>
    </w:p>
    <w:p w14:paraId="2A889D37" w14:textId="575410F9" w:rsidR="00987522" w:rsidRPr="00686C33" w:rsidRDefault="00686C33" w:rsidP="00686C33">
      <w:pPr>
        <w:pStyle w:val="Figureheading"/>
      </w:pPr>
      <w:r w:rsidRPr="00686C33">
        <w:t>N</w:t>
      </w:r>
      <w:r w:rsidR="00987522" w:rsidRPr="00686C33">
        <w:t xml:space="preserve">umber of </w:t>
      </w:r>
      <w:r w:rsidR="009D762A">
        <w:t>outage incidents</w:t>
      </w:r>
      <w:r w:rsidR="00987522" w:rsidRPr="00686C33">
        <w:t>, by site restriction and network type</w:t>
      </w:r>
      <w:r w:rsidR="00B9032D">
        <w:br/>
      </w:r>
    </w:p>
    <w:p w14:paraId="5604137B" w14:textId="42C7F8C1" w:rsidR="00987522" w:rsidRPr="007E149D" w:rsidRDefault="00B9032D" w:rsidP="00987522">
      <w:pPr>
        <w:pStyle w:val="CommentText"/>
        <w:rPr>
          <w:b/>
          <w:bCs/>
          <w:color w:val="00B050"/>
        </w:rPr>
      </w:pPr>
      <w:r>
        <w:rPr>
          <w:noProof/>
        </w:rPr>
        <w:drawing>
          <wp:inline distT="0" distB="0" distL="0" distR="0" wp14:anchorId="0CC57320" wp14:editId="7A845BF0">
            <wp:extent cx="4871085" cy="2598420"/>
            <wp:effectExtent l="0" t="0" r="5715"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871085" cy="2598420"/>
                    </a:xfrm>
                    <a:prstGeom prst="rect">
                      <a:avLst/>
                    </a:prstGeom>
                  </pic:spPr>
                </pic:pic>
              </a:graphicData>
            </a:graphic>
          </wp:inline>
        </w:drawing>
      </w:r>
    </w:p>
    <w:p w14:paraId="756C40FA" w14:textId="77777777" w:rsidR="00987522" w:rsidRPr="005F3269" w:rsidRDefault="00987522" w:rsidP="00B25EB4">
      <w:pPr>
        <w:pStyle w:val="Tableorfigurenote"/>
      </w:pPr>
      <w:r w:rsidRPr="00A72156">
        <w:t xml:space="preserve">Note: Other network </w:t>
      </w:r>
      <w:r>
        <w:t xml:space="preserve">type </w:t>
      </w:r>
      <w:r w:rsidRPr="00A72156">
        <w:t xml:space="preserve">refers to </w:t>
      </w:r>
      <w:r>
        <w:t>equipment shelters used for both fixed-line and mobile networks.</w:t>
      </w:r>
    </w:p>
    <w:p w14:paraId="5505BB38" w14:textId="4F1BF3C7" w:rsidR="00987522" w:rsidRPr="001B1737" w:rsidRDefault="00987522" w:rsidP="00686C33">
      <w:pPr>
        <w:pStyle w:val="Heading3"/>
      </w:pPr>
      <w:bookmarkStart w:id="41" w:name="_Toc37080632"/>
      <w:r w:rsidRPr="001B1737">
        <w:t>By number of outage</w:t>
      </w:r>
      <w:r w:rsidR="001376C4">
        <w:t xml:space="preserve"> incident</w:t>
      </w:r>
      <w:r w:rsidRPr="001B1737">
        <w:t>s and facility type</w:t>
      </w:r>
      <w:bookmarkEnd w:id="41"/>
    </w:p>
    <w:p w14:paraId="57EC2BAF" w14:textId="77777777" w:rsidR="00987522" w:rsidRPr="00BD0945" w:rsidRDefault="00987522" w:rsidP="00987522">
      <w:r w:rsidRPr="00BD0945">
        <w:t xml:space="preserve">During the review period, 66 per cent of all facilities impacted by outages were also affected by site access restrictions. Figure 15 shows that 100 per cent of equipment shelter outages (3) and nearly 85 per cent (11) of exchange outages experienced site access restrictions. </w:t>
      </w:r>
    </w:p>
    <w:p w14:paraId="1A54B856" w14:textId="5B5C320F" w:rsidR="00987522" w:rsidRDefault="00987522" w:rsidP="00987522">
      <w:pPr>
        <w:rPr>
          <w:b/>
          <w:bCs/>
          <w:color w:val="00B050"/>
        </w:rPr>
      </w:pPr>
      <w:r w:rsidRPr="00BD0945">
        <w:t>While the proportion of other outage</w:t>
      </w:r>
      <w:r w:rsidR="00D52F92">
        <w:t xml:space="preserve"> incident</w:t>
      </w:r>
      <w:r w:rsidRPr="00BD0945">
        <w:t>s affected by site access restrictions was lower, the actual number of outages affected by restricted site access was higher</w:t>
      </w:r>
      <w:r w:rsidR="00751487">
        <w:t>—</w:t>
      </w:r>
      <w:r w:rsidRPr="00BD0945">
        <w:t>wireless base stations (54), nodes (496) and mobile base stations (322).</w:t>
      </w:r>
    </w:p>
    <w:p w14:paraId="3F3073F7" w14:textId="7AF93D97" w:rsidR="00987522" w:rsidRPr="00686C33" w:rsidRDefault="00686C33" w:rsidP="00686C33">
      <w:pPr>
        <w:pStyle w:val="Figureheading"/>
      </w:pPr>
      <w:r w:rsidRPr="00686C33">
        <w:lastRenderedPageBreak/>
        <w:t>N</w:t>
      </w:r>
      <w:r w:rsidR="00987522" w:rsidRPr="00686C33">
        <w:t xml:space="preserve">umber of </w:t>
      </w:r>
      <w:r w:rsidR="009D762A">
        <w:t>outage incidents</w:t>
      </w:r>
      <w:r w:rsidR="00987522" w:rsidRPr="00686C33">
        <w:t>, by site restriction and facility type</w:t>
      </w:r>
      <w:r w:rsidR="00B9032D">
        <w:br/>
      </w:r>
    </w:p>
    <w:p w14:paraId="40DD9177" w14:textId="33376EF0" w:rsidR="00987522" w:rsidRPr="007E149D" w:rsidRDefault="00B9032D" w:rsidP="00987522">
      <w:pPr>
        <w:pStyle w:val="CommentText"/>
        <w:rPr>
          <w:b/>
          <w:bCs/>
          <w:color w:val="00B050"/>
        </w:rPr>
      </w:pPr>
      <w:r>
        <w:rPr>
          <w:noProof/>
        </w:rPr>
        <w:drawing>
          <wp:inline distT="0" distB="0" distL="0" distR="0" wp14:anchorId="14A5E063" wp14:editId="785A1729">
            <wp:extent cx="4871085" cy="2567305"/>
            <wp:effectExtent l="0" t="0" r="5715" b="444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871085" cy="2567305"/>
                    </a:xfrm>
                    <a:prstGeom prst="rect">
                      <a:avLst/>
                    </a:prstGeom>
                  </pic:spPr>
                </pic:pic>
              </a:graphicData>
            </a:graphic>
          </wp:inline>
        </w:drawing>
      </w:r>
    </w:p>
    <w:p w14:paraId="76659EBE" w14:textId="77777777" w:rsidR="00987522" w:rsidRPr="00B8521D" w:rsidRDefault="00987522" w:rsidP="00686C33">
      <w:pPr>
        <w:pStyle w:val="Heading2"/>
      </w:pPr>
      <w:bookmarkStart w:id="42" w:name="_Toc37080633"/>
      <w:r w:rsidRPr="00B8521D">
        <w:t>Backup power</w:t>
      </w:r>
      <w:bookmarkEnd w:id="42"/>
    </w:p>
    <w:p w14:paraId="3387E0CD" w14:textId="0A7B88EE" w:rsidR="00987522" w:rsidRPr="005C31B7" w:rsidRDefault="00987522" w:rsidP="00987522">
      <w:r>
        <w:t>Information provided by the</w:t>
      </w:r>
      <w:r w:rsidRPr="005C31B7">
        <w:t xml:space="preserve"> carriers </w:t>
      </w:r>
      <w:r>
        <w:t>indicated</w:t>
      </w:r>
      <w:r w:rsidRPr="005C31B7">
        <w:t xml:space="preserve"> that backup power capability was generally available for all facilities</w:t>
      </w:r>
      <w:r>
        <w:t xml:space="preserve"> that experienced an outage</w:t>
      </w:r>
      <w:r w:rsidRPr="005C31B7">
        <w:t>. However, the ACMA understands that access to backup power during a power outage may depend on several factors</w:t>
      </w:r>
      <w:r w:rsidR="00751487">
        <w:t>,</w:t>
      </w:r>
      <w:r w:rsidRPr="005C31B7">
        <w:t xml:space="preserve"> including the configuration of the backup system, the working condition of the battery backup equipment and</w:t>
      </w:r>
      <w:r>
        <w:t>,</w:t>
      </w:r>
      <w:r w:rsidRPr="005C31B7">
        <w:t xml:space="preserve"> in the case of generator-powered sites</w:t>
      </w:r>
      <w:r>
        <w:t>,</w:t>
      </w:r>
      <w:r w:rsidRPr="005C31B7">
        <w:t xml:space="preserve"> the availability of fuel.</w:t>
      </w:r>
    </w:p>
    <w:p w14:paraId="64842160" w14:textId="3A2ED611" w:rsidR="00686C33" w:rsidRDefault="00686C33" w:rsidP="00686C33">
      <w:pPr>
        <w:pStyle w:val="Heading2"/>
      </w:pPr>
      <w:bookmarkStart w:id="43" w:name="_Toc37080634"/>
      <w:r>
        <w:t>Observations about restoration, access to sites and backup power</w:t>
      </w:r>
      <w:bookmarkEnd w:id="43"/>
    </w:p>
    <w:p w14:paraId="31D71554" w14:textId="6BD9B960" w:rsidR="00686C33" w:rsidRDefault="00686C33" w:rsidP="005B5640">
      <w:pPr>
        <w:pStyle w:val="Bulletlevel1"/>
      </w:pPr>
      <w:r>
        <w:t xml:space="preserve">Carriers </w:t>
      </w:r>
      <w:r w:rsidR="00523F42">
        <w:t xml:space="preserve">took </w:t>
      </w:r>
      <w:r>
        <w:t xml:space="preserve">temporary </w:t>
      </w:r>
      <w:r w:rsidR="00523F42">
        <w:t>restoration action</w:t>
      </w:r>
      <w:r>
        <w:t xml:space="preserve"> to restore services for over </w:t>
      </w:r>
      <w:r w:rsidR="00751487">
        <w:t>one-</w:t>
      </w:r>
      <w:r>
        <w:t>third of outage</w:t>
      </w:r>
      <w:r w:rsidR="00716409">
        <w:t xml:space="preserve"> incidents</w:t>
      </w:r>
      <w:r>
        <w:t>.</w:t>
      </w:r>
    </w:p>
    <w:p w14:paraId="557E5E0B" w14:textId="4924A816" w:rsidR="00686C33" w:rsidRDefault="00686C33" w:rsidP="005B5640">
      <w:pPr>
        <w:pStyle w:val="Bulletlevel1"/>
      </w:pPr>
      <w:r>
        <w:t>Other than for equipment shelters, facilities were generally restored promptly.</w:t>
      </w:r>
    </w:p>
    <w:p w14:paraId="4DD7C735" w14:textId="46BCC962" w:rsidR="00C60DE4" w:rsidRDefault="00686C33" w:rsidP="005B5640">
      <w:pPr>
        <w:pStyle w:val="Bulletlevel1last"/>
      </w:pPr>
      <w:r>
        <w:t>Two</w:t>
      </w:r>
      <w:r w:rsidR="00751487">
        <w:t>-</w:t>
      </w:r>
      <w:r>
        <w:t>thirds of outage</w:t>
      </w:r>
      <w:r w:rsidR="00D52F92">
        <w:t xml:space="preserve"> incident</w:t>
      </w:r>
      <w:r>
        <w:t>s encountered site access restrictions.</w:t>
      </w:r>
      <w:bookmarkStart w:id="44" w:name="_Toc298924672"/>
      <w:bookmarkStart w:id="45" w:name="_Toc300909555"/>
      <w:bookmarkStart w:id="46" w:name="_Toc348105636"/>
    </w:p>
    <w:p w14:paraId="6BC7D192" w14:textId="77777777" w:rsidR="00930510" w:rsidRPr="00FD0107" w:rsidRDefault="00930510" w:rsidP="00930510">
      <w:pPr>
        <w:pStyle w:val="Tableorfigurenotemultiple"/>
      </w:pPr>
    </w:p>
    <w:bookmarkEnd w:id="44"/>
    <w:bookmarkEnd w:id="45"/>
    <w:bookmarkEnd w:id="46"/>
    <w:p w14:paraId="27452496" w14:textId="77777777" w:rsidR="008270C1" w:rsidRDefault="008270C1" w:rsidP="00851F3F"/>
    <w:sectPr w:rsidR="008270C1" w:rsidSect="002E02FA">
      <w:headerReference w:type="even" r:id="rId43"/>
      <w:headerReference w:type="default" r:id="rId44"/>
      <w:footerReference w:type="even" r:id="rId45"/>
      <w:footerReference w:type="default" r:id="rId46"/>
      <w:headerReference w:type="first" r:id="rId47"/>
      <w:footerReference w:type="first" r:id="rId48"/>
      <w:pgSz w:w="11906" w:h="16838" w:code="9"/>
      <w:pgMar w:top="1945" w:right="3101"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C693F6" w14:textId="77777777" w:rsidR="00EF6B24" w:rsidRDefault="00EF6B24">
      <w:r>
        <w:separator/>
      </w:r>
    </w:p>
  </w:endnote>
  <w:endnote w:type="continuationSeparator" w:id="0">
    <w:p w14:paraId="6BB94034" w14:textId="77777777" w:rsidR="00EF6B24" w:rsidRDefault="00EF6B24">
      <w:r>
        <w:continuationSeparator/>
      </w:r>
    </w:p>
  </w:endnote>
  <w:endnote w:type="continuationNotice" w:id="1">
    <w:p w14:paraId="1C9695F5" w14:textId="77777777" w:rsidR="00EF6B24" w:rsidRDefault="00EF6B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B3B049" w14:textId="77777777" w:rsidR="00A739AC" w:rsidRDefault="00A739AC" w:rsidP="005E250B">
    <w:pPr>
      <w:pStyle w:val="Footer"/>
      <w:jc w:val="right"/>
    </w:pPr>
    <w:r w:rsidRPr="005E250B">
      <w:rPr>
        <w:noProof/>
        <w:vertAlign w:val="subscript"/>
      </w:rPr>
      <w:drawing>
        <wp:inline distT="0" distB="0" distL="0" distR="0" wp14:anchorId="11FED6C1" wp14:editId="78815C5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E5F5B2" w14:textId="77777777" w:rsidR="00A739AC" w:rsidRDefault="00A739A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321F1D" w14:textId="77777777" w:rsidR="00A739AC" w:rsidRDefault="00A739A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15DD9" w14:textId="77777777" w:rsidR="00A739AC" w:rsidRPr="00622A3B" w:rsidRDefault="00A739AC"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75A4BA3" w14:textId="77777777" w:rsidR="00A739AC" w:rsidRPr="00A5474E" w:rsidRDefault="00A739AC"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D62E7" w14:textId="77777777" w:rsidR="00A739AC" w:rsidRPr="00622A3B" w:rsidRDefault="00A739AC"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1D80B63" w14:textId="77777777" w:rsidR="00A739AC" w:rsidRPr="00A5474E" w:rsidRDefault="00A739AC"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38F7E" w14:textId="77777777" w:rsidR="00A739AC" w:rsidRPr="00622A3B" w:rsidRDefault="00A739A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FD48327" w14:textId="77777777" w:rsidR="00A739AC" w:rsidRPr="00A5474E" w:rsidRDefault="00A739A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519C32" w14:textId="77777777" w:rsidR="00A739AC" w:rsidRPr="00622A3B" w:rsidRDefault="00A739AC"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E6B46DA" w14:textId="355D16CC" w:rsidR="00A739AC" w:rsidRPr="005C34EF" w:rsidRDefault="00A739AC" w:rsidP="002E02FA">
    <w:pPr>
      <w:pStyle w:val="Protectivemarking"/>
      <w:spacing w:before="120" w:after="120"/>
    </w:pPr>
    <w:r>
      <w:tab/>
    </w:r>
  </w:p>
  <w:p w14:paraId="42E20341" w14:textId="0489EF5E" w:rsidR="00A739AC" w:rsidRPr="00A5474E" w:rsidRDefault="00A739AC" w:rsidP="002E02FA">
    <w:pPr>
      <w:pStyle w:val="Footer"/>
      <w:tabs>
        <w:tab w:val="clear" w:pos="113"/>
        <w:tab w:val="left" w:pos="2258"/>
      </w:tabs>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3D4BC0" w14:textId="77777777" w:rsidR="00A739AC" w:rsidRPr="00622A3B" w:rsidRDefault="00A739A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F8FF5AA" w14:textId="77777777" w:rsidR="00A739AC" w:rsidRPr="00A5474E" w:rsidRDefault="00A739AC"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986F25" w14:textId="77777777" w:rsidR="00A739AC" w:rsidRPr="00622A3B" w:rsidRDefault="00A739AC" w:rsidP="007C5BB2">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574D0A7E" w14:textId="77777777" w:rsidR="00A739AC" w:rsidRPr="00A5474E" w:rsidRDefault="00A739A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F8B950" w14:textId="77777777" w:rsidR="00EF6B24" w:rsidRDefault="00EF6B24">
      <w:r>
        <w:separator/>
      </w:r>
    </w:p>
  </w:footnote>
  <w:footnote w:type="continuationSeparator" w:id="0">
    <w:p w14:paraId="746A8A85" w14:textId="77777777" w:rsidR="00EF6B24" w:rsidRDefault="00EF6B24">
      <w:r>
        <w:continuationSeparator/>
      </w:r>
    </w:p>
  </w:footnote>
  <w:footnote w:type="continuationNotice" w:id="1">
    <w:p w14:paraId="600D4363" w14:textId="77777777" w:rsidR="00EF6B24" w:rsidRDefault="00EF6B24">
      <w:pPr>
        <w:spacing w:after="0" w:line="240" w:lineRule="auto"/>
      </w:pPr>
    </w:p>
  </w:footnote>
  <w:footnote w:id="2">
    <w:p w14:paraId="79D31E2C" w14:textId="2C632396" w:rsidR="00A739AC" w:rsidRDefault="00A739AC">
      <w:pPr>
        <w:pStyle w:val="FootnoteText"/>
      </w:pPr>
      <w:r>
        <w:rPr>
          <w:rStyle w:val="FootnoteReference"/>
        </w:rPr>
        <w:footnoteRef/>
      </w:r>
      <w:r>
        <w:t xml:space="preserve"> </w:t>
      </w:r>
      <w:r w:rsidRPr="00020C27">
        <w:t>The other category refers to equipment shelters containing electrical and switching equipment for fixed-line and mobile networks.</w:t>
      </w:r>
    </w:p>
  </w:footnote>
  <w:footnote w:id="3">
    <w:p w14:paraId="37551B27" w14:textId="5B76F1E1" w:rsidR="00A739AC" w:rsidRDefault="00A739AC">
      <w:pPr>
        <w:pStyle w:val="FootnoteText"/>
      </w:pPr>
      <w:r>
        <w:rPr>
          <w:rStyle w:val="FootnoteReference"/>
        </w:rPr>
        <w:footnoteRef/>
      </w:r>
      <w:r>
        <w:t xml:space="preserve"> This refers to where power associated with a carrier’s network has experienced an outage, as opposed to a mains power outage. </w:t>
      </w:r>
    </w:p>
  </w:footnote>
  <w:footnote w:id="4">
    <w:p w14:paraId="402FF2A7" w14:textId="1F4D6DE8" w:rsidR="00A739AC" w:rsidRDefault="00A739AC">
      <w:pPr>
        <w:pStyle w:val="FootnoteText"/>
      </w:pPr>
      <w:r>
        <w:rPr>
          <w:rStyle w:val="FootnoteReference"/>
        </w:rPr>
        <w:footnoteRef/>
      </w:r>
      <w:r>
        <w:t xml:space="preserve"> For example, where facilities are interdependent on one another and an upstream facility experienced an outage (due to the direct or indirect impact of bushfires), </w:t>
      </w:r>
      <w:r w:rsidRPr="00B94290">
        <w:t>the downstream facilities connected to that upstream facility w</w:t>
      </w:r>
      <w:r>
        <w:t>ould</w:t>
      </w:r>
      <w:r w:rsidRPr="00B94290">
        <w:t xml:space="preserve"> </w:t>
      </w:r>
      <w:r>
        <w:t xml:space="preserve">also </w:t>
      </w:r>
      <w:r w:rsidRPr="00B94290">
        <w:t>be impacted</w:t>
      </w:r>
      <w:r>
        <w:t>.</w:t>
      </w:r>
      <w:r w:rsidRPr="00B94290">
        <w:t xml:space="preserve"> </w:t>
      </w:r>
    </w:p>
  </w:footnote>
  <w:footnote w:id="5">
    <w:p w14:paraId="0D00D087" w14:textId="43759395" w:rsidR="00A739AC" w:rsidRDefault="00A739AC">
      <w:pPr>
        <w:pStyle w:val="FootnoteText"/>
      </w:pPr>
      <w:r>
        <w:rPr>
          <w:rStyle w:val="FootnoteReference"/>
        </w:rPr>
        <w:footnoteRef/>
      </w:r>
      <w:r>
        <w:t xml:space="preserve"> </w:t>
      </w:r>
      <w:r w:rsidRPr="00C84560">
        <w:t>a node is an electronic device that can receive, create or send data over a communications channel such as an optical fibre or copper cable.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C55B87" w14:textId="77777777" w:rsidR="00A739AC" w:rsidRPr="00A5474E" w:rsidRDefault="00A739AC" w:rsidP="00A5474E">
    <w:pPr>
      <w:pStyle w:val="Header"/>
    </w:pPr>
    <w:r>
      <w:rPr>
        <w:noProof/>
      </w:rPr>
      <w:drawing>
        <wp:inline distT="0" distB="0" distL="0" distR="0" wp14:anchorId="6C2DCABE" wp14:editId="33C7C5DF">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4EDED" w14:textId="77777777" w:rsidR="00A739AC" w:rsidRPr="00A5474E" w:rsidRDefault="00A739AC"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A4044" w14:textId="77777777" w:rsidR="00A739AC" w:rsidRDefault="00A739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59E87F" w14:textId="77777777" w:rsidR="00A739AC" w:rsidRDefault="00A739A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739AC" w14:paraId="0D6E2771" w14:textId="77777777" w:rsidTr="00987522">
      <w:trPr>
        <w:trHeight w:hRule="exact" w:val="988"/>
      </w:trPr>
      <w:tc>
        <w:tcPr>
          <w:tcW w:w="7678" w:type="dxa"/>
          <w:shd w:val="clear" w:color="auto" w:fill="auto"/>
        </w:tcPr>
        <w:p w14:paraId="73C5FC54" w14:textId="77777777" w:rsidR="00A739AC" w:rsidRDefault="00A739AC" w:rsidP="00971914">
          <w:pPr>
            <w:pStyle w:val="Header"/>
          </w:pPr>
        </w:p>
      </w:tc>
    </w:tr>
    <w:tr w:rsidR="00A739AC" w14:paraId="53917632" w14:textId="77777777" w:rsidTr="00987522">
      <w:tc>
        <w:tcPr>
          <w:tcW w:w="7678" w:type="dxa"/>
          <w:shd w:val="clear" w:color="auto" w:fill="auto"/>
        </w:tcPr>
        <w:p w14:paraId="55EBD684" w14:textId="77777777" w:rsidR="00A739AC" w:rsidRDefault="00A739AC" w:rsidP="00971914">
          <w:pPr>
            <w:pStyle w:val="GridTable31"/>
          </w:pPr>
          <w:r>
            <w:t xml:space="preserve">Contents </w:t>
          </w:r>
          <w:r w:rsidRPr="00915B1C">
            <w:rPr>
              <w:b w:val="0"/>
              <w:spacing w:val="0"/>
              <w:sz w:val="28"/>
              <w:szCs w:val="28"/>
            </w:rPr>
            <w:t>(Continued)</w:t>
          </w:r>
        </w:p>
      </w:tc>
    </w:tr>
    <w:tr w:rsidR="00A739AC" w14:paraId="02644F93" w14:textId="77777777" w:rsidTr="00987522">
      <w:trPr>
        <w:trHeight w:val="1220"/>
      </w:trPr>
      <w:tc>
        <w:tcPr>
          <w:tcW w:w="7678" w:type="dxa"/>
          <w:shd w:val="clear" w:color="auto" w:fill="auto"/>
        </w:tcPr>
        <w:p w14:paraId="0E7039C1" w14:textId="77777777" w:rsidR="00A739AC" w:rsidRDefault="00A739AC" w:rsidP="00971914"/>
      </w:tc>
    </w:tr>
  </w:tbl>
  <w:p w14:paraId="5D4D5F31" w14:textId="77777777" w:rsidR="00A739AC" w:rsidRDefault="00A739AC"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739AC" w14:paraId="4000398D" w14:textId="77777777" w:rsidTr="00987522">
      <w:trPr>
        <w:trHeight w:hRule="exact" w:val="988"/>
      </w:trPr>
      <w:tc>
        <w:tcPr>
          <w:tcW w:w="7678" w:type="dxa"/>
          <w:shd w:val="clear" w:color="auto" w:fill="auto"/>
        </w:tcPr>
        <w:p w14:paraId="33B4F3F8" w14:textId="77777777" w:rsidR="00A739AC" w:rsidRDefault="00A739AC" w:rsidP="00971914">
          <w:pPr>
            <w:pStyle w:val="Header"/>
          </w:pPr>
        </w:p>
      </w:tc>
    </w:tr>
    <w:tr w:rsidR="00A739AC" w14:paraId="70E2DEE4" w14:textId="77777777" w:rsidTr="00987522">
      <w:tc>
        <w:tcPr>
          <w:tcW w:w="7678" w:type="dxa"/>
          <w:shd w:val="clear" w:color="auto" w:fill="auto"/>
        </w:tcPr>
        <w:p w14:paraId="63ACA27F" w14:textId="77777777" w:rsidR="00A739AC" w:rsidRDefault="00A739AC" w:rsidP="00971914">
          <w:pPr>
            <w:pStyle w:val="GridTable31"/>
          </w:pPr>
          <w:r>
            <w:t xml:space="preserve">Contents </w:t>
          </w:r>
          <w:r w:rsidRPr="00915B1C">
            <w:rPr>
              <w:b w:val="0"/>
              <w:spacing w:val="0"/>
              <w:sz w:val="28"/>
              <w:szCs w:val="28"/>
            </w:rPr>
            <w:t>(Continued)</w:t>
          </w:r>
        </w:p>
      </w:tc>
    </w:tr>
    <w:tr w:rsidR="00A739AC" w14:paraId="3A547736" w14:textId="77777777" w:rsidTr="00987522">
      <w:trPr>
        <w:trHeight w:val="1220"/>
      </w:trPr>
      <w:tc>
        <w:tcPr>
          <w:tcW w:w="7678" w:type="dxa"/>
          <w:shd w:val="clear" w:color="auto" w:fill="auto"/>
        </w:tcPr>
        <w:p w14:paraId="4A8DBB3A" w14:textId="77777777" w:rsidR="00A739AC" w:rsidRDefault="00A739AC" w:rsidP="00971914"/>
      </w:tc>
    </w:tr>
  </w:tbl>
  <w:p w14:paraId="556E35F9" w14:textId="77777777" w:rsidR="00A739AC" w:rsidRPr="00A5474E" w:rsidRDefault="00A739AC"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955E3" w14:textId="77777777" w:rsidR="00A739AC" w:rsidRPr="00A5474E" w:rsidRDefault="00A739AC" w:rsidP="00594E9C">
    <w:pPr>
      <w:pStyle w:val="TOCHeading"/>
    </w:pPr>
    <w:r w:rsidRPr="0029593B">
      <w:t>Contents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56A690" w14:textId="77777777" w:rsidR="00A739AC" w:rsidRDefault="00A739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2F5BA" w14:textId="77777777" w:rsidR="00A739AC" w:rsidRDefault="00A739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242763" w14:textId="0207CA53" w:rsidR="00A739AC" w:rsidRPr="007C5BB2" w:rsidRDefault="00A739AC" w:rsidP="007C5B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553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17F14002"/>
    <w:multiLevelType w:val="hybridMultilevel"/>
    <w:tmpl w:val="B80EA5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8244182"/>
    <w:multiLevelType w:val="hybridMultilevel"/>
    <w:tmpl w:val="9E2201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3E5328C"/>
    <w:multiLevelType w:val="hybridMultilevel"/>
    <w:tmpl w:val="BDC252FE"/>
    <w:lvl w:ilvl="0" w:tplc="44EEC084">
      <w:start w:val="1"/>
      <w:numFmt w:val="bullet"/>
      <w:lvlText w:val="&gt;"/>
      <w:lvlJc w:val="left"/>
      <w:pPr>
        <w:ind w:left="720" w:hanging="360"/>
      </w:pPr>
      <w:rPr>
        <w:rFonts w:ascii="HelveticaNeueLT Std" w:hAnsi="HelveticaNeueLT Std"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A8845B7"/>
    <w:multiLevelType w:val="hybridMultilevel"/>
    <w:tmpl w:val="69C8BFB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11966E3"/>
    <w:multiLevelType w:val="hybridMultilevel"/>
    <w:tmpl w:val="AD2E69E6"/>
    <w:lvl w:ilvl="0" w:tplc="0C090001">
      <w:start w:val="1"/>
      <w:numFmt w:val="bullet"/>
      <w:lvlText w:val=""/>
      <w:lvlJc w:val="left"/>
      <w:pPr>
        <w:ind w:left="720" w:hanging="360"/>
      </w:pPr>
      <w:rPr>
        <w:rFonts w:ascii="Symbol" w:hAnsi="Symbol" w:hint="default"/>
      </w:rPr>
    </w:lvl>
    <w:lvl w:ilvl="1" w:tplc="07023F00">
      <w:start w:val="6"/>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1E684F"/>
    <w:multiLevelType w:val="hybridMultilevel"/>
    <w:tmpl w:val="CBF8A02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5AA21F0"/>
    <w:multiLevelType w:val="hybridMultilevel"/>
    <w:tmpl w:val="7E40E414"/>
    <w:lvl w:ilvl="0" w:tplc="80DCF810">
      <w:start w:val="1"/>
      <w:numFmt w:val="decimal"/>
      <w:pStyle w:val="ACMATableHeader"/>
      <w:lvlText w:val="Table %1:"/>
      <w:lvlJc w:val="left"/>
      <w:pPr>
        <w:tabs>
          <w:tab w:val="num" w:pos="964"/>
        </w:tabs>
        <w:ind w:left="964" w:hanging="964"/>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DC2C65"/>
    <w:multiLevelType w:val="hybridMultilevel"/>
    <w:tmpl w:val="D26E4E9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6352AEC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E716DB"/>
    <w:multiLevelType w:val="hybridMultilevel"/>
    <w:tmpl w:val="E894156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FF5605C"/>
    <w:multiLevelType w:val="hybridMultilevel"/>
    <w:tmpl w:val="0A860A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5620947"/>
    <w:multiLevelType w:val="hybridMultilevel"/>
    <w:tmpl w:val="40EACC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6E73CA"/>
    <w:multiLevelType w:val="hybridMultilevel"/>
    <w:tmpl w:val="C2A4C51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7"/>
  </w:num>
  <w:num w:numId="6">
    <w:abstractNumId w:val="14"/>
  </w:num>
  <w:num w:numId="7">
    <w:abstractNumId w:val="11"/>
  </w:num>
  <w:num w:numId="8">
    <w:abstractNumId w:val="13"/>
  </w:num>
  <w:num w:numId="9">
    <w:abstractNumId w:val="15"/>
  </w:num>
  <w:num w:numId="10">
    <w:abstractNumId w:val="2"/>
    <w:lvlOverride w:ilvl="0">
      <w:startOverride w:val="1"/>
    </w:lvlOverride>
  </w:num>
  <w:num w:numId="11">
    <w:abstractNumId w:val="17"/>
  </w:num>
  <w:num w:numId="12">
    <w:abstractNumId w:val="9"/>
  </w:num>
  <w:num w:numId="13">
    <w:abstractNumId w:val="19"/>
  </w:num>
  <w:num w:numId="14">
    <w:abstractNumId w:val="16"/>
  </w:num>
  <w:num w:numId="15">
    <w:abstractNumId w:val="10"/>
  </w:num>
  <w:num w:numId="16">
    <w:abstractNumId w:val="6"/>
  </w:num>
  <w:num w:numId="17">
    <w:abstractNumId w:val="8"/>
  </w:num>
  <w:num w:numId="18">
    <w:abstractNumId w:val="12"/>
  </w:num>
  <w:num w:numId="19">
    <w:abstractNumId w:val="4"/>
  </w:num>
  <w:num w:numId="20">
    <w:abstractNumId w:val="5"/>
  </w:num>
  <w:num w:numId="21">
    <w:abstractNumId w:val="18"/>
  </w:num>
  <w:num w:numId="22">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0D8"/>
    <w:rsid w:val="00010667"/>
    <w:rsid w:val="00010ECC"/>
    <w:rsid w:val="000129D5"/>
    <w:rsid w:val="000140D8"/>
    <w:rsid w:val="00015AE7"/>
    <w:rsid w:val="00016E21"/>
    <w:rsid w:val="0001719C"/>
    <w:rsid w:val="00020C27"/>
    <w:rsid w:val="0002224E"/>
    <w:rsid w:val="000245E5"/>
    <w:rsid w:val="00026F91"/>
    <w:rsid w:val="000409BA"/>
    <w:rsid w:val="000424DB"/>
    <w:rsid w:val="0004764C"/>
    <w:rsid w:val="0005011A"/>
    <w:rsid w:val="0005045A"/>
    <w:rsid w:val="00051C1E"/>
    <w:rsid w:val="000539F9"/>
    <w:rsid w:val="00054C27"/>
    <w:rsid w:val="00055EC3"/>
    <w:rsid w:val="000563CE"/>
    <w:rsid w:val="00056FDC"/>
    <w:rsid w:val="00057F39"/>
    <w:rsid w:val="0006449C"/>
    <w:rsid w:val="000659B6"/>
    <w:rsid w:val="00065E32"/>
    <w:rsid w:val="0006686F"/>
    <w:rsid w:val="0006722A"/>
    <w:rsid w:val="000676EF"/>
    <w:rsid w:val="000732CF"/>
    <w:rsid w:val="00074925"/>
    <w:rsid w:val="00075B96"/>
    <w:rsid w:val="0008196A"/>
    <w:rsid w:val="00085BE1"/>
    <w:rsid w:val="000915ED"/>
    <w:rsid w:val="0009209D"/>
    <w:rsid w:val="0009463C"/>
    <w:rsid w:val="000969BD"/>
    <w:rsid w:val="000969BF"/>
    <w:rsid w:val="000971BD"/>
    <w:rsid w:val="000A0C22"/>
    <w:rsid w:val="000A1400"/>
    <w:rsid w:val="000A228D"/>
    <w:rsid w:val="000A3C43"/>
    <w:rsid w:val="000A4A51"/>
    <w:rsid w:val="000A50AC"/>
    <w:rsid w:val="000A5D2B"/>
    <w:rsid w:val="000B4664"/>
    <w:rsid w:val="000B5DE3"/>
    <w:rsid w:val="000C0A57"/>
    <w:rsid w:val="000C230C"/>
    <w:rsid w:val="000C6AB4"/>
    <w:rsid w:val="000D71D9"/>
    <w:rsid w:val="000D76E0"/>
    <w:rsid w:val="000D7E8B"/>
    <w:rsid w:val="000E4449"/>
    <w:rsid w:val="000E6097"/>
    <w:rsid w:val="000E6479"/>
    <w:rsid w:val="000F3BDA"/>
    <w:rsid w:val="00103829"/>
    <w:rsid w:val="00105EC2"/>
    <w:rsid w:val="00110425"/>
    <w:rsid w:val="00111FCE"/>
    <w:rsid w:val="0011573F"/>
    <w:rsid w:val="00115B5A"/>
    <w:rsid w:val="00116FCA"/>
    <w:rsid w:val="0012285C"/>
    <w:rsid w:val="001229A5"/>
    <w:rsid w:val="0012489B"/>
    <w:rsid w:val="00130017"/>
    <w:rsid w:val="00130F91"/>
    <w:rsid w:val="001349ED"/>
    <w:rsid w:val="00137424"/>
    <w:rsid w:val="001376C4"/>
    <w:rsid w:val="00140318"/>
    <w:rsid w:val="00141AD9"/>
    <w:rsid w:val="00146CE6"/>
    <w:rsid w:val="00146DD1"/>
    <w:rsid w:val="00152903"/>
    <w:rsid w:val="00153C50"/>
    <w:rsid w:val="00153FD5"/>
    <w:rsid w:val="00154B7E"/>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28E4"/>
    <w:rsid w:val="001A44EC"/>
    <w:rsid w:val="001A46E4"/>
    <w:rsid w:val="001B28D9"/>
    <w:rsid w:val="001B58AA"/>
    <w:rsid w:val="001B7E48"/>
    <w:rsid w:val="001C17CE"/>
    <w:rsid w:val="001C36CA"/>
    <w:rsid w:val="001C44D1"/>
    <w:rsid w:val="001C48B6"/>
    <w:rsid w:val="001C6AEE"/>
    <w:rsid w:val="001C7630"/>
    <w:rsid w:val="001D6D15"/>
    <w:rsid w:val="001E2A0C"/>
    <w:rsid w:val="001E6241"/>
    <w:rsid w:val="001F1869"/>
    <w:rsid w:val="001F33DF"/>
    <w:rsid w:val="001F4F67"/>
    <w:rsid w:val="001F7558"/>
    <w:rsid w:val="00205B57"/>
    <w:rsid w:val="00211D4C"/>
    <w:rsid w:val="002157E0"/>
    <w:rsid w:val="00216A57"/>
    <w:rsid w:val="00217448"/>
    <w:rsid w:val="0022334F"/>
    <w:rsid w:val="00226819"/>
    <w:rsid w:val="00233101"/>
    <w:rsid w:val="00233817"/>
    <w:rsid w:val="00234E7D"/>
    <w:rsid w:val="002367FF"/>
    <w:rsid w:val="002378FE"/>
    <w:rsid w:val="00240CE9"/>
    <w:rsid w:val="002434BA"/>
    <w:rsid w:val="002459D2"/>
    <w:rsid w:val="00246089"/>
    <w:rsid w:val="00246093"/>
    <w:rsid w:val="00246702"/>
    <w:rsid w:val="00247C59"/>
    <w:rsid w:val="00247F2E"/>
    <w:rsid w:val="00250539"/>
    <w:rsid w:val="00250ADC"/>
    <w:rsid w:val="00250B07"/>
    <w:rsid w:val="00255F79"/>
    <w:rsid w:val="00257553"/>
    <w:rsid w:val="00260FB2"/>
    <w:rsid w:val="00262128"/>
    <w:rsid w:val="00267CC6"/>
    <w:rsid w:val="00267FEE"/>
    <w:rsid w:val="0027165D"/>
    <w:rsid w:val="00273CEB"/>
    <w:rsid w:val="00281C89"/>
    <w:rsid w:val="0028282F"/>
    <w:rsid w:val="0029106B"/>
    <w:rsid w:val="0029593B"/>
    <w:rsid w:val="00296861"/>
    <w:rsid w:val="00297FC5"/>
    <w:rsid w:val="002A0417"/>
    <w:rsid w:val="002A16D8"/>
    <w:rsid w:val="002A1BC8"/>
    <w:rsid w:val="002A3EF2"/>
    <w:rsid w:val="002B0DED"/>
    <w:rsid w:val="002B19A2"/>
    <w:rsid w:val="002B1B56"/>
    <w:rsid w:val="002B1C0D"/>
    <w:rsid w:val="002B381A"/>
    <w:rsid w:val="002B4FCC"/>
    <w:rsid w:val="002B7408"/>
    <w:rsid w:val="002B7CFD"/>
    <w:rsid w:val="002C210F"/>
    <w:rsid w:val="002C6FBD"/>
    <w:rsid w:val="002D3600"/>
    <w:rsid w:val="002D7336"/>
    <w:rsid w:val="002E02FA"/>
    <w:rsid w:val="002E0E54"/>
    <w:rsid w:val="002E416B"/>
    <w:rsid w:val="002E4DDC"/>
    <w:rsid w:val="00300901"/>
    <w:rsid w:val="00302480"/>
    <w:rsid w:val="00302758"/>
    <w:rsid w:val="00315F08"/>
    <w:rsid w:val="003165E6"/>
    <w:rsid w:val="00320A2C"/>
    <w:rsid w:val="003215B5"/>
    <w:rsid w:val="00321F8D"/>
    <w:rsid w:val="003221CF"/>
    <w:rsid w:val="003233ED"/>
    <w:rsid w:val="00324D9F"/>
    <w:rsid w:val="0032700E"/>
    <w:rsid w:val="00327948"/>
    <w:rsid w:val="0033000F"/>
    <w:rsid w:val="00330434"/>
    <w:rsid w:val="00332011"/>
    <w:rsid w:val="00332518"/>
    <w:rsid w:val="00332925"/>
    <w:rsid w:val="003332ED"/>
    <w:rsid w:val="003368DC"/>
    <w:rsid w:val="00344829"/>
    <w:rsid w:val="00345927"/>
    <w:rsid w:val="00350584"/>
    <w:rsid w:val="00351857"/>
    <w:rsid w:val="003545E8"/>
    <w:rsid w:val="003610E1"/>
    <w:rsid w:val="003654C0"/>
    <w:rsid w:val="003671BE"/>
    <w:rsid w:val="00372485"/>
    <w:rsid w:val="00373200"/>
    <w:rsid w:val="00374C69"/>
    <w:rsid w:val="00375EF5"/>
    <w:rsid w:val="003767A5"/>
    <w:rsid w:val="00380F04"/>
    <w:rsid w:val="00381D15"/>
    <w:rsid w:val="00385254"/>
    <w:rsid w:val="00396BE6"/>
    <w:rsid w:val="003A04DB"/>
    <w:rsid w:val="003A5F5B"/>
    <w:rsid w:val="003A789A"/>
    <w:rsid w:val="003B12EC"/>
    <w:rsid w:val="003B1769"/>
    <w:rsid w:val="003C5D81"/>
    <w:rsid w:val="003C77E0"/>
    <w:rsid w:val="003D17D7"/>
    <w:rsid w:val="003D2678"/>
    <w:rsid w:val="003D71A3"/>
    <w:rsid w:val="003E2B8A"/>
    <w:rsid w:val="003F10EE"/>
    <w:rsid w:val="003F16F6"/>
    <w:rsid w:val="003F4DC7"/>
    <w:rsid w:val="003F5235"/>
    <w:rsid w:val="003F5961"/>
    <w:rsid w:val="004027E4"/>
    <w:rsid w:val="0041071D"/>
    <w:rsid w:val="00411D8D"/>
    <w:rsid w:val="00412C92"/>
    <w:rsid w:val="00413FCF"/>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522"/>
    <w:rsid w:val="00461D47"/>
    <w:rsid w:val="0046364B"/>
    <w:rsid w:val="004718CC"/>
    <w:rsid w:val="00481695"/>
    <w:rsid w:val="004873D0"/>
    <w:rsid w:val="004942EC"/>
    <w:rsid w:val="00495A96"/>
    <w:rsid w:val="00495BB3"/>
    <w:rsid w:val="004A56BB"/>
    <w:rsid w:val="004A70D6"/>
    <w:rsid w:val="004B1751"/>
    <w:rsid w:val="004B35E7"/>
    <w:rsid w:val="004C0253"/>
    <w:rsid w:val="004C063F"/>
    <w:rsid w:val="004C7C77"/>
    <w:rsid w:val="004D56FF"/>
    <w:rsid w:val="004E39D3"/>
    <w:rsid w:val="004E508A"/>
    <w:rsid w:val="004E616D"/>
    <w:rsid w:val="004F0427"/>
    <w:rsid w:val="004F113F"/>
    <w:rsid w:val="004F1BDE"/>
    <w:rsid w:val="004F2CEE"/>
    <w:rsid w:val="004F556E"/>
    <w:rsid w:val="004F591C"/>
    <w:rsid w:val="004F67D9"/>
    <w:rsid w:val="004F7F44"/>
    <w:rsid w:val="005037B4"/>
    <w:rsid w:val="005071C6"/>
    <w:rsid w:val="005079BF"/>
    <w:rsid w:val="0051269A"/>
    <w:rsid w:val="005144FA"/>
    <w:rsid w:val="00515FCB"/>
    <w:rsid w:val="005219E7"/>
    <w:rsid w:val="00521ED4"/>
    <w:rsid w:val="00523F42"/>
    <w:rsid w:val="00531B9A"/>
    <w:rsid w:val="00531D15"/>
    <w:rsid w:val="00537604"/>
    <w:rsid w:val="00542377"/>
    <w:rsid w:val="005438A8"/>
    <w:rsid w:val="005476EB"/>
    <w:rsid w:val="00551782"/>
    <w:rsid w:val="005532FD"/>
    <w:rsid w:val="0055390B"/>
    <w:rsid w:val="00563EF1"/>
    <w:rsid w:val="00566AB4"/>
    <w:rsid w:val="00575AC5"/>
    <w:rsid w:val="0057605D"/>
    <w:rsid w:val="00577EFE"/>
    <w:rsid w:val="00581347"/>
    <w:rsid w:val="00581AC9"/>
    <w:rsid w:val="005849F8"/>
    <w:rsid w:val="00587ECE"/>
    <w:rsid w:val="005938DF"/>
    <w:rsid w:val="00594E9C"/>
    <w:rsid w:val="005971C3"/>
    <w:rsid w:val="005A099B"/>
    <w:rsid w:val="005A2D9C"/>
    <w:rsid w:val="005A55FE"/>
    <w:rsid w:val="005A6A11"/>
    <w:rsid w:val="005B0FAD"/>
    <w:rsid w:val="005B5640"/>
    <w:rsid w:val="005B564F"/>
    <w:rsid w:val="005B6E5A"/>
    <w:rsid w:val="005C4010"/>
    <w:rsid w:val="005D2502"/>
    <w:rsid w:val="005D40BB"/>
    <w:rsid w:val="005D47F3"/>
    <w:rsid w:val="005D49BF"/>
    <w:rsid w:val="005D4AA5"/>
    <w:rsid w:val="005D5C0C"/>
    <w:rsid w:val="005D6F4E"/>
    <w:rsid w:val="005D7C73"/>
    <w:rsid w:val="005E250B"/>
    <w:rsid w:val="005E3ACD"/>
    <w:rsid w:val="005E7226"/>
    <w:rsid w:val="005E7A57"/>
    <w:rsid w:val="005F24B0"/>
    <w:rsid w:val="00601B57"/>
    <w:rsid w:val="00604315"/>
    <w:rsid w:val="00604E26"/>
    <w:rsid w:val="0060523F"/>
    <w:rsid w:val="006052CF"/>
    <w:rsid w:val="00607110"/>
    <w:rsid w:val="00607B8D"/>
    <w:rsid w:val="00611F5C"/>
    <w:rsid w:val="00612AC5"/>
    <w:rsid w:val="00616E09"/>
    <w:rsid w:val="00622A3B"/>
    <w:rsid w:val="00622EEA"/>
    <w:rsid w:val="0062396C"/>
    <w:rsid w:val="00623FF9"/>
    <w:rsid w:val="00627D4E"/>
    <w:rsid w:val="00630FAE"/>
    <w:rsid w:val="00632B89"/>
    <w:rsid w:val="0063346D"/>
    <w:rsid w:val="00634478"/>
    <w:rsid w:val="006411BC"/>
    <w:rsid w:val="00641A07"/>
    <w:rsid w:val="00642813"/>
    <w:rsid w:val="00644373"/>
    <w:rsid w:val="00645915"/>
    <w:rsid w:val="00646560"/>
    <w:rsid w:val="00646CD1"/>
    <w:rsid w:val="0064742F"/>
    <w:rsid w:val="006519C3"/>
    <w:rsid w:val="00652B30"/>
    <w:rsid w:val="00656345"/>
    <w:rsid w:val="00656DC6"/>
    <w:rsid w:val="00660EC6"/>
    <w:rsid w:val="00664110"/>
    <w:rsid w:val="00664D17"/>
    <w:rsid w:val="00666520"/>
    <w:rsid w:val="00666ABA"/>
    <w:rsid w:val="00667C5B"/>
    <w:rsid w:val="00670F20"/>
    <w:rsid w:val="00675BB3"/>
    <w:rsid w:val="006846DD"/>
    <w:rsid w:val="00686839"/>
    <w:rsid w:val="00686C33"/>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39F0"/>
    <w:rsid w:val="006D576C"/>
    <w:rsid w:val="006D5865"/>
    <w:rsid w:val="006E4B1B"/>
    <w:rsid w:val="006E5445"/>
    <w:rsid w:val="006E7D93"/>
    <w:rsid w:val="006F763C"/>
    <w:rsid w:val="007029A3"/>
    <w:rsid w:val="00706E4E"/>
    <w:rsid w:val="0070791C"/>
    <w:rsid w:val="00710BFC"/>
    <w:rsid w:val="0071383C"/>
    <w:rsid w:val="007141A7"/>
    <w:rsid w:val="00715722"/>
    <w:rsid w:val="00716409"/>
    <w:rsid w:val="00720E49"/>
    <w:rsid w:val="00721032"/>
    <w:rsid w:val="00721B55"/>
    <w:rsid w:val="00726CE4"/>
    <w:rsid w:val="00727FF7"/>
    <w:rsid w:val="00730392"/>
    <w:rsid w:val="00730BCA"/>
    <w:rsid w:val="00734143"/>
    <w:rsid w:val="00736FD8"/>
    <w:rsid w:val="00737E47"/>
    <w:rsid w:val="00740EAC"/>
    <w:rsid w:val="0074222C"/>
    <w:rsid w:val="00744956"/>
    <w:rsid w:val="00745A5C"/>
    <w:rsid w:val="0074605F"/>
    <w:rsid w:val="00747672"/>
    <w:rsid w:val="00747E94"/>
    <w:rsid w:val="00751487"/>
    <w:rsid w:val="00754C83"/>
    <w:rsid w:val="00757E1B"/>
    <w:rsid w:val="00760804"/>
    <w:rsid w:val="00761E5C"/>
    <w:rsid w:val="00765DF8"/>
    <w:rsid w:val="00766749"/>
    <w:rsid w:val="00767C1B"/>
    <w:rsid w:val="007714A9"/>
    <w:rsid w:val="00774F88"/>
    <w:rsid w:val="00774FDB"/>
    <w:rsid w:val="00777BA2"/>
    <w:rsid w:val="007809D1"/>
    <w:rsid w:val="00781408"/>
    <w:rsid w:val="00784F7F"/>
    <w:rsid w:val="007878BD"/>
    <w:rsid w:val="00793474"/>
    <w:rsid w:val="007964E8"/>
    <w:rsid w:val="00796F25"/>
    <w:rsid w:val="007A0583"/>
    <w:rsid w:val="007A2E98"/>
    <w:rsid w:val="007A3BA3"/>
    <w:rsid w:val="007A5658"/>
    <w:rsid w:val="007A660E"/>
    <w:rsid w:val="007A6CC0"/>
    <w:rsid w:val="007A7FEC"/>
    <w:rsid w:val="007B1499"/>
    <w:rsid w:val="007B1BBF"/>
    <w:rsid w:val="007B2960"/>
    <w:rsid w:val="007B355D"/>
    <w:rsid w:val="007B7330"/>
    <w:rsid w:val="007B7980"/>
    <w:rsid w:val="007C0DA2"/>
    <w:rsid w:val="007C0DEF"/>
    <w:rsid w:val="007C5B83"/>
    <w:rsid w:val="007C5BB2"/>
    <w:rsid w:val="007C5D5A"/>
    <w:rsid w:val="007C607F"/>
    <w:rsid w:val="007C6E44"/>
    <w:rsid w:val="007C79DD"/>
    <w:rsid w:val="007D1A97"/>
    <w:rsid w:val="007D2CD6"/>
    <w:rsid w:val="007D3063"/>
    <w:rsid w:val="007D3CEB"/>
    <w:rsid w:val="007E3375"/>
    <w:rsid w:val="007E5A34"/>
    <w:rsid w:val="007E7683"/>
    <w:rsid w:val="007F3E6D"/>
    <w:rsid w:val="007F49FA"/>
    <w:rsid w:val="007F54C4"/>
    <w:rsid w:val="007F6AF9"/>
    <w:rsid w:val="007F6E9A"/>
    <w:rsid w:val="007F74EF"/>
    <w:rsid w:val="00800CCD"/>
    <w:rsid w:val="00802CC0"/>
    <w:rsid w:val="00802EFB"/>
    <w:rsid w:val="008044D4"/>
    <w:rsid w:val="00807388"/>
    <w:rsid w:val="00810758"/>
    <w:rsid w:val="00810AB4"/>
    <w:rsid w:val="00811773"/>
    <w:rsid w:val="00817B56"/>
    <w:rsid w:val="00821A88"/>
    <w:rsid w:val="0082495D"/>
    <w:rsid w:val="008270C1"/>
    <w:rsid w:val="00827EED"/>
    <w:rsid w:val="00830EC1"/>
    <w:rsid w:val="00831AC3"/>
    <w:rsid w:val="008327E7"/>
    <w:rsid w:val="00836288"/>
    <w:rsid w:val="00836FCE"/>
    <w:rsid w:val="008374B8"/>
    <w:rsid w:val="008408FF"/>
    <w:rsid w:val="00851BDB"/>
    <w:rsid w:val="00851F3F"/>
    <w:rsid w:val="0085509A"/>
    <w:rsid w:val="0085618F"/>
    <w:rsid w:val="00856EDC"/>
    <w:rsid w:val="00861F0F"/>
    <w:rsid w:val="008623B5"/>
    <w:rsid w:val="00862B2D"/>
    <w:rsid w:val="00862C4E"/>
    <w:rsid w:val="00870ABA"/>
    <w:rsid w:val="008710E1"/>
    <w:rsid w:val="008716E5"/>
    <w:rsid w:val="008801F1"/>
    <w:rsid w:val="00881CA9"/>
    <w:rsid w:val="00883628"/>
    <w:rsid w:val="00885544"/>
    <w:rsid w:val="0088634E"/>
    <w:rsid w:val="0089022B"/>
    <w:rsid w:val="00892AC8"/>
    <w:rsid w:val="00893AB8"/>
    <w:rsid w:val="008A04C8"/>
    <w:rsid w:val="008A6913"/>
    <w:rsid w:val="008B069E"/>
    <w:rsid w:val="008B2076"/>
    <w:rsid w:val="008B6CD8"/>
    <w:rsid w:val="008B70F3"/>
    <w:rsid w:val="008B71C4"/>
    <w:rsid w:val="008B76DF"/>
    <w:rsid w:val="008C10F4"/>
    <w:rsid w:val="008C4901"/>
    <w:rsid w:val="008C65F7"/>
    <w:rsid w:val="008D2BA6"/>
    <w:rsid w:val="008E3A86"/>
    <w:rsid w:val="008E4767"/>
    <w:rsid w:val="008E7A8C"/>
    <w:rsid w:val="0090203B"/>
    <w:rsid w:val="00903285"/>
    <w:rsid w:val="00903E5E"/>
    <w:rsid w:val="00906F40"/>
    <w:rsid w:val="0090731E"/>
    <w:rsid w:val="00915B1C"/>
    <w:rsid w:val="009174F3"/>
    <w:rsid w:val="0091797D"/>
    <w:rsid w:val="00923CBA"/>
    <w:rsid w:val="009242EB"/>
    <w:rsid w:val="00925BAB"/>
    <w:rsid w:val="00926703"/>
    <w:rsid w:val="00927691"/>
    <w:rsid w:val="00927A5F"/>
    <w:rsid w:val="00930510"/>
    <w:rsid w:val="00935B63"/>
    <w:rsid w:val="0094078F"/>
    <w:rsid w:val="00940FA3"/>
    <w:rsid w:val="00941FB0"/>
    <w:rsid w:val="009426D4"/>
    <w:rsid w:val="00947F25"/>
    <w:rsid w:val="00950159"/>
    <w:rsid w:val="009538DF"/>
    <w:rsid w:val="0095490B"/>
    <w:rsid w:val="00960A33"/>
    <w:rsid w:val="00971914"/>
    <w:rsid w:val="00972867"/>
    <w:rsid w:val="00974363"/>
    <w:rsid w:val="00980A1F"/>
    <w:rsid w:val="00981898"/>
    <w:rsid w:val="00984506"/>
    <w:rsid w:val="00987522"/>
    <w:rsid w:val="0099577C"/>
    <w:rsid w:val="009A6348"/>
    <w:rsid w:val="009B24A5"/>
    <w:rsid w:val="009B2601"/>
    <w:rsid w:val="009B4E9E"/>
    <w:rsid w:val="009C1690"/>
    <w:rsid w:val="009C396A"/>
    <w:rsid w:val="009C5A97"/>
    <w:rsid w:val="009C6881"/>
    <w:rsid w:val="009C7759"/>
    <w:rsid w:val="009D043D"/>
    <w:rsid w:val="009D07C8"/>
    <w:rsid w:val="009D468E"/>
    <w:rsid w:val="009D6C71"/>
    <w:rsid w:val="009D762A"/>
    <w:rsid w:val="009E0631"/>
    <w:rsid w:val="009E16D0"/>
    <w:rsid w:val="009E2051"/>
    <w:rsid w:val="009E38FD"/>
    <w:rsid w:val="009E7D0E"/>
    <w:rsid w:val="009E7EBE"/>
    <w:rsid w:val="009F13D6"/>
    <w:rsid w:val="009F4C6B"/>
    <w:rsid w:val="009F78A8"/>
    <w:rsid w:val="00A01D72"/>
    <w:rsid w:val="00A02AD6"/>
    <w:rsid w:val="00A06494"/>
    <w:rsid w:val="00A06CEA"/>
    <w:rsid w:val="00A07096"/>
    <w:rsid w:val="00A07318"/>
    <w:rsid w:val="00A07938"/>
    <w:rsid w:val="00A11370"/>
    <w:rsid w:val="00A1303E"/>
    <w:rsid w:val="00A16820"/>
    <w:rsid w:val="00A224CE"/>
    <w:rsid w:val="00A22522"/>
    <w:rsid w:val="00A2440D"/>
    <w:rsid w:val="00A24AFD"/>
    <w:rsid w:val="00A24F5C"/>
    <w:rsid w:val="00A32F96"/>
    <w:rsid w:val="00A340BD"/>
    <w:rsid w:val="00A357DE"/>
    <w:rsid w:val="00A40871"/>
    <w:rsid w:val="00A412AB"/>
    <w:rsid w:val="00A4193E"/>
    <w:rsid w:val="00A440E0"/>
    <w:rsid w:val="00A442EF"/>
    <w:rsid w:val="00A451FB"/>
    <w:rsid w:val="00A512FB"/>
    <w:rsid w:val="00A51D1A"/>
    <w:rsid w:val="00A5418D"/>
    <w:rsid w:val="00A5474E"/>
    <w:rsid w:val="00A64234"/>
    <w:rsid w:val="00A70ADF"/>
    <w:rsid w:val="00A71466"/>
    <w:rsid w:val="00A72B35"/>
    <w:rsid w:val="00A739AC"/>
    <w:rsid w:val="00A74B5E"/>
    <w:rsid w:val="00A76681"/>
    <w:rsid w:val="00A81BED"/>
    <w:rsid w:val="00A81EC4"/>
    <w:rsid w:val="00A824E8"/>
    <w:rsid w:val="00A967FD"/>
    <w:rsid w:val="00AA06F0"/>
    <w:rsid w:val="00AA2DE5"/>
    <w:rsid w:val="00AB156C"/>
    <w:rsid w:val="00AB5088"/>
    <w:rsid w:val="00AB6814"/>
    <w:rsid w:val="00AC04BA"/>
    <w:rsid w:val="00AC0E39"/>
    <w:rsid w:val="00AD138E"/>
    <w:rsid w:val="00AD3082"/>
    <w:rsid w:val="00AD32B4"/>
    <w:rsid w:val="00AD4AD0"/>
    <w:rsid w:val="00AD5436"/>
    <w:rsid w:val="00AD60CD"/>
    <w:rsid w:val="00AD6C8C"/>
    <w:rsid w:val="00AD76FD"/>
    <w:rsid w:val="00AE091D"/>
    <w:rsid w:val="00AE3B60"/>
    <w:rsid w:val="00AE4B71"/>
    <w:rsid w:val="00AE53A1"/>
    <w:rsid w:val="00AF116B"/>
    <w:rsid w:val="00AF2484"/>
    <w:rsid w:val="00AF434D"/>
    <w:rsid w:val="00AF5E07"/>
    <w:rsid w:val="00AF63E7"/>
    <w:rsid w:val="00AF6E17"/>
    <w:rsid w:val="00B0109B"/>
    <w:rsid w:val="00B0165D"/>
    <w:rsid w:val="00B01B60"/>
    <w:rsid w:val="00B031F3"/>
    <w:rsid w:val="00B052A4"/>
    <w:rsid w:val="00B125DE"/>
    <w:rsid w:val="00B13FDD"/>
    <w:rsid w:val="00B143DD"/>
    <w:rsid w:val="00B22EB2"/>
    <w:rsid w:val="00B24543"/>
    <w:rsid w:val="00B25EB4"/>
    <w:rsid w:val="00B27442"/>
    <w:rsid w:val="00B31167"/>
    <w:rsid w:val="00B329D8"/>
    <w:rsid w:val="00B32BB9"/>
    <w:rsid w:val="00B33AE1"/>
    <w:rsid w:val="00B34202"/>
    <w:rsid w:val="00B37C38"/>
    <w:rsid w:val="00B4288C"/>
    <w:rsid w:val="00B43262"/>
    <w:rsid w:val="00B44100"/>
    <w:rsid w:val="00B46CBA"/>
    <w:rsid w:val="00B46F94"/>
    <w:rsid w:val="00B53ACD"/>
    <w:rsid w:val="00B6003C"/>
    <w:rsid w:val="00B61F03"/>
    <w:rsid w:val="00B626E4"/>
    <w:rsid w:val="00B644FB"/>
    <w:rsid w:val="00B72F4A"/>
    <w:rsid w:val="00B767CC"/>
    <w:rsid w:val="00B8198C"/>
    <w:rsid w:val="00B83C27"/>
    <w:rsid w:val="00B84BC3"/>
    <w:rsid w:val="00B84BDD"/>
    <w:rsid w:val="00B9032D"/>
    <w:rsid w:val="00B92812"/>
    <w:rsid w:val="00B94290"/>
    <w:rsid w:val="00BA12AB"/>
    <w:rsid w:val="00BB45A1"/>
    <w:rsid w:val="00BB7686"/>
    <w:rsid w:val="00BC23F9"/>
    <w:rsid w:val="00BC3421"/>
    <w:rsid w:val="00BC3B83"/>
    <w:rsid w:val="00BC732C"/>
    <w:rsid w:val="00BD4421"/>
    <w:rsid w:val="00BD7249"/>
    <w:rsid w:val="00BE2580"/>
    <w:rsid w:val="00BE266D"/>
    <w:rsid w:val="00BE3938"/>
    <w:rsid w:val="00BE4C11"/>
    <w:rsid w:val="00BE6805"/>
    <w:rsid w:val="00BE71C0"/>
    <w:rsid w:val="00BE7317"/>
    <w:rsid w:val="00BF540A"/>
    <w:rsid w:val="00BF610C"/>
    <w:rsid w:val="00BF7C81"/>
    <w:rsid w:val="00C0060B"/>
    <w:rsid w:val="00C01A6C"/>
    <w:rsid w:val="00C0277D"/>
    <w:rsid w:val="00C053A1"/>
    <w:rsid w:val="00C05F6F"/>
    <w:rsid w:val="00C1382A"/>
    <w:rsid w:val="00C16198"/>
    <w:rsid w:val="00C2083D"/>
    <w:rsid w:val="00C239CD"/>
    <w:rsid w:val="00C24A53"/>
    <w:rsid w:val="00C34A05"/>
    <w:rsid w:val="00C35CCE"/>
    <w:rsid w:val="00C366BA"/>
    <w:rsid w:val="00C4032F"/>
    <w:rsid w:val="00C411E9"/>
    <w:rsid w:val="00C44047"/>
    <w:rsid w:val="00C45155"/>
    <w:rsid w:val="00C5498F"/>
    <w:rsid w:val="00C55235"/>
    <w:rsid w:val="00C60174"/>
    <w:rsid w:val="00C60DE4"/>
    <w:rsid w:val="00C64CD0"/>
    <w:rsid w:val="00C6684F"/>
    <w:rsid w:val="00C70E70"/>
    <w:rsid w:val="00C75F8D"/>
    <w:rsid w:val="00C77380"/>
    <w:rsid w:val="00C83471"/>
    <w:rsid w:val="00C84560"/>
    <w:rsid w:val="00C8748B"/>
    <w:rsid w:val="00C87E8A"/>
    <w:rsid w:val="00C90FC9"/>
    <w:rsid w:val="00C91675"/>
    <w:rsid w:val="00C92633"/>
    <w:rsid w:val="00C97736"/>
    <w:rsid w:val="00CA345A"/>
    <w:rsid w:val="00CA3501"/>
    <w:rsid w:val="00CA7AA6"/>
    <w:rsid w:val="00CB1E82"/>
    <w:rsid w:val="00CB4BA8"/>
    <w:rsid w:val="00CB52D7"/>
    <w:rsid w:val="00CC6732"/>
    <w:rsid w:val="00CD0CCC"/>
    <w:rsid w:val="00CE3C96"/>
    <w:rsid w:val="00CE51A8"/>
    <w:rsid w:val="00CE5E8F"/>
    <w:rsid w:val="00CF369B"/>
    <w:rsid w:val="00D00E28"/>
    <w:rsid w:val="00D0269E"/>
    <w:rsid w:val="00D05D6C"/>
    <w:rsid w:val="00D11B14"/>
    <w:rsid w:val="00D15810"/>
    <w:rsid w:val="00D15DC1"/>
    <w:rsid w:val="00D16D4E"/>
    <w:rsid w:val="00D16FE3"/>
    <w:rsid w:val="00D24F53"/>
    <w:rsid w:val="00D25875"/>
    <w:rsid w:val="00D27F41"/>
    <w:rsid w:val="00D30AC1"/>
    <w:rsid w:val="00D36441"/>
    <w:rsid w:val="00D4064E"/>
    <w:rsid w:val="00D40FE6"/>
    <w:rsid w:val="00D44E9B"/>
    <w:rsid w:val="00D45FD2"/>
    <w:rsid w:val="00D47AEB"/>
    <w:rsid w:val="00D50DB9"/>
    <w:rsid w:val="00D51302"/>
    <w:rsid w:val="00D52C43"/>
    <w:rsid w:val="00D52F92"/>
    <w:rsid w:val="00D556DA"/>
    <w:rsid w:val="00D6507F"/>
    <w:rsid w:val="00D730BC"/>
    <w:rsid w:val="00D73912"/>
    <w:rsid w:val="00D84828"/>
    <w:rsid w:val="00D84EC7"/>
    <w:rsid w:val="00D85226"/>
    <w:rsid w:val="00D871DD"/>
    <w:rsid w:val="00D87B94"/>
    <w:rsid w:val="00D92745"/>
    <w:rsid w:val="00D92D49"/>
    <w:rsid w:val="00D92E88"/>
    <w:rsid w:val="00D92EC1"/>
    <w:rsid w:val="00D96DEA"/>
    <w:rsid w:val="00DA4E41"/>
    <w:rsid w:val="00DB117A"/>
    <w:rsid w:val="00DB246D"/>
    <w:rsid w:val="00DB5173"/>
    <w:rsid w:val="00DB7873"/>
    <w:rsid w:val="00DC187B"/>
    <w:rsid w:val="00DC795C"/>
    <w:rsid w:val="00DC7DEF"/>
    <w:rsid w:val="00DD1A43"/>
    <w:rsid w:val="00DD316E"/>
    <w:rsid w:val="00DD73C2"/>
    <w:rsid w:val="00DD7481"/>
    <w:rsid w:val="00DE319B"/>
    <w:rsid w:val="00DE74D2"/>
    <w:rsid w:val="00DF34FE"/>
    <w:rsid w:val="00DF56AA"/>
    <w:rsid w:val="00DF56AF"/>
    <w:rsid w:val="00DF78E7"/>
    <w:rsid w:val="00E110E0"/>
    <w:rsid w:val="00E15371"/>
    <w:rsid w:val="00E23372"/>
    <w:rsid w:val="00E24104"/>
    <w:rsid w:val="00E302D0"/>
    <w:rsid w:val="00E35707"/>
    <w:rsid w:val="00E36AA1"/>
    <w:rsid w:val="00E41ECB"/>
    <w:rsid w:val="00E42676"/>
    <w:rsid w:val="00E452E2"/>
    <w:rsid w:val="00E54FDB"/>
    <w:rsid w:val="00E5617D"/>
    <w:rsid w:val="00E563D7"/>
    <w:rsid w:val="00E57528"/>
    <w:rsid w:val="00E61F8C"/>
    <w:rsid w:val="00E629A4"/>
    <w:rsid w:val="00E6411A"/>
    <w:rsid w:val="00E663F4"/>
    <w:rsid w:val="00E6646D"/>
    <w:rsid w:val="00E666F2"/>
    <w:rsid w:val="00E66DD4"/>
    <w:rsid w:val="00E73E11"/>
    <w:rsid w:val="00E748CC"/>
    <w:rsid w:val="00E75415"/>
    <w:rsid w:val="00E775B1"/>
    <w:rsid w:val="00E810F1"/>
    <w:rsid w:val="00E8152A"/>
    <w:rsid w:val="00E86F4F"/>
    <w:rsid w:val="00E93629"/>
    <w:rsid w:val="00E93B5C"/>
    <w:rsid w:val="00E94CEC"/>
    <w:rsid w:val="00EA04EF"/>
    <w:rsid w:val="00EA213D"/>
    <w:rsid w:val="00EA268E"/>
    <w:rsid w:val="00EA6F19"/>
    <w:rsid w:val="00EB7090"/>
    <w:rsid w:val="00EC1BBE"/>
    <w:rsid w:val="00EC2B68"/>
    <w:rsid w:val="00EC2CAF"/>
    <w:rsid w:val="00EC3AEF"/>
    <w:rsid w:val="00EC5CD7"/>
    <w:rsid w:val="00EE1F6A"/>
    <w:rsid w:val="00EE5FB3"/>
    <w:rsid w:val="00EE7F79"/>
    <w:rsid w:val="00EF6B24"/>
    <w:rsid w:val="00EF6DCB"/>
    <w:rsid w:val="00EF715A"/>
    <w:rsid w:val="00F01BC3"/>
    <w:rsid w:val="00F01BD7"/>
    <w:rsid w:val="00F06E14"/>
    <w:rsid w:val="00F11ACE"/>
    <w:rsid w:val="00F179D4"/>
    <w:rsid w:val="00F33C56"/>
    <w:rsid w:val="00F347C7"/>
    <w:rsid w:val="00F34848"/>
    <w:rsid w:val="00F4108E"/>
    <w:rsid w:val="00F42D46"/>
    <w:rsid w:val="00F4496C"/>
    <w:rsid w:val="00F44F3A"/>
    <w:rsid w:val="00F45DD5"/>
    <w:rsid w:val="00F51F10"/>
    <w:rsid w:val="00F529A5"/>
    <w:rsid w:val="00F54921"/>
    <w:rsid w:val="00F60F00"/>
    <w:rsid w:val="00F614C0"/>
    <w:rsid w:val="00F61C77"/>
    <w:rsid w:val="00F75ADC"/>
    <w:rsid w:val="00F75D7F"/>
    <w:rsid w:val="00F810FD"/>
    <w:rsid w:val="00F83848"/>
    <w:rsid w:val="00F975E9"/>
    <w:rsid w:val="00FA1B7D"/>
    <w:rsid w:val="00FA5999"/>
    <w:rsid w:val="00FB380C"/>
    <w:rsid w:val="00FB7002"/>
    <w:rsid w:val="00FC07B9"/>
    <w:rsid w:val="00FC4E21"/>
    <w:rsid w:val="00FC5F6D"/>
    <w:rsid w:val="00FD0107"/>
    <w:rsid w:val="00FD2C2F"/>
    <w:rsid w:val="00FD3B31"/>
    <w:rsid w:val="00FE1823"/>
    <w:rsid w:val="00FE487A"/>
    <w:rsid w:val="00FF0569"/>
    <w:rsid w:val="00FF206E"/>
    <w:rsid w:val="00FF328F"/>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32919498"/>
  <w15:docId w15:val="{19705BE4-BD14-41A4-97C2-5788815E8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uiPriority="2"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7476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747672"/>
    <w:rPr>
      <w:rFonts w:ascii="Segoe UI" w:hAnsi="Segoe UI" w:cs="Segoe UI"/>
      <w:sz w:val="18"/>
      <w:szCs w:val="18"/>
    </w:rPr>
  </w:style>
  <w:style w:type="paragraph" w:styleId="ListParagraph">
    <w:name w:val="List Paragraph"/>
    <w:basedOn w:val="Normal"/>
    <w:uiPriority w:val="34"/>
    <w:qFormat/>
    <w:rsid w:val="00987522"/>
    <w:pPr>
      <w:spacing w:after="160" w:line="259" w:lineRule="auto"/>
      <w:ind w:left="720"/>
      <w:contextualSpacing/>
    </w:pPr>
    <w:rPr>
      <w:rFonts w:asciiTheme="minorHAnsi" w:eastAsiaTheme="minorHAnsi" w:hAnsiTheme="minorHAnsi" w:cstheme="minorBidi"/>
      <w:sz w:val="22"/>
      <w:szCs w:val="22"/>
      <w:lang w:eastAsia="en-US"/>
    </w:rPr>
  </w:style>
  <w:style w:type="paragraph" w:styleId="Revision">
    <w:name w:val="Revision"/>
    <w:hidden/>
    <w:semiHidden/>
    <w:rsid w:val="005B5640"/>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894493">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1173900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31920451">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56687185">
      <w:bodyDiv w:val="1"/>
      <w:marLeft w:val="0"/>
      <w:marRight w:val="0"/>
      <w:marTop w:val="0"/>
      <w:marBottom w:val="0"/>
      <w:divBdr>
        <w:top w:val="none" w:sz="0" w:space="0" w:color="auto"/>
        <w:left w:val="none" w:sz="0" w:space="0" w:color="auto"/>
        <w:bottom w:val="none" w:sz="0" w:space="0" w:color="auto"/>
        <w:right w:val="none" w:sz="0" w:space="0" w:color="auto"/>
      </w:divBdr>
    </w:div>
    <w:div w:id="1749231295">
      <w:bodyDiv w:val="1"/>
      <w:marLeft w:val="0"/>
      <w:marRight w:val="0"/>
      <w:marTop w:val="0"/>
      <w:marBottom w:val="0"/>
      <w:divBdr>
        <w:top w:val="none" w:sz="0" w:space="0" w:color="auto"/>
        <w:left w:val="none" w:sz="0" w:space="0" w:color="auto"/>
        <w:bottom w:val="none" w:sz="0" w:space="0" w:color="auto"/>
        <w:right w:val="none" w:sz="0" w:space="0" w:color="auto"/>
      </w:divBdr>
    </w:div>
    <w:div w:id="192263874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70815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header" Target="header7.xml"/><Relationship Id="rId39"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image" Target="media/image10.png"/><Relationship Id="rId42" Type="http://schemas.openxmlformats.org/officeDocument/2006/relationships/image" Target="media/image18.png"/><Relationship Id="rId47" Type="http://schemas.openxmlformats.org/officeDocument/2006/relationships/header" Target="header10.xml"/><Relationship Id="rId50"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image" Target="media/image9.png"/><Relationship Id="rId38" Type="http://schemas.openxmlformats.org/officeDocument/2006/relationships/image" Target="media/image14.png"/><Relationship Id="rId46"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image" Target="media/image5.png"/><Relationship Id="rId41"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png"/><Relationship Id="rId45" Type="http://schemas.openxmlformats.org/officeDocument/2006/relationships/footer" Target="footer7.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image" Target="media/image4.png"/><Relationship Id="rId36" Type="http://schemas.openxmlformats.org/officeDocument/2006/relationships/image" Target="media/image12.png"/><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image" Target="media/image7.png"/><Relationship Id="rId44"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header" Target="header8.xml"/><Relationship Id="rId48" Type="http://schemas.openxmlformats.org/officeDocument/2006/relationships/footer" Target="footer9.xml"/><Relationship Id="rId8" Type="http://schemas.openxmlformats.org/officeDocument/2006/relationships/webSettings" Target="webSetting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6DD6911DA73C545BB9043BD332BE523" ma:contentTypeVersion="12" ma:contentTypeDescription="Create a new document." ma:contentTypeScope="" ma:versionID="dab4dad911e2e55f0fdd5466387fc65f">
  <xsd:schema xmlns:xsd="http://www.w3.org/2001/XMLSchema" xmlns:xs="http://www.w3.org/2001/XMLSchema" xmlns:p="http://schemas.microsoft.com/office/2006/metadata/properties" xmlns:ns3="d0de9aaf-87f4-487c-91dc-970593d053fe" xmlns:ns4="a1f74f50-dae4-414f-b6e4-cb79ca74d8a7" targetNamespace="http://schemas.microsoft.com/office/2006/metadata/properties" ma:root="true" ma:fieldsID="43318f1d4bab0247723d434f2fdf7744" ns3:_="" ns4:_="">
    <xsd:import namespace="d0de9aaf-87f4-487c-91dc-970593d053fe"/>
    <xsd:import namespace="a1f74f50-dae4-414f-b6e4-cb79ca74d8a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de9aaf-87f4-487c-91dc-970593d053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1f74f50-dae4-414f-b6e4-cb79ca74d8a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596255-818A-426E-AF7E-155AA94A327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DE02100-E04E-4F7F-8FFE-36841A97D7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de9aaf-87f4-487c-91dc-970593d053fe"/>
    <ds:schemaRef ds:uri="a1f74f50-dae4-414f-b6e4-cb79ca74d8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CD5641-964E-46C7-A0B3-66C351612F7B}">
  <ds:schemaRefs>
    <ds:schemaRef ds:uri="http://schemas.microsoft.com/sharepoint/v3/contenttype/forms"/>
  </ds:schemaRefs>
</ds:datastoreItem>
</file>

<file path=customXml/itemProps4.xml><?xml version="1.0" encoding="utf-8"?>
<ds:datastoreItem xmlns:ds="http://schemas.openxmlformats.org/officeDocument/2006/customXml" ds:itemID="{02F3E7DC-DBEE-4807-B0FC-19B2AFA666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Template>
  <TotalTime>0</TotalTime>
  <Pages>23</Pages>
  <Words>4531</Words>
  <Characters>25832</Characters>
  <Application>Microsoft Office Word</Application>
  <DocSecurity>4</DocSecurity>
  <Lines>215</Lines>
  <Paragraphs>60</Paragraphs>
  <ScaleCrop>false</ScaleCrop>
  <HeadingPairs>
    <vt:vector size="4" baseType="variant">
      <vt:variant>
        <vt:lpstr>Title</vt:lpstr>
      </vt:variant>
      <vt:variant>
        <vt:i4>1</vt:i4>
      </vt:variant>
      <vt:variant>
        <vt:lpstr>Headings</vt:lpstr>
      </vt:variant>
      <vt:variant>
        <vt:i4>35</vt:i4>
      </vt:variant>
    </vt:vector>
  </HeadingPairs>
  <TitlesOfParts>
    <vt:vector size="36" baseType="lpstr">
      <vt:lpstr/>
      <vt:lpstr>Introduction</vt:lpstr>
      <vt:lpstr>    Background </vt:lpstr>
      <vt:lpstr>    Purpose of the report</vt:lpstr>
      <vt:lpstr>    Scope </vt:lpstr>
      <vt:lpstr>    Bushfire overview</vt:lpstr>
      <vt:lpstr>    Carrier information</vt:lpstr>
      <vt:lpstr>Overview</vt:lpstr>
      <vt:lpstr>    Impacts to cables </vt:lpstr>
      <vt:lpstr>    Facilities which experienced outages of less than four hours</vt:lpstr>
      <vt:lpstr>    Facilities which experienced outages of four hours or more</vt:lpstr>
      <vt:lpstr>Number of outages </vt:lpstr>
      <vt:lpstr>    By location and network type</vt:lpstr>
      <vt:lpstr>    By state and network type</vt:lpstr>
      <vt:lpstr>    By root cause </vt:lpstr>
      <vt:lpstr>    By root cause and facility type</vt:lpstr>
      <vt:lpstr>    Peak period</vt:lpstr>
      <vt:lpstr>    Length of outages</vt:lpstr>
      <vt:lpstr>    Observations about outages</vt:lpstr>
      <vt:lpstr>Restoration actions</vt:lpstr>
      <vt:lpstr>    Temporary restoration actions</vt:lpstr>
      <vt:lpstr>        By number of outages and facility type</vt:lpstr>
      <vt:lpstr>        By facility type</vt:lpstr>
      <vt:lpstr>    Permanent restoration actions</vt:lpstr>
      <vt:lpstr>        By outage incidents and network type</vt:lpstr>
      <vt:lpstr>        By average time to restore outage incidents</vt:lpstr>
      <vt:lpstr>        By average time and action to permanently restore outage incidents</vt:lpstr>
      <vt:lpstr>    Unrestored outages </vt:lpstr>
      <vt:lpstr>        By facility type</vt:lpstr>
      <vt:lpstr>        By length of outage for unrestored facilities </vt:lpstr>
      <vt:lpstr>        By root cause of outage</vt:lpstr>
      <vt:lpstr>    Access to sites</vt:lpstr>
      <vt:lpstr>        By number of outage incidents and network</vt:lpstr>
      <vt:lpstr>        By number of outage incidents and facility type</vt:lpstr>
      <vt:lpstr>    Backup power</vt:lpstr>
      <vt:lpstr>    Observations about restoration, access to sites and backup power</vt:lpstr>
    </vt:vector>
  </TitlesOfParts>
  <Manager/>
  <Company/>
  <LinksUpToDate>false</LinksUpToDate>
  <CharactersWithSpaces>30303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Fulton</dc:creator>
  <cp:keywords/>
  <dc:description/>
  <cp:lastModifiedBy>Paula Fulton</cp:lastModifiedBy>
  <cp:revision>2</cp:revision>
  <dcterms:created xsi:type="dcterms:W3CDTF">2020-04-29T05:48:00Z</dcterms:created>
  <dcterms:modified xsi:type="dcterms:W3CDTF">2020-04-29T05:48:00Z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0x010100F6DD6911DA73C545BB9043BD332BE523</vt:lpwstr>
  </property>
  <property fmtid="{D5CDD505-2E9C-101B-9397-08002B2CF9AE}" pid="3" name="_dlc_DocIdItemGuid">
    <vt:lpwstr>ea68dac5-8352-4646-9b8f-182542c84ce3</vt:lpwstr>
  </property>
</Properties>
</file>